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1BCE" w14:textId="77777777" w:rsidR="00CA2005" w:rsidRPr="00CB13F7" w:rsidRDefault="00B866CA" w:rsidP="00CA2005">
      <w:pPr>
        <w:spacing w:before="100" w:beforeAutospacing="1" w:after="100" w:afterAutospacing="1" w:line="276" w:lineRule="auto"/>
        <w:jc w:val="center"/>
        <w:rPr>
          <w:b/>
          <w:bCs/>
        </w:rPr>
      </w:pPr>
      <w:bookmarkStart w:id="0" w:name="_GoBack"/>
      <w:bookmarkEnd w:id="0"/>
      <w:r w:rsidRPr="00CB13F7">
        <w:rPr>
          <w:rFonts w:ascii="Calibri" w:hAnsi="Calibri"/>
          <w:noProof/>
          <w:sz w:val="22"/>
          <w:szCs w:val="22"/>
          <w:lang w:val="en-US" w:eastAsia="en-US"/>
        </w:rPr>
        <w:drawing>
          <wp:inline distT="0" distB="0" distL="0" distR="0" wp14:anchorId="0699FA66" wp14:editId="49327E7E">
            <wp:extent cx="2292947" cy="1430655"/>
            <wp:effectExtent l="0" t="0" r="0" b="0"/>
            <wp:docPr id="1" name="Picture 12" descr="Description: C:\Users\User\Desktop\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User\Desktop\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749" cy="1433027"/>
                    </a:xfrm>
                    <a:prstGeom prst="rect">
                      <a:avLst/>
                    </a:prstGeom>
                    <a:noFill/>
                    <a:ln>
                      <a:noFill/>
                    </a:ln>
                  </pic:spPr>
                </pic:pic>
              </a:graphicData>
            </a:graphic>
          </wp:inline>
        </w:drawing>
      </w:r>
    </w:p>
    <w:p w14:paraId="20BC807C" w14:textId="77777777" w:rsidR="00CA2005" w:rsidRPr="00CB13F7" w:rsidRDefault="00CA2005" w:rsidP="008C69CC">
      <w:pPr>
        <w:spacing w:before="100" w:beforeAutospacing="1" w:after="100" w:afterAutospacing="1" w:line="276" w:lineRule="auto"/>
        <w:rPr>
          <w:b/>
          <w:bCs/>
        </w:rPr>
      </w:pPr>
    </w:p>
    <w:p w14:paraId="7A99D5EE" w14:textId="77777777" w:rsidR="00CA2005" w:rsidRPr="00CB13F7" w:rsidRDefault="00CA2005" w:rsidP="008C69CC">
      <w:pPr>
        <w:spacing w:before="100" w:beforeAutospacing="1" w:after="100" w:afterAutospacing="1" w:line="276" w:lineRule="auto"/>
        <w:rPr>
          <w:b/>
          <w:bCs/>
        </w:rPr>
      </w:pPr>
    </w:p>
    <w:p w14:paraId="7AB11733" w14:textId="77777777" w:rsidR="00CA2005" w:rsidRPr="00CB13F7" w:rsidRDefault="00CA2005" w:rsidP="008C69CC">
      <w:pPr>
        <w:spacing w:before="100" w:beforeAutospacing="1" w:after="100" w:afterAutospacing="1" w:line="276" w:lineRule="auto"/>
        <w:rPr>
          <w:b/>
          <w:bCs/>
        </w:rPr>
      </w:pPr>
    </w:p>
    <w:p w14:paraId="76D3F696" w14:textId="77777777" w:rsidR="00CA2005" w:rsidRPr="00CB13F7" w:rsidRDefault="00CA2005" w:rsidP="008C69CC">
      <w:pPr>
        <w:spacing w:before="100" w:beforeAutospacing="1" w:after="100" w:afterAutospacing="1" w:line="276" w:lineRule="auto"/>
        <w:rPr>
          <w:b/>
          <w:bCs/>
        </w:rPr>
      </w:pPr>
    </w:p>
    <w:p w14:paraId="3CA7CA75" w14:textId="77777777" w:rsidR="00CA2005" w:rsidRPr="00CB13F7" w:rsidRDefault="00CA2005" w:rsidP="00CA2005">
      <w:pPr>
        <w:spacing w:line="276" w:lineRule="auto"/>
        <w:jc w:val="center"/>
        <w:rPr>
          <w:rFonts w:eastAsia="Arial"/>
          <w:b/>
          <w:lang w:eastAsia="en-US"/>
        </w:rPr>
      </w:pPr>
      <w:r w:rsidRPr="00CB13F7">
        <w:rPr>
          <w:rFonts w:eastAsia="Arial"/>
          <w:b/>
          <w:lang w:eastAsia="en-US"/>
        </w:rPr>
        <w:t>PLANI KOMBËTAR I VEPRIMIT PËR PERSONAT ME AFTËSI TË KUFIZUARA</w:t>
      </w:r>
    </w:p>
    <w:p w14:paraId="0C0ECEFC" w14:textId="77777777" w:rsidR="00CA2005" w:rsidRPr="00CB13F7" w:rsidRDefault="00CA2005" w:rsidP="00CA2005">
      <w:pPr>
        <w:spacing w:line="276" w:lineRule="auto"/>
        <w:jc w:val="center"/>
        <w:rPr>
          <w:rFonts w:eastAsia="Arial"/>
          <w:b/>
          <w:lang w:eastAsia="en-US"/>
        </w:rPr>
      </w:pPr>
    </w:p>
    <w:p w14:paraId="2F276347" w14:textId="77777777" w:rsidR="00CA2005" w:rsidRPr="00CB13F7" w:rsidRDefault="00CA2005" w:rsidP="00CA2005">
      <w:pPr>
        <w:spacing w:line="276" w:lineRule="auto"/>
        <w:jc w:val="center"/>
        <w:rPr>
          <w:rFonts w:eastAsia="Arial"/>
          <w:b/>
          <w:lang w:eastAsia="en-US"/>
        </w:rPr>
      </w:pPr>
      <w:r w:rsidRPr="00CB13F7">
        <w:rPr>
          <w:rFonts w:eastAsia="Arial"/>
          <w:b/>
          <w:lang w:eastAsia="en-US"/>
        </w:rPr>
        <w:t>2026-2030</w:t>
      </w:r>
    </w:p>
    <w:p w14:paraId="15186A72" w14:textId="77777777" w:rsidR="00CA2005" w:rsidRPr="00CB13F7" w:rsidRDefault="00CA2005" w:rsidP="00CA2005">
      <w:pPr>
        <w:spacing w:line="276" w:lineRule="auto"/>
        <w:jc w:val="center"/>
        <w:rPr>
          <w:rFonts w:eastAsia="Arial"/>
          <w:b/>
          <w:lang w:eastAsia="en-US"/>
        </w:rPr>
      </w:pPr>
    </w:p>
    <w:p w14:paraId="64B84E1C" w14:textId="77777777" w:rsidR="00CA2005" w:rsidRPr="00CB13F7" w:rsidRDefault="00CA2005" w:rsidP="008C69CC">
      <w:pPr>
        <w:spacing w:before="100" w:beforeAutospacing="1" w:after="100" w:afterAutospacing="1" w:line="276" w:lineRule="auto"/>
        <w:rPr>
          <w:b/>
          <w:bCs/>
        </w:rPr>
      </w:pPr>
    </w:p>
    <w:p w14:paraId="0D9978F1" w14:textId="77777777" w:rsidR="00CA2005" w:rsidRPr="00CB13F7" w:rsidRDefault="00CA2005" w:rsidP="008C69CC">
      <w:pPr>
        <w:spacing w:before="100" w:beforeAutospacing="1" w:after="100" w:afterAutospacing="1" w:line="276" w:lineRule="auto"/>
        <w:rPr>
          <w:b/>
          <w:bCs/>
        </w:rPr>
      </w:pPr>
    </w:p>
    <w:p w14:paraId="53C17730" w14:textId="77777777" w:rsidR="00CA2005" w:rsidRPr="00CB13F7" w:rsidRDefault="00CA2005" w:rsidP="00CA2005">
      <w:pPr>
        <w:spacing w:line="276" w:lineRule="auto"/>
        <w:jc w:val="both"/>
        <w:rPr>
          <w:rFonts w:eastAsia="Arial"/>
          <w:lang w:eastAsia="en-US"/>
        </w:rPr>
      </w:pPr>
    </w:p>
    <w:p w14:paraId="40064AC6" w14:textId="77777777" w:rsidR="00CA2005" w:rsidRPr="00CB13F7" w:rsidRDefault="00CA2005" w:rsidP="00CA2005">
      <w:pPr>
        <w:spacing w:line="276" w:lineRule="auto"/>
        <w:jc w:val="both"/>
        <w:rPr>
          <w:rFonts w:eastAsia="Arial"/>
          <w:b/>
          <w:lang w:eastAsia="en-US"/>
        </w:rPr>
      </w:pPr>
    </w:p>
    <w:p w14:paraId="4C6F5BB4" w14:textId="77777777" w:rsidR="00CA2005" w:rsidRPr="00CB13F7" w:rsidRDefault="00CA2005" w:rsidP="00CA2005">
      <w:pPr>
        <w:spacing w:line="276" w:lineRule="auto"/>
        <w:jc w:val="both"/>
        <w:rPr>
          <w:rFonts w:eastAsia="Arial"/>
          <w:b/>
          <w:lang w:eastAsia="en-US"/>
        </w:rPr>
      </w:pPr>
    </w:p>
    <w:p w14:paraId="3E4AF85C" w14:textId="77777777" w:rsidR="00D27E69" w:rsidRPr="00CB13F7" w:rsidRDefault="00D27E69" w:rsidP="00CA2005">
      <w:pPr>
        <w:spacing w:line="276" w:lineRule="auto"/>
        <w:jc w:val="both"/>
        <w:rPr>
          <w:rFonts w:eastAsia="Arial"/>
          <w:b/>
          <w:lang w:eastAsia="en-US"/>
        </w:rPr>
      </w:pPr>
    </w:p>
    <w:p w14:paraId="32A2C2BC" w14:textId="77777777" w:rsidR="00D27E69" w:rsidRPr="00CB13F7" w:rsidRDefault="00D27E69" w:rsidP="00CA2005">
      <w:pPr>
        <w:spacing w:line="276" w:lineRule="auto"/>
        <w:jc w:val="both"/>
        <w:rPr>
          <w:rFonts w:eastAsia="Arial"/>
          <w:b/>
          <w:lang w:eastAsia="en-US"/>
        </w:rPr>
      </w:pPr>
    </w:p>
    <w:p w14:paraId="398848E3" w14:textId="77777777" w:rsidR="00D27E69" w:rsidRPr="00CB13F7" w:rsidRDefault="00D27E69" w:rsidP="00CA2005">
      <w:pPr>
        <w:spacing w:line="276" w:lineRule="auto"/>
        <w:jc w:val="both"/>
        <w:rPr>
          <w:rFonts w:eastAsia="Arial"/>
          <w:b/>
          <w:lang w:eastAsia="en-US"/>
        </w:rPr>
      </w:pPr>
    </w:p>
    <w:p w14:paraId="6FD7400B" w14:textId="77777777" w:rsidR="00D27E69" w:rsidRPr="00CB13F7" w:rsidRDefault="00D27E69" w:rsidP="00CA2005">
      <w:pPr>
        <w:spacing w:line="276" w:lineRule="auto"/>
        <w:jc w:val="both"/>
        <w:rPr>
          <w:rFonts w:eastAsia="Arial"/>
          <w:b/>
          <w:lang w:eastAsia="en-US"/>
        </w:rPr>
      </w:pPr>
    </w:p>
    <w:p w14:paraId="1252720F" w14:textId="77777777" w:rsidR="00D27E69" w:rsidRPr="00CB13F7" w:rsidRDefault="00D27E69" w:rsidP="00CA2005">
      <w:pPr>
        <w:spacing w:line="276" w:lineRule="auto"/>
        <w:jc w:val="both"/>
        <w:rPr>
          <w:rFonts w:eastAsia="Arial"/>
          <w:b/>
          <w:lang w:eastAsia="en-US"/>
        </w:rPr>
      </w:pPr>
    </w:p>
    <w:p w14:paraId="779214B4" w14:textId="77777777" w:rsidR="00D27E69" w:rsidRPr="00CB13F7" w:rsidRDefault="00D27E69" w:rsidP="00D27E69">
      <w:pPr>
        <w:spacing w:line="276" w:lineRule="auto"/>
        <w:jc w:val="center"/>
        <w:rPr>
          <w:rFonts w:eastAsia="Arial"/>
          <w:b/>
          <w:lang w:eastAsia="en-US"/>
        </w:rPr>
      </w:pPr>
    </w:p>
    <w:p w14:paraId="671DF70F" w14:textId="77777777" w:rsidR="00CA2005" w:rsidRPr="00CB13F7" w:rsidRDefault="00CA2005" w:rsidP="00CA2005">
      <w:pPr>
        <w:spacing w:line="276" w:lineRule="auto"/>
        <w:jc w:val="both"/>
        <w:rPr>
          <w:rFonts w:eastAsia="Arial"/>
          <w:b/>
          <w:lang w:eastAsia="en-US"/>
        </w:rPr>
      </w:pPr>
    </w:p>
    <w:p w14:paraId="039BDF28" w14:textId="521277D9" w:rsidR="00CA2005" w:rsidRPr="00CB13F7" w:rsidRDefault="00CA2005" w:rsidP="00D27E69">
      <w:pPr>
        <w:spacing w:line="276" w:lineRule="auto"/>
        <w:jc w:val="center"/>
        <w:rPr>
          <w:rFonts w:eastAsia="Arial"/>
          <w:bCs/>
          <w:i/>
          <w:iCs/>
          <w:lang w:eastAsia="en-US"/>
        </w:rPr>
      </w:pPr>
      <w:r w:rsidRPr="00CB13F7">
        <w:rPr>
          <w:rFonts w:eastAsia="Arial"/>
          <w:bCs/>
          <w:i/>
          <w:iCs/>
          <w:lang w:eastAsia="en-US"/>
        </w:rPr>
        <w:t>Tiranë, 2026</w:t>
      </w:r>
    </w:p>
    <w:p w14:paraId="0DCCB9CE" w14:textId="77777777" w:rsidR="00CA2005" w:rsidRPr="00CB13F7" w:rsidRDefault="00CA2005" w:rsidP="00CA2005">
      <w:pPr>
        <w:spacing w:line="276" w:lineRule="auto"/>
        <w:jc w:val="both"/>
        <w:rPr>
          <w:rFonts w:eastAsia="Arial"/>
          <w:b/>
          <w:lang w:eastAsia="en-US"/>
        </w:rPr>
      </w:pPr>
    </w:p>
    <w:p w14:paraId="0200D720" w14:textId="77777777" w:rsidR="00CA2005" w:rsidRPr="00CB13F7" w:rsidRDefault="001771D3" w:rsidP="00CA2005">
      <w:pPr>
        <w:spacing w:line="276" w:lineRule="auto"/>
        <w:jc w:val="both"/>
        <w:rPr>
          <w:rFonts w:eastAsia="Arial"/>
          <w:b/>
          <w:lang w:eastAsia="en-US"/>
        </w:rPr>
      </w:pPr>
      <w:r w:rsidRPr="00CB13F7">
        <w:rPr>
          <w:rFonts w:eastAsia="Arial"/>
          <w:b/>
          <w:lang w:eastAsia="en-US"/>
        </w:rPr>
        <w:t xml:space="preserve"> </w:t>
      </w:r>
    </w:p>
    <w:p w14:paraId="2450619F" w14:textId="77777777" w:rsidR="00CA2005" w:rsidRPr="00CB13F7" w:rsidRDefault="00CA2005" w:rsidP="008C69CC">
      <w:pPr>
        <w:spacing w:before="100" w:beforeAutospacing="1" w:after="100" w:afterAutospacing="1" w:line="276" w:lineRule="auto"/>
        <w:rPr>
          <w:rFonts w:eastAsia="Times New Roman"/>
          <w:lang w:eastAsia="en-US"/>
        </w:rPr>
      </w:pPr>
    </w:p>
    <w:p w14:paraId="0F46F1DF" w14:textId="77777777" w:rsidR="00E66747" w:rsidRPr="00CB13F7" w:rsidRDefault="00E66747" w:rsidP="008C69CC">
      <w:pPr>
        <w:spacing w:before="100" w:beforeAutospacing="1" w:after="100" w:afterAutospacing="1" w:line="276" w:lineRule="auto"/>
        <w:rPr>
          <w:b/>
          <w:bCs/>
        </w:rPr>
      </w:pPr>
      <w:r w:rsidRPr="00CB13F7">
        <w:rPr>
          <w:b/>
          <w:bCs/>
        </w:rPr>
        <w:lastRenderedPageBreak/>
        <w:t>P</w:t>
      </w:r>
      <w:r w:rsidR="00753C46" w:rsidRPr="00CB13F7">
        <w:rPr>
          <w:b/>
          <w:bCs/>
        </w:rPr>
        <w:t>Ë</w:t>
      </w:r>
      <w:r w:rsidRPr="00CB13F7">
        <w:rPr>
          <w:b/>
          <w:bCs/>
        </w:rPr>
        <w:t>RMBAJTJA</w:t>
      </w:r>
    </w:p>
    <w:p w14:paraId="2FB9BDB2" w14:textId="6511C94B" w:rsidR="00CA2005" w:rsidRPr="00CB13F7" w:rsidRDefault="30CA66E1" w:rsidP="661F9D2E">
      <w:pPr>
        <w:pStyle w:val="ListParagraph"/>
        <w:numPr>
          <w:ilvl w:val="0"/>
          <w:numId w:val="11"/>
        </w:numPr>
        <w:spacing w:after="200" w:line="276" w:lineRule="auto"/>
      </w:pPr>
      <w:r w:rsidRPr="00CB13F7">
        <w:t>HYRJA</w:t>
      </w:r>
      <w:r w:rsidR="3C26DB63" w:rsidRPr="00CB13F7">
        <w:t>........................................................................................................................</w:t>
      </w:r>
      <w:r w:rsidR="00C44CFF" w:rsidRPr="00CB13F7">
        <w:t>......</w:t>
      </w:r>
      <w:r w:rsidR="3C26DB63" w:rsidRPr="00CB13F7">
        <w:t xml:space="preserve"> 4</w:t>
      </w:r>
    </w:p>
    <w:p w14:paraId="03AF2CA9" w14:textId="40E915EB" w:rsidR="00395681" w:rsidRPr="00CB13F7" w:rsidRDefault="00395681" w:rsidP="00395681">
      <w:pPr>
        <w:pStyle w:val="ListParagraph"/>
        <w:numPr>
          <w:ilvl w:val="0"/>
          <w:numId w:val="11"/>
        </w:numPr>
        <w:rPr>
          <w:bCs/>
        </w:rPr>
      </w:pPr>
      <w:r w:rsidRPr="00CB13F7">
        <w:rPr>
          <w:bCs/>
        </w:rPr>
        <w:t>PËRPUTHSHMËRIA ME KUADRIN STRATEGJIK KOMBËTAR</w:t>
      </w:r>
      <w:r w:rsidR="00C35DED" w:rsidRPr="00CB13F7">
        <w:rPr>
          <w:bCs/>
        </w:rPr>
        <w:t xml:space="preserve"> </w:t>
      </w:r>
      <w:r w:rsidRPr="00CB13F7">
        <w:rPr>
          <w:bCs/>
        </w:rPr>
        <w:t>E NDËRKOMBËTAR</w:t>
      </w:r>
      <w:r w:rsidR="009D7004" w:rsidRPr="00CB13F7">
        <w:rPr>
          <w:bCs/>
        </w:rPr>
        <w:t>...................................................................................................</w:t>
      </w:r>
      <w:r w:rsidR="00C44CFF" w:rsidRPr="00CB13F7">
        <w:rPr>
          <w:bCs/>
        </w:rPr>
        <w:t>.......</w:t>
      </w:r>
      <w:r w:rsidR="009D7004" w:rsidRPr="00CB13F7">
        <w:rPr>
          <w:bCs/>
        </w:rPr>
        <w:t xml:space="preserve"> </w:t>
      </w:r>
      <w:r w:rsidR="00AA74DA" w:rsidRPr="00CB13F7">
        <w:rPr>
          <w:bCs/>
        </w:rPr>
        <w:t>8</w:t>
      </w:r>
    </w:p>
    <w:p w14:paraId="7250FE72" w14:textId="0C668FFC" w:rsidR="00466028" w:rsidRPr="00CB13F7" w:rsidRDefault="00466028" w:rsidP="00466028">
      <w:pPr>
        <w:pStyle w:val="ListParagraph"/>
        <w:numPr>
          <w:ilvl w:val="1"/>
          <w:numId w:val="11"/>
        </w:numPr>
        <w:rPr>
          <w:bCs/>
        </w:rPr>
      </w:pPr>
      <w:r w:rsidRPr="00CB13F7">
        <w:rPr>
          <w:bCs/>
        </w:rPr>
        <w:t>Kuadri ndërkombëtar</w:t>
      </w:r>
      <w:r w:rsidR="00AA74DA" w:rsidRPr="00CB13F7">
        <w:rPr>
          <w:bCs/>
        </w:rPr>
        <w:t>............................................................................................</w:t>
      </w:r>
      <w:r w:rsidR="00C44CFF" w:rsidRPr="00CB13F7">
        <w:rPr>
          <w:bCs/>
        </w:rPr>
        <w:t>.......</w:t>
      </w:r>
      <w:r w:rsidR="00AA74DA" w:rsidRPr="00CB13F7">
        <w:rPr>
          <w:bCs/>
        </w:rPr>
        <w:t xml:space="preserve"> 9</w:t>
      </w:r>
    </w:p>
    <w:p w14:paraId="283E5E51" w14:textId="59386949" w:rsidR="00466028" w:rsidRPr="00CB13F7" w:rsidRDefault="00466028" w:rsidP="00466028">
      <w:pPr>
        <w:pStyle w:val="ListParagraph"/>
        <w:numPr>
          <w:ilvl w:val="1"/>
          <w:numId w:val="11"/>
        </w:numPr>
        <w:rPr>
          <w:bCs/>
        </w:rPr>
      </w:pPr>
      <w:r w:rsidRPr="00CB13F7">
        <w:rPr>
          <w:bCs/>
        </w:rPr>
        <w:t>Kuadri strategjik kombëtar</w:t>
      </w:r>
      <w:r w:rsidR="00AA74DA" w:rsidRPr="00CB13F7">
        <w:rPr>
          <w:bCs/>
        </w:rPr>
        <w:t>...................................................................................</w:t>
      </w:r>
      <w:r w:rsidR="00C44CFF" w:rsidRPr="00CB13F7">
        <w:rPr>
          <w:bCs/>
        </w:rPr>
        <w:t>.......</w:t>
      </w:r>
      <w:r w:rsidR="00AA74DA" w:rsidRPr="00CB13F7">
        <w:rPr>
          <w:bCs/>
        </w:rPr>
        <w:t xml:space="preserve"> 9</w:t>
      </w:r>
    </w:p>
    <w:p w14:paraId="7BB5097C" w14:textId="65ED47BD" w:rsidR="00466028" w:rsidRPr="00CB13F7" w:rsidRDefault="00466028" w:rsidP="00466028">
      <w:pPr>
        <w:pStyle w:val="ListParagraph"/>
        <w:numPr>
          <w:ilvl w:val="1"/>
          <w:numId w:val="11"/>
        </w:numPr>
        <w:rPr>
          <w:bCs/>
        </w:rPr>
      </w:pPr>
      <w:r w:rsidRPr="00CB13F7">
        <w:rPr>
          <w:bCs/>
        </w:rPr>
        <w:t>Harmonizimi me strategjitë sektoriale</w:t>
      </w:r>
      <w:r w:rsidR="00AA74DA" w:rsidRPr="00CB13F7">
        <w:rPr>
          <w:bCs/>
        </w:rPr>
        <w:t xml:space="preserve">................................................................. </w:t>
      </w:r>
      <w:r w:rsidR="00C44CFF" w:rsidRPr="00CB13F7">
        <w:rPr>
          <w:bCs/>
        </w:rPr>
        <w:t>.......</w:t>
      </w:r>
      <w:r w:rsidR="00AA74DA" w:rsidRPr="00CB13F7">
        <w:rPr>
          <w:bCs/>
        </w:rPr>
        <w:t>9</w:t>
      </w:r>
    </w:p>
    <w:p w14:paraId="6B39E5DC" w14:textId="3B5C05D1" w:rsidR="00466028" w:rsidRPr="00CB13F7" w:rsidRDefault="00466028" w:rsidP="00466028">
      <w:pPr>
        <w:pStyle w:val="ListParagraph"/>
        <w:numPr>
          <w:ilvl w:val="1"/>
          <w:numId w:val="11"/>
        </w:numPr>
        <w:rPr>
          <w:bCs/>
        </w:rPr>
      </w:pPr>
      <w:r w:rsidRPr="00CB13F7">
        <w:rPr>
          <w:bCs/>
        </w:rPr>
        <w:t>Lidhja me procesin e integrimit evropian</w:t>
      </w:r>
      <w:r w:rsidR="00AA74DA" w:rsidRPr="00CB13F7">
        <w:rPr>
          <w:bCs/>
        </w:rPr>
        <w:t>............................................................</w:t>
      </w:r>
      <w:r w:rsidR="00C44CFF" w:rsidRPr="00CB13F7">
        <w:rPr>
          <w:bCs/>
        </w:rPr>
        <w:t>.......</w:t>
      </w:r>
      <w:r w:rsidR="00AA74DA" w:rsidRPr="00CB13F7">
        <w:rPr>
          <w:bCs/>
        </w:rPr>
        <w:t>10</w:t>
      </w:r>
    </w:p>
    <w:p w14:paraId="273426E1" w14:textId="5443840D" w:rsidR="00395681" w:rsidRPr="00CB13F7" w:rsidRDefault="00466028" w:rsidP="00466028">
      <w:pPr>
        <w:pStyle w:val="ListParagraph"/>
        <w:numPr>
          <w:ilvl w:val="0"/>
          <w:numId w:val="11"/>
        </w:numPr>
        <w:spacing w:after="200" w:line="276" w:lineRule="auto"/>
        <w:rPr>
          <w:bCs/>
        </w:rPr>
      </w:pPr>
      <w:r w:rsidRPr="00CB13F7">
        <w:rPr>
          <w:bCs/>
        </w:rPr>
        <w:t>ANALIZA E GJENDJES AKTUALE</w:t>
      </w:r>
      <w:r w:rsidR="00AA74DA" w:rsidRPr="00CB13F7">
        <w:rPr>
          <w:bCs/>
        </w:rPr>
        <w:t xml:space="preserve"> .....................................................................</w:t>
      </w:r>
      <w:r w:rsidR="00C44CFF" w:rsidRPr="00CB13F7">
        <w:rPr>
          <w:bCs/>
        </w:rPr>
        <w:t>.......</w:t>
      </w:r>
      <w:r w:rsidR="00AA74DA" w:rsidRPr="00CB13F7">
        <w:rPr>
          <w:bCs/>
        </w:rPr>
        <w:t>11</w:t>
      </w:r>
    </w:p>
    <w:p w14:paraId="16C44641" w14:textId="11F10890" w:rsidR="00466028" w:rsidRPr="00CB13F7" w:rsidRDefault="000E6121" w:rsidP="00466028">
      <w:pPr>
        <w:pStyle w:val="ListParagraph"/>
        <w:spacing w:after="200" w:line="276" w:lineRule="auto"/>
        <w:rPr>
          <w:bCs/>
        </w:rPr>
      </w:pPr>
      <w:r w:rsidRPr="00CB13F7">
        <w:rPr>
          <w:bCs/>
        </w:rPr>
        <w:t>3.1. Analiza</w:t>
      </w:r>
      <w:r w:rsidR="00466028" w:rsidRPr="00CB13F7">
        <w:rPr>
          <w:bCs/>
        </w:rPr>
        <w:t xml:space="preserve"> e gjendjes aktuale në fushën e aksesueshmërisë</w:t>
      </w:r>
      <w:r w:rsidR="00AA74DA" w:rsidRPr="00CB13F7">
        <w:rPr>
          <w:bCs/>
        </w:rPr>
        <w:t xml:space="preserve"> ...................................</w:t>
      </w:r>
      <w:r w:rsidR="00C44CFF" w:rsidRPr="00CB13F7">
        <w:rPr>
          <w:bCs/>
        </w:rPr>
        <w:t>......</w:t>
      </w:r>
      <w:r w:rsidR="00AA74DA" w:rsidRPr="00CB13F7">
        <w:rPr>
          <w:bCs/>
        </w:rPr>
        <w:t>11</w:t>
      </w:r>
    </w:p>
    <w:p w14:paraId="02C7EE27" w14:textId="77777777" w:rsidR="00466028" w:rsidRPr="00CB13F7" w:rsidRDefault="00466028" w:rsidP="00466028">
      <w:pPr>
        <w:pStyle w:val="ListParagraph"/>
        <w:spacing w:after="200" w:line="276" w:lineRule="auto"/>
        <w:rPr>
          <w:bCs/>
        </w:rPr>
      </w:pPr>
      <w:r w:rsidRPr="00CB13F7">
        <w:rPr>
          <w:bCs/>
        </w:rPr>
        <w:t>3.2. Analizë e gjendjes aktuale në fushën e aksesit në drejtësi dhe barazisë para ligjit</w:t>
      </w:r>
      <w:r w:rsidR="00AA74DA" w:rsidRPr="00CB13F7">
        <w:rPr>
          <w:bCs/>
        </w:rPr>
        <w:t>..14</w:t>
      </w:r>
    </w:p>
    <w:p w14:paraId="4B080D08" w14:textId="5C019FA6" w:rsidR="00466028" w:rsidRPr="00CB13F7" w:rsidRDefault="000E6121" w:rsidP="00466028">
      <w:pPr>
        <w:pStyle w:val="ListParagraph"/>
        <w:spacing w:after="200" w:line="276" w:lineRule="auto"/>
        <w:rPr>
          <w:bCs/>
        </w:rPr>
      </w:pPr>
      <w:r w:rsidRPr="00CB13F7">
        <w:rPr>
          <w:bCs/>
        </w:rPr>
        <w:t>3.3. Analiza</w:t>
      </w:r>
      <w:r w:rsidR="00466028" w:rsidRPr="00CB13F7">
        <w:rPr>
          <w:bCs/>
        </w:rPr>
        <w:t xml:space="preserve"> e gjendjes aktuale në fushën e punësimit dhe aftësimit</w:t>
      </w:r>
      <w:r w:rsidR="00AA74DA" w:rsidRPr="00CB13F7">
        <w:rPr>
          <w:bCs/>
        </w:rPr>
        <w:t>.........................</w:t>
      </w:r>
      <w:r w:rsidR="00C44CFF" w:rsidRPr="00CB13F7">
        <w:rPr>
          <w:bCs/>
        </w:rPr>
        <w:t>......</w:t>
      </w:r>
      <w:r w:rsidR="00AA74DA" w:rsidRPr="00CB13F7">
        <w:rPr>
          <w:bCs/>
        </w:rPr>
        <w:t>16</w:t>
      </w:r>
    </w:p>
    <w:p w14:paraId="0EE8D4F6" w14:textId="430CD30E" w:rsidR="00466028" w:rsidRPr="00CB13F7" w:rsidRDefault="000E6121" w:rsidP="00466028">
      <w:pPr>
        <w:pStyle w:val="ListParagraph"/>
        <w:spacing w:after="200" w:line="276" w:lineRule="auto"/>
        <w:rPr>
          <w:bCs/>
        </w:rPr>
      </w:pPr>
      <w:r w:rsidRPr="00CB13F7">
        <w:rPr>
          <w:bCs/>
        </w:rPr>
        <w:t>3.4. Analiza</w:t>
      </w:r>
      <w:r w:rsidR="00466028" w:rsidRPr="00CB13F7">
        <w:rPr>
          <w:bCs/>
        </w:rPr>
        <w:t xml:space="preserve"> e gjendjes aktuale në fushën e arsimit</w:t>
      </w:r>
      <w:r w:rsidR="00AA74DA" w:rsidRPr="00CB13F7">
        <w:rPr>
          <w:bCs/>
        </w:rPr>
        <w:t>...................................................</w:t>
      </w:r>
      <w:r w:rsidR="00C44CFF" w:rsidRPr="00CB13F7">
        <w:rPr>
          <w:bCs/>
        </w:rPr>
        <w:t>.....</w:t>
      </w:r>
      <w:r w:rsidR="00AA74DA" w:rsidRPr="00CB13F7">
        <w:rPr>
          <w:bCs/>
        </w:rPr>
        <w:t xml:space="preserve"> 17</w:t>
      </w:r>
    </w:p>
    <w:p w14:paraId="153E9ED0" w14:textId="048E9ABA" w:rsidR="00466028" w:rsidRPr="00CB13F7" w:rsidRDefault="000E6121" w:rsidP="00466028">
      <w:pPr>
        <w:pStyle w:val="ListParagraph"/>
        <w:spacing w:after="200" w:line="276" w:lineRule="auto"/>
        <w:rPr>
          <w:bCs/>
        </w:rPr>
      </w:pPr>
      <w:r w:rsidRPr="00CB13F7">
        <w:rPr>
          <w:bCs/>
        </w:rPr>
        <w:t>3.5. Analiza</w:t>
      </w:r>
      <w:r w:rsidR="00466028" w:rsidRPr="00CB13F7">
        <w:rPr>
          <w:bCs/>
        </w:rPr>
        <w:t xml:space="preserve"> e gjendjes aktuale në fushën e mbrojtjes sociale</w:t>
      </w:r>
      <w:r w:rsidR="00AA74DA" w:rsidRPr="00CB13F7">
        <w:rPr>
          <w:bCs/>
        </w:rPr>
        <w:t>...................................</w:t>
      </w:r>
      <w:r w:rsidR="00356E65" w:rsidRPr="00CB13F7">
        <w:rPr>
          <w:bCs/>
        </w:rPr>
        <w:t>.</w:t>
      </w:r>
      <w:r w:rsidR="00C44CFF" w:rsidRPr="00CB13F7">
        <w:rPr>
          <w:bCs/>
        </w:rPr>
        <w:t>....</w:t>
      </w:r>
      <w:r w:rsidR="00AA74DA" w:rsidRPr="00CB13F7">
        <w:rPr>
          <w:bCs/>
        </w:rPr>
        <w:t>19</w:t>
      </w:r>
    </w:p>
    <w:p w14:paraId="1E5F42F1" w14:textId="07378AB3" w:rsidR="00A02853" w:rsidRPr="00CB13F7" w:rsidRDefault="000E6121" w:rsidP="00A02853">
      <w:pPr>
        <w:pStyle w:val="ListParagraph"/>
        <w:spacing w:after="200" w:line="276" w:lineRule="auto"/>
        <w:rPr>
          <w:bCs/>
        </w:rPr>
      </w:pPr>
      <w:r w:rsidRPr="00CB13F7">
        <w:rPr>
          <w:bCs/>
        </w:rPr>
        <w:t>3.6. Analizë</w:t>
      </w:r>
      <w:r w:rsidR="00466028" w:rsidRPr="00CB13F7">
        <w:rPr>
          <w:bCs/>
        </w:rPr>
        <w:t xml:space="preserve"> e gjendjes aktuale në fushën e shëndetësisë</w:t>
      </w:r>
      <w:r w:rsidR="00356E65" w:rsidRPr="00CB13F7">
        <w:rPr>
          <w:bCs/>
        </w:rPr>
        <w:t>...........................................</w:t>
      </w:r>
      <w:r w:rsidR="00C44CFF" w:rsidRPr="00CB13F7">
        <w:rPr>
          <w:bCs/>
        </w:rPr>
        <w:t>....</w:t>
      </w:r>
      <w:r w:rsidR="00356E65" w:rsidRPr="00CB13F7">
        <w:rPr>
          <w:bCs/>
        </w:rPr>
        <w:t>21</w:t>
      </w:r>
    </w:p>
    <w:p w14:paraId="4797E5ED" w14:textId="7C8B118B" w:rsidR="00466028" w:rsidRPr="00CB13F7" w:rsidRDefault="00466028" w:rsidP="00A02853">
      <w:pPr>
        <w:pStyle w:val="ListParagraph"/>
        <w:spacing w:after="200" w:line="276" w:lineRule="auto"/>
        <w:rPr>
          <w:bCs/>
        </w:rPr>
      </w:pPr>
      <w:r w:rsidRPr="00CB13F7">
        <w:rPr>
          <w:rFonts w:eastAsia="Times New Roman"/>
          <w:bCs/>
          <w:lang w:eastAsia="en-US"/>
        </w:rPr>
        <w:t>3.7. Analizë e gjendjes aktuale në fushën e pjesëmarrjes</w:t>
      </w:r>
      <w:r w:rsidR="00356E65" w:rsidRPr="00CB13F7">
        <w:rPr>
          <w:rFonts w:eastAsia="Times New Roman"/>
          <w:bCs/>
          <w:lang w:eastAsia="en-US"/>
        </w:rPr>
        <w:t xml:space="preserve">…………………………. </w:t>
      </w:r>
      <w:r w:rsidR="00C44CFF" w:rsidRPr="00CB13F7">
        <w:rPr>
          <w:rFonts w:eastAsia="Times New Roman"/>
          <w:bCs/>
          <w:lang w:eastAsia="en-US"/>
        </w:rPr>
        <w:t>.....</w:t>
      </w:r>
      <w:r w:rsidR="00356E65" w:rsidRPr="00CB13F7">
        <w:rPr>
          <w:rFonts w:eastAsia="Times New Roman"/>
          <w:bCs/>
          <w:lang w:eastAsia="en-US"/>
        </w:rPr>
        <w:t>22</w:t>
      </w:r>
    </w:p>
    <w:p w14:paraId="295C8ECA" w14:textId="756A4203" w:rsidR="00466028" w:rsidRPr="00CB13F7" w:rsidRDefault="00466028" w:rsidP="00466028">
      <w:pPr>
        <w:pStyle w:val="ListParagraph"/>
        <w:spacing w:after="200" w:line="276" w:lineRule="auto"/>
        <w:rPr>
          <w:bCs/>
        </w:rPr>
      </w:pPr>
      <w:r w:rsidRPr="00CB13F7">
        <w:rPr>
          <w:bCs/>
        </w:rPr>
        <w:t>3.7.1. Pjesëmarrja në jetën politike</w:t>
      </w:r>
      <w:r w:rsidR="00356E65" w:rsidRPr="00CB13F7">
        <w:rPr>
          <w:bCs/>
        </w:rPr>
        <w:t xml:space="preserve">........................................................................... </w:t>
      </w:r>
      <w:r w:rsidR="00C44CFF" w:rsidRPr="00CB13F7">
        <w:rPr>
          <w:bCs/>
        </w:rPr>
        <w:t>.....</w:t>
      </w:r>
      <w:r w:rsidR="00356E65" w:rsidRPr="00CB13F7">
        <w:rPr>
          <w:bCs/>
        </w:rPr>
        <w:t>22</w:t>
      </w:r>
    </w:p>
    <w:p w14:paraId="5EDE9F1E" w14:textId="34E3F53D" w:rsidR="00466028" w:rsidRPr="00CB13F7" w:rsidRDefault="000E6121" w:rsidP="00466028">
      <w:pPr>
        <w:pStyle w:val="ListParagraph"/>
        <w:spacing w:after="200" w:line="276" w:lineRule="auto"/>
        <w:rPr>
          <w:bCs/>
        </w:rPr>
      </w:pPr>
      <w:r w:rsidRPr="00CB13F7">
        <w:rPr>
          <w:bCs/>
        </w:rPr>
        <w:t>3.7.2. Pjesëmarrja</w:t>
      </w:r>
      <w:r w:rsidR="00466028" w:rsidRPr="00CB13F7">
        <w:rPr>
          <w:bCs/>
        </w:rPr>
        <w:t xml:space="preserve"> në jetën artistike dhe kulturore</w:t>
      </w:r>
      <w:r w:rsidR="00356E65" w:rsidRPr="00CB13F7">
        <w:rPr>
          <w:bCs/>
        </w:rPr>
        <w:t>.....................................................</w:t>
      </w:r>
      <w:r w:rsidR="00C44CFF" w:rsidRPr="00CB13F7">
        <w:rPr>
          <w:bCs/>
        </w:rPr>
        <w:t>....</w:t>
      </w:r>
      <w:r w:rsidR="00356E65" w:rsidRPr="00CB13F7">
        <w:rPr>
          <w:bCs/>
        </w:rPr>
        <w:t>23</w:t>
      </w:r>
    </w:p>
    <w:p w14:paraId="1D8B2388" w14:textId="7FD98924" w:rsidR="00466028" w:rsidRPr="00CB13F7" w:rsidRDefault="000E6121" w:rsidP="00A02853">
      <w:pPr>
        <w:pStyle w:val="ListParagraph"/>
        <w:spacing w:after="200" w:line="276" w:lineRule="auto"/>
        <w:rPr>
          <w:bCs/>
        </w:rPr>
      </w:pPr>
      <w:r w:rsidRPr="00CB13F7">
        <w:rPr>
          <w:bCs/>
        </w:rPr>
        <w:t>3.7.3. Pjesëmarrja</w:t>
      </w:r>
      <w:r w:rsidR="00466028" w:rsidRPr="00CB13F7">
        <w:rPr>
          <w:bCs/>
        </w:rPr>
        <w:t xml:space="preserve"> në sporte dhe aktivitete rekreative</w:t>
      </w:r>
      <w:r w:rsidR="00356E65" w:rsidRPr="00CB13F7">
        <w:rPr>
          <w:bCs/>
        </w:rPr>
        <w:t xml:space="preserve">................................................ </w:t>
      </w:r>
      <w:r w:rsidR="00C44CFF" w:rsidRPr="00CB13F7">
        <w:rPr>
          <w:bCs/>
        </w:rPr>
        <w:t>....</w:t>
      </w:r>
      <w:r w:rsidR="00356E65" w:rsidRPr="00CB13F7">
        <w:rPr>
          <w:bCs/>
        </w:rPr>
        <w:t>24</w:t>
      </w:r>
    </w:p>
    <w:p w14:paraId="7DDEE5E1" w14:textId="2797B190" w:rsidR="00466028" w:rsidRPr="00CB13F7" w:rsidRDefault="000E6121" w:rsidP="00466028">
      <w:pPr>
        <w:pStyle w:val="ListParagraph"/>
        <w:spacing w:after="200" w:line="276" w:lineRule="auto"/>
        <w:rPr>
          <w:bCs/>
        </w:rPr>
      </w:pPr>
      <w:r w:rsidRPr="00CB13F7">
        <w:rPr>
          <w:bCs/>
        </w:rPr>
        <w:t>3.8. Analizë</w:t>
      </w:r>
      <w:r w:rsidR="00466028" w:rsidRPr="00CB13F7">
        <w:rPr>
          <w:bCs/>
        </w:rPr>
        <w:t xml:space="preserve"> e gjendjes aktuale në fushën e bashkëpunimit</w:t>
      </w:r>
      <w:r w:rsidR="00356E65" w:rsidRPr="00CB13F7">
        <w:rPr>
          <w:bCs/>
        </w:rPr>
        <w:t>.......................................</w:t>
      </w:r>
      <w:r w:rsidR="00C44CFF" w:rsidRPr="00CB13F7">
        <w:rPr>
          <w:bCs/>
        </w:rPr>
        <w:t>....</w:t>
      </w:r>
      <w:r w:rsidR="00356E65" w:rsidRPr="00CB13F7">
        <w:rPr>
          <w:bCs/>
        </w:rPr>
        <w:t xml:space="preserve"> 24</w:t>
      </w:r>
    </w:p>
    <w:p w14:paraId="6B25E1E5" w14:textId="77777777" w:rsidR="00466028" w:rsidRPr="00CB13F7" w:rsidRDefault="000E6121" w:rsidP="00466028">
      <w:pPr>
        <w:pStyle w:val="ListParagraph"/>
        <w:spacing w:after="200" w:line="276" w:lineRule="auto"/>
        <w:rPr>
          <w:bCs/>
        </w:rPr>
      </w:pPr>
      <w:r w:rsidRPr="00CB13F7">
        <w:rPr>
          <w:bCs/>
        </w:rPr>
        <w:t>3.8.1. Përmirësimi</w:t>
      </w:r>
      <w:r w:rsidR="00466028" w:rsidRPr="00CB13F7">
        <w:rPr>
          <w:bCs/>
        </w:rPr>
        <w:t xml:space="preserve"> i funksionimit të mekanizmit kombëtar të koordinimit të</w:t>
      </w:r>
      <w:r w:rsidR="00466028" w:rsidRPr="00CB13F7">
        <w:rPr>
          <w:b/>
        </w:rPr>
        <w:t xml:space="preserve"> </w:t>
      </w:r>
      <w:r w:rsidR="00466028" w:rsidRPr="00CB13F7">
        <w:rPr>
          <w:bCs/>
        </w:rPr>
        <w:t>politikave</w:t>
      </w:r>
      <w:r w:rsidR="00356E65" w:rsidRPr="00CB13F7">
        <w:rPr>
          <w:bCs/>
        </w:rPr>
        <w:t>..25</w:t>
      </w:r>
    </w:p>
    <w:p w14:paraId="27580375" w14:textId="7DCCC24E" w:rsidR="00466028" w:rsidRPr="00CB13F7" w:rsidRDefault="000E6121" w:rsidP="00466028">
      <w:pPr>
        <w:pStyle w:val="ListParagraph"/>
        <w:spacing w:after="200" w:line="276" w:lineRule="auto"/>
        <w:rPr>
          <w:bCs/>
        </w:rPr>
      </w:pPr>
      <w:r w:rsidRPr="00CB13F7">
        <w:rPr>
          <w:bCs/>
        </w:rPr>
        <w:t>3.8.2. Ngritja</w:t>
      </w:r>
      <w:r w:rsidR="00466028" w:rsidRPr="00CB13F7">
        <w:rPr>
          <w:bCs/>
        </w:rPr>
        <w:t xml:space="preserve"> e një sistemi statistikor të qëndrueshëm për aftësinë e kufizuar</w:t>
      </w:r>
      <w:r w:rsidR="00356E65" w:rsidRPr="00CB13F7">
        <w:rPr>
          <w:bCs/>
        </w:rPr>
        <w:t>.........</w:t>
      </w:r>
      <w:r w:rsidR="00C44CFF" w:rsidRPr="00CB13F7">
        <w:rPr>
          <w:bCs/>
        </w:rPr>
        <w:t>....</w:t>
      </w:r>
      <w:r w:rsidR="00356E65" w:rsidRPr="00CB13F7">
        <w:rPr>
          <w:bCs/>
        </w:rPr>
        <w:t>. 25</w:t>
      </w:r>
    </w:p>
    <w:p w14:paraId="76895D51" w14:textId="5F0B3BC1" w:rsidR="00466028" w:rsidRPr="00CB13F7" w:rsidRDefault="000E6121" w:rsidP="00466028">
      <w:pPr>
        <w:pStyle w:val="ListParagraph"/>
        <w:spacing w:after="200" w:line="276" w:lineRule="auto"/>
        <w:rPr>
          <w:bCs/>
        </w:rPr>
      </w:pPr>
      <w:r w:rsidRPr="00CB13F7">
        <w:rPr>
          <w:bCs/>
        </w:rPr>
        <w:t>3.8.3. Bashkëpunimi</w:t>
      </w:r>
      <w:r w:rsidR="00466028" w:rsidRPr="00CB13F7">
        <w:rPr>
          <w:bCs/>
        </w:rPr>
        <w:t xml:space="preserve"> rajonal dhe ndërkombëtar</w:t>
      </w:r>
      <w:r w:rsidR="00356E65" w:rsidRPr="00CB13F7">
        <w:rPr>
          <w:bCs/>
        </w:rPr>
        <w:t>........................................................</w:t>
      </w:r>
      <w:r w:rsidR="00C44CFF" w:rsidRPr="00CB13F7">
        <w:rPr>
          <w:bCs/>
        </w:rPr>
        <w:t>....</w:t>
      </w:r>
      <w:r w:rsidR="00356E65" w:rsidRPr="00CB13F7">
        <w:rPr>
          <w:bCs/>
        </w:rPr>
        <w:t xml:space="preserve"> 25</w:t>
      </w:r>
    </w:p>
    <w:p w14:paraId="0ECDE703" w14:textId="0228C9BC" w:rsidR="00466028" w:rsidRPr="00CB13F7" w:rsidRDefault="000E6121" w:rsidP="008B64F5">
      <w:pPr>
        <w:pStyle w:val="ListParagraph"/>
        <w:spacing w:line="276" w:lineRule="auto"/>
        <w:rPr>
          <w:bCs/>
        </w:rPr>
      </w:pPr>
      <w:r w:rsidRPr="00CB13F7">
        <w:rPr>
          <w:bCs/>
        </w:rPr>
        <w:t>3.9. Perceptimi</w:t>
      </w:r>
      <w:r w:rsidR="00466028" w:rsidRPr="00CB13F7">
        <w:rPr>
          <w:bCs/>
        </w:rPr>
        <w:t xml:space="preserve"> i grupeve të interesit</w:t>
      </w:r>
      <w:r w:rsidR="00356E65" w:rsidRPr="00CB13F7">
        <w:rPr>
          <w:bCs/>
        </w:rPr>
        <w:t>.........................................................................</w:t>
      </w:r>
      <w:r w:rsidR="00C44CFF" w:rsidRPr="00CB13F7">
        <w:rPr>
          <w:bCs/>
        </w:rPr>
        <w:t>....</w:t>
      </w:r>
      <w:r w:rsidR="00356E65" w:rsidRPr="00CB13F7">
        <w:rPr>
          <w:bCs/>
        </w:rPr>
        <w:t xml:space="preserve"> 26</w:t>
      </w:r>
    </w:p>
    <w:p w14:paraId="0C2417DD" w14:textId="4BE4D732" w:rsidR="00466028" w:rsidRPr="00CB13F7" w:rsidRDefault="00466028" w:rsidP="008B64F5">
      <w:pPr>
        <w:spacing w:line="276" w:lineRule="auto"/>
        <w:rPr>
          <w:bCs/>
          <w:sz w:val="28"/>
          <w:szCs w:val="28"/>
        </w:rPr>
      </w:pPr>
      <w:r w:rsidRPr="00CB13F7">
        <w:rPr>
          <w:bCs/>
        </w:rPr>
        <w:t>4.</w:t>
      </w:r>
      <w:r w:rsidRPr="00CB13F7">
        <w:rPr>
          <w:bCs/>
        </w:rPr>
        <w:tab/>
      </w:r>
      <w:r w:rsidRPr="00CB13F7">
        <w:rPr>
          <w:bCs/>
          <w:sz w:val="22"/>
          <w:szCs w:val="22"/>
        </w:rPr>
        <w:t>QËLLIMI I POLITIKAVE DHE OBJEKTIVAT SPECIFIKË TË PKVPAK 2026-2030</w:t>
      </w:r>
      <w:r w:rsidR="00356E65" w:rsidRPr="00CB13F7">
        <w:rPr>
          <w:bCs/>
          <w:sz w:val="22"/>
          <w:szCs w:val="22"/>
        </w:rPr>
        <w:t>...</w:t>
      </w:r>
      <w:r w:rsidR="00C44CFF" w:rsidRPr="00CB13F7">
        <w:rPr>
          <w:bCs/>
          <w:sz w:val="22"/>
          <w:szCs w:val="22"/>
        </w:rPr>
        <w:t>.....</w:t>
      </w:r>
      <w:r w:rsidR="00356E65" w:rsidRPr="00CB13F7">
        <w:rPr>
          <w:bCs/>
        </w:rPr>
        <w:t>26</w:t>
      </w:r>
    </w:p>
    <w:p w14:paraId="5FB42E7C" w14:textId="5CFEDBC8" w:rsidR="00466028" w:rsidRPr="00CB13F7" w:rsidRDefault="00466028" w:rsidP="008B64F5">
      <w:pPr>
        <w:pStyle w:val="ListParagraph"/>
        <w:spacing w:line="276" w:lineRule="auto"/>
        <w:rPr>
          <w:bCs/>
        </w:rPr>
      </w:pPr>
      <w:r w:rsidRPr="00CB13F7">
        <w:rPr>
          <w:bCs/>
        </w:rPr>
        <w:t>4.1.</w:t>
      </w:r>
      <w:r w:rsidR="003D2B7A" w:rsidRPr="00CB13F7">
        <w:rPr>
          <w:bCs/>
        </w:rPr>
        <w:t xml:space="preserve"> </w:t>
      </w:r>
      <w:r w:rsidRPr="00CB13F7">
        <w:rPr>
          <w:bCs/>
        </w:rPr>
        <w:t>Aksesueshmëria</w:t>
      </w:r>
      <w:r w:rsidR="00356E65" w:rsidRPr="00CB13F7">
        <w:rPr>
          <w:bCs/>
        </w:rPr>
        <w:t xml:space="preserve"> .....................................................................</w:t>
      </w:r>
      <w:r w:rsidR="00D60394" w:rsidRPr="00CB13F7">
        <w:rPr>
          <w:bCs/>
        </w:rPr>
        <w:t>..........................</w:t>
      </w:r>
      <w:r w:rsidR="007B3320" w:rsidRPr="00CB13F7">
        <w:rPr>
          <w:bCs/>
        </w:rPr>
        <w:t>..</w:t>
      </w:r>
      <w:r w:rsidR="00C44CFF" w:rsidRPr="00CB13F7">
        <w:rPr>
          <w:bCs/>
        </w:rPr>
        <w:t>....</w:t>
      </w:r>
      <w:r w:rsidR="00D60394" w:rsidRPr="00CB13F7">
        <w:rPr>
          <w:bCs/>
        </w:rPr>
        <w:t xml:space="preserve"> 26</w:t>
      </w:r>
    </w:p>
    <w:p w14:paraId="1E68238A" w14:textId="18050AE1" w:rsidR="00466028" w:rsidRPr="00CB13F7" w:rsidRDefault="00466028" w:rsidP="00466028">
      <w:pPr>
        <w:pStyle w:val="ListParagraph"/>
        <w:spacing w:after="200" w:line="276" w:lineRule="auto"/>
        <w:rPr>
          <w:bCs/>
        </w:rPr>
      </w:pPr>
      <w:r w:rsidRPr="00CB13F7">
        <w:rPr>
          <w:bCs/>
        </w:rPr>
        <w:t>4.1.1.</w:t>
      </w:r>
      <w:r w:rsidR="003D2B7A" w:rsidRPr="00CB13F7">
        <w:rPr>
          <w:bCs/>
        </w:rPr>
        <w:t xml:space="preserve"> </w:t>
      </w:r>
      <w:r w:rsidRPr="00CB13F7">
        <w:rPr>
          <w:bCs/>
        </w:rPr>
        <w:t>Konteksti strategjik</w:t>
      </w:r>
      <w:r w:rsidR="00D60394" w:rsidRPr="00CB13F7">
        <w:rPr>
          <w:bCs/>
        </w:rPr>
        <w:t xml:space="preserve"> ....................................................................................... </w:t>
      </w:r>
      <w:r w:rsidR="007B3320" w:rsidRPr="00CB13F7">
        <w:rPr>
          <w:bCs/>
        </w:rPr>
        <w:t>.</w:t>
      </w:r>
      <w:r w:rsidR="00C44CFF" w:rsidRPr="00CB13F7">
        <w:rPr>
          <w:bCs/>
        </w:rPr>
        <w:t>....</w:t>
      </w:r>
      <w:r w:rsidR="007B3320" w:rsidRPr="00CB13F7">
        <w:rPr>
          <w:bCs/>
        </w:rPr>
        <w:t>.</w:t>
      </w:r>
      <w:r w:rsidR="00D60394" w:rsidRPr="00CB13F7">
        <w:rPr>
          <w:bCs/>
        </w:rPr>
        <w:t>26</w:t>
      </w:r>
    </w:p>
    <w:p w14:paraId="1C282C78" w14:textId="03476B16" w:rsidR="00466028" w:rsidRPr="00CB13F7" w:rsidRDefault="00466028" w:rsidP="00466028">
      <w:pPr>
        <w:pStyle w:val="ListParagraph"/>
        <w:spacing w:after="200" w:line="276" w:lineRule="auto"/>
        <w:rPr>
          <w:bCs/>
        </w:rPr>
      </w:pPr>
      <w:r w:rsidRPr="00CB13F7">
        <w:rPr>
          <w:bCs/>
        </w:rPr>
        <w:t>4.1.2. Qëllimi, objektivat dhe masat prioritare</w:t>
      </w:r>
      <w:r w:rsidR="00D60394" w:rsidRPr="00CB13F7">
        <w:rPr>
          <w:bCs/>
        </w:rPr>
        <w:t>........................................................</w:t>
      </w:r>
      <w:r w:rsidR="00C44CFF" w:rsidRPr="00CB13F7">
        <w:rPr>
          <w:bCs/>
        </w:rPr>
        <w:t>......</w:t>
      </w:r>
      <w:r w:rsidR="00D60394" w:rsidRPr="00CB13F7">
        <w:rPr>
          <w:bCs/>
        </w:rPr>
        <w:t xml:space="preserve"> 27</w:t>
      </w:r>
    </w:p>
    <w:p w14:paraId="4C3EA812" w14:textId="1E245414" w:rsidR="00466028" w:rsidRPr="00CB13F7" w:rsidRDefault="00466028" w:rsidP="00466028">
      <w:pPr>
        <w:pStyle w:val="ListParagraph"/>
        <w:spacing w:after="200" w:line="276" w:lineRule="auto"/>
        <w:rPr>
          <w:bCs/>
        </w:rPr>
      </w:pPr>
      <w:r w:rsidRPr="00CB13F7">
        <w:rPr>
          <w:bCs/>
        </w:rPr>
        <w:t>4.2. Aksesi në Drejtësi dhe Barazia para Ligjit</w:t>
      </w:r>
      <w:r w:rsidR="00D60394" w:rsidRPr="00CB13F7">
        <w:rPr>
          <w:bCs/>
        </w:rPr>
        <w:t>.......................................................</w:t>
      </w:r>
      <w:r w:rsidR="00C44CFF" w:rsidRPr="00CB13F7">
        <w:rPr>
          <w:bCs/>
        </w:rPr>
        <w:t>.....</w:t>
      </w:r>
      <w:r w:rsidR="00D60394" w:rsidRPr="00CB13F7">
        <w:rPr>
          <w:bCs/>
        </w:rPr>
        <w:t xml:space="preserve"> 34</w:t>
      </w:r>
    </w:p>
    <w:p w14:paraId="1AC2A863" w14:textId="4A96D869" w:rsidR="00466028" w:rsidRPr="00CB13F7" w:rsidRDefault="000E6121" w:rsidP="00466028">
      <w:pPr>
        <w:pStyle w:val="ListParagraph"/>
        <w:spacing w:after="200" w:line="276" w:lineRule="auto"/>
        <w:rPr>
          <w:bCs/>
        </w:rPr>
      </w:pPr>
      <w:r w:rsidRPr="00CB13F7">
        <w:rPr>
          <w:bCs/>
        </w:rPr>
        <w:t>4.2.1. Konteksti</w:t>
      </w:r>
      <w:r w:rsidR="00466028" w:rsidRPr="00CB13F7">
        <w:rPr>
          <w:bCs/>
        </w:rPr>
        <w:t xml:space="preserve"> strategjik</w:t>
      </w:r>
      <w:r w:rsidR="00D60394" w:rsidRPr="00CB13F7">
        <w:rPr>
          <w:bCs/>
        </w:rPr>
        <w:t xml:space="preserve"> ........................................................................................ </w:t>
      </w:r>
      <w:r w:rsidR="00C44CFF" w:rsidRPr="00CB13F7">
        <w:rPr>
          <w:bCs/>
        </w:rPr>
        <w:t>....</w:t>
      </w:r>
      <w:r w:rsidR="00D60394" w:rsidRPr="00CB13F7">
        <w:rPr>
          <w:bCs/>
        </w:rPr>
        <w:t>34</w:t>
      </w:r>
    </w:p>
    <w:p w14:paraId="38C29C62" w14:textId="009530DF" w:rsidR="00466028" w:rsidRPr="00CB13F7" w:rsidRDefault="00401571" w:rsidP="001A705C">
      <w:pPr>
        <w:pStyle w:val="ListParagraph"/>
        <w:spacing w:after="200" w:line="276" w:lineRule="auto"/>
        <w:rPr>
          <w:bCs/>
        </w:rPr>
      </w:pPr>
      <w:r w:rsidRPr="00CB13F7">
        <w:rPr>
          <w:bCs/>
        </w:rPr>
        <w:t>4.</w:t>
      </w:r>
      <w:r w:rsidR="003D2B7A" w:rsidRPr="00CB13F7">
        <w:rPr>
          <w:bCs/>
        </w:rPr>
        <w:t>2</w:t>
      </w:r>
      <w:r w:rsidRPr="00CB13F7">
        <w:rPr>
          <w:bCs/>
        </w:rPr>
        <w:t>.2. Qëllimi, objektivat dhe masat prioritare</w:t>
      </w:r>
      <w:r w:rsidR="00D60394" w:rsidRPr="00CB13F7">
        <w:rPr>
          <w:bCs/>
        </w:rPr>
        <w:t>........................................................</w:t>
      </w:r>
      <w:r w:rsidR="007B3320" w:rsidRPr="00CB13F7">
        <w:rPr>
          <w:bCs/>
        </w:rPr>
        <w:t>..</w:t>
      </w:r>
      <w:r w:rsidR="00C44CFF" w:rsidRPr="00CB13F7">
        <w:rPr>
          <w:bCs/>
        </w:rPr>
        <w:t>...</w:t>
      </w:r>
      <w:r w:rsidR="00D60394" w:rsidRPr="00CB13F7">
        <w:rPr>
          <w:bCs/>
        </w:rPr>
        <w:t xml:space="preserve"> 35</w:t>
      </w:r>
    </w:p>
    <w:p w14:paraId="1CF61AD8" w14:textId="50F976E8" w:rsidR="00401571" w:rsidRPr="00CB13F7" w:rsidRDefault="00401571" w:rsidP="00401571">
      <w:pPr>
        <w:pStyle w:val="ListParagraph"/>
        <w:spacing w:after="200" w:line="276" w:lineRule="auto"/>
        <w:rPr>
          <w:bCs/>
        </w:rPr>
      </w:pPr>
      <w:r w:rsidRPr="00CB13F7">
        <w:rPr>
          <w:bCs/>
        </w:rPr>
        <w:t>4.3. Punësimi dhe Aftësimi</w:t>
      </w:r>
      <w:r w:rsidR="00D60394" w:rsidRPr="00CB13F7">
        <w:rPr>
          <w:bCs/>
        </w:rPr>
        <w:t xml:space="preserve"> ..................................................................................... </w:t>
      </w:r>
      <w:r w:rsidR="00C44CFF" w:rsidRPr="00CB13F7">
        <w:rPr>
          <w:bCs/>
        </w:rPr>
        <w:t>....</w:t>
      </w:r>
      <w:r w:rsidR="00D60394" w:rsidRPr="00CB13F7">
        <w:rPr>
          <w:bCs/>
        </w:rPr>
        <w:t>39</w:t>
      </w:r>
    </w:p>
    <w:p w14:paraId="28708FA3" w14:textId="4D1AA2B6" w:rsidR="00466028" w:rsidRPr="00CB13F7" w:rsidRDefault="00401571" w:rsidP="00401571">
      <w:pPr>
        <w:pStyle w:val="ListParagraph"/>
        <w:spacing w:after="200" w:line="276" w:lineRule="auto"/>
        <w:rPr>
          <w:bCs/>
        </w:rPr>
      </w:pPr>
      <w:r w:rsidRPr="00CB13F7">
        <w:rPr>
          <w:bCs/>
        </w:rPr>
        <w:t>4.3.1.</w:t>
      </w:r>
      <w:r w:rsidR="003D2B7A" w:rsidRPr="00CB13F7">
        <w:rPr>
          <w:bCs/>
        </w:rPr>
        <w:t xml:space="preserve"> </w:t>
      </w:r>
      <w:r w:rsidRPr="00CB13F7">
        <w:rPr>
          <w:bCs/>
        </w:rPr>
        <w:t>Konteksti strategjik</w:t>
      </w:r>
      <w:r w:rsidR="00D60394" w:rsidRPr="00CB13F7">
        <w:rPr>
          <w:bCs/>
        </w:rPr>
        <w:t>........................................................................................</w:t>
      </w:r>
      <w:r w:rsidR="00C44CFF" w:rsidRPr="00CB13F7">
        <w:rPr>
          <w:bCs/>
        </w:rPr>
        <w:t>....</w:t>
      </w:r>
      <w:r w:rsidR="00D60394" w:rsidRPr="00CB13F7">
        <w:rPr>
          <w:bCs/>
        </w:rPr>
        <w:t xml:space="preserve"> 39</w:t>
      </w:r>
    </w:p>
    <w:p w14:paraId="0143186A" w14:textId="308489F0" w:rsidR="00401571" w:rsidRPr="00CB13F7" w:rsidRDefault="000E6121" w:rsidP="001A705C">
      <w:pPr>
        <w:pStyle w:val="ListParagraph"/>
        <w:spacing w:after="200" w:line="276" w:lineRule="auto"/>
        <w:rPr>
          <w:bCs/>
        </w:rPr>
      </w:pPr>
      <w:r w:rsidRPr="00CB13F7">
        <w:rPr>
          <w:bCs/>
        </w:rPr>
        <w:t>4.3.2. Qëllimi</w:t>
      </w:r>
      <w:r w:rsidR="00401571" w:rsidRPr="00CB13F7">
        <w:rPr>
          <w:bCs/>
        </w:rPr>
        <w:t>, objektivat dhe masat prioritare</w:t>
      </w:r>
      <w:r w:rsidR="00D60394" w:rsidRPr="00CB13F7">
        <w:rPr>
          <w:bCs/>
        </w:rPr>
        <w:t xml:space="preserve"> ........................................................ </w:t>
      </w:r>
      <w:r w:rsidR="00C44CFF" w:rsidRPr="00CB13F7">
        <w:rPr>
          <w:bCs/>
        </w:rPr>
        <w:t>...</w:t>
      </w:r>
      <w:r w:rsidR="00D60394" w:rsidRPr="00CB13F7">
        <w:rPr>
          <w:bCs/>
        </w:rPr>
        <w:t>41</w:t>
      </w:r>
    </w:p>
    <w:p w14:paraId="060C56D4" w14:textId="5F13809C" w:rsidR="00401571" w:rsidRPr="00CB13F7" w:rsidRDefault="000E6121" w:rsidP="00401571">
      <w:pPr>
        <w:pStyle w:val="ListParagraph"/>
        <w:spacing w:after="200" w:line="276" w:lineRule="auto"/>
        <w:rPr>
          <w:bCs/>
        </w:rPr>
      </w:pPr>
      <w:r w:rsidRPr="00CB13F7">
        <w:rPr>
          <w:bCs/>
        </w:rPr>
        <w:t>4.4. Arsimi</w:t>
      </w:r>
      <w:r w:rsidR="00D60394" w:rsidRPr="00CB13F7">
        <w:rPr>
          <w:bCs/>
        </w:rPr>
        <w:t xml:space="preserve">................................................................................................................. </w:t>
      </w:r>
      <w:r w:rsidR="00C44CFF" w:rsidRPr="00CB13F7">
        <w:rPr>
          <w:bCs/>
        </w:rPr>
        <w:t>..</w:t>
      </w:r>
      <w:r w:rsidR="00D60394" w:rsidRPr="00CB13F7">
        <w:rPr>
          <w:bCs/>
        </w:rPr>
        <w:t>45</w:t>
      </w:r>
    </w:p>
    <w:p w14:paraId="226BBEF6" w14:textId="7EF47F24" w:rsidR="00401571" w:rsidRPr="00CB13F7" w:rsidRDefault="000E6121" w:rsidP="00401571">
      <w:pPr>
        <w:pStyle w:val="ListParagraph"/>
        <w:spacing w:after="200" w:line="276" w:lineRule="auto"/>
        <w:rPr>
          <w:bCs/>
        </w:rPr>
      </w:pPr>
      <w:r w:rsidRPr="00CB13F7">
        <w:rPr>
          <w:bCs/>
        </w:rPr>
        <w:t>4.4.1. Konteksti</w:t>
      </w:r>
      <w:r w:rsidR="00401571" w:rsidRPr="00CB13F7">
        <w:rPr>
          <w:bCs/>
        </w:rPr>
        <w:t xml:space="preserve"> strategjik</w:t>
      </w:r>
      <w:r w:rsidR="00D60394" w:rsidRPr="00CB13F7">
        <w:rPr>
          <w:bCs/>
        </w:rPr>
        <w:t>..........................................................................................</w:t>
      </w:r>
      <w:r w:rsidR="00C44CFF" w:rsidRPr="00CB13F7">
        <w:rPr>
          <w:bCs/>
        </w:rPr>
        <w:t>...</w:t>
      </w:r>
      <w:r w:rsidR="00D60394" w:rsidRPr="00CB13F7">
        <w:rPr>
          <w:bCs/>
        </w:rPr>
        <w:t>45</w:t>
      </w:r>
    </w:p>
    <w:p w14:paraId="1A89AE56" w14:textId="3A9426F7" w:rsidR="00401571" w:rsidRPr="00CB13F7" w:rsidRDefault="00401571" w:rsidP="001A705C">
      <w:pPr>
        <w:pStyle w:val="ListParagraph"/>
        <w:spacing w:after="200" w:line="276" w:lineRule="auto"/>
        <w:rPr>
          <w:bCs/>
        </w:rPr>
      </w:pPr>
      <w:r w:rsidRPr="00CB13F7">
        <w:rPr>
          <w:bCs/>
        </w:rPr>
        <w:t>4.4.2. Qëllimi, objektivat dhe masat prioritare</w:t>
      </w:r>
      <w:r w:rsidR="00D60394" w:rsidRPr="00CB13F7">
        <w:rPr>
          <w:bCs/>
        </w:rPr>
        <w:t xml:space="preserve"> ........................................................</w:t>
      </w:r>
      <w:r w:rsidR="00C44CFF" w:rsidRPr="00CB13F7">
        <w:rPr>
          <w:bCs/>
        </w:rPr>
        <w:t>....</w:t>
      </w:r>
      <w:r w:rsidR="00D60394" w:rsidRPr="00CB13F7">
        <w:rPr>
          <w:bCs/>
        </w:rPr>
        <w:t>46</w:t>
      </w:r>
    </w:p>
    <w:p w14:paraId="2EF1D599" w14:textId="49E90597" w:rsidR="00401571" w:rsidRPr="00CB13F7" w:rsidRDefault="00401571" w:rsidP="00401571">
      <w:pPr>
        <w:pStyle w:val="ListParagraph"/>
        <w:spacing w:after="200" w:line="276" w:lineRule="auto"/>
        <w:rPr>
          <w:bCs/>
        </w:rPr>
      </w:pPr>
      <w:r w:rsidRPr="00CB13F7">
        <w:rPr>
          <w:bCs/>
        </w:rPr>
        <w:t>4.5. Mbrojtja Sociale</w:t>
      </w:r>
      <w:r w:rsidR="00D60394" w:rsidRPr="00CB13F7">
        <w:rPr>
          <w:bCs/>
        </w:rPr>
        <w:t>................................................................................................</w:t>
      </w:r>
      <w:r w:rsidR="00C44CFF" w:rsidRPr="00CB13F7">
        <w:rPr>
          <w:bCs/>
        </w:rPr>
        <w:t>...</w:t>
      </w:r>
      <w:r w:rsidR="00D60394" w:rsidRPr="00CB13F7">
        <w:rPr>
          <w:bCs/>
        </w:rPr>
        <w:t>.49</w:t>
      </w:r>
    </w:p>
    <w:p w14:paraId="0E9C2132" w14:textId="6F8F7E0E" w:rsidR="00401571" w:rsidRPr="00CB13F7" w:rsidRDefault="00401571" w:rsidP="00401571">
      <w:pPr>
        <w:pStyle w:val="ListParagraph"/>
        <w:spacing w:after="200" w:line="276" w:lineRule="auto"/>
        <w:rPr>
          <w:bCs/>
        </w:rPr>
      </w:pPr>
      <w:r w:rsidRPr="00CB13F7">
        <w:rPr>
          <w:bCs/>
        </w:rPr>
        <w:t>4.5.1. Korniza strategjike</w:t>
      </w:r>
      <w:r w:rsidR="00D60394" w:rsidRPr="00CB13F7">
        <w:rPr>
          <w:bCs/>
        </w:rPr>
        <w:t>..........................................................................................</w:t>
      </w:r>
      <w:r w:rsidR="00C44CFF" w:rsidRPr="00CB13F7">
        <w:rPr>
          <w:bCs/>
        </w:rPr>
        <w:t>...</w:t>
      </w:r>
      <w:r w:rsidR="00D60394" w:rsidRPr="00CB13F7">
        <w:rPr>
          <w:bCs/>
        </w:rPr>
        <w:t>49</w:t>
      </w:r>
    </w:p>
    <w:p w14:paraId="16B22564" w14:textId="337EF4F8" w:rsidR="00401571" w:rsidRPr="00CB13F7" w:rsidRDefault="00401571" w:rsidP="00401571">
      <w:pPr>
        <w:pStyle w:val="ListParagraph"/>
        <w:spacing w:after="200" w:line="276" w:lineRule="auto"/>
        <w:rPr>
          <w:bCs/>
        </w:rPr>
      </w:pPr>
      <w:r w:rsidRPr="00CB13F7">
        <w:rPr>
          <w:bCs/>
        </w:rPr>
        <w:t>4.5.2. Qëllimi, objektivat dhe masat prioritare</w:t>
      </w:r>
      <w:r w:rsidR="00D60394" w:rsidRPr="00CB13F7">
        <w:rPr>
          <w:bCs/>
        </w:rPr>
        <w:t>.........................................................</w:t>
      </w:r>
      <w:r w:rsidR="00C44CFF" w:rsidRPr="00CB13F7">
        <w:rPr>
          <w:bCs/>
        </w:rPr>
        <w:t>...</w:t>
      </w:r>
      <w:r w:rsidR="00D60394" w:rsidRPr="00CB13F7">
        <w:rPr>
          <w:bCs/>
        </w:rPr>
        <w:t>51</w:t>
      </w:r>
    </w:p>
    <w:p w14:paraId="4B511B39" w14:textId="77777777" w:rsidR="00401571" w:rsidRPr="00CB13F7" w:rsidRDefault="00401571" w:rsidP="00401571">
      <w:pPr>
        <w:pStyle w:val="ListParagraph"/>
        <w:spacing w:after="200" w:line="276" w:lineRule="auto"/>
        <w:rPr>
          <w:bCs/>
        </w:rPr>
      </w:pPr>
      <w:r w:rsidRPr="00CB13F7">
        <w:rPr>
          <w:bCs/>
        </w:rPr>
        <w:lastRenderedPageBreak/>
        <w:t>4.6. Shëndetësia</w:t>
      </w:r>
      <w:r w:rsidR="00D60394" w:rsidRPr="00CB13F7">
        <w:rPr>
          <w:bCs/>
        </w:rPr>
        <w:t>...................................................................................................... 59</w:t>
      </w:r>
      <w:r w:rsidRPr="00CB13F7">
        <w:rPr>
          <w:bCs/>
        </w:rPr>
        <w:t xml:space="preserve"> </w:t>
      </w:r>
    </w:p>
    <w:p w14:paraId="018E2A26" w14:textId="4D92CF2F" w:rsidR="00401571" w:rsidRPr="00CB13F7" w:rsidRDefault="000E6121" w:rsidP="00401571">
      <w:pPr>
        <w:pStyle w:val="ListParagraph"/>
        <w:spacing w:after="200" w:line="276" w:lineRule="auto"/>
        <w:rPr>
          <w:bCs/>
        </w:rPr>
      </w:pPr>
      <w:r w:rsidRPr="00CB13F7">
        <w:rPr>
          <w:bCs/>
        </w:rPr>
        <w:t>4.6.1. Korniza</w:t>
      </w:r>
      <w:r w:rsidR="00401571" w:rsidRPr="00CB13F7">
        <w:rPr>
          <w:bCs/>
        </w:rPr>
        <w:t xml:space="preserve"> Strategjike</w:t>
      </w:r>
      <w:r w:rsidR="00D60394" w:rsidRPr="00CB13F7">
        <w:rPr>
          <w:bCs/>
        </w:rPr>
        <w:t>........................................................................................59</w:t>
      </w:r>
    </w:p>
    <w:p w14:paraId="45F393CD" w14:textId="77777777" w:rsidR="00466028" w:rsidRPr="00CB13F7" w:rsidRDefault="000E6121" w:rsidP="00466028">
      <w:pPr>
        <w:pStyle w:val="ListParagraph"/>
        <w:spacing w:after="200" w:line="276" w:lineRule="auto"/>
        <w:rPr>
          <w:bCs/>
        </w:rPr>
      </w:pPr>
      <w:r w:rsidRPr="00CB13F7">
        <w:rPr>
          <w:bCs/>
        </w:rPr>
        <w:t>4.6.2. Qëllimi</w:t>
      </w:r>
      <w:r w:rsidR="00401571" w:rsidRPr="00CB13F7">
        <w:rPr>
          <w:bCs/>
        </w:rPr>
        <w:t>, objektivat dhe masat prioritare</w:t>
      </w:r>
      <w:r w:rsidR="00D60394" w:rsidRPr="00CB13F7">
        <w:rPr>
          <w:bCs/>
        </w:rPr>
        <w:t>........................................................ 61</w:t>
      </w:r>
    </w:p>
    <w:p w14:paraId="2C79E875" w14:textId="77777777" w:rsidR="00401571" w:rsidRPr="00CB13F7" w:rsidRDefault="000E6121" w:rsidP="00401571">
      <w:pPr>
        <w:pStyle w:val="ListParagraph"/>
        <w:spacing w:after="200" w:line="276" w:lineRule="auto"/>
        <w:rPr>
          <w:bCs/>
        </w:rPr>
      </w:pPr>
      <w:r w:rsidRPr="00CB13F7">
        <w:rPr>
          <w:bCs/>
        </w:rPr>
        <w:t>4.7. Përfshirja</w:t>
      </w:r>
      <w:r w:rsidR="00401571" w:rsidRPr="00CB13F7">
        <w:rPr>
          <w:bCs/>
        </w:rPr>
        <w:t xml:space="preserve"> në jetën publike dhe politike </w:t>
      </w:r>
      <w:r w:rsidR="00D60394" w:rsidRPr="00CB13F7">
        <w:rPr>
          <w:bCs/>
        </w:rPr>
        <w:t>........................................................... 64</w:t>
      </w:r>
    </w:p>
    <w:p w14:paraId="5BD78C4C" w14:textId="77777777" w:rsidR="00466028" w:rsidRPr="00CB13F7" w:rsidRDefault="000E6121" w:rsidP="00401571">
      <w:pPr>
        <w:pStyle w:val="ListParagraph"/>
        <w:spacing w:after="200" w:line="276" w:lineRule="auto"/>
        <w:rPr>
          <w:bCs/>
        </w:rPr>
      </w:pPr>
      <w:r w:rsidRPr="00CB13F7">
        <w:rPr>
          <w:bCs/>
        </w:rPr>
        <w:t>4.7.1. Korniza</w:t>
      </w:r>
      <w:r w:rsidR="00401571" w:rsidRPr="00CB13F7">
        <w:rPr>
          <w:bCs/>
        </w:rPr>
        <w:t xml:space="preserve"> strategjike</w:t>
      </w:r>
      <w:r w:rsidR="00D60394" w:rsidRPr="00CB13F7">
        <w:rPr>
          <w:bCs/>
        </w:rPr>
        <w:t>........................................................................................ 64</w:t>
      </w:r>
    </w:p>
    <w:p w14:paraId="772E177F" w14:textId="14231106" w:rsidR="00401571" w:rsidRPr="00CB13F7" w:rsidRDefault="000E6121" w:rsidP="00401571">
      <w:pPr>
        <w:pStyle w:val="ListParagraph"/>
        <w:spacing w:after="200" w:line="276" w:lineRule="auto"/>
        <w:rPr>
          <w:bCs/>
        </w:rPr>
      </w:pPr>
      <w:r w:rsidRPr="00CB13F7">
        <w:rPr>
          <w:bCs/>
        </w:rPr>
        <w:t>4.7.2. Qëllimi</w:t>
      </w:r>
      <w:r w:rsidR="00401571" w:rsidRPr="00CB13F7">
        <w:rPr>
          <w:bCs/>
        </w:rPr>
        <w:t>, objektivat dhe masat prioritare</w:t>
      </w:r>
      <w:r w:rsidR="00D60394" w:rsidRPr="00CB13F7">
        <w:rPr>
          <w:bCs/>
        </w:rPr>
        <w:t>........................................................65</w:t>
      </w:r>
    </w:p>
    <w:p w14:paraId="3E4865D0" w14:textId="2050C994" w:rsidR="00401571" w:rsidRPr="00CB13F7" w:rsidRDefault="00401571" w:rsidP="00401571">
      <w:pPr>
        <w:pStyle w:val="ListParagraph"/>
        <w:spacing w:after="200" w:line="276" w:lineRule="auto"/>
        <w:rPr>
          <w:bCs/>
        </w:rPr>
      </w:pPr>
      <w:r w:rsidRPr="00CB13F7">
        <w:rPr>
          <w:bCs/>
        </w:rPr>
        <w:t xml:space="preserve">4.8. Bashkëpunimi dhe Koordinimi Ndërinstitucional </w:t>
      </w:r>
      <w:r w:rsidR="00D60394" w:rsidRPr="00CB13F7">
        <w:rPr>
          <w:bCs/>
        </w:rPr>
        <w:t>.........................................</w:t>
      </w:r>
      <w:r w:rsidR="007B3320" w:rsidRPr="00CB13F7">
        <w:rPr>
          <w:bCs/>
        </w:rPr>
        <w:t>..</w:t>
      </w:r>
      <w:r w:rsidR="00D60394" w:rsidRPr="00CB13F7">
        <w:rPr>
          <w:bCs/>
        </w:rPr>
        <w:t>67</w:t>
      </w:r>
    </w:p>
    <w:p w14:paraId="7A76AE02" w14:textId="77777777" w:rsidR="00401571" w:rsidRPr="00CB13F7" w:rsidRDefault="000E6121" w:rsidP="00401571">
      <w:pPr>
        <w:pStyle w:val="ListParagraph"/>
        <w:spacing w:after="200" w:line="276" w:lineRule="auto"/>
        <w:rPr>
          <w:bCs/>
        </w:rPr>
      </w:pPr>
      <w:r w:rsidRPr="00CB13F7">
        <w:rPr>
          <w:bCs/>
        </w:rPr>
        <w:t>4.8.1. Korniza</w:t>
      </w:r>
      <w:r w:rsidR="00401571" w:rsidRPr="00CB13F7">
        <w:rPr>
          <w:bCs/>
        </w:rPr>
        <w:t xml:space="preserve"> Strategjike</w:t>
      </w:r>
      <w:r w:rsidR="00D60394" w:rsidRPr="00CB13F7">
        <w:rPr>
          <w:bCs/>
        </w:rPr>
        <w:t>.......................................................................................</w:t>
      </w:r>
      <w:r w:rsidR="001003EF" w:rsidRPr="00CB13F7">
        <w:rPr>
          <w:bCs/>
        </w:rPr>
        <w:t xml:space="preserve"> 67</w:t>
      </w:r>
    </w:p>
    <w:p w14:paraId="35FE6D93" w14:textId="77777777" w:rsidR="00401571" w:rsidRPr="00CB13F7" w:rsidRDefault="000E6121" w:rsidP="008B64F5">
      <w:pPr>
        <w:pStyle w:val="ListParagraph"/>
        <w:rPr>
          <w:bCs/>
        </w:rPr>
      </w:pPr>
      <w:r w:rsidRPr="00CB13F7">
        <w:rPr>
          <w:bCs/>
        </w:rPr>
        <w:t>4.8.2. Qëllimi</w:t>
      </w:r>
      <w:r w:rsidR="00401571" w:rsidRPr="00CB13F7">
        <w:rPr>
          <w:bCs/>
        </w:rPr>
        <w:t>, objektivat dhe masat prioritare</w:t>
      </w:r>
      <w:r w:rsidR="001003EF" w:rsidRPr="00CB13F7">
        <w:rPr>
          <w:bCs/>
        </w:rPr>
        <w:t>....................................................... 68</w:t>
      </w:r>
    </w:p>
    <w:p w14:paraId="7CBE7AFD" w14:textId="7E17D19B" w:rsidR="00401571" w:rsidRPr="00CB13F7" w:rsidRDefault="00401571" w:rsidP="008B64F5">
      <w:pPr>
        <w:pStyle w:val="ListParagraph"/>
        <w:ind w:hanging="450"/>
        <w:rPr>
          <w:bCs/>
        </w:rPr>
      </w:pPr>
      <w:r w:rsidRPr="00CB13F7">
        <w:rPr>
          <w:bCs/>
        </w:rPr>
        <w:t>5.</w:t>
      </w:r>
      <w:r w:rsidR="001A705C" w:rsidRPr="00CB13F7">
        <w:rPr>
          <w:bCs/>
        </w:rPr>
        <w:t xml:space="preserve"> </w:t>
      </w:r>
      <w:r w:rsidRPr="00CB13F7">
        <w:rPr>
          <w:bCs/>
        </w:rPr>
        <w:t>ZBATIMI, PËRGJEGJËSIA E INSTITUCIONEVE, LLOGARIDHËNIA, RAPORTIMI DHE MONITORIMI</w:t>
      </w:r>
      <w:r w:rsidR="00772D75" w:rsidRPr="00CB13F7">
        <w:rPr>
          <w:bCs/>
        </w:rPr>
        <w:t xml:space="preserve">............................................................................................. </w:t>
      </w:r>
      <w:r w:rsidR="007B3320" w:rsidRPr="00CB13F7">
        <w:rPr>
          <w:bCs/>
        </w:rPr>
        <w:t>..</w:t>
      </w:r>
      <w:r w:rsidR="00772D75" w:rsidRPr="00CB13F7">
        <w:rPr>
          <w:bCs/>
        </w:rPr>
        <w:t>73</w:t>
      </w:r>
    </w:p>
    <w:p w14:paraId="32812CE7" w14:textId="565207A9" w:rsidR="00401571" w:rsidRPr="00CB13F7" w:rsidRDefault="00401571" w:rsidP="00401571">
      <w:pPr>
        <w:pStyle w:val="ListParagraph"/>
        <w:spacing w:after="200" w:line="276" w:lineRule="auto"/>
        <w:rPr>
          <w:bCs/>
        </w:rPr>
      </w:pPr>
      <w:r w:rsidRPr="00CB13F7">
        <w:rPr>
          <w:bCs/>
        </w:rPr>
        <w:t>5.1 Përgjegjësia e institucioneve</w:t>
      </w:r>
      <w:r w:rsidR="00772D75" w:rsidRPr="00CB13F7">
        <w:rPr>
          <w:bCs/>
        </w:rPr>
        <w:t>...........................................................................</w:t>
      </w:r>
      <w:r w:rsidR="007B3320" w:rsidRPr="00CB13F7">
        <w:rPr>
          <w:bCs/>
        </w:rPr>
        <w:t>...</w:t>
      </w:r>
      <w:r w:rsidR="00772D75" w:rsidRPr="00CB13F7">
        <w:rPr>
          <w:bCs/>
        </w:rPr>
        <w:t>73</w:t>
      </w:r>
    </w:p>
    <w:p w14:paraId="20A47076" w14:textId="23FCB085" w:rsidR="00401571" w:rsidRPr="00CB13F7" w:rsidRDefault="00401571" w:rsidP="00401571">
      <w:pPr>
        <w:pStyle w:val="ListParagraph"/>
        <w:spacing w:after="200" w:line="276" w:lineRule="auto"/>
        <w:rPr>
          <w:bCs/>
        </w:rPr>
      </w:pPr>
      <w:r w:rsidRPr="00CB13F7">
        <w:rPr>
          <w:bCs/>
        </w:rPr>
        <w:t>5.2 Raportimi dhe Monitorimi</w:t>
      </w:r>
      <w:r w:rsidR="00772D75" w:rsidRPr="00CB13F7">
        <w:rPr>
          <w:bCs/>
        </w:rPr>
        <w:t>...............................................................................</w:t>
      </w:r>
      <w:r w:rsidR="007B3320" w:rsidRPr="00CB13F7">
        <w:rPr>
          <w:bCs/>
        </w:rPr>
        <w:t>..</w:t>
      </w:r>
      <w:r w:rsidR="00772D75" w:rsidRPr="00CB13F7">
        <w:rPr>
          <w:bCs/>
        </w:rPr>
        <w:t>74</w:t>
      </w:r>
    </w:p>
    <w:p w14:paraId="5F7B30D6" w14:textId="70E6B935" w:rsidR="00401571" w:rsidRPr="00CB13F7" w:rsidRDefault="00401571" w:rsidP="008B64F5">
      <w:pPr>
        <w:pStyle w:val="ListParagraph"/>
        <w:spacing w:after="200" w:line="276" w:lineRule="auto"/>
        <w:ind w:hanging="360"/>
        <w:rPr>
          <w:bCs/>
        </w:rPr>
      </w:pPr>
      <w:r w:rsidRPr="00CB13F7">
        <w:rPr>
          <w:bCs/>
        </w:rPr>
        <w:t>6. INDIKATORET</w:t>
      </w:r>
      <w:r w:rsidR="00772D75" w:rsidRPr="00CB13F7">
        <w:rPr>
          <w:bCs/>
        </w:rPr>
        <w:t xml:space="preserve"> ..................................................................................................... </w:t>
      </w:r>
      <w:r w:rsidR="007B3320" w:rsidRPr="00CB13F7">
        <w:rPr>
          <w:bCs/>
        </w:rPr>
        <w:t>..</w:t>
      </w:r>
      <w:r w:rsidR="00772D75" w:rsidRPr="00CB13F7">
        <w:rPr>
          <w:bCs/>
        </w:rPr>
        <w:t>75</w:t>
      </w:r>
    </w:p>
    <w:p w14:paraId="140D7702" w14:textId="77777777" w:rsidR="00401571" w:rsidRPr="00CB13F7" w:rsidRDefault="000E6121" w:rsidP="00401571">
      <w:pPr>
        <w:pStyle w:val="ListParagraph"/>
        <w:spacing w:after="200" w:line="276" w:lineRule="auto"/>
        <w:rPr>
          <w:bCs/>
        </w:rPr>
      </w:pPr>
      <w:r w:rsidRPr="00CB13F7">
        <w:rPr>
          <w:bCs/>
        </w:rPr>
        <w:t>6.1. Aksesueshmëria</w:t>
      </w:r>
      <w:r w:rsidR="00772D75" w:rsidRPr="00CB13F7">
        <w:rPr>
          <w:bCs/>
        </w:rPr>
        <w:t>................................................................................................75</w:t>
      </w:r>
    </w:p>
    <w:p w14:paraId="639B4577" w14:textId="19448910" w:rsidR="00401571" w:rsidRPr="00CB13F7" w:rsidRDefault="000E6121" w:rsidP="00401571">
      <w:pPr>
        <w:pStyle w:val="ListParagraph"/>
        <w:spacing w:after="200" w:line="276" w:lineRule="auto"/>
        <w:rPr>
          <w:bCs/>
        </w:rPr>
      </w:pPr>
      <w:r w:rsidRPr="00CB13F7">
        <w:rPr>
          <w:bCs/>
        </w:rPr>
        <w:t>6.2. Aksesi</w:t>
      </w:r>
      <w:r w:rsidR="00401571" w:rsidRPr="00CB13F7">
        <w:rPr>
          <w:bCs/>
        </w:rPr>
        <w:t xml:space="preserve"> në Drejtësi dhe Barazia para Ligjit</w:t>
      </w:r>
      <w:r w:rsidR="00772D75" w:rsidRPr="00CB13F7">
        <w:rPr>
          <w:bCs/>
        </w:rPr>
        <w:t>.......................................................81</w:t>
      </w:r>
    </w:p>
    <w:p w14:paraId="56C4D9D8" w14:textId="77777777" w:rsidR="00401571" w:rsidRPr="00CB13F7" w:rsidRDefault="000E6121" w:rsidP="00401571">
      <w:pPr>
        <w:pStyle w:val="ListParagraph"/>
        <w:spacing w:after="200" w:line="276" w:lineRule="auto"/>
        <w:rPr>
          <w:bCs/>
        </w:rPr>
      </w:pPr>
      <w:r w:rsidRPr="00CB13F7">
        <w:rPr>
          <w:bCs/>
        </w:rPr>
        <w:t>6.3. Punësimi</w:t>
      </w:r>
      <w:r w:rsidR="00401571" w:rsidRPr="00CB13F7">
        <w:rPr>
          <w:bCs/>
        </w:rPr>
        <w:t xml:space="preserve"> dhe Aftësimi</w:t>
      </w:r>
      <w:r w:rsidR="00772D75" w:rsidRPr="00CB13F7">
        <w:rPr>
          <w:bCs/>
        </w:rPr>
        <w:t>.....................................................................................86</w:t>
      </w:r>
    </w:p>
    <w:p w14:paraId="58E617B9" w14:textId="77777777" w:rsidR="00401571" w:rsidRPr="00CB13F7" w:rsidRDefault="000E6121" w:rsidP="00401571">
      <w:pPr>
        <w:pStyle w:val="ListParagraph"/>
        <w:spacing w:after="200" w:line="276" w:lineRule="auto"/>
        <w:rPr>
          <w:bCs/>
        </w:rPr>
      </w:pPr>
      <w:r w:rsidRPr="00CB13F7">
        <w:rPr>
          <w:bCs/>
        </w:rPr>
        <w:t>6.4. Arsimi</w:t>
      </w:r>
      <w:r w:rsidR="00772D75" w:rsidRPr="00CB13F7">
        <w:rPr>
          <w:bCs/>
        </w:rPr>
        <w:t>...............................................................................................................90</w:t>
      </w:r>
    </w:p>
    <w:p w14:paraId="0E28EF66" w14:textId="77777777" w:rsidR="00401571" w:rsidRPr="00CB13F7" w:rsidRDefault="000E6121" w:rsidP="00401571">
      <w:pPr>
        <w:pStyle w:val="ListParagraph"/>
        <w:spacing w:after="200" w:line="276" w:lineRule="auto"/>
        <w:rPr>
          <w:bCs/>
        </w:rPr>
      </w:pPr>
      <w:r w:rsidRPr="00CB13F7">
        <w:rPr>
          <w:bCs/>
        </w:rPr>
        <w:t>6.5. Mbrojtja</w:t>
      </w:r>
      <w:r w:rsidR="00401571" w:rsidRPr="00CB13F7">
        <w:rPr>
          <w:bCs/>
        </w:rPr>
        <w:t xml:space="preserve"> Sociale</w:t>
      </w:r>
      <w:r w:rsidR="00772D75" w:rsidRPr="00CB13F7">
        <w:rPr>
          <w:bCs/>
        </w:rPr>
        <w:t xml:space="preserve"> ..............................................................................................95</w:t>
      </w:r>
    </w:p>
    <w:p w14:paraId="5374D1B4" w14:textId="77777777" w:rsidR="00401571" w:rsidRPr="00CB13F7" w:rsidRDefault="000E6121" w:rsidP="00401571">
      <w:pPr>
        <w:pStyle w:val="ListParagraph"/>
        <w:spacing w:after="200" w:line="276" w:lineRule="auto"/>
        <w:rPr>
          <w:bCs/>
        </w:rPr>
      </w:pPr>
      <w:r w:rsidRPr="00CB13F7">
        <w:rPr>
          <w:bCs/>
        </w:rPr>
        <w:t>6.6. Shëndetësia</w:t>
      </w:r>
      <w:r w:rsidR="00772D75" w:rsidRPr="00CB13F7">
        <w:rPr>
          <w:bCs/>
        </w:rPr>
        <w:t>.....................................................................................................101</w:t>
      </w:r>
    </w:p>
    <w:p w14:paraId="439DC254" w14:textId="77777777" w:rsidR="00401571" w:rsidRPr="00CB13F7" w:rsidRDefault="000E6121" w:rsidP="00401571">
      <w:pPr>
        <w:pStyle w:val="ListParagraph"/>
        <w:spacing w:after="200" w:line="276" w:lineRule="auto"/>
        <w:rPr>
          <w:bCs/>
        </w:rPr>
      </w:pPr>
      <w:r w:rsidRPr="00CB13F7">
        <w:rPr>
          <w:bCs/>
        </w:rPr>
        <w:t>6.7. Pjesëmarrja</w:t>
      </w:r>
      <w:r w:rsidR="00772D75" w:rsidRPr="00CB13F7">
        <w:rPr>
          <w:bCs/>
        </w:rPr>
        <w:t xml:space="preserve"> ....................................................................................................104</w:t>
      </w:r>
    </w:p>
    <w:p w14:paraId="1634E57D" w14:textId="77777777" w:rsidR="00401571" w:rsidRPr="00CB13F7" w:rsidRDefault="000E6121" w:rsidP="00401571">
      <w:pPr>
        <w:pStyle w:val="ListParagraph"/>
        <w:spacing w:after="200" w:line="276" w:lineRule="auto"/>
        <w:rPr>
          <w:bCs/>
        </w:rPr>
      </w:pPr>
      <w:r w:rsidRPr="00CB13F7">
        <w:rPr>
          <w:bCs/>
        </w:rPr>
        <w:t>6.8. Bashkëpunimi</w:t>
      </w:r>
      <w:r w:rsidR="00772D75" w:rsidRPr="00CB13F7">
        <w:rPr>
          <w:bCs/>
        </w:rPr>
        <w:t>.................................................................................................106</w:t>
      </w:r>
    </w:p>
    <w:p w14:paraId="06549F24" w14:textId="77777777" w:rsidR="004D36F3" w:rsidRPr="00CB13F7" w:rsidRDefault="00401571" w:rsidP="004D36F3">
      <w:pPr>
        <w:pStyle w:val="ListParagraph"/>
        <w:spacing w:after="200" w:line="276" w:lineRule="auto"/>
        <w:ind w:left="810" w:hanging="450"/>
        <w:rPr>
          <w:bCs/>
        </w:rPr>
      </w:pPr>
      <w:r w:rsidRPr="00CB13F7">
        <w:rPr>
          <w:bCs/>
        </w:rPr>
        <w:t xml:space="preserve">7. </w:t>
      </w:r>
      <w:r w:rsidR="00B5213C" w:rsidRPr="00CB13F7">
        <w:rPr>
          <w:bCs/>
        </w:rPr>
        <w:t>VLERËSIMI DHE IMPAKTI EKONOMIK &amp; FINANCIAR I PLANIT TË VEPRIMIT KOMBËTAR TË PERSONAVE ME AFTËSI TË KUFIZUAR</w:t>
      </w:r>
      <w:r w:rsidR="00772D75" w:rsidRPr="00CB13F7">
        <w:rPr>
          <w:bCs/>
        </w:rPr>
        <w:t>....................... 110</w:t>
      </w:r>
    </w:p>
    <w:p w14:paraId="7769DA6D" w14:textId="754AE015" w:rsidR="00401571" w:rsidRPr="00CB13F7" w:rsidRDefault="004D36F3" w:rsidP="004D36F3">
      <w:pPr>
        <w:pStyle w:val="ListParagraph"/>
        <w:spacing w:after="200" w:line="276" w:lineRule="auto"/>
        <w:ind w:left="810" w:hanging="450"/>
        <w:rPr>
          <w:bCs/>
        </w:rPr>
      </w:pPr>
      <w:r w:rsidRPr="00CB13F7">
        <w:rPr>
          <w:bCs/>
        </w:rPr>
        <w:t xml:space="preserve">8. </w:t>
      </w:r>
      <w:r w:rsidR="00401571" w:rsidRPr="00CB13F7">
        <w:rPr>
          <w:bCs/>
        </w:rPr>
        <w:t>KUADRI LIGJOR DHE STRATEGJITË SEKTORIALE TË VENDIT</w:t>
      </w:r>
      <w:r w:rsidR="00772D75" w:rsidRPr="00CB13F7">
        <w:rPr>
          <w:bCs/>
        </w:rPr>
        <w:t>.............</w:t>
      </w:r>
      <w:r w:rsidR="00937F20" w:rsidRPr="00CB13F7">
        <w:rPr>
          <w:bCs/>
        </w:rPr>
        <w:t>.</w:t>
      </w:r>
      <w:r w:rsidR="00772D75" w:rsidRPr="00CB13F7">
        <w:rPr>
          <w:bCs/>
        </w:rPr>
        <w:t>.124</w:t>
      </w:r>
    </w:p>
    <w:p w14:paraId="32ED8A33" w14:textId="7FA41E9B" w:rsidR="009B4C74" w:rsidRPr="00CB13F7" w:rsidRDefault="001771D3" w:rsidP="004D36F3">
      <w:pPr>
        <w:pStyle w:val="ListParagraph"/>
        <w:spacing w:after="200" w:line="276" w:lineRule="auto"/>
        <w:ind w:left="810" w:hanging="450"/>
        <w:rPr>
          <w:bCs/>
        </w:rPr>
      </w:pPr>
      <w:r w:rsidRPr="00CB13F7">
        <w:rPr>
          <w:bCs/>
        </w:rPr>
        <w:t xml:space="preserve"> </w:t>
      </w:r>
      <w:r w:rsidR="009B4C74" w:rsidRPr="00CB13F7">
        <w:rPr>
          <w:bCs/>
        </w:rPr>
        <w:t xml:space="preserve">8.1 </w:t>
      </w:r>
      <w:r w:rsidR="00385503" w:rsidRPr="00CB13F7">
        <w:rPr>
          <w:bCs/>
        </w:rPr>
        <w:t>Kuadri Ligjor</w:t>
      </w:r>
      <w:r w:rsidR="00772D75" w:rsidRPr="00CB13F7">
        <w:rPr>
          <w:bCs/>
        </w:rPr>
        <w:t>..................................................................................................</w:t>
      </w:r>
      <w:r w:rsidR="007B3320" w:rsidRPr="00CB13F7">
        <w:rPr>
          <w:bCs/>
        </w:rPr>
        <w:t>.....</w:t>
      </w:r>
      <w:r w:rsidR="00772D75" w:rsidRPr="00CB13F7">
        <w:rPr>
          <w:bCs/>
        </w:rPr>
        <w:t>124</w:t>
      </w:r>
    </w:p>
    <w:p w14:paraId="5DDB9114" w14:textId="7042BE5E" w:rsidR="00385503" w:rsidRPr="00CB13F7" w:rsidRDefault="001771D3" w:rsidP="004D36F3">
      <w:pPr>
        <w:pStyle w:val="ListParagraph"/>
        <w:spacing w:after="200" w:line="276" w:lineRule="auto"/>
        <w:ind w:left="810" w:hanging="450"/>
        <w:rPr>
          <w:bCs/>
        </w:rPr>
      </w:pPr>
      <w:r w:rsidRPr="00CB13F7">
        <w:rPr>
          <w:bCs/>
        </w:rPr>
        <w:t xml:space="preserve"> </w:t>
      </w:r>
      <w:r w:rsidR="00385503" w:rsidRPr="00CB13F7">
        <w:rPr>
          <w:bCs/>
        </w:rPr>
        <w:t>8.2 Strategjitë Sektoriale</w:t>
      </w:r>
      <w:r w:rsidR="00772D75" w:rsidRPr="00CB13F7">
        <w:rPr>
          <w:bCs/>
        </w:rPr>
        <w:t>......................................................................................</w:t>
      </w:r>
      <w:r w:rsidR="007B3320" w:rsidRPr="00CB13F7">
        <w:rPr>
          <w:bCs/>
        </w:rPr>
        <w:t>......</w:t>
      </w:r>
      <w:r w:rsidR="00772D75" w:rsidRPr="00CB13F7">
        <w:rPr>
          <w:bCs/>
        </w:rPr>
        <w:t>130</w:t>
      </w:r>
    </w:p>
    <w:p w14:paraId="4B8E1F1F" w14:textId="6DAF9F88" w:rsidR="00461450" w:rsidRPr="00CB13F7" w:rsidRDefault="00461450" w:rsidP="004D36F3">
      <w:pPr>
        <w:pStyle w:val="ListParagraph"/>
        <w:spacing w:after="200" w:line="276" w:lineRule="auto"/>
        <w:ind w:left="810" w:hanging="450"/>
        <w:rPr>
          <w:bCs/>
        </w:rPr>
      </w:pPr>
      <w:r w:rsidRPr="00CB13F7">
        <w:rPr>
          <w:bCs/>
        </w:rPr>
        <w:t>9. LOGJIKA E NDERHYRJES..................................................................................</w:t>
      </w:r>
    </w:p>
    <w:p w14:paraId="4B59A234" w14:textId="77777777" w:rsidR="00401571" w:rsidRPr="00CB13F7" w:rsidRDefault="00401571" w:rsidP="00401571">
      <w:pPr>
        <w:pStyle w:val="ListParagraph"/>
        <w:spacing w:after="200" w:line="276" w:lineRule="auto"/>
        <w:rPr>
          <w:b/>
        </w:rPr>
      </w:pPr>
    </w:p>
    <w:p w14:paraId="48B07AFC" w14:textId="77777777" w:rsidR="00401571" w:rsidRPr="00CB13F7" w:rsidRDefault="00401571" w:rsidP="00401571">
      <w:pPr>
        <w:pStyle w:val="ListParagraph"/>
        <w:spacing w:after="200" w:line="276" w:lineRule="auto"/>
        <w:rPr>
          <w:b/>
        </w:rPr>
      </w:pPr>
    </w:p>
    <w:p w14:paraId="356AE413" w14:textId="77777777" w:rsidR="00401571" w:rsidRPr="00CB13F7" w:rsidRDefault="00401571" w:rsidP="00401571">
      <w:pPr>
        <w:pStyle w:val="ListParagraph"/>
        <w:spacing w:after="200" w:line="276" w:lineRule="auto"/>
        <w:rPr>
          <w:b/>
        </w:rPr>
      </w:pPr>
    </w:p>
    <w:p w14:paraId="60BC6E2A" w14:textId="77777777" w:rsidR="00401571" w:rsidRPr="00CB13F7" w:rsidRDefault="00401571" w:rsidP="00401571">
      <w:pPr>
        <w:pStyle w:val="ListParagraph"/>
        <w:spacing w:after="200" w:line="276" w:lineRule="auto"/>
        <w:rPr>
          <w:b/>
        </w:rPr>
      </w:pPr>
    </w:p>
    <w:p w14:paraId="37DB231D" w14:textId="77777777" w:rsidR="00401571" w:rsidRPr="00CB13F7" w:rsidRDefault="00401571" w:rsidP="00401571">
      <w:pPr>
        <w:pStyle w:val="ListParagraph"/>
        <w:spacing w:after="200" w:line="276" w:lineRule="auto"/>
        <w:rPr>
          <w:b/>
        </w:rPr>
      </w:pPr>
    </w:p>
    <w:p w14:paraId="6CDEF1EA" w14:textId="77777777" w:rsidR="005C30FC" w:rsidRPr="00CB13F7" w:rsidRDefault="005C30FC" w:rsidP="00401571">
      <w:pPr>
        <w:pStyle w:val="ListParagraph"/>
        <w:spacing w:after="200" w:line="276" w:lineRule="auto"/>
        <w:rPr>
          <w:b/>
        </w:rPr>
      </w:pPr>
    </w:p>
    <w:p w14:paraId="3FF38ACE" w14:textId="77777777" w:rsidR="005C30FC" w:rsidRPr="00CB13F7" w:rsidRDefault="005C30FC" w:rsidP="00401571">
      <w:pPr>
        <w:pStyle w:val="ListParagraph"/>
        <w:spacing w:after="200" w:line="276" w:lineRule="auto"/>
        <w:rPr>
          <w:b/>
        </w:rPr>
      </w:pPr>
    </w:p>
    <w:p w14:paraId="7D20D0C8" w14:textId="77777777" w:rsidR="005C30FC" w:rsidRPr="00CB13F7" w:rsidRDefault="005C30FC" w:rsidP="00401571">
      <w:pPr>
        <w:pStyle w:val="ListParagraph"/>
        <w:spacing w:after="200" w:line="276" w:lineRule="auto"/>
        <w:rPr>
          <w:b/>
        </w:rPr>
      </w:pPr>
    </w:p>
    <w:p w14:paraId="6EF68197" w14:textId="77777777" w:rsidR="005C30FC" w:rsidRPr="00CB13F7" w:rsidRDefault="005C30FC" w:rsidP="00401571">
      <w:pPr>
        <w:pStyle w:val="ListParagraph"/>
        <w:spacing w:after="200" w:line="276" w:lineRule="auto"/>
        <w:rPr>
          <w:b/>
        </w:rPr>
      </w:pPr>
    </w:p>
    <w:p w14:paraId="01D65E24" w14:textId="77777777" w:rsidR="005C30FC" w:rsidRPr="00CB13F7" w:rsidRDefault="005C30FC" w:rsidP="00401571">
      <w:pPr>
        <w:pStyle w:val="ListParagraph"/>
        <w:spacing w:after="200" w:line="276" w:lineRule="auto"/>
        <w:rPr>
          <w:b/>
        </w:rPr>
      </w:pPr>
    </w:p>
    <w:p w14:paraId="17E64E4B" w14:textId="77777777" w:rsidR="005C30FC" w:rsidRPr="00CB13F7" w:rsidRDefault="005C30FC" w:rsidP="00401571">
      <w:pPr>
        <w:pStyle w:val="ListParagraph"/>
        <w:spacing w:after="200" w:line="276" w:lineRule="auto"/>
        <w:rPr>
          <w:b/>
        </w:rPr>
      </w:pPr>
    </w:p>
    <w:p w14:paraId="79564419" w14:textId="77777777" w:rsidR="005C30FC" w:rsidRPr="00CB13F7" w:rsidRDefault="005C30FC" w:rsidP="00401571">
      <w:pPr>
        <w:pStyle w:val="ListParagraph"/>
        <w:spacing w:after="200" w:line="276" w:lineRule="auto"/>
        <w:rPr>
          <w:b/>
        </w:rPr>
      </w:pPr>
    </w:p>
    <w:p w14:paraId="7D7F7468" w14:textId="77777777" w:rsidR="005C30FC" w:rsidRPr="00CB13F7" w:rsidRDefault="005C30FC" w:rsidP="00401571">
      <w:pPr>
        <w:pStyle w:val="ListParagraph"/>
        <w:spacing w:after="200" w:line="276" w:lineRule="auto"/>
        <w:rPr>
          <w:b/>
        </w:rPr>
      </w:pPr>
    </w:p>
    <w:p w14:paraId="1DA1A741" w14:textId="77777777" w:rsidR="005C30FC" w:rsidRPr="00CB13F7" w:rsidRDefault="005C30FC" w:rsidP="00401571">
      <w:pPr>
        <w:pStyle w:val="ListParagraph"/>
        <w:spacing w:after="200" w:line="276" w:lineRule="auto"/>
        <w:rPr>
          <w:b/>
        </w:rPr>
      </w:pPr>
    </w:p>
    <w:p w14:paraId="5D9A2AA0" w14:textId="77777777" w:rsidR="008C69CC" w:rsidRPr="00CB13F7" w:rsidRDefault="008C69CC" w:rsidP="008C69CC">
      <w:pPr>
        <w:spacing w:after="200" w:line="276" w:lineRule="auto"/>
        <w:rPr>
          <w:b/>
        </w:rPr>
      </w:pPr>
      <w:r w:rsidRPr="00CB13F7">
        <w:rPr>
          <w:b/>
        </w:rPr>
        <w:t xml:space="preserve">LISTA E SHKURTIMEVE </w:t>
      </w:r>
    </w:p>
    <w:p w14:paraId="4AEB8776" w14:textId="77777777" w:rsidR="001771D3" w:rsidRPr="00CB13F7" w:rsidRDefault="001771D3" w:rsidP="001771D3">
      <w:pPr>
        <w:spacing w:line="276" w:lineRule="auto"/>
        <w:rPr>
          <w:sz w:val="22"/>
          <w:szCs w:val="22"/>
        </w:rPr>
      </w:pPr>
      <w:r w:rsidRPr="00CB13F7">
        <w:rPr>
          <w:sz w:val="22"/>
          <w:szCs w:val="22"/>
        </w:rPr>
        <w:t xml:space="preserve">AFP </w:t>
      </w:r>
      <w:r w:rsidRPr="00CB13F7">
        <w:rPr>
          <w:sz w:val="22"/>
          <w:szCs w:val="22"/>
        </w:rPr>
        <w:tab/>
      </w:r>
      <w:r w:rsidRPr="00CB13F7">
        <w:rPr>
          <w:sz w:val="22"/>
          <w:szCs w:val="22"/>
        </w:rPr>
        <w:tab/>
        <w:t>Arsimi dhe Formimi Profesional</w:t>
      </w:r>
    </w:p>
    <w:p w14:paraId="48B893EE" w14:textId="77777777" w:rsidR="001771D3" w:rsidRPr="00CB13F7" w:rsidRDefault="001771D3" w:rsidP="001771D3">
      <w:pPr>
        <w:spacing w:line="276" w:lineRule="auto"/>
        <w:rPr>
          <w:sz w:val="22"/>
          <w:szCs w:val="22"/>
        </w:rPr>
      </w:pPr>
      <w:r w:rsidRPr="00CB13F7">
        <w:rPr>
          <w:sz w:val="22"/>
          <w:szCs w:val="22"/>
        </w:rPr>
        <w:t>AK</w:t>
      </w:r>
      <w:r w:rsidRPr="00CB13F7">
        <w:rPr>
          <w:sz w:val="22"/>
          <w:szCs w:val="22"/>
        </w:rPr>
        <w:tab/>
      </w:r>
      <w:r w:rsidRPr="00CB13F7">
        <w:rPr>
          <w:sz w:val="22"/>
          <w:szCs w:val="22"/>
        </w:rPr>
        <w:tab/>
        <w:t>Aftësia e Kufizuar</w:t>
      </w:r>
    </w:p>
    <w:p w14:paraId="6C0FF809" w14:textId="77777777" w:rsidR="001771D3" w:rsidRPr="00CB13F7" w:rsidRDefault="001771D3" w:rsidP="008C69CC">
      <w:pPr>
        <w:spacing w:line="276" w:lineRule="auto"/>
        <w:rPr>
          <w:sz w:val="22"/>
          <w:szCs w:val="22"/>
        </w:rPr>
      </w:pPr>
      <w:r w:rsidRPr="00CB13F7">
        <w:rPr>
          <w:sz w:val="22"/>
          <w:szCs w:val="22"/>
        </w:rPr>
        <w:t xml:space="preserve">AKAFPK </w:t>
      </w:r>
      <w:r w:rsidRPr="00CB13F7">
        <w:rPr>
          <w:sz w:val="22"/>
          <w:szCs w:val="22"/>
        </w:rPr>
        <w:tab/>
        <w:t>Agjencia Kombëtare e Arsimit, Formimit Profesional dhe Kualifikimeve</w:t>
      </w:r>
    </w:p>
    <w:p w14:paraId="3BAB64A9" w14:textId="77777777" w:rsidR="001771D3" w:rsidRPr="00CB13F7" w:rsidRDefault="001771D3" w:rsidP="008C69CC">
      <w:pPr>
        <w:spacing w:line="276" w:lineRule="auto"/>
        <w:rPr>
          <w:sz w:val="22"/>
          <w:szCs w:val="22"/>
        </w:rPr>
      </w:pPr>
      <w:r w:rsidRPr="00CB13F7">
        <w:rPr>
          <w:sz w:val="22"/>
          <w:szCs w:val="22"/>
        </w:rPr>
        <w:t>AKEP</w:t>
      </w:r>
      <w:r w:rsidRPr="00CB13F7">
        <w:rPr>
          <w:sz w:val="22"/>
          <w:szCs w:val="22"/>
        </w:rPr>
        <w:tab/>
      </w:r>
      <w:r w:rsidRPr="00CB13F7">
        <w:rPr>
          <w:sz w:val="22"/>
          <w:szCs w:val="22"/>
        </w:rPr>
        <w:tab/>
        <w:t xml:space="preserve">Autoriteti i Komunikimeve Elektronike dhe Postare </w:t>
      </w:r>
    </w:p>
    <w:p w14:paraId="394176BF" w14:textId="0933A81A" w:rsidR="001771D3" w:rsidRPr="00CB13F7" w:rsidRDefault="001771D3" w:rsidP="008C69CC">
      <w:pPr>
        <w:spacing w:line="276" w:lineRule="auto"/>
        <w:rPr>
          <w:sz w:val="22"/>
          <w:szCs w:val="22"/>
        </w:rPr>
      </w:pPr>
      <w:r w:rsidRPr="00CB13F7">
        <w:rPr>
          <w:sz w:val="22"/>
          <w:szCs w:val="22"/>
        </w:rPr>
        <w:t xml:space="preserve">AKMC </w:t>
      </w:r>
      <w:r w:rsidRPr="00CB13F7">
        <w:rPr>
          <w:sz w:val="22"/>
          <w:szCs w:val="22"/>
        </w:rPr>
        <w:tab/>
      </w:r>
      <w:r w:rsidR="002C160E" w:rsidRPr="00CB13F7">
        <w:rPr>
          <w:sz w:val="22"/>
          <w:szCs w:val="22"/>
        </w:rPr>
        <w:tab/>
      </w:r>
      <w:r w:rsidRPr="00CB13F7">
        <w:rPr>
          <w:sz w:val="22"/>
          <w:szCs w:val="22"/>
        </w:rPr>
        <w:t>Agjencia Kombëtare e Mbrojtjes Civile</w:t>
      </w:r>
    </w:p>
    <w:p w14:paraId="1F753E94" w14:textId="77777777" w:rsidR="001771D3" w:rsidRPr="00CB13F7" w:rsidRDefault="001771D3" w:rsidP="008C69CC">
      <w:pPr>
        <w:spacing w:line="276" w:lineRule="auto"/>
        <w:rPr>
          <w:sz w:val="22"/>
          <w:szCs w:val="22"/>
        </w:rPr>
      </w:pPr>
      <w:r w:rsidRPr="00CB13F7">
        <w:rPr>
          <w:sz w:val="22"/>
          <w:szCs w:val="22"/>
        </w:rPr>
        <w:t>AKPA</w:t>
      </w:r>
      <w:r w:rsidRPr="00CB13F7">
        <w:rPr>
          <w:sz w:val="22"/>
          <w:szCs w:val="22"/>
        </w:rPr>
        <w:tab/>
      </w:r>
      <w:r w:rsidRPr="00CB13F7">
        <w:rPr>
          <w:sz w:val="22"/>
          <w:szCs w:val="22"/>
        </w:rPr>
        <w:tab/>
        <w:t>Agjencia Kombëtare për Punësim dhe Aftësi</w:t>
      </w:r>
    </w:p>
    <w:p w14:paraId="6FEE684A" w14:textId="77777777" w:rsidR="001771D3" w:rsidRPr="00CB13F7" w:rsidRDefault="001771D3" w:rsidP="008C69CC">
      <w:pPr>
        <w:spacing w:line="276" w:lineRule="auto"/>
        <w:rPr>
          <w:sz w:val="22"/>
          <w:szCs w:val="22"/>
        </w:rPr>
      </w:pPr>
      <w:r w:rsidRPr="00CB13F7">
        <w:rPr>
          <w:sz w:val="22"/>
          <w:szCs w:val="22"/>
        </w:rPr>
        <w:t xml:space="preserve">AKSHI </w:t>
      </w:r>
      <w:r w:rsidRPr="00CB13F7">
        <w:rPr>
          <w:sz w:val="22"/>
          <w:szCs w:val="22"/>
        </w:rPr>
        <w:tab/>
        <w:t xml:space="preserve">Agjencia Kombëtare e Shoqërisë së Informacionit </w:t>
      </w:r>
    </w:p>
    <w:p w14:paraId="2823C563" w14:textId="77777777" w:rsidR="001771D3" w:rsidRPr="00CB13F7" w:rsidRDefault="001771D3" w:rsidP="008C69CC">
      <w:pPr>
        <w:spacing w:line="276" w:lineRule="auto"/>
        <w:rPr>
          <w:sz w:val="22"/>
          <w:szCs w:val="22"/>
        </w:rPr>
      </w:pPr>
      <w:r w:rsidRPr="00CB13F7">
        <w:rPr>
          <w:sz w:val="22"/>
          <w:szCs w:val="22"/>
        </w:rPr>
        <w:t xml:space="preserve">AMA </w:t>
      </w:r>
      <w:r w:rsidRPr="00CB13F7">
        <w:rPr>
          <w:sz w:val="22"/>
          <w:szCs w:val="22"/>
        </w:rPr>
        <w:tab/>
      </w:r>
      <w:r w:rsidRPr="00CB13F7">
        <w:rPr>
          <w:sz w:val="22"/>
          <w:szCs w:val="22"/>
        </w:rPr>
        <w:tab/>
        <w:t>Autoriteti i Medieve Audiovizive</w:t>
      </w:r>
    </w:p>
    <w:p w14:paraId="7F582D05" w14:textId="77777777" w:rsidR="001771D3" w:rsidRPr="00CB13F7" w:rsidRDefault="001771D3" w:rsidP="008C69CC">
      <w:pPr>
        <w:spacing w:line="276" w:lineRule="auto"/>
        <w:rPr>
          <w:sz w:val="22"/>
          <w:szCs w:val="22"/>
        </w:rPr>
      </w:pPr>
      <w:r w:rsidRPr="00CB13F7">
        <w:rPr>
          <w:sz w:val="22"/>
          <w:szCs w:val="22"/>
        </w:rPr>
        <w:t xml:space="preserve">AMVV </w:t>
      </w:r>
      <w:r w:rsidRPr="00CB13F7">
        <w:rPr>
          <w:sz w:val="22"/>
          <w:szCs w:val="22"/>
        </w:rPr>
        <w:tab/>
        <w:t>Agjencia Për Mbështetjen e Vetëqeverisjes Vendore</w:t>
      </w:r>
    </w:p>
    <w:p w14:paraId="74C412A6" w14:textId="77777777" w:rsidR="001771D3" w:rsidRPr="00CB13F7" w:rsidRDefault="001771D3" w:rsidP="00682777">
      <w:pPr>
        <w:spacing w:line="276" w:lineRule="auto"/>
        <w:rPr>
          <w:sz w:val="22"/>
          <w:szCs w:val="22"/>
        </w:rPr>
      </w:pPr>
      <w:r w:rsidRPr="00CB13F7">
        <w:rPr>
          <w:rFonts w:eastAsia="Times New Roman"/>
          <w:sz w:val="22"/>
          <w:szCs w:val="22"/>
        </w:rPr>
        <w:t>ASCAL</w:t>
      </w:r>
      <w:r w:rsidRPr="00CB13F7">
        <w:rPr>
          <w:sz w:val="22"/>
          <w:szCs w:val="22"/>
        </w:rPr>
        <w:t xml:space="preserve"> </w:t>
      </w:r>
      <w:r w:rsidRPr="00CB13F7">
        <w:rPr>
          <w:sz w:val="22"/>
          <w:szCs w:val="22"/>
        </w:rPr>
        <w:tab/>
      </w:r>
      <w:r w:rsidRPr="00CB13F7">
        <w:rPr>
          <w:rFonts w:eastAsia="Times New Roman"/>
          <w:sz w:val="22"/>
          <w:szCs w:val="22"/>
        </w:rPr>
        <w:t>Agjencia e Sigurimit të Cilësisë në Arsimin e Lartë</w:t>
      </w:r>
    </w:p>
    <w:p w14:paraId="210C517C" w14:textId="77777777" w:rsidR="001771D3" w:rsidRPr="00CB13F7" w:rsidRDefault="001771D3" w:rsidP="008C69CC">
      <w:pPr>
        <w:spacing w:line="276" w:lineRule="auto"/>
        <w:rPr>
          <w:sz w:val="22"/>
          <w:szCs w:val="22"/>
        </w:rPr>
      </w:pPr>
      <w:r w:rsidRPr="00CB13F7">
        <w:rPr>
          <w:sz w:val="22"/>
          <w:szCs w:val="22"/>
        </w:rPr>
        <w:t xml:space="preserve">ASCAP </w:t>
      </w:r>
      <w:r w:rsidRPr="00CB13F7">
        <w:rPr>
          <w:sz w:val="22"/>
          <w:szCs w:val="22"/>
        </w:rPr>
        <w:tab/>
        <w:t>Agjencia e Sigurimit të Cilësisë së Arsimit Parauniversitar</w:t>
      </w:r>
    </w:p>
    <w:p w14:paraId="709EBA2A" w14:textId="77777777" w:rsidR="001771D3" w:rsidRDefault="001771D3" w:rsidP="008C69CC">
      <w:pPr>
        <w:spacing w:line="276" w:lineRule="auto"/>
        <w:rPr>
          <w:sz w:val="22"/>
          <w:szCs w:val="22"/>
        </w:rPr>
      </w:pPr>
      <w:r w:rsidRPr="00CB13F7">
        <w:rPr>
          <w:sz w:val="22"/>
          <w:szCs w:val="22"/>
        </w:rPr>
        <w:t xml:space="preserve">ASCK </w:t>
      </w:r>
      <w:r w:rsidRPr="00CB13F7">
        <w:rPr>
          <w:sz w:val="22"/>
          <w:szCs w:val="22"/>
        </w:rPr>
        <w:tab/>
      </w:r>
      <w:r w:rsidRPr="00CB13F7">
        <w:rPr>
          <w:sz w:val="22"/>
          <w:szCs w:val="22"/>
        </w:rPr>
        <w:tab/>
        <w:t>Agjencia e Sigurimit të Cilësisë së Kujdesit Shëndetësor dhe Shoqëror</w:t>
      </w:r>
    </w:p>
    <w:p w14:paraId="550DA5B1" w14:textId="3857DE8A" w:rsidR="00807F1C" w:rsidRPr="00CB13F7" w:rsidRDefault="00807F1C" w:rsidP="008C69CC">
      <w:pPr>
        <w:spacing w:line="276" w:lineRule="auto"/>
        <w:rPr>
          <w:sz w:val="22"/>
          <w:szCs w:val="22"/>
        </w:rPr>
      </w:pPr>
      <w:r>
        <w:rPr>
          <w:sz w:val="22"/>
          <w:szCs w:val="22"/>
        </w:rPr>
        <w:t>ASHDMF          Agjencia Shtetërore për të Drejtat dhe Mbrojtjen e Fëmijës</w:t>
      </w:r>
    </w:p>
    <w:p w14:paraId="1458DF56" w14:textId="77777777" w:rsidR="001771D3" w:rsidRPr="00CB13F7" w:rsidRDefault="001771D3" w:rsidP="008C69CC">
      <w:pPr>
        <w:spacing w:line="276" w:lineRule="auto"/>
        <w:rPr>
          <w:sz w:val="22"/>
          <w:szCs w:val="22"/>
        </w:rPr>
      </w:pPr>
      <w:r w:rsidRPr="00CB13F7">
        <w:rPr>
          <w:sz w:val="22"/>
          <w:szCs w:val="22"/>
        </w:rPr>
        <w:t>BE</w:t>
      </w:r>
      <w:r w:rsidRPr="00CB13F7">
        <w:rPr>
          <w:sz w:val="22"/>
          <w:szCs w:val="22"/>
        </w:rPr>
        <w:tab/>
      </w:r>
      <w:r w:rsidRPr="00CB13F7">
        <w:rPr>
          <w:sz w:val="22"/>
          <w:szCs w:val="22"/>
        </w:rPr>
        <w:tab/>
        <w:t>Bashkimi Evropian</w:t>
      </w:r>
    </w:p>
    <w:p w14:paraId="307CA64F" w14:textId="127A26F4" w:rsidR="001771D3" w:rsidRPr="00CB13F7" w:rsidRDefault="6309BE2C" w:rsidP="008C69CC">
      <w:pPr>
        <w:spacing w:line="276" w:lineRule="auto"/>
        <w:rPr>
          <w:sz w:val="22"/>
          <w:szCs w:val="22"/>
        </w:rPr>
      </w:pPr>
      <w:r w:rsidRPr="00CB13F7">
        <w:rPr>
          <w:sz w:val="22"/>
          <w:szCs w:val="22"/>
        </w:rPr>
        <w:t>CEDA</w:t>
      </w:r>
      <w:r w:rsidR="00807F1C">
        <w:rPr>
          <w:sz w:val="22"/>
          <w:szCs w:val="22"/>
        </w:rPr>
        <w:t>W</w:t>
      </w:r>
      <w:r w:rsidRPr="00CB13F7">
        <w:rPr>
          <w:sz w:val="22"/>
          <w:szCs w:val="22"/>
        </w:rPr>
        <w:t xml:space="preserve"> </w:t>
      </w:r>
      <w:r w:rsidR="001771D3" w:rsidRPr="00CB13F7">
        <w:tab/>
      </w:r>
      <w:r w:rsidR="481B8606" w:rsidRPr="00CB13F7">
        <w:rPr>
          <w:sz w:val="22"/>
          <w:szCs w:val="22"/>
        </w:rPr>
        <w:t>Konventa p</w:t>
      </w:r>
      <w:r w:rsidR="004B03EF" w:rsidRPr="00CB13F7">
        <w:rPr>
          <w:sz w:val="22"/>
          <w:szCs w:val="22"/>
        </w:rPr>
        <w:t>ë</w:t>
      </w:r>
      <w:r w:rsidR="481B8606" w:rsidRPr="00CB13F7">
        <w:rPr>
          <w:sz w:val="22"/>
          <w:szCs w:val="22"/>
        </w:rPr>
        <w:t>r Eliminimin e t</w:t>
      </w:r>
      <w:r w:rsidR="004B03EF" w:rsidRPr="00CB13F7">
        <w:rPr>
          <w:sz w:val="22"/>
          <w:szCs w:val="22"/>
        </w:rPr>
        <w:t>ë</w:t>
      </w:r>
      <w:r w:rsidR="481B8606" w:rsidRPr="00CB13F7">
        <w:rPr>
          <w:sz w:val="22"/>
          <w:szCs w:val="22"/>
        </w:rPr>
        <w:t xml:space="preserve"> Gjitha Formave t</w:t>
      </w:r>
      <w:r w:rsidR="004B03EF" w:rsidRPr="00CB13F7">
        <w:rPr>
          <w:sz w:val="22"/>
          <w:szCs w:val="22"/>
        </w:rPr>
        <w:t>ë</w:t>
      </w:r>
      <w:r w:rsidR="481B8606" w:rsidRPr="00CB13F7">
        <w:rPr>
          <w:sz w:val="22"/>
          <w:szCs w:val="22"/>
        </w:rPr>
        <w:t xml:space="preserve"> Diskriminimit ndaj Grave</w:t>
      </w:r>
    </w:p>
    <w:p w14:paraId="0BE07C8B" w14:textId="453D9C81" w:rsidR="6309BE2C" w:rsidRPr="00CB13F7" w:rsidRDefault="77C97EFD" w:rsidP="661F9D2E">
      <w:pPr>
        <w:spacing w:line="276" w:lineRule="auto"/>
        <w:rPr>
          <w:sz w:val="22"/>
          <w:szCs w:val="22"/>
        </w:rPr>
      </w:pPr>
      <w:r w:rsidRPr="00CB13F7">
        <w:rPr>
          <w:sz w:val="22"/>
          <w:szCs w:val="22"/>
        </w:rPr>
        <w:t xml:space="preserve">KDPAK </w:t>
      </w:r>
      <w:r w:rsidR="435ECB47" w:rsidRPr="00CB13F7">
        <w:rPr>
          <w:sz w:val="22"/>
          <w:szCs w:val="22"/>
        </w:rPr>
        <w:t xml:space="preserve"> </w:t>
      </w:r>
      <w:r w:rsidR="00A142C3" w:rsidRPr="00CB13F7">
        <w:rPr>
          <w:sz w:val="22"/>
          <w:szCs w:val="22"/>
        </w:rPr>
        <w:tab/>
      </w:r>
      <w:r w:rsidR="435ECB47" w:rsidRPr="00CB13F7">
        <w:rPr>
          <w:sz w:val="22"/>
          <w:szCs w:val="22"/>
        </w:rPr>
        <w:t>Konventa e OKB p</w:t>
      </w:r>
      <w:r w:rsidR="004B03EF" w:rsidRPr="00CB13F7">
        <w:rPr>
          <w:sz w:val="22"/>
          <w:szCs w:val="22"/>
        </w:rPr>
        <w:t>ë</w:t>
      </w:r>
      <w:r w:rsidR="435ECB47" w:rsidRPr="00CB13F7">
        <w:rPr>
          <w:sz w:val="22"/>
          <w:szCs w:val="22"/>
        </w:rPr>
        <w:t>r t</w:t>
      </w:r>
      <w:r w:rsidR="004B03EF" w:rsidRPr="00CB13F7">
        <w:rPr>
          <w:sz w:val="22"/>
          <w:szCs w:val="22"/>
        </w:rPr>
        <w:t>ë</w:t>
      </w:r>
      <w:r w:rsidR="435ECB47" w:rsidRPr="00CB13F7">
        <w:rPr>
          <w:sz w:val="22"/>
          <w:szCs w:val="22"/>
        </w:rPr>
        <w:t xml:space="preserve"> Drejtat e PAK</w:t>
      </w:r>
    </w:p>
    <w:p w14:paraId="0BA393FA" w14:textId="358E095F" w:rsidR="001771D3" w:rsidRPr="00CB13F7" w:rsidRDefault="001771D3" w:rsidP="008C69CC">
      <w:pPr>
        <w:spacing w:line="276" w:lineRule="auto"/>
        <w:rPr>
          <w:sz w:val="22"/>
          <w:szCs w:val="22"/>
        </w:rPr>
      </w:pPr>
      <w:r w:rsidRPr="00CB13F7">
        <w:rPr>
          <w:sz w:val="22"/>
          <w:szCs w:val="22"/>
        </w:rPr>
        <w:t>DNJF</w:t>
      </w:r>
      <w:r w:rsidRPr="00CB13F7">
        <w:rPr>
          <w:sz w:val="22"/>
          <w:szCs w:val="22"/>
        </w:rPr>
        <w:tab/>
      </w:r>
      <w:r w:rsidRPr="00CB13F7">
        <w:rPr>
          <w:sz w:val="22"/>
          <w:szCs w:val="22"/>
        </w:rPr>
        <w:tab/>
        <w:t>Drejtoria e Ndihmës Juridike Falas</w:t>
      </w:r>
      <w:r w:rsidRPr="00CB13F7">
        <w:rPr>
          <w:rFonts w:eastAsia="Times New Roman"/>
          <w:sz w:val="22"/>
          <w:szCs w:val="22"/>
        </w:rPr>
        <w:t xml:space="preserve"> </w:t>
      </w:r>
    </w:p>
    <w:p w14:paraId="1D709E43" w14:textId="250A4A32" w:rsidR="001771D3" w:rsidRPr="00CB13F7" w:rsidRDefault="001771D3" w:rsidP="008C69CC">
      <w:pPr>
        <w:spacing w:line="276" w:lineRule="auto"/>
        <w:rPr>
          <w:sz w:val="22"/>
          <w:szCs w:val="22"/>
        </w:rPr>
      </w:pPr>
      <w:r w:rsidRPr="00CB13F7">
        <w:rPr>
          <w:sz w:val="22"/>
          <w:szCs w:val="22"/>
        </w:rPr>
        <w:t>DPB</w:t>
      </w:r>
      <w:r w:rsidRPr="00CB13F7">
        <w:rPr>
          <w:sz w:val="22"/>
          <w:szCs w:val="22"/>
        </w:rPr>
        <w:tab/>
      </w:r>
      <w:r w:rsidRPr="00CB13F7">
        <w:rPr>
          <w:sz w:val="22"/>
          <w:szCs w:val="22"/>
        </w:rPr>
        <w:tab/>
        <w:t xml:space="preserve">Drejtoria e Përgjithshme e Burgjeve </w:t>
      </w:r>
    </w:p>
    <w:p w14:paraId="04742BE9" w14:textId="77777777" w:rsidR="001771D3" w:rsidRPr="00CB13F7" w:rsidRDefault="001771D3" w:rsidP="008C69CC">
      <w:pPr>
        <w:spacing w:line="276" w:lineRule="auto"/>
        <w:rPr>
          <w:sz w:val="22"/>
          <w:szCs w:val="22"/>
        </w:rPr>
      </w:pPr>
      <w:r w:rsidRPr="00CB13F7">
        <w:rPr>
          <w:sz w:val="22"/>
          <w:szCs w:val="22"/>
        </w:rPr>
        <w:t xml:space="preserve">DPP </w:t>
      </w:r>
      <w:r w:rsidRPr="00CB13F7">
        <w:rPr>
          <w:sz w:val="22"/>
          <w:szCs w:val="22"/>
        </w:rPr>
        <w:tab/>
      </w:r>
      <w:r w:rsidRPr="00CB13F7">
        <w:rPr>
          <w:sz w:val="22"/>
          <w:szCs w:val="22"/>
        </w:rPr>
        <w:tab/>
        <w:t xml:space="preserve">Drejtoria e Përgjithshme e Përmbarimit </w:t>
      </w:r>
    </w:p>
    <w:p w14:paraId="77C54CA1" w14:textId="16CD1AFC" w:rsidR="001771D3" w:rsidRPr="00CB13F7" w:rsidRDefault="001771D3" w:rsidP="008C69CC">
      <w:pPr>
        <w:spacing w:line="276" w:lineRule="auto"/>
        <w:rPr>
          <w:sz w:val="22"/>
          <w:szCs w:val="22"/>
        </w:rPr>
      </w:pPr>
      <w:r w:rsidRPr="00CB13F7">
        <w:rPr>
          <w:sz w:val="22"/>
          <w:szCs w:val="22"/>
        </w:rPr>
        <w:t>DPSHTRR</w:t>
      </w:r>
      <w:r w:rsidRPr="00CB13F7">
        <w:rPr>
          <w:sz w:val="22"/>
          <w:szCs w:val="22"/>
        </w:rPr>
        <w:tab/>
        <w:t xml:space="preserve">Drejtoria e Përgjithshme Shtetërore e Transportit Rrugor </w:t>
      </w:r>
    </w:p>
    <w:p w14:paraId="6719A529" w14:textId="0B844B08" w:rsidR="001771D3" w:rsidRPr="00CB13F7" w:rsidRDefault="001771D3" w:rsidP="008C69CC">
      <w:pPr>
        <w:rPr>
          <w:rFonts w:eastAsia="Times New Roman"/>
          <w:sz w:val="22"/>
          <w:szCs w:val="22"/>
        </w:rPr>
      </w:pPr>
      <w:r w:rsidRPr="00CB13F7">
        <w:rPr>
          <w:rFonts w:eastAsia="Times New Roman"/>
          <w:sz w:val="22"/>
          <w:szCs w:val="22"/>
        </w:rPr>
        <w:t xml:space="preserve">DHKA </w:t>
      </w:r>
      <w:r w:rsidRPr="00CB13F7">
        <w:rPr>
          <w:rFonts w:eastAsia="Times New Roman"/>
          <w:sz w:val="22"/>
          <w:szCs w:val="22"/>
        </w:rPr>
        <w:tab/>
      </w:r>
      <w:r w:rsidR="002C160E" w:rsidRPr="00CB13F7">
        <w:rPr>
          <w:rFonts w:eastAsia="Times New Roman"/>
          <w:sz w:val="22"/>
          <w:szCs w:val="22"/>
        </w:rPr>
        <w:tab/>
      </w:r>
      <w:r w:rsidRPr="00CB13F7">
        <w:rPr>
          <w:rFonts w:eastAsia="Times New Roman"/>
          <w:sz w:val="22"/>
          <w:szCs w:val="22"/>
        </w:rPr>
        <w:t>Dhoma Kombëtare e Avokatisë</w:t>
      </w:r>
    </w:p>
    <w:p w14:paraId="5DE20CA8" w14:textId="1A2233CF" w:rsidR="001771D3" w:rsidRPr="00CB13F7" w:rsidRDefault="001771D3" w:rsidP="008C69CC">
      <w:pPr>
        <w:rPr>
          <w:rFonts w:eastAsia="Times New Roman"/>
          <w:sz w:val="22"/>
          <w:szCs w:val="22"/>
        </w:rPr>
      </w:pPr>
      <w:r w:rsidRPr="00CB13F7">
        <w:rPr>
          <w:rFonts w:eastAsia="Times New Roman"/>
          <w:sz w:val="22"/>
          <w:szCs w:val="22"/>
        </w:rPr>
        <w:t xml:space="preserve">DHKN </w:t>
      </w:r>
      <w:r w:rsidRPr="00CB13F7">
        <w:rPr>
          <w:rFonts w:eastAsia="Times New Roman"/>
          <w:sz w:val="22"/>
          <w:szCs w:val="22"/>
        </w:rPr>
        <w:tab/>
      </w:r>
      <w:r w:rsidR="002C160E" w:rsidRPr="00CB13F7">
        <w:rPr>
          <w:rFonts w:eastAsia="Times New Roman"/>
          <w:sz w:val="22"/>
          <w:szCs w:val="22"/>
        </w:rPr>
        <w:tab/>
      </w:r>
      <w:r w:rsidRPr="00CB13F7">
        <w:rPr>
          <w:rFonts w:eastAsia="Times New Roman"/>
          <w:sz w:val="22"/>
          <w:szCs w:val="22"/>
        </w:rPr>
        <w:t xml:space="preserve">Dhoma Kombëtare e Ndërmjetësve </w:t>
      </w:r>
    </w:p>
    <w:p w14:paraId="440C5F0D" w14:textId="77777777" w:rsidR="001771D3" w:rsidRPr="00CB13F7" w:rsidRDefault="001771D3" w:rsidP="008C69CC">
      <w:pPr>
        <w:spacing w:line="276" w:lineRule="auto"/>
        <w:rPr>
          <w:sz w:val="22"/>
          <w:szCs w:val="22"/>
        </w:rPr>
      </w:pPr>
      <w:r w:rsidRPr="00CB13F7">
        <w:rPr>
          <w:sz w:val="22"/>
          <w:szCs w:val="22"/>
        </w:rPr>
        <w:t xml:space="preserve">EEG </w:t>
      </w:r>
      <w:r w:rsidRPr="00CB13F7">
        <w:rPr>
          <w:sz w:val="22"/>
          <w:szCs w:val="22"/>
        </w:rPr>
        <w:tab/>
      </w:r>
      <w:r w:rsidRPr="00CB13F7">
        <w:rPr>
          <w:sz w:val="22"/>
          <w:szCs w:val="22"/>
        </w:rPr>
        <w:tab/>
        <w:t>European Expert Group</w:t>
      </w:r>
    </w:p>
    <w:p w14:paraId="29A73D48" w14:textId="7C8B024A" w:rsidR="001771D3" w:rsidRPr="00CB13F7" w:rsidRDefault="26E9E988" w:rsidP="661F9D2E">
      <w:pPr>
        <w:spacing w:line="276" w:lineRule="auto"/>
        <w:rPr>
          <w:rFonts w:eastAsia="Times New Roman"/>
          <w:sz w:val="22"/>
          <w:szCs w:val="22"/>
        </w:rPr>
      </w:pPr>
      <w:r w:rsidRPr="00CB13F7">
        <w:rPr>
          <w:rFonts w:eastAsia="Times New Roman"/>
          <w:sz w:val="22"/>
          <w:szCs w:val="22"/>
        </w:rPr>
        <w:t>SMIP</w:t>
      </w:r>
      <w:r w:rsidR="6309BE2C" w:rsidRPr="00CB13F7">
        <w:rPr>
          <w:rFonts w:eastAsia="Times New Roman"/>
          <w:sz w:val="22"/>
          <w:szCs w:val="22"/>
        </w:rPr>
        <w:t xml:space="preserve"> </w:t>
      </w:r>
      <w:r w:rsidR="001771D3" w:rsidRPr="00CB13F7">
        <w:tab/>
      </w:r>
      <w:r w:rsidR="3523B46A" w:rsidRPr="00CB13F7">
        <w:rPr>
          <w:rFonts w:eastAsia="Times New Roman"/>
          <w:sz w:val="22"/>
          <w:szCs w:val="22"/>
        </w:rPr>
        <w:t xml:space="preserve"> </w:t>
      </w:r>
      <w:r w:rsidR="00A142C3" w:rsidRPr="00CB13F7">
        <w:rPr>
          <w:rFonts w:eastAsia="Times New Roman"/>
          <w:sz w:val="22"/>
          <w:szCs w:val="22"/>
        </w:rPr>
        <w:tab/>
      </w:r>
      <w:r w:rsidR="3523B46A" w:rsidRPr="00CB13F7">
        <w:rPr>
          <w:rFonts w:eastAsia="Times New Roman"/>
          <w:sz w:val="22"/>
          <w:szCs w:val="22"/>
        </w:rPr>
        <w:t>Sistemi i Menaxhimit t</w:t>
      </w:r>
      <w:r w:rsidR="004B03EF" w:rsidRPr="00CB13F7">
        <w:rPr>
          <w:rFonts w:eastAsia="Times New Roman"/>
          <w:sz w:val="22"/>
          <w:szCs w:val="22"/>
        </w:rPr>
        <w:t>ë</w:t>
      </w:r>
      <w:r w:rsidR="3523B46A" w:rsidRPr="00CB13F7">
        <w:rPr>
          <w:rFonts w:eastAsia="Times New Roman"/>
          <w:sz w:val="22"/>
          <w:szCs w:val="22"/>
        </w:rPr>
        <w:t xml:space="preserve"> Informacionit Parauniversitar</w:t>
      </w:r>
    </w:p>
    <w:p w14:paraId="2A3EEFAC" w14:textId="6C6BFB16" w:rsidR="002C160E" w:rsidRPr="00CB13F7" w:rsidRDefault="6309BE2C" w:rsidP="661F9D2E">
      <w:pPr>
        <w:spacing w:line="276" w:lineRule="auto"/>
        <w:ind w:left="1440" w:hanging="1440"/>
        <w:rPr>
          <w:sz w:val="22"/>
          <w:szCs w:val="22"/>
        </w:rPr>
      </w:pPr>
      <w:r w:rsidRPr="00CB13F7">
        <w:rPr>
          <w:sz w:val="22"/>
          <w:szCs w:val="22"/>
        </w:rPr>
        <w:t xml:space="preserve">EPSR </w:t>
      </w:r>
      <w:r w:rsidR="001771D3" w:rsidRPr="00CB13F7">
        <w:tab/>
      </w:r>
      <w:r w:rsidR="3EC43AB8" w:rsidRPr="00CB13F7">
        <w:rPr>
          <w:sz w:val="22"/>
          <w:szCs w:val="22"/>
        </w:rPr>
        <w:t>Shtylla Evropiane e t</w:t>
      </w:r>
      <w:r w:rsidR="004B03EF" w:rsidRPr="00CB13F7">
        <w:rPr>
          <w:sz w:val="22"/>
          <w:szCs w:val="22"/>
        </w:rPr>
        <w:t>ë</w:t>
      </w:r>
      <w:r w:rsidR="3EC43AB8" w:rsidRPr="00CB13F7">
        <w:rPr>
          <w:sz w:val="22"/>
          <w:szCs w:val="22"/>
        </w:rPr>
        <w:t xml:space="preserve"> Drejtave Evropiane</w:t>
      </w:r>
      <w:r w:rsidRPr="00CB13F7">
        <w:rPr>
          <w:sz w:val="22"/>
          <w:szCs w:val="22"/>
        </w:rPr>
        <w:t xml:space="preserve"> </w:t>
      </w:r>
    </w:p>
    <w:p w14:paraId="0B8DD7F1" w14:textId="1DDC5F41" w:rsidR="001771D3" w:rsidRPr="00CB13F7" w:rsidRDefault="001771D3" w:rsidP="002C160E">
      <w:pPr>
        <w:spacing w:line="276" w:lineRule="auto"/>
        <w:ind w:left="1440" w:hanging="1440"/>
        <w:rPr>
          <w:sz w:val="22"/>
          <w:szCs w:val="22"/>
        </w:rPr>
      </w:pPr>
      <w:r w:rsidRPr="00CB13F7">
        <w:rPr>
          <w:rFonts w:eastAsia="Times New Roman"/>
          <w:sz w:val="22"/>
          <w:szCs w:val="22"/>
        </w:rPr>
        <w:t xml:space="preserve">FSDKSH </w:t>
      </w:r>
      <w:r w:rsidRPr="00CB13F7">
        <w:rPr>
          <w:rFonts w:eastAsia="Times New Roman"/>
          <w:sz w:val="22"/>
          <w:szCs w:val="22"/>
        </w:rPr>
        <w:tab/>
        <w:t>Fondi i Sigurimit të Detyrueshëm të Kujdesit Shëndetësor</w:t>
      </w:r>
    </w:p>
    <w:p w14:paraId="5BA1ED39" w14:textId="77777777" w:rsidR="001771D3" w:rsidRPr="00CB13F7" w:rsidRDefault="001771D3" w:rsidP="008C69CC">
      <w:pPr>
        <w:spacing w:line="276" w:lineRule="auto"/>
        <w:rPr>
          <w:sz w:val="22"/>
          <w:szCs w:val="22"/>
        </w:rPr>
      </w:pPr>
      <w:r w:rsidRPr="00CB13F7">
        <w:rPr>
          <w:sz w:val="22"/>
          <w:szCs w:val="22"/>
        </w:rPr>
        <w:t xml:space="preserve">GNSPS </w:t>
      </w:r>
      <w:r w:rsidRPr="00CB13F7">
        <w:rPr>
          <w:sz w:val="22"/>
          <w:szCs w:val="22"/>
        </w:rPr>
        <w:tab/>
        <w:t xml:space="preserve">Ngritja e Grupit Ndërinstitucional të Statistikave të Përfshirjes Sociale </w:t>
      </w:r>
    </w:p>
    <w:p w14:paraId="6E169825" w14:textId="77777777" w:rsidR="001771D3" w:rsidRPr="00CB13F7" w:rsidRDefault="001771D3" w:rsidP="008C69CC">
      <w:pPr>
        <w:spacing w:line="276" w:lineRule="auto"/>
        <w:rPr>
          <w:sz w:val="22"/>
          <w:szCs w:val="22"/>
        </w:rPr>
      </w:pPr>
      <w:r w:rsidRPr="00CB13F7">
        <w:rPr>
          <w:sz w:val="22"/>
          <w:szCs w:val="22"/>
        </w:rPr>
        <w:t>IAL</w:t>
      </w:r>
      <w:r w:rsidRPr="00CB13F7">
        <w:rPr>
          <w:sz w:val="22"/>
          <w:szCs w:val="22"/>
        </w:rPr>
        <w:tab/>
      </w:r>
      <w:r w:rsidRPr="00CB13F7">
        <w:rPr>
          <w:sz w:val="22"/>
          <w:szCs w:val="22"/>
        </w:rPr>
        <w:tab/>
        <w:t>Institucion i Arsimit të Lartë</w:t>
      </w:r>
    </w:p>
    <w:p w14:paraId="73D7A79E" w14:textId="77777777" w:rsidR="001771D3" w:rsidRPr="00CB13F7" w:rsidRDefault="001771D3" w:rsidP="008C69CC">
      <w:pPr>
        <w:spacing w:line="276" w:lineRule="auto"/>
        <w:rPr>
          <w:sz w:val="22"/>
          <w:szCs w:val="22"/>
        </w:rPr>
      </w:pPr>
      <w:r w:rsidRPr="00CB13F7">
        <w:rPr>
          <w:sz w:val="22"/>
          <w:szCs w:val="22"/>
        </w:rPr>
        <w:t>IAP</w:t>
      </w:r>
      <w:r w:rsidRPr="00CB13F7">
        <w:rPr>
          <w:sz w:val="22"/>
          <w:szCs w:val="22"/>
        </w:rPr>
        <w:tab/>
      </w:r>
      <w:r w:rsidRPr="00CB13F7">
        <w:rPr>
          <w:sz w:val="22"/>
          <w:szCs w:val="22"/>
        </w:rPr>
        <w:tab/>
        <w:t>Institucion i Arsimit Parauniversitar</w:t>
      </w:r>
    </w:p>
    <w:p w14:paraId="2BED2744" w14:textId="77777777" w:rsidR="001771D3" w:rsidRPr="00CB13F7" w:rsidRDefault="001771D3" w:rsidP="008C69CC">
      <w:pPr>
        <w:spacing w:line="276" w:lineRule="auto"/>
        <w:rPr>
          <w:rFonts w:eastAsia="Times New Roman"/>
          <w:color w:val="000000"/>
          <w:sz w:val="22"/>
          <w:szCs w:val="22"/>
        </w:rPr>
      </w:pPr>
      <w:r w:rsidRPr="00CB13F7">
        <w:rPr>
          <w:rFonts w:eastAsia="Times New Roman"/>
          <w:color w:val="000000"/>
          <w:sz w:val="22"/>
          <w:szCs w:val="22"/>
        </w:rPr>
        <w:t xml:space="preserve">IKMT </w:t>
      </w:r>
      <w:r w:rsidRPr="00CB13F7">
        <w:rPr>
          <w:rFonts w:eastAsia="Times New Roman"/>
          <w:color w:val="000000"/>
          <w:sz w:val="22"/>
          <w:szCs w:val="22"/>
        </w:rPr>
        <w:tab/>
      </w:r>
      <w:r w:rsidRPr="00CB13F7">
        <w:rPr>
          <w:rFonts w:eastAsia="Times New Roman"/>
          <w:color w:val="000000"/>
          <w:sz w:val="22"/>
          <w:szCs w:val="22"/>
        </w:rPr>
        <w:tab/>
        <w:t>Inspektorati Kombëtar i Mbrojtjes së Territorit</w:t>
      </w:r>
    </w:p>
    <w:p w14:paraId="440813C0" w14:textId="12A37781" w:rsidR="001771D3" w:rsidRPr="00CB13F7" w:rsidRDefault="6309BE2C" w:rsidP="008C69CC">
      <w:pPr>
        <w:spacing w:line="276" w:lineRule="auto"/>
        <w:rPr>
          <w:sz w:val="22"/>
          <w:szCs w:val="22"/>
        </w:rPr>
      </w:pPr>
      <w:r w:rsidRPr="00CB13F7">
        <w:rPr>
          <w:sz w:val="22"/>
          <w:szCs w:val="22"/>
        </w:rPr>
        <w:t>INSTAT</w:t>
      </w:r>
      <w:r w:rsidR="58D138B0" w:rsidRPr="00CB13F7">
        <w:rPr>
          <w:sz w:val="22"/>
          <w:szCs w:val="22"/>
        </w:rPr>
        <w:t xml:space="preserve">            </w:t>
      </w:r>
      <w:r w:rsidRPr="00CB13F7">
        <w:rPr>
          <w:sz w:val="22"/>
          <w:szCs w:val="22"/>
        </w:rPr>
        <w:t>Instituti i Statistikave</w:t>
      </w:r>
    </w:p>
    <w:p w14:paraId="04EA817F" w14:textId="305CA19B" w:rsidR="001771D3" w:rsidRPr="00CB13F7" w:rsidRDefault="001771D3" w:rsidP="008C69CC">
      <w:pPr>
        <w:spacing w:line="276" w:lineRule="auto"/>
        <w:rPr>
          <w:rFonts w:eastAsia="Times New Roman"/>
          <w:color w:val="000000"/>
          <w:sz w:val="22"/>
          <w:szCs w:val="22"/>
        </w:rPr>
      </w:pPr>
      <w:r w:rsidRPr="00CB13F7">
        <w:rPr>
          <w:rFonts w:eastAsia="Times New Roman"/>
          <w:color w:val="000000"/>
          <w:sz w:val="22"/>
          <w:szCs w:val="22"/>
        </w:rPr>
        <w:t>IOAFP</w:t>
      </w:r>
      <w:r w:rsidR="002C160E" w:rsidRPr="00CB13F7">
        <w:rPr>
          <w:rFonts w:eastAsia="Times New Roman"/>
          <w:color w:val="000000"/>
          <w:sz w:val="22"/>
          <w:szCs w:val="22"/>
        </w:rPr>
        <w:tab/>
      </w:r>
      <w:r w:rsidRPr="00CB13F7">
        <w:rPr>
          <w:rFonts w:eastAsia="Times New Roman"/>
          <w:color w:val="000000"/>
          <w:sz w:val="22"/>
          <w:szCs w:val="22"/>
        </w:rPr>
        <w:t xml:space="preserve"> </w:t>
      </w:r>
      <w:r w:rsidRPr="00CB13F7">
        <w:rPr>
          <w:rFonts w:eastAsia="Times New Roman"/>
          <w:color w:val="000000"/>
          <w:sz w:val="22"/>
          <w:szCs w:val="22"/>
        </w:rPr>
        <w:tab/>
        <w:t>Agjencia Kombëtare e Arsimit, Formimit Profesional dhe Kualifikimeve</w:t>
      </w:r>
    </w:p>
    <w:p w14:paraId="3376A953" w14:textId="77777777" w:rsidR="001771D3" w:rsidRPr="00CB13F7" w:rsidRDefault="001771D3" w:rsidP="008C69CC">
      <w:pPr>
        <w:spacing w:line="276" w:lineRule="auto"/>
        <w:rPr>
          <w:sz w:val="22"/>
          <w:szCs w:val="22"/>
        </w:rPr>
      </w:pPr>
      <w:r w:rsidRPr="00CB13F7">
        <w:rPr>
          <w:sz w:val="22"/>
          <w:szCs w:val="22"/>
        </w:rPr>
        <w:t xml:space="preserve">ISHP </w:t>
      </w:r>
      <w:r w:rsidRPr="00CB13F7">
        <w:rPr>
          <w:sz w:val="22"/>
          <w:szCs w:val="22"/>
        </w:rPr>
        <w:tab/>
      </w:r>
      <w:r w:rsidRPr="00CB13F7">
        <w:rPr>
          <w:sz w:val="22"/>
          <w:szCs w:val="22"/>
        </w:rPr>
        <w:tab/>
        <w:t xml:space="preserve">Instituti i Shëndetit Publik </w:t>
      </w:r>
    </w:p>
    <w:p w14:paraId="6A4A93DD" w14:textId="77777777" w:rsidR="001771D3" w:rsidRPr="00CB13F7" w:rsidRDefault="001771D3" w:rsidP="008C69CC">
      <w:pPr>
        <w:spacing w:line="276" w:lineRule="auto"/>
        <w:rPr>
          <w:sz w:val="22"/>
          <w:szCs w:val="22"/>
        </w:rPr>
      </w:pPr>
      <w:r w:rsidRPr="00CB13F7">
        <w:rPr>
          <w:sz w:val="22"/>
          <w:szCs w:val="22"/>
        </w:rPr>
        <w:t xml:space="preserve">KDPAK </w:t>
      </w:r>
      <w:r w:rsidRPr="00CB13F7">
        <w:rPr>
          <w:sz w:val="22"/>
          <w:szCs w:val="22"/>
        </w:rPr>
        <w:tab/>
        <w:t xml:space="preserve">Konventa për të Drejtat e Personave me Aftësi të Kufizuara </w:t>
      </w:r>
    </w:p>
    <w:p w14:paraId="4A1786C3" w14:textId="77777777" w:rsidR="001771D3" w:rsidRPr="00CB13F7" w:rsidRDefault="001771D3" w:rsidP="008C69CC">
      <w:pPr>
        <w:spacing w:line="276" w:lineRule="auto"/>
        <w:rPr>
          <w:sz w:val="22"/>
          <w:szCs w:val="22"/>
        </w:rPr>
      </w:pPr>
      <w:r w:rsidRPr="00CB13F7">
        <w:rPr>
          <w:sz w:val="22"/>
          <w:szCs w:val="22"/>
        </w:rPr>
        <w:t>KKAK</w:t>
      </w:r>
      <w:r w:rsidRPr="00CB13F7">
        <w:rPr>
          <w:sz w:val="22"/>
          <w:szCs w:val="22"/>
        </w:rPr>
        <w:tab/>
      </w:r>
      <w:r w:rsidRPr="00CB13F7">
        <w:rPr>
          <w:sz w:val="22"/>
          <w:szCs w:val="22"/>
        </w:rPr>
        <w:tab/>
        <w:t>Këshilli Kombëtar i Aftësisë së Kufizuar</w:t>
      </w:r>
    </w:p>
    <w:p w14:paraId="0399BBE3" w14:textId="77777777" w:rsidR="001771D3" w:rsidRPr="00CB13F7" w:rsidRDefault="001771D3" w:rsidP="008C69CC">
      <w:pPr>
        <w:spacing w:line="276" w:lineRule="auto"/>
        <w:rPr>
          <w:sz w:val="22"/>
          <w:szCs w:val="22"/>
        </w:rPr>
      </w:pPr>
      <w:r w:rsidRPr="00CB13F7">
        <w:rPr>
          <w:sz w:val="22"/>
          <w:szCs w:val="22"/>
        </w:rPr>
        <w:t>KLGJ</w:t>
      </w:r>
      <w:r w:rsidRPr="00CB13F7">
        <w:rPr>
          <w:sz w:val="22"/>
          <w:szCs w:val="22"/>
        </w:rPr>
        <w:tab/>
      </w:r>
      <w:r w:rsidRPr="00CB13F7">
        <w:rPr>
          <w:sz w:val="22"/>
          <w:szCs w:val="22"/>
        </w:rPr>
        <w:tab/>
        <w:t>Këshilli i Lartë Gjyqësor</w:t>
      </w:r>
    </w:p>
    <w:p w14:paraId="4304D27D" w14:textId="77777777" w:rsidR="001771D3" w:rsidRPr="00CB13F7" w:rsidRDefault="001771D3" w:rsidP="008C69CC">
      <w:pPr>
        <w:spacing w:line="276" w:lineRule="auto"/>
        <w:rPr>
          <w:sz w:val="22"/>
          <w:szCs w:val="22"/>
        </w:rPr>
      </w:pPr>
      <w:r w:rsidRPr="00CB13F7">
        <w:rPr>
          <w:bCs/>
          <w:sz w:val="22"/>
          <w:szCs w:val="22"/>
        </w:rPr>
        <w:t>KMVA</w:t>
      </w:r>
      <w:r w:rsidRPr="00CB13F7">
        <w:rPr>
          <w:sz w:val="22"/>
          <w:szCs w:val="22"/>
        </w:rPr>
        <w:t xml:space="preserve"> </w:t>
      </w:r>
      <w:r w:rsidRPr="00CB13F7">
        <w:rPr>
          <w:sz w:val="22"/>
          <w:szCs w:val="22"/>
        </w:rPr>
        <w:tab/>
        <w:t>Komisioni Multidisiplinor për Vlerësimin në Arsim</w:t>
      </w:r>
    </w:p>
    <w:p w14:paraId="2B0BE206" w14:textId="77777777" w:rsidR="001771D3" w:rsidRPr="00CB13F7" w:rsidRDefault="001771D3" w:rsidP="008C69CC">
      <w:pPr>
        <w:spacing w:line="276" w:lineRule="auto"/>
        <w:rPr>
          <w:sz w:val="22"/>
          <w:szCs w:val="22"/>
        </w:rPr>
      </w:pPr>
      <w:r w:rsidRPr="00CB13F7">
        <w:rPr>
          <w:sz w:val="22"/>
          <w:szCs w:val="22"/>
        </w:rPr>
        <w:t xml:space="preserve">KQZ </w:t>
      </w:r>
      <w:r w:rsidRPr="00CB13F7">
        <w:rPr>
          <w:sz w:val="22"/>
          <w:szCs w:val="22"/>
        </w:rPr>
        <w:tab/>
      </w:r>
      <w:r w:rsidRPr="00CB13F7">
        <w:rPr>
          <w:sz w:val="22"/>
          <w:szCs w:val="22"/>
        </w:rPr>
        <w:tab/>
        <w:t>Komisioneri Qendror i Zgjedhjeve</w:t>
      </w:r>
    </w:p>
    <w:p w14:paraId="26E66415" w14:textId="09BFDE7B" w:rsidR="001771D3" w:rsidRPr="00CB13F7" w:rsidRDefault="001771D3" w:rsidP="008C69CC">
      <w:pPr>
        <w:spacing w:line="276" w:lineRule="auto"/>
        <w:rPr>
          <w:sz w:val="22"/>
          <w:szCs w:val="22"/>
        </w:rPr>
      </w:pPr>
      <w:r w:rsidRPr="00CB13F7">
        <w:rPr>
          <w:bCs/>
          <w:sz w:val="22"/>
          <w:szCs w:val="22"/>
        </w:rPr>
        <w:t>KVAK</w:t>
      </w:r>
      <w:r w:rsidRPr="00CB13F7">
        <w:rPr>
          <w:sz w:val="22"/>
          <w:szCs w:val="22"/>
        </w:rPr>
        <w:t xml:space="preserve"> </w:t>
      </w:r>
      <w:r w:rsidRPr="00CB13F7">
        <w:rPr>
          <w:sz w:val="22"/>
          <w:szCs w:val="22"/>
        </w:rPr>
        <w:tab/>
      </w:r>
      <w:r w:rsidR="002C160E" w:rsidRPr="00CB13F7">
        <w:rPr>
          <w:sz w:val="22"/>
          <w:szCs w:val="22"/>
        </w:rPr>
        <w:tab/>
      </w:r>
      <w:r w:rsidRPr="00CB13F7">
        <w:rPr>
          <w:sz w:val="22"/>
          <w:szCs w:val="22"/>
        </w:rPr>
        <w:t>Komisioni për Vlerësimin e Aftësisë së Kufizuar</w:t>
      </w:r>
    </w:p>
    <w:p w14:paraId="6F9A2F5A" w14:textId="77429739" w:rsidR="001771D3" w:rsidRPr="00CB13F7" w:rsidRDefault="6309BE2C" w:rsidP="008C69CC">
      <w:pPr>
        <w:spacing w:line="276" w:lineRule="auto"/>
        <w:rPr>
          <w:sz w:val="22"/>
          <w:szCs w:val="22"/>
        </w:rPr>
      </w:pPr>
      <w:r w:rsidRPr="00CB13F7">
        <w:rPr>
          <w:sz w:val="22"/>
          <w:szCs w:val="22"/>
        </w:rPr>
        <w:t xml:space="preserve">LNB </w:t>
      </w:r>
      <w:r w:rsidR="001771D3" w:rsidRPr="00CB13F7">
        <w:tab/>
      </w:r>
      <w:r w:rsidR="001771D3" w:rsidRPr="00CB13F7">
        <w:tab/>
      </w:r>
      <w:r w:rsidR="64BC8D6D" w:rsidRPr="00CB13F7">
        <w:rPr>
          <w:sz w:val="22"/>
          <w:szCs w:val="22"/>
        </w:rPr>
        <w:t>Askush t</w:t>
      </w:r>
      <w:r w:rsidR="004B03EF" w:rsidRPr="00CB13F7">
        <w:rPr>
          <w:sz w:val="22"/>
          <w:szCs w:val="22"/>
        </w:rPr>
        <w:t>ë</w:t>
      </w:r>
      <w:r w:rsidR="64BC8D6D" w:rsidRPr="00CB13F7">
        <w:rPr>
          <w:sz w:val="22"/>
          <w:szCs w:val="22"/>
        </w:rPr>
        <w:t xml:space="preserve"> mos mbetet pas</w:t>
      </w:r>
    </w:p>
    <w:p w14:paraId="0917899B" w14:textId="77777777" w:rsidR="001771D3" w:rsidRPr="00CB13F7" w:rsidRDefault="001771D3" w:rsidP="008C69CC">
      <w:pPr>
        <w:spacing w:line="276" w:lineRule="auto"/>
        <w:rPr>
          <w:sz w:val="22"/>
          <w:szCs w:val="22"/>
        </w:rPr>
      </w:pPr>
      <w:r w:rsidRPr="00CB13F7">
        <w:rPr>
          <w:sz w:val="22"/>
          <w:szCs w:val="22"/>
        </w:rPr>
        <w:t>MA</w:t>
      </w:r>
      <w:r w:rsidRPr="00CB13F7">
        <w:tab/>
      </w:r>
      <w:r w:rsidRPr="00CB13F7">
        <w:rPr>
          <w:sz w:val="22"/>
          <w:szCs w:val="22"/>
        </w:rPr>
        <w:t xml:space="preserve"> </w:t>
      </w:r>
      <w:r w:rsidRPr="00CB13F7">
        <w:tab/>
      </w:r>
      <w:r w:rsidRPr="00CB13F7">
        <w:rPr>
          <w:sz w:val="22"/>
          <w:szCs w:val="22"/>
        </w:rPr>
        <w:t xml:space="preserve">Ministria e Arsimit </w:t>
      </w:r>
    </w:p>
    <w:p w14:paraId="6706C72A" w14:textId="77777777" w:rsidR="001771D3" w:rsidRPr="00CB13F7" w:rsidRDefault="001771D3" w:rsidP="008C69CC">
      <w:pPr>
        <w:spacing w:line="276" w:lineRule="auto"/>
        <w:rPr>
          <w:sz w:val="22"/>
          <w:szCs w:val="22"/>
        </w:rPr>
      </w:pPr>
      <w:r w:rsidRPr="00CB13F7">
        <w:rPr>
          <w:sz w:val="22"/>
          <w:szCs w:val="22"/>
        </w:rPr>
        <w:lastRenderedPageBreak/>
        <w:t xml:space="preserve">MB </w:t>
      </w:r>
      <w:r w:rsidRPr="00CB13F7">
        <w:tab/>
      </w:r>
      <w:r w:rsidRPr="00CB13F7">
        <w:tab/>
      </w:r>
      <w:r w:rsidRPr="00CB13F7">
        <w:rPr>
          <w:sz w:val="22"/>
          <w:szCs w:val="22"/>
        </w:rPr>
        <w:t xml:space="preserve">Ministria e Mbrojtjes </w:t>
      </w:r>
    </w:p>
    <w:p w14:paraId="0A137785" w14:textId="77777777" w:rsidR="001771D3" w:rsidRPr="00CB13F7" w:rsidRDefault="001771D3" w:rsidP="008C69CC">
      <w:pPr>
        <w:spacing w:line="276" w:lineRule="auto"/>
        <w:rPr>
          <w:sz w:val="22"/>
          <w:szCs w:val="22"/>
        </w:rPr>
      </w:pPr>
      <w:r w:rsidRPr="00CB13F7">
        <w:rPr>
          <w:sz w:val="22"/>
          <w:szCs w:val="22"/>
        </w:rPr>
        <w:t xml:space="preserve">MD </w:t>
      </w:r>
      <w:r w:rsidRPr="00CB13F7">
        <w:tab/>
      </w:r>
      <w:r w:rsidRPr="00CB13F7">
        <w:tab/>
      </w:r>
      <w:r w:rsidRPr="00CB13F7">
        <w:rPr>
          <w:sz w:val="22"/>
          <w:szCs w:val="22"/>
        </w:rPr>
        <w:t xml:space="preserve">Ministria e Drejtësisë </w:t>
      </w:r>
    </w:p>
    <w:p w14:paraId="27DCD3F4" w14:textId="77777777" w:rsidR="001771D3" w:rsidRPr="00CB13F7" w:rsidRDefault="001771D3" w:rsidP="008C69CC">
      <w:pPr>
        <w:spacing w:line="276" w:lineRule="auto"/>
        <w:rPr>
          <w:sz w:val="22"/>
          <w:szCs w:val="22"/>
        </w:rPr>
      </w:pPr>
      <w:r w:rsidRPr="00CB13F7">
        <w:rPr>
          <w:sz w:val="22"/>
          <w:szCs w:val="22"/>
        </w:rPr>
        <w:t xml:space="preserve">MEI </w:t>
      </w:r>
      <w:r w:rsidRPr="00CB13F7">
        <w:tab/>
      </w:r>
      <w:r w:rsidRPr="00CB13F7">
        <w:tab/>
      </w:r>
      <w:r w:rsidRPr="00CB13F7">
        <w:rPr>
          <w:sz w:val="22"/>
          <w:szCs w:val="22"/>
        </w:rPr>
        <w:t xml:space="preserve">Ministria e Ekonomisë dhe Inovacionit </w:t>
      </w:r>
    </w:p>
    <w:p w14:paraId="5DBBF8AD" w14:textId="77777777" w:rsidR="001771D3" w:rsidRPr="00CB13F7" w:rsidRDefault="001771D3" w:rsidP="008C69CC">
      <w:pPr>
        <w:spacing w:line="276" w:lineRule="auto"/>
        <w:rPr>
          <w:sz w:val="22"/>
          <w:szCs w:val="22"/>
        </w:rPr>
      </w:pPr>
      <w:r w:rsidRPr="00CB13F7">
        <w:rPr>
          <w:sz w:val="22"/>
          <w:szCs w:val="22"/>
        </w:rPr>
        <w:t xml:space="preserve">MEKI </w:t>
      </w:r>
      <w:r w:rsidRPr="00CB13F7">
        <w:tab/>
      </w:r>
      <w:r w:rsidRPr="00CB13F7">
        <w:tab/>
      </w:r>
      <w:r w:rsidRPr="00CB13F7">
        <w:rPr>
          <w:sz w:val="22"/>
          <w:szCs w:val="22"/>
        </w:rPr>
        <w:t>Ministria Ekonomisë Kulturës dhe Inovacionit</w:t>
      </w:r>
    </w:p>
    <w:p w14:paraId="0F3FF82A" w14:textId="77777777" w:rsidR="001771D3" w:rsidRPr="00CB13F7" w:rsidRDefault="001771D3" w:rsidP="008C69CC">
      <w:pPr>
        <w:spacing w:line="276" w:lineRule="auto"/>
        <w:rPr>
          <w:sz w:val="22"/>
          <w:szCs w:val="22"/>
        </w:rPr>
      </w:pPr>
      <w:r w:rsidRPr="00CB13F7">
        <w:rPr>
          <w:sz w:val="22"/>
          <w:szCs w:val="22"/>
        </w:rPr>
        <w:t xml:space="preserve">MIE </w:t>
      </w:r>
      <w:r w:rsidRPr="00CB13F7">
        <w:tab/>
      </w:r>
      <w:r w:rsidRPr="00CB13F7">
        <w:tab/>
      </w:r>
      <w:r w:rsidRPr="00CB13F7">
        <w:rPr>
          <w:sz w:val="22"/>
          <w:szCs w:val="22"/>
        </w:rPr>
        <w:t xml:space="preserve">Ministria e Infrastrukturës dhe Energjetikës </w:t>
      </w:r>
    </w:p>
    <w:p w14:paraId="24202BA4" w14:textId="77777777" w:rsidR="001771D3" w:rsidRPr="00CB13F7" w:rsidRDefault="001771D3" w:rsidP="008C69CC">
      <w:pPr>
        <w:spacing w:line="276" w:lineRule="auto"/>
        <w:rPr>
          <w:sz w:val="22"/>
          <w:szCs w:val="22"/>
        </w:rPr>
      </w:pPr>
      <w:r w:rsidRPr="00CB13F7">
        <w:rPr>
          <w:sz w:val="22"/>
          <w:szCs w:val="22"/>
        </w:rPr>
        <w:t xml:space="preserve">MKR </w:t>
      </w:r>
      <w:r w:rsidRPr="00CB13F7">
        <w:rPr>
          <w:sz w:val="22"/>
          <w:szCs w:val="22"/>
        </w:rPr>
        <w:tab/>
      </w:r>
      <w:r w:rsidRPr="00CB13F7">
        <w:rPr>
          <w:sz w:val="22"/>
          <w:szCs w:val="22"/>
        </w:rPr>
        <w:tab/>
        <w:t>Mekanizmat e Koordinuar të Referimit</w:t>
      </w:r>
    </w:p>
    <w:p w14:paraId="0136F7E4" w14:textId="77777777" w:rsidR="001771D3" w:rsidRPr="00CB13F7" w:rsidRDefault="001771D3" w:rsidP="008C69CC">
      <w:pPr>
        <w:spacing w:line="276" w:lineRule="auto"/>
        <w:rPr>
          <w:sz w:val="22"/>
          <w:szCs w:val="22"/>
        </w:rPr>
      </w:pPr>
      <w:r w:rsidRPr="00CB13F7">
        <w:rPr>
          <w:sz w:val="22"/>
          <w:szCs w:val="22"/>
        </w:rPr>
        <w:t xml:space="preserve">MSHMS </w:t>
      </w:r>
      <w:r w:rsidRPr="00CB13F7">
        <w:rPr>
          <w:sz w:val="22"/>
          <w:szCs w:val="22"/>
        </w:rPr>
        <w:tab/>
        <w:t>Ministria e Shëndetësisë dhe Mirëqenies</w:t>
      </w:r>
      <w:r w:rsidRPr="00CB13F7">
        <w:rPr>
          <w:color w:val="00B050"/>
          <w:sz w:val="22"/>
          <w:szCs w:val="22"/>
        </w:rPr>
        <w:t xml:space="preserve"> </w:t>
      </w:r>
      <w:r w:rsidRPr="00CB13F7">
        <w:rPr>
          <w:sz w:val="22"/>
          <w:szCs w:val="22"/>
        </w:rPr>
        <w:t xml:space="preserve">Sociale </w:t>
      </w:r>
    </w:p>
    <w:p w14:paraId="34D099FB" w14:textId="46730461" w:rsidR="001771D3" w:rsidRPr="00CB13F7" w:rsidRDefault="001771D3" w:rsidP="008C69CC">
      <w:pPr>
        <w:spacing w:line="276" w:lineRule="auto"/>
        <w:rPr>
          <w:sz w:val="22"/>
          <w:szCs w:val="22"/>
        </w:rPr>
      </w:pPr>
      <w:r w:rsidRPr="00CB13F7">
        <w:rPr>
          <w:sz w:val="22"/>
          <w:szCs w:val="22"/>
        </w:rPr>
        <w:t xml:space="preserve">MTKS </w:t>
      </w:r>
      <w:r w:rsidRPr="00CB13F7">
        <w:rPr>
          <w:sz w:val="22"/>
          <w:szCs w:val="22"/>
        </w:rPr>
        <w:tab/>
      </w:r>
      <w:r w:rsidR="002C160E" w:rsidRPr="00CB13F7">
        <w:rPr>
          <w:sz w:val="22"/>
          <w:szCs w:val="22"/>
        </w:rPr>
        <w:tab/>
      </w:r>
      <w:r w:rsidRPr="00CB13F7">
        <w:rPr>
          <w:sz w:val="22"/>
          <w:szCs w:val="22"/>
        </w:rPr>
        <w:t>Ministria e Turizmit, Kulturës dhe Sportit</w:t>
      </w:r>
    </w:p>
    <w:p w14:paraId="41AFF5D8" w14:textId="77777777" w:rsidR="001771D3" w:rsidRPr="00CB13F7" w:rsidRDefault="001771D3" w:rsidP="008C69CC">
      <w:pPr>
        <w:spacing w:line="276" w:lineRule="auto"/>
        <w:rPr>
          <w:sz w:val="22"/>
          <w:szCs w:val="22"/>
        </w:rPr>
      </w:pPr>
      <w:r w:rsidRPr="00CB13F7">
        <w:rPr>
          <w:sz w:val="22"/>
          <w:szCs w:val="22"/>
        </w:rPr>
        <w:t>NJF</w:t>
      </w:r>
      <w:r w:rsidRPr="00CB13F7">
        <w:tab/>
      </w:r>
      <w:r w:rsidRPr="00CB13F7">
        <w:tab/>
      </w:r>
      <w:r w:rsidRPr="00CB13F7">
        <w:rPr>
          <w:sz w:val="22"/>
          <w:szCs w:val="22"/>
        </w:rPr>
        <w:t>Ndihma Juridike Falas</w:t>
      </w:r>
    </w:p>
    <w:p w14:paraId="167745A3" w14:textId="77777777" w:rsidR="001771D3" w:rsidRPr="00CB13F7" w:rsidRDefault="001771D3" w:rsidP="00570B8F">
      <w:pPr>
        <w:spacing w:line="276" w:lineRule="auto"/>
        <w:rPr>
          <w:sz w:val="22"/>
          <w:szCs w:val="22"/>
        </w:rPr>
      </w:pPr>
      <w:r w:rsidRPr="00CB13F7">
        <w:rPr>
          <w:sz w:val="22"/>
          <w:szCs w:val="22"/>
        </w:rPr>
        <w:t xml:space="preserve">NJMF </w:t>
      </w:r>
      <w:r w:rsidR="00570B8F" w:rsidRPr="00CB13F7">
        <w:rPr>
          <w:sz w:val="22"/>
          <w:szCs w:val="22"/>
        </w:rPr>
        <w:tab/>
      </w:r>
      <w:r w:rsidR="00570B8F" w:rsidRPr="00CB13F7">
        <w:rPr>
          <w:sz w:val="22"/>
          <w:szCs w:val="22"/>
        </w:rPr>
        <w:tab/>
      </w:r>
      <w:r w:rsidRPr="00CB13F7">
        <w:rPr>
          <w:sz w:val="22"/>
          <w:szCs w:val="22"/>
        </w:rPr>
        <w:t xml:space="preserve">Njësia </w:t>
      </w:r>
      <w:r w:rsidR="00570B8F" w:rsidRPr="00CB13F7">
        <w:rPr>
          <w:sz w:val="22"/>
          <w:szCs w:val="22"/>
        </w:rPr>
        <w:t>p</w:t>
      </w:r>
      <w:r w:rsidRPr="00CB13F7">
        <w:rPr>
          <w:sz w:val="22"/>
          <w:szCs w:val="22"/>
        </w:rPr>
        <w:t xml:space="preserve">ër Mbrojtjen e Fëmijëve </w:t>
      </w:r>
    </w:p>
    <w:p w14:paraId="78B73822" w14:textId="169C3780" w:rsidR="001771D3" w:rsidRPr="00CB13F7" w:rsidRDefault="001771D3" w:rsidP="008C69CC">
      <w:pPr>
        <w:spacing w:line="276" w:lineRule="auto"/>
        <w:rPr>
          <w:sz w:val="22"/>
          <w:szCs w:val="22"/>
        </w:rPr>
      </w:pPr>
      <w:r w:rsidRPr="00CB13F7">
        <w:rPr>
          <w:sz w:val="22"/>
          <w:szCs w:val="22"/>
        </w:rPr>
        <w:t>NJ</w:t>
      </w:r>
      <w:r w:rsidR="00A142C3" w:rsidRPr="00CB13F7">
        <w:rPr>
          <w:sz w:val="22"/>
          <w:szCs w:val="22"/>
        </w:rPr>
        <w:t>V</w:t>
      </w:r>
      <w:r w:rsidRPr="00CB13F7">
        <w:rPr>
          <w:sz w:val="22"/>
          <w:szCs w:val="22"/>
        </w:rPr>
        <w:t xml:space="preserve">V </w:t>
      </w:r>
      <w:r w:rsidRPr="00CB13F7">
        <w:tab/>
      </w:r>
      <w:r w:rsidR="00A142C3" w:rsidRPr="00CB13F7">
        <w:tab/>
      </w:r>
      <w:r w:rsidRPr="00CB13F7">
        <w:rPr>
          <w:sz w:val="22"/>
          <w:szCs w:val="22"/>
        </w:rPr>
        <w:t>Njësi</w:t>
      </w:r>
      <w:r w:rsidR="00A142C3" w:rsidRPr="00CB13F7">
        <w:rPr>
          <w:sz w:val="22"/>
          <w:szCs w:val="22"/>
        </w:rPr>
        <w:t>a</w:t>
      </w:r>
      <w:r w:rsidRPr="00CB13F7">
        <w:rPr>
          <w:sz w:val="22"/>
          <w:szCs w:val="22"/>
        </w:rPr>
        <w:t xml:space="preserve"> e </w:t>
      </w:r>
      <w:r w:rsidR="00A142C3" w:rsidRPr="00CB13F7">
        <w:rPr>
          <w:sz w:val="22"/>
          <w:szCs w:val="22"/>
        </w:rPr>
        <w:t>Vet</w:t>
      </w:r>
      <w:r w:rsidR="004B03EF" w:rsidRPr="00CB13F7">
        <w:rPr>
          <w:sz w:val="22"/>
          <w:szCs w:val="22"/>
        </w:rPr>
        <w:t>ë</w:t>
      </w:r>
      <w:r w:rsidR="00A142C3" w:rsidRPr="00CB13F7">
        <w:rPr>
          <w:sz w:val="22"/>
          <w:szCs w:val="22"/>
        </w:rPr>
        <w:t>q</w:t>
      </w:r>
      <w:r w:rsidRPr="00CB13F7">
        <w:rPr>
          <w:sz w:val="22"/>
          <w:szCs w:val="22"/>
        </w:rPr>
        <w:t xml:space="preserve">everisjes Vendore </w:t>
      </w:r>
    </w:p>
    <w:p w14:paraId="27F159DA" w14:textId="77777777" w:rsidR="001771D3" w:rsidRPr="00CB13F7" w:rsidRDefault="001771D3" w:rsidP="008C69CC">
      <w:pPr>
        <w:spacing w:line="276" w:lineRule="auto"/>
        <w:rPr>
          <w:sz w:val="22"/>
          <w:szCs w:val="22"/>
        </w:rPr>
      </w:pPr>
      <w:r w:rsidRPr="00CB13F7">
        <w:rPr>
          <w:sz w:val="22"/>
          <w:szCs w:val="22"/>
        </w:rPr>
        <w:t>NJVKSH</w:t>
      </w:r>
      <w:r w:rsidRPr="00CB13F7">
        <w:rPr>
          <w:sz w:val="22"/>
          <w:szCs w:val="22"/>
        </w:rPr>
        <w:tab/>
        <w:t>Njësia Vendore Kujdesit Shëndetësor</w:t>
      </w:r>
    </w:p>
    <w:p w14:paraId="7110D071" w14:textId="77777777" w:rsidR="001771D3" w:rsidRPr="00CB13F7" w:rsidRDefault="001771D3" w:rsidP="008C69CC">
      <w:pPr>
        <w:spacing w:line="276" w:lineRule="auto"/>
        <w:rPr>
          <w:sz w:val="22"/>
          <w:szCs w:val="22"/>
        </w:rPr>
      </w:pPr>
      <w:r w:rsidRPr="00CB13F7">
        <w:rPr>
          <w:sz w:val="22"/>
          <w:szCs w:val="22"/>
        </w:rPr>
        <w:t xml:space="preserve">NJVV </w:t>
      </w:r>
      <w:r w:rsidR="00570B8F" w:rsidRPr="00CB13F7">
        <w:rPr>
          <w:sz w:val="22"/>
          <w:szCs w:val="22"/>
        </w:rPr>
        <w:tab/>
      </w:r>
      <w:r w:rsidR="00570B8F" w:rsidRPr="00CB13F7">
        <w:rPr>
          <w:sz w:val="22"/>
          <w:szCs w:val="22"/>
        </w:rPr>
        <w:tab/>
      </w:r>
      <w:r w:rsidRPr="00CB13F7">
        <w:rPr>
          <w:sz w:val="22"/>
          <w:szCs w:val="22"/>
        </w:rPr>
        <w:t xml:space="preserve">Njësi e Vetëqeverisjes Vendore </w:t>
      </w:r>
    </w:p>
    <w:p w14:paraId="2D196D7F" w14:textId="77777777" w:rsidR="001771D3" w:rsidRPr="00CB13F7" w:rsidRDefault="001771D3" w:rsidP="008C69CC">
      <w:pPr>
        <w:spacing w:line="276" w:lineRule="auto"/>
        <w:rPr>
          <w:sz w:val="22"/>
          <w:szCs w:val="22"/>
        </w:rPr>
      </w:pPr>
      <w:r w:rsidRPr="00CB13F7">
        <w:rPr>
          <w:sz w:val="22"/>
          <w:szCs w:val="22"/>
        </w:rPr>
        <w:t xml:space="preserve">OJF </w:t>
      </w:r>
      <w:r w:rsidRPr="00CB13F7">
        <w:rPr>
          <w:sz w:val="22"/>
          <w:szCs w:val="22"/>
        </w:rPr>
        <w:tab/>
      </w:r>
      <w:r w:rsidRPr="00CB13F7">
        <w:rPr>
          <w:sz w:val="22"/>
          <w:szCs w:val="22"/>
        </w:rPr>
        <w:tab/>
        <w:t xml:space="preserve">Organizatë Jofitimprurëse </w:t>
      </w:r>
    </w:p>
    <w:p w14:paraId="438A70EF" w14:textId="77777777" w:rsidR="001771D3" w:rsidRPr="00CB13F7" w:rsidRDefault="001771D3" w:rsidP="008C69CC">
      <w:pPr>
        <w:spacing w:line="276" w:lineRule="auto"/>
        <w:rPr>
          <w:sz w:val="22"/>
          <w:szCs w:val="22"/>
        </w:rPr>
      </w:pPr>
      <w:r w:rsidRPr="00CB13F7">
        <w:rPr>
          <w:sz w:val="22"/>
          <w:szCs w:val="22"/>
        </w:rPr>
        <w:t xml:space="preserve">OJQ </w:t>
      </w:r>
      <w:r w:rsidR="00570B8F" w:rsidRPr="00CB13F7">
        <w:rPr>
          <w:sz w:val="22"/>
          <w:szCs w:val="22"/>
        </w:rPr>
        <w:tab/>
      </w:r>
      <w:r w:rsidR="00570B8F" w:rsidRPr="00CB13F7">
        <w:rPr>
          <w:sz w:val="22"/>
          <w:szCs w:val="22"/>
        </w:rPr>
        <w:tab/>
      </w:r>
      <w:r w:rsidRPr="00CB13F7">
        <w:rPr>
          <w:sz w:val="22"/>
          <w:szCs w:val="22"/>
        </w:rPr>
        <w:t xml:space="preserve">Organizatë Joqeveritare </w:t>
      </w:r>
    </w:p>
    <w:p w14:paraId="311B6BD3" w14:textId="77777777" w:rsidR="001771D3" w:rsidRPr="00CB13F7" w:rsidRDefault="001771D3" w:rsidP="008C69CC">
      <w:pPr>
        <w:spacing w:line="276" w:lineRule="auto"/>
        <w:rPr>
          <w:sz w:val="22"/>
          <w:szCs w:val="22"/>
        </w:rPr>
      </w:pPr>
      <w:r w:rsidRPr="00CB13F7">
        <w:rPr>
          <w:sz w:val="22"/>
          <w:szCs w:val="22"/>
        </w:rPr>
        <w:t xml:space="preserve">OKB </w:t>
      </w:r>
      <w:r w:rsidRPr="00CB13F7">
        <w:rPr>
          <w:sz w:val="22"/>
          <w:szCs w:val="22"/>
        </w:rPr>
        <w:tab/>
      </w:r>
      <w:r w:rsidRPr="00CB13F7">
        <w:rPr>
          <w:sz w:val="22"/>
          <w:szCs w:val="22"/>
        </w:rPr>
        <w:tab/>
        <w:t xml:space="preserve">Organizata e Kombeve të Bashkuara </w:t>
      </w:r>
    </w:p>
    <w:p w14:paraId="04043FD1" w14:textId="77777777" w:rsidR="001771D3" w:rsidRPr="00CB13F7" w:rsidRDefault="001771D3" w:rsidP="008C69CC">
      <w:pPr>
        <w:spacing w:line="276" w:lineRule="auto"/>
        <w:rPr>
          <w:sz w:val="22"/>
          <w:szCs w:val="22"/>
        </w:rPr>
      </w:pPr>
      <w:r w:rsidRPr="00CB13F7">
        <w:rPr>
          <w:sz w:val="22"/>
          <w:szCs w:val="22"/>
        </w:rPr>
        <w:t>OPAK</w:t>
      </w:r>
      <w:r w:rsidRPr="00CB13F7">
        <w:rPr>
          <w:sz w:val="22"/>
          <w:szCs w:val="22"/>
        </w:rPr>
        <w:tab/>
      </w:r>
      <w:r w:rsidRPr="00CB13F7">
        <w:rPr>
          <w:sz w:val="22"/>
          <w:szCs w:val="22"/>
        </w:rPr>
        <w:tab/>
        <w:t>Organizata e Personave me Aftësi të Kufizuara</w:t>
      </w:r>
    </w:p>
    <w:p w14:paraId="3210F750" w14:textId="77777777" w:rsidR="001771D3" w:rsidRPr="00CB13F7" w:rsidRDefault="001771D3" w:rsidP="008C69CC">
      <w:pPr>
        <w:spacing w:line="276" w:lineRule="auto"/>
        <w:rPr>
          <w:sz w:val="22"/>
          <w:szCs w:val="22"/>
        </w:rPr>
      </w:pPr>
      <w:r w:rsidRPr="00CB13F7">
        <w:rPr>
          <w:sz w:val="22"/>
          <w:szCs w:val="22"/>
        </w:rPr>
        <w:t>OSHC</w:t>
      </w:r>
      <w:r w:rsidRPr="00CB13F7">
        <w:rPr>
          <w:sz w:val="22"/>
          <w:szCs w:val="22"/>
        </w:rPr>
        <w:tab/>
      </w:r>
      <w:r w:rsidRPr="00CB13F7">
        <w:rPr>
          <w:sz w:val="22"/>
          <w:szCs w:val="22"/>
        </w:rPr>
        <w:tab/>
        <w:t>Organizata e Shoqërisë Civile</w:t>
      </w:r>
    </w:p>
    <w:p w14:paraId="4FEC8F5A" w14:textId="77777777" w:rsidR="001771D3" w:rsidRPr="00CB13F7" w:rsidRDefault="001771D3" w:rsidP="008C69CC">
      <w:pPr>
        <w:spacing w:line="276" w:lineRule="auto"/>
        <w:rPr>
          <w:sz w:val="22"/>
          <w:szCs w:val="22"/>
        </w:rPr>
      </w:pPr>
      <w:r w:rsidRPr="00CB13F7">
        <w:rPr>
          <w:sz w:val="22"/>
          <w:szCs w:val="22"/>
        </w:rPr>
        <w:t>OSHKSH</w:t>
      </w:r>
      <w:r w:rsidRPr="00CB13F7">
        <w:rPr>
          <w:sz w:val="22"/>
          <w:szCs w:val="22"/>
        </w:rPr>
        <w:tab/>
        <w:t>Operatorit Shtetëror Kujdesit Shëndetësor</w:t>
      </w:r>
    </w:p>
    <w:p w14:paraId="414460FD" w14:textId="77777777" w:rsidR="001771D3" w:rsidRPr="00CB13F7" w:rsidRDefault="001771D3" w:rsidP="008C69CC">
      <w:pPr>
        <w:spacing w:line="276" w:lineRule="auto"/>
        <w:rPr>
          <w:sz w:val="22"/>
          <w:szCs w:val="22"/>
        </w:rPr>
      </w:pPr>
      <w:r w:rsidRPr="00CB13F7">
        <w:rPr>
          <w:sz w:val="22"/>
          <w:szCs w:val="22"/>
        </w:rPr>
        <w:t>PAK</w:t>
      </w:r>
      <w:r w:rsidRPr="00CB13F7">
        <w:rPr>
          <w:sz w:val="22"/>
          <w:szCs w:val="22"/>
        </w:rPr>
        <w:tab/>
      </w:r>
      <w:r w:rsidRPr="00CB13F7">
        <w:rPr>
          <w:sz w:val="22"/>
          <w:szCs w:val="22"/>
        </w:rPr>
        <w:tab/>
        <w:t>Persona me Aftësi të Kufizuara</w:t>
      </w:r>
    </w:p>
    <w:p w14:paraId="774995F6" w14:textId="77777777" w:rsidR="001771D3" w:rsidRPr="00CB13F7" w:rsidRDefault="001771D3" w:rsidP="008C69CC">
      <w:pPr>
        <w:spacing w:line="276" w:lineRule="auto"/>
        <w:rPr>
          <w:sz w:val="22"/>
          <w:szCs w:val="22"/>
        </w:rPr>
      </w:pPr>
      <w:r w:rsidRPr="00CB13F7">
        <w:rPr>
          <w:sz w:val="22"/>
          <w:szCs w:val="22"/>
        </w:rPr>
        <w:t xml:space="preserve">PBA </w:t>
      </w:r>
      <w:r w:rsidR="00570B8F" w:rsidRPr="00CB13F7">
        <w:rPr>
          <w:sz w:val="22"/>
          <w:szCs w:val="22"/>
        </w:rPr>
        <w:tab/>
      </w:r>
      <w:r w:rsidR="00570B8F" w:rsidRPr="00CB13F7">
        <w:rPr>
          <w:sz w:val="22"/>
          <w:szCs w:val="22"/>
        </w:rPr>
        <w:tab/>
      </w:r>
      <w:r w:rsidRPr="00CB13F7">
        <w:rPr>
          <w:sz w:val="22"/>
          <w:szCs w:val="22"/>
        </w:rPr>
        <w:t xml:space="preserve">Projekt Buxhet Afatmesëm </w:t>
      </w:r>
    </w:p>
    <w:p w14:paraId="5D0AE637" w14:textId="77777777" w:rsidR="001771D3" w:rsidRPr="00CB13F7" w:rsidRDefault="001771D3" w:rsidP="008C69CC">
      <w:pPr>
        <w:spacing w:line="276" w:lineRule="auto"/>
        <w:rPr>
          <w:sz w:val="22"/>
          <w:szCs w:val="22"/>
        </w:rPr>
      </w:pPr>
      <w:r w:rsidRPr="00CB13F7">
        <w:rPr>
          <w:sz w:val="22"/>
          <w:szCs w:val="22"/>
        </w:rPr>
        <w:t>PEI</w:t>
      </w:r>
      <w:r w:rsidRPr="00CB13F7">
        <w:rPr>
          <w:sz w:val="22"/>
          <w:szCs w:val="22"/>
        </w:rPr>
        <w:tab/>
      </w:r>
      <w:r w:rsidRPr="00CB13F7">
        <w:rPr>
          <w:sz w:val="22"/>
          <w:szCs w:val="22"/>
        </w:rPr>
        <w:tab/>
        <w:t>Plan Edukimi Individual</w:t>
      </w:r>
    </w:p>
    <w:p w14:paraId="062EC2BF" w14:textId="77777777" w:rsidR="001771D3" w:rsidRPr="00CB13F7" w:rsidRDefault="001771D3" w:rsidP="008C69CC">
      <w:pPr>
        <w:spacing w:line="276" w:lineRule="auto"/>
        <w:rPr>
          <w:sz w:val="22"/>
          <w:szCs w:val="22"/>
        </w:rPr>
      </w:pPr>
      <w:r w:rsidRPr="00CB13F7">
        <w:rPr>
          <w:rFonts w:eastAsia="Times New Roman"/>
          <w:sz w:val="22"/>
          <w:szCs w:val="22"/>
        </w:rPr>
        <w:t xml:space="preserve">PIZH </w:t>
      </w:r>
      <w:r w:rsidR="00570B8F" w:rsidRPr="00CB13F7">
        <w:rPr>
          <w:rFonts w:eastAsia="Times New Roman"/>
          <w:sz w:val="22"/>
          <w:szCs w:val="22"/>
        </w:rPr>
        <w:tab/>
      </w:r>
      <w:r w:rsidR="00570B8F" w:rsidRPr="00CB13F7">
        <w:rPr>
          <w:rFonts w:eastAsia="Times New Roman"/>
          <w:sz w:val="22"/>
          <w:szCs w:val="22"/>
        </w:rPr>
        <w:tab/>
      </w:r>
      <w:r w:rsidRPr="00CB13F7">
        <w:rPr>
          <w:rFonts w:eastAsia="Times New Roman"/>
          <w:sz w:val="22"/>
          <w:szCs w:val="22"/>
        </w:rPr>
        <w:t>Plan Individual Zhvillimi</w:t>
      </w:r>
    </w:p>
    <w:p w14:paraId="4AF1C90A" w14:textId="77777777" w:rsidR="001771D3" w:rsidRPr="00CB13F7" w:rsidRDefault="001771D3" w:rsidP="008C69CC">
      <w:pPr>
        <w:spacing w:line="276" w:lineRule="auto"/>
        <w:rPr>
          <w:sz w:val="22"/>
          <w:szCs w:val="22"/>
        </w:rPr>
      </w:pPr>
      <w:r w:rsidRPr="00CB13F7">
        <w:rPr>
          <w:sz w:val="22"/>
          <w:szCs w:val="22"/>
        </w:rPr>
        <w:t>PKIE</w:t>
      </w:r>
      <w:r w:rsidRPr="00CB13F7">
        <w:rPr>
          <w:sz w:val="22"/>
          <w:szCs w:val="22"/>
        </w:rPr>
        <w:tab/>
      </w:r>
      <w:r w:rsidRPr="00CB13F7">
        <w:rPr>
          <w:sz w:val="22"/>
          <w:szCs w:val="22"/>
        </w:rPr>
        <w:tab/>
        <w:t>Plani Kombëtar i Integrimit Evropian</w:t>
      </w:r>
    </w:p>
    <w:p w14:paraId="38BA728E" w14:textId="77777777" w:rsidR="001771D3" w:rsidRPr="00CB13F7" w:rsidRDefault="001771D3" w:rsidP="008C69CC">
      <w:pPr>
        <w:spacing w:line="276" w:lineRule="auto"/>
        <w:rPr>
          <w:sz w:val="22"/>
          <w:szCs w:val="22"/>
        </w:rPr>
      </w:pPr>
      <w:r w:rsidRPr="00CB13F7">
        <w:rPr>
          <w:sz w:val="22"/>
          <w:szCs w:val="22"/>
        </w:rPr>
        <w:t xml:space="preserve">PKVPAK </w:t>
      </w:r>
      <w:r w:rsidRPr="00CB13F7">
        <w:rPr>
          <w:sz w:val="22"/>
          <w:szCs w:val="22"/>
        </w:rPr>
        <w:tab/>
        <w:t xml:space="preserve">Plani Kombëtar i Veprimit për Personat me Aftësi të Kufizuara, 2021-2025 </w:t>
      </w:r>
    </w:p>
    <w:p w14:paraId="42E5E993" w14:textId="77777777" w:rsidR="001771D3" w:rsidRPr="00CB13F7" w:rsidRDefault="001771D3" w:rsidP="008C69CC">
      <w:pPr>
        <w:spacing w:line="276" w:lineRule="auto"/>
        <w:rPr>
          <w:sz w:val="22"/>
          <w:szCs w:val="22"/>
        </w:rPr>
      </w:pPr>
      <w:r w:rsidRPr="00CB13F7">
        <w:rPr>
          <w:sz w:val="22"/>
          <w:szCs w:val="22"/>
        </w:rPr>
        <w:t xml:space="preserve">QB </w:t>
      </w:r>
      <w:r w:rsidR="00570B8F" w:rsidRPr="00CB13F7">
        <w:rPr>
          <w:sz w:val="22"/>
          <w:szCs w:val="22"/>
        </w:rPr>
        <w:tab/>
      </w:r>
      <w:r w:rsidR="00570B8F" w:rsidRPr="00CB13F7">
        <w:rPr>
          <w:sz w:val="22"/>
          <w:szCs w:val="22"/>
        </w:rPr>
        <w:tab/>
      </w:r>
      <w:r w:rsidRPr="00CB13F7">
        <w:rPr>
          <w:sz w:val="22"/>
          <w:szCs w:val="22"/>
        </w:rPr>
        <w:t xml:space="preserve">Qendra Burimore </w:t>
      </w:r>
    </w:p>
    <w:p w14:paraId="093E924F" w14:textId="77777777" w:rsidR="001771D3" w:rsidRPr="00CB13F7" w:rsidRDefault="001771D3" w:rsidP="008C69CC">
      <w:pPr>
        <w:spacing w:line="276" w:lineRule="auto"/>
        <w:rPr>
          <w:sz w:val="22"/>
          <w:szCs w:val="22"/>
        </w:rPr>
      </w:pPr>
      <w:r w:rsidRPr="00CB13F7">
        <w:rPr>
          <w:sz w:val="22"/>
          <w:szCs w:val="22"/>
        </w:rPr>
        <w:t>QFP</w:t>
      </w:r>
      <w:r w:rsidRPr="00CB13F7">
        <w:tab/>
      </w:r>
      <w:r w:rsidRPr="00CB13F7">
        <w:tab/>
      </w:r>
      <w:r w:rsidRPr="00CB13F7">
        <w:rPr>
          <w:sz w:val="22"/>
          <w:szCs w:val="22"/>
        </w:rPr>
        <w:t>Qendrat e Formimit Profesional</w:t>
      </w:r>
    </w:p>
    <w:p w14:paraId="799251F2" w14:textId="77777777" w:rsidR="001771D3" w:rsidRPr="00CB13F7" w:rsidRDefault="001771D3" w:rsidP="008C69CC">
      <w:pPr>
        <w:spacing w:line="276" w:lineRule="auto"/>
        <w:rPr>
          <w:sz w:val="22"/>
          <w:szCs w:val="22"/>
        </w:rPr>
      </w:pPr>
      <w:r w:rsidRPr="00CB13F7">
        <w:rPr>
          <w:sz w:val="22"/>
          <w:szCs w:val="22"/>
        </w:rPr>
        <w:t xml:space="preserve">QKSHM </w:t>
      </w:r>
      <w:r w:rsidR="00570B8F" w:rsidRPr="00CB13F7">
        <w:rPr>
          <w:sz w:val="22"/>
          <w:szCs w:val="22"/>
        </w:rPr>
        <w:tab/>
      </w:r>
      <w:r w:rsidRPr="00CB13F7">
        <w:rPr>
          <w:sz w:val="22"/>
          <w:szCs w:val="22"/>
        </w:rPr>
        <w:t xml:space="preserve">Qendra Komunitare për Shëndetin Mendor </w:t>
      </w:r>
    </w:p>
    <w:p w14:paraId="7D5EBB74" w14:textId="77777777" w:rsidR="001771D3" w:rsidRPr="00CB13F7" w:rsidRDefault="001771D3" w:rsidP="008C69CC">
      <w:pPr>
        <w:spacing w:line="276" w:lineRule="auto"/>
        <w:rPr>
          <w:sz w:val="22"/>
          <w:szCs w:val="22"/>
        </w:rPr>
      </w:pPr>
      <w:r w:rsidRPr="00CB13F7">
        <w:rPr>
          <w:sz w:val="22"/>
          <w:szCs w:val="22"/>
        </w:rPr>
        <w:t xml:space="preserve">QSUT </w:t>
      </w:r>
      <w:r w:rsidR="00570B8F" w:rsidRPr="00CB13F7">
        <w:rPr>
          <w:sz w:val="22"/>
          <w:szCs w:val="22"/>
        </w:rPr>
        <w:tab/>
      </w:r>
      <w:r w:rsidR="00570B8F" w:rsidRPr="00CB13F7">
        <w:rPr>
          <w:sz w:val="22"/>
          <w:szCs w:val="22"/>
        </w:rPr>
        <w:tab/>
      </w:r>
      <w:r w:rsidRPr="00CB13F7">
        <w:rPr>
          <w:sz w:val="22"/>
          <w:szCs w:val="22"/>
        </w:rPr>
        <w:t>Qendra Spitalore Universitare “Nënë Tereza”</w:t>
      </w:r>
    </w:p>
    <w:p w14:paraId="364A4BCD" w14:textId="77777777" w:rsidR="001771D3" w:rsidRPr="00CB13F7" w:rsidRDefault="001771D3" w:rsidP="008C69CC">
      <w:pPr>
        <w:spacing w:line="276" w:lineRule="auto"/>
        <w:rPr>
          <w:sz w:val="22"/>
          <w:szCs w:val="22"/>
        </w:rPr>
      </w:pPr>
      <w:r w:rsidRPr="00CB13F7">
        <w:rPr>
          <w:sz w:val="22"/>
          <w:szCs w:val="22"/>
        </w:rPr>
        <w:t>QSH</w:t>
      </w:r>
      <w:r w:rsidRPr="00CB13F7">
        <w:rPr>
          <w:sz w:val="22"/>
          <w:szCs w:val="22"/>
        </w:rPr>
        <w:tab/>
      </w:r>
      <w:r w:rsidRPr="00CB13F7">
        <w:rPr>
          <w:sz w:val="22"/>
          <w:szCs w:val="22"/>
        </w:rPr>
        <w:tab/>
        <w:t>Qendrat Shëndetësore</w:t>
      </w:r>
    </w:p>
    <w:p w14:paraId="5B4AB849" w14:textId="77777777" w:rsidR="001771D3" w:rsidRPr="00CB13F7" w:rsidRDefault="001771D3" w:rsidP="008C69CC">
      <w:pPr>
        <w:spacing w:line="276" w:lineRule="auto"/>
        <w:rPr>
          <w:sz w:val="22"/>
          <w:szCs w:val="22"/>
        </w:rPr>
      </w:pPr>
      <w:r w:rsidRPr="00CB13F7">
        <w:rPr>
          <w:sz w:val="22"/>
          <w:szCs w:val="22"/>
        </w:rPr>
        <w:t xml:space="preserve">QV </w:t>
      </w:r>
      <w:r w:rsidR="00570B8F" w:rsidRPr="00CB13F7">
        <w:rPr>
          <w:sz w:val="22"/>
          <w:szCs w:val="22"/>
        </w:rPr>
        <w:tab/>
      </w:r>
      <w:r w:rsidR="00570B8F" w:rsidRPr="00CB13F7">
        <w:rPr>
          <w:sz w:val="22"/>
          <w:szCs w:val="22"/>
        </w:rPr>
        <w:tab/>
      </w:r>
      <w:r w:rsidRPr="00CB13F7">
        <w:rPr>
          <w:sz w:val="22"/>
          <w:szCs w:val="22"/>
        </w:rPr>
        <w:t xml:space="preserve">Qendra Votimi </w:t>
      </w:r>
    </w:p>
    <w:p w14:paraId="1AECCD35" w14:textId="5EA18154" w:rsidR="001771D3" w:rsidRPr="00CB13F7" w:rsidRDefault="7CCBCF77" w:rsidP="008C69CC">
      <w:pPr>
        <w:spacing w:line="276" w:lineRule="auto"/>
        <w:rPr>
          <w:sz w:val="22"/>
          <w:szCs w:val="22"/>
        </w:rPr>
      </w:pPr>
      <w:r w:rsidRPr="00CB13F7">
        <w:rPr>
          <w:sz w:val="22"/>
          <w:szCs w:val="22"/>
        </w:rPr>
        <w:t>OZHQ</w:t>
      </w:r>
      <w:r w:rsidR="6309BE2C" w:rsidRPr="00CB13F7">
        <w:rPr>
          <w:sz w:val="22"/>
          <w:szCs w:val="22"/>
        </w:rPr>
        <w:t xml:space="preserve"> </w:t>
      </w:r>
      <w:r w:rsidR="001771D3" w:rsidRPr="00CB13F7">
        <w:tab/>
      </w:r>
      <w:r w:rsidR="00A142C3" w:rsidRPr="00CB13F7">
        <w:tab/>
      </w:r>
      <w:r w:rsidR="68EE124B" w:rsidRPr="00CB13F7">
        <w:rPr>
          <w:sz w:val="22"/>
          <w:szCs w:val="22"/>
        </w:rPr>
        <w:t>Objektivat</w:t>
      </w:r>
      <w:r w:rsidR="6309BE2C" w:rsidRPr="00CB13F7">
        <w:rPr>
          <w:sz w:val="22"/>
          <w:szCs w:val="22"/>
        </w:rPr>
        <w:t xml:space="preserve"> e Zhvillimit të Qëndrueshëm</w:t>
      </w:r>
    </w:p>
    <w:p w14:paraId="09892E71" w14:textId="77777777" w:rsidR="001771D3" w:rsidRPr="00CB13F7" w:rsidRDefault="001771D3" w:rsidP="008C69CC">
      <w:pPr>
        <w:spacing w:line="276" w:lineRule="auto"/>
        <w:rPr>
          <w:sz w:val="22"/>
          <w:szCs w:val="22"/>
        </w:rPr>
      </w:pPr>
      <w:r w:rsidRPr="00CB13F7">
        <w:rPr>
          <w:sz w:val="22"/>
          <w:szCs w:val="22"/>
        </w:rPr>
        <w:t>SKZHIE</w:t>
      </w:r>
      <w:r w:rsidRPr="00CB13F7">
        <w:rPr>
          <w:color w:val="FF0000"/>
          <w:sz w:val="22"/>
          <w:szCs w:val="22"/>
        </w:rPr>
        <w:t xml:space="preserve"> </w:t>
      </w:r>
      <w:r w:rsidR="00570B8F" w:rsidRPr="00CB13F7">
        <w:rPr>
          <w:color w:val="FF0000"/>
          <w:sz w:val="22"/>
          <w:szCs w:val="22"/>
        </w:rPr>
        <w:tab/>
      </w:r>
      <w:r w:rsidRPr="00CB13F7">
        <w:rPr>
          <w:sz w:val="22"/>
          <w:szCs w:val="22"/>
        </w:rPr>
        <w:t xml:space="preserve">Strategjia Kombëtare për Zhvillim dhe integrim Evropian </w:t>
      </w:r>
    </w:p>
    <w:p w14:paraId="6EC763C3" w14:textId="5590FF93" w:rsidR="001771D3" w:rsidRPr="00CB13F7" w:rsidRDefault="001771D3" w:rsidP="008C69CC">
      <w:pPr>
        <w:spacing w:line="276" w:lineRule="auto"/>
        <w:rPr>
          <w:sz w:val="22"/>
          <w:szCs w:val="22"/>
        </w:rPr>
      </w:pPr>
      <w:r w:rsidRPr="00CB13F7">
        <w:rPr>
          <w:sz w:val="22"/>
          <w:szCs w:val="22"/>
        </w:rPr>
        <w:t xml:space="preserve">SHSSH </w:t>
      </w:r>
      <w:r w:rsidRPr="00CB13F7">
        <w:rPr>
          <w:sz w:val="22"/>
          <w:szCs w:val="22"/>
        </w:rPr>
        <w:tab/>
        <w:t xml:space="preserve">Shërbimi Social Shtetëror </w:t>
      </w:r>
    </w:p>
    <w:p w14:paraId="368B4464" w14:textId="1F16EAD1" w:rsidR="001771D3" w:rsidRPr="00CB13F7" w:rsidRDefault="6309BE2C" w:rsidP="00A142C3">
      <w:pPr>
        <w:spacing w:line="276" w:lineRule="auto"/>
        <w:rPr>
          <w:rFonts w:eastAsia="Times New Roman"/>
          <w:sz w:val="22"/>
          <w:szCs w:val="22"/>
        </w:rPr>
      </w:pPr>
      <w:r w:rsidRPr="00CB13F7">
        <w:rPr>
          <w:sz w:val="22"/>
          <w:szCs w:val="22"/>
        </w:rPr>
        <w:t xml:space="preserve">UNESCO </w:t>
      </w:r>
      <w:r w:rsidR="00A142C3" w:rsidRPr="00CB13F7">
        <w:rPr>
          <w:sz w:val="22"/>
          <w:szCs w:val="22"/>
        </w:rPr>
        <w:tab/>
      </w:r>
      <w:r w:rsidR="3844CF0A" w:rsidRPr="00CB13F7">
        <w:rPr>
          <w:rFonts w:eastAsia="Times New Roman"/>
          <w:sz w:val="22"/>
          <w:szCs w:val="22"/>
        </w:rPr>
        <w:t>Organizata e Kombeve t</w:t>
      </w:r>
      <w:r w:rsidR="004B03EF" w:rsidRPr="00CB13F7">
        <w:rPr>
          <w:rFonts w:eastAsia="Times New Roman"/>
          <w:sz w:val="22"/>
          <w:szCs w:val="22"/>
        </w:rPr>
        <w:t>ë</w:t>
      </w:r>
      <w:r w:rsidR="3844CF0A" w:rsidRPr="00CB13F7">
        <w:rPr>
          <w:rFonts w:eastAsia="Times New Roman"/>
          <w:sz w:val="22"/>
          <w:szCs w:val="22"/>
        </w:rPr>
        <w:t xml:space="preserve"> Bashkuara p</w:t>
      </w:r>
      <w:r w:rsidR="004B03EF" w:rsidRPr="00CB13F7">
        <w:rPr>
          <w:rFonts w:eastAsia="Times New Roman"/>
          <w:sz w:val="22"/>
          <w:szCs w:val="22"/>
        </w:rPr>
        <w:t>ë</w:t>
      </w:r>
      <w:r w:rsidR="3844CF0A" w:rsidRPr="00CB13F7">
        <w:rPr>
          <w:rFonts w:eastAsia="Times New Roman"/>
          <w:sz w:val="22"/>
          <w:szCs w:val="22"/>
        </w:rPr>
        <w:t>r Arsim, Shkenc</w:t>
      </w:r>
      <w:r w:rsidR="004B03EF" w:rsidRPr="00CB13F7">
        <w:rPr>
          <w:rFonts w:eastAsia="Times New Roman"/>
          <w:sz w:val="22"/>
          <w:szCs w:val="22"/>
        </w:rPr>
        <w:t>ë</w:t>
      </w:r>
      <w:r w:rsidR="3844CF0A" w:rsidRPr="00CB13F7">
        <w:rPr>
          <w:rFonts w:eastAsia="Times New Roman"/>
          <w:sz w:val="22"/>
          <w:szCs w:val="22"/>
        </w:rPr>
        <w:t xml:space="preserve"> dhe Kultur</w:t>
      </w:r>
      <w:r w:rsidR="004B03EF" w:rsidRPr="00CB13F7">
        <w:rPr>
          <w:rFonts w:eastAsia="Times New Roman"/>
          <w:sz w:val="22"/>
          <w:szCs w:val="22"/>
        </w:rPr>
        <w:t>ë</w:t>
      </w:r>
      <w:r w:rsidR="3844CF0A" w:rsidRPr="00CB13F7">
        <w:rPr>
          <w:rFonts w:eastAsia="Times New Roman"/>
          <w:sz w:val="22"/>
          <w:szCs w:val="22"/>
        </w:rPr>
        <w:t xml:space="preserve"> </w:t>
      </w:r>
    </w:p>
    <w:p w14:paraId="28D044CD" w14:textId="77777777" w:rsidR="001771D3" w:rsidRPr="00CB13F7" w:rsidRDefault="001771D3" w:rsidP="00570B8F">
      <w:pPr>
        <w:rPr>
          <w:sz w:val="22"/>
          <w:szCs w:val="22"/>
        </w:rPr>
      </w:pPr>
      <w:r w:rsidRPr="00CB13F7">
        <w:rPr>
          <w:sz w:val="22"/>
          <w:szCs w:val="22"/>
        </w:rPr>
        <w:t xml:space="preserve">VKM </w:t>
      </w:r>
      <w:r w:rsidR="00570B8F" w:rsidRPr="00CB13F7">
        <w:rPr>
          <w:sz w:val="22"/>
          <w:szCs w:val="22"/>
        </w:rPr>
        <w:tab/>
      </w:r>
      <w:r w:rsidR="00570B8F" w:rsidRPr="00CB13F7">
        <w:rPr>
          <w:sz w:val="22"/>
          <w:szCs w:val="22"/>
        </w:rPr>
        <w:tab/>
      </w:r>
      <w:r w:rsidRPr="00CB13F7">
        <w:rPr>
          <w:sz w:val="22"/>
          <w:szCs w:val="22"/>
        </w:rPr>
        <w:t>Vendim i Këshillit të Ministrave</w:t>
      </w:r>
    </w:p>
    <w:p w14:paraId="58EC4350" w14:textId="3A3142FD" w:rsidR="001771D3" w:rsidRPr="00CB13F7" w:rsidRDefault="004B03EF" w:rsidP="661F9D2E">
      <w:pPr>
        <w:spacing w:line="276" w:lineRule="auto"/>
        <w:rPr>
          <w:sz w:val="22"/>
          <w:szCs w:val="22"/>
        </w:rPr>
      </w:pPr>
      <w:r w:rsidRPr="00CB13F7">
        <w:rPr>
          <w:sz w:val="22"/>
          <w:szCs w:val="22"/>
        </w:rPr>
        <w:t>Ë</w:t>
      </w:r>
      <w:r w:rsidR="6309BE2C" w:rsidRPr="00CB13F7">
        <w:rPr>
          <w:sz w:val="22"/>
          <w:szCs w:val="22"/>
        </w:rPr>
        <w:t xml:space="preserve">CAG </w:t>
      </w:r>
      <w:r w:rsidR="001771D3" w:rsidRPr="00CB13F7">
        <w:tab/>
      </w:r>
      <w:r w:rsidR="00D27E69" w:rsidRPr="00CB13F7">
        <w:tab/>
      </w:r>
      <w:r w:rsidR="37E2F78A" w:rsidRPr="00CB13F7">
        <w:rPr>
          <w:sz w:val="22"/>
          <w:szCs w:val="22"/>
        </w:rPr>
        <w:t>Udh</w:t>
      </w:r>
      <w:r w:rsidRPr="00CB13F7">
        <w:rPr>
          <w:sz w:val="22"/>
          <w:szCs w:val="22"/>
        </w:rPr>
        <w:t>ë</w:t>
      </w:r>
      <w:r w:rsidR="37E2F78A" w:rsidRPr="00CB13F7">
        <w:rPr>
          <w:sz w:val="22"/>
          <w:szCs w:val="22"/>
        </w:rPr>
        <w:t>zimi p</w:t>
      </w:r>
      <w:r w:rsidRPr="00CB13F7">
        <w:rPr>
          <w:sz w:val="22"/>
          <w:szCs w:val="22"/>
        </w:rPr>
        <w:t>ë</w:t>
      </w:r>
      <w:r w:rsidR="37E2F78A" w:rsidRPr="00CB13F7">
        <w:rPr>
          <w:sz w:val="22"/>
          <w:szCs w:val="22"/>
        </w:rPr>
        <w:t>r Aksesueshm</w:t>
      </w:r>
      <w:r w:rsidRPr="00CB13F7">
        <w:rPr>
          <w:sz w:val="22"/>
          <w:szCs w:val="22"/>
        </w:rPr>
        <w:t>ë</w:t>
      </w:r>
      <w:r w:rsidR="37E2F78A" w:rsidRPr="00CB13F7">
        <w:rPr>
          <w:sz w:val="22"/>
          <w:szCs w:val="22"/>
        </w:rPr>
        <w:t>rin</w:t>
      </w:r>
      <w:r w:rsidRPr="00CB13F7">
        <w:rPr>
          <w:sz w:val="22"/>
          <w:szCs w:val="22"/>
        </w:rPr>
        <w:t>ë</w:t>
      </w:r>
      <w:r w:rsidR="37E2F78A" w:rsidRPr="00CB13F7">
        <w:rPr>
          <w:sz w:val="22"/>
          <w:szCs w:val="22"/>
        </w:rPr>
        <w:t xml:space="preserve"> e P</w:t>
      </w:r>
      <w:r w:rsidRPr="00CB13F7">
        <w:rPr>
          <w:sz w:val="22"/>
          <w:szCs w:val="22"/>
        </w:rPr>
        <w:t>ë</w:t>
      </w:r>
      <w:r w:rsidR="37E2F78A" w:rsidRPr="00CB13F7">
        <w:rPr>
          <w:sz w:val="22"/>
          <w:szCs w:val="22"/>
        </w:rPr>
        <w:t>rmbajtjes n</w:t>
      </w:r>
      <w:r w:rsidRPr="00CB13F7">
        <w:rPr>
          <w:sz w:val="22"/>
          <w:szCs w:val="22"/>
        </w:rPr>
        <w:t>ë</w:t>
      </w:r>
      <w:r w:rsidR="37E2F78A" w:rsidRPr="00CB13F7">
        <w:rPr>
          <w:sz w:val="22"/>
          <w:szCs w:val="22"/>
        </w:rPr>
        <w:t xml:space="preserve"> Rrjet</w:t>
      </w:r>
      <w:r w:rsidR="6309BE2C" w:rsidRPr="00CB13F7">
        <w:rPr>
          <w:sz w:val="22"/>
          <w:szCs w:val="22"/>
        </w:rPr>
        <w:t xml:space="preserve"> </w:t>
      </w:r>
    </w:p>
    <w:p w14:paraId="61F0460F" w14:textId="77777777" w:rsidR="001771D3" w:rsidRPr="00CB13F7" w:rsidRDefault="001771D3" w:rsidP="008C69CC">
      <w:pPr>
        <w:spacing w:line="276" w:lineRule="auto"/>
        <w:rPr>
          <w:sz w:val="22"/>
          <w:szCs w:val="22"/>
        </w:rPr>
      </w:pPr>
      <w:r w:rsidRPr="00CB13F7">
        <w:rPr>
          <w:sz w:val="22"/>
          <w:szCs w:val="22"/>
        </w:rPr>
        <w:t xml:space="preserve">ZVA </w:t>
      </w:r>
      <w:r w:rsidR="00570B8F" w:rsidRPr="00CB13F7">
        <w:rPr>
          <w:sz w:val="22"/>
          <w:szCs w:val="22"/>
        </w:rPr>
        <w:tab/>
      </w:r>
      <w:r w:rsidR="00570B8F" w:rsidRPr="00CB13F7">
        <w:rPr>
          <w:sz w:val="22"/>
          <w:szCs w:val="22"/>
        </w:rPr>
        <w:tab/>
      </w:r>
      <w:r w:rsidRPr="00CB13F7">
        <w:rPr>
          <w:sz w:val="22"/>
          <w:szCs w:val="22"/>
        </w:rPr>
        <w:t>Zyrë Vendore e Arsimit</w:t>
      </w:r>
    </w:p>
    <w:p w14:paraId="17967056" w14:textId="77777777" w:rsidR="00A142C3" w:rsidRPr="00CB13F7" w:rsidRDefault="00A142C3" w:rsidP="008C69CC">
      <w:pPr>
        <w:spacing w:line="276" w:lineRule="auto"/>
        <w:rPr>
          <w:sz w:val="22"/>
          <w:szCs w:val="22"/>
        </w:rPr>
      </w:pPr>
    </w:p>
    <w:p w14:paraId="0546F985" w14:textId="77777777" w:rsidR="00A142C3" w:rsidRPr="00CB13F7" w:rsidRDefault="00A142C3" w:rsidP="008C69CC">
      <w:pPr>
        <w:spacing w:line="276" w:lineRule="auto"/>
        <w:rPr>
          <w:sz w:val="22"/>
          <w:szCs w:val="22"/>
        </w:rPr>
      </w:pPr>
    </w:p>
    <w:p w14:paraId="325802BA" w14:textId="77777777" w:rsidR="00A142C3" w:rsidRPr="00CB13F7" w:rsidRDefault="00A142C3" w:rsidP="008C69CC">
      <w:pPr>
        <w:spacing w:line="276" w:lineRule="auto"/>
        <w:rPr>
          <w:sz w:val="22"/>
          <w:szCs w:val="22"/>
        </w:rPr>
      </w:pPr>
    </w:p>
    <w:p w14:paraId="600D5327" w14:textId="77777777" w:rsidR="00A142C3" w:rsidRPr="00CB13F7" w:rsidRDefault="00A142C3" w:rsidP="008C69CC">
      <w:pPr>
        <w:spacing w:line="276" w:lineRule="auto"/>
        <w:rPr>
          <w:sz w:val="22"/>
          <w:szCs w:val="22"/>
        </w:rPr>
      </w:pPr>
    </w:p>
    <w:p w14:paraId="1556CA52" w14:textId="77777777" w:rsidR="00A142C3" w:rsidRPr="00CB13F7" w:rsidRDefault="00A142C3" w:rsidP="008C69CC">
      <w:pPr>
        <w:spacing w:line="276" w:lineRule="auto"/>
        <w:rPr>
          <w:sz w:val="22"/>
          <w:szCs w:val="22"/>
        </w:rPr>
      </w:pPr>
    </w:p>
    <w:p w14:paraId="56D5C357" w14:textId="77777777" w:rsidR="00A142C3" w:rsidRPr="00CB13F7" w:rsidRDefault="00A142C3" w:rsidP="008C69CC">
      <w:pPr>
        <w:spacing w:line="276" w:lineRule="auto"/>
        <w:rPr>
          <w:sz w:val="22"/>
          <w:szCs w:val="22"/>
        </w:rPr>
      </w:pPr>
    </w:p>
    <w:p w14:paraId="3B0B71F4" w14:textId="77777777" w:rsidR="00A142C3" w:rsidRPr="00CB13F7" w:rsidRDefault="00A142C3" w:rsidP="008C69CC">
      <w:pPr>
        <w:spacing w:line="276" w:lineRule="auto"/>
        <w:rPr>
          <w:sz w:val="22"/>
          <w:szCs w:val="22"/>
        </w:rPr>
      </w:pPr>
    </w:p>
    <w:p w14:paraId="5FA2CEA2" w14:textId="77777777" w:rsidR="00E66747" w:rsidRPr="00CB13F7" w:rsidRDefault="00E66747" w:rsidP="004E4604">
      <w:pPr>
        <w:pStyle w:val="ListParagraph"/>
        <w:numPr>
          <w:ilvl w:val="0"/>
          <w:numId w:val="8"/>
        </w:numPr>
        <w:spacing w:before="120" w:after="120" w:line="276" w:lineRule="auto"/>
        <w:ind w:left="0" w:firstLine="0"/>
        <w:contextualSpacing w:val="0"/>
        <w:jc w:val="both"/>
        <w:rPr>
          <w:rFonts w:eastAsia="Times New Roman"/>
          <w:b/>
          <w:bCs/>
          <w:lang w:eastAsia="en-US"/>
        </w:rPr>
      </w:pPr>
      <w:r w:rsidRPr="00CB13F7">
        <w:rPr>
          <w:rFonts w:eastAsia="Times New Roman"/>
          <w:b/>
          <w:bCs/>
          <w:lang w:eastAsia="en-US"/>
        </w:rPr>
        <w:t>HYRJE</w:t>
      </w:r>
    </w:p>
    <w:p w14:paraId="03DE03BB" w14:textId="77777777" w:rsidR="004D0AF9" w:rsidRPr="00CB13F7" w:rsidRDefault="00F536EA" w:rsidP="004E4604">
      <w:pPr>
        <w:pStyle w:val="NormalWeb"/>
        <w:spacing w:before="120" w:beforeAutospacing="0" w:after="120" w:afterAutospacing="0" w:line="276" w:lineRule="auto"/>
        <w:jc w:val="both"/>
        <w:rPr>
          <w:lang w:val="sq-AL"/>
        </w:rPr>
      </w:pPr>
      <w:r w:rsidRPr="00CB13F7">
        <w:rPr>
          <w:lang w:val="sq-AL"/>
        </w:rPr>
        <w:t xml:space="preserve">Në vitet e fundit, Shqipëria ka bërë përparime të rëndësishme në ndërtimin e kuadrit ligjor dhe institucional për mbrojtjen e të drejtave të personave me aftësi të kufizuara. Janë ndërmarrë reforma strukturore, si vlerësimi bio-psiko-social i aftësisë së kufizuar, zgjerimi i shërbimeve komunitare, përmirësimi i arsimit gjithëpërfshirës dhe rritja e aksesit në shërbime publike. Megjithatë, sfida kryesore mbetet hendeku midis të drejtave të njohura në </w:t>
      </w:r>
      <w:r w:rsidR="00630349" w:rsidRPr="00CB13F7">
        <w:rPr>
          <w:lang w:val="sq-AL"/>
        </w:rPr>
        <w:t xml:space="preserve">kuadrin ligjor </w:t>
      </w:r>
      <w:r w:rsidRPr="00CB13F7">
        <w:rPr>
          <w:lang w:val="sq-AL"/>
        </w:rPr>
        <w:t xml:space="preserve">dhe zbatimit efektiv të tyre në praktikë. </w:t>
      </w:r>
    </w:p>
    <w:p w14:paraId="7741DF78" w14:textId="58C59C85" w:rsidR="00F536EA" w:rsidRPr="00CB13F7" w:rsidRDefault="094CF2DF" w:rsidP="661F9D2E">
      <w:pPr>
        <w:pStyle w:val="NormalWeb"/>
        <w:spacing w:before="120" w:beforeAutospacing="0" w:after="120" w:afterAutospacing="0" w:line="276" w:lineRule="auto"/>
        <w:jc w:val="both"/>
        <w:rPr>
          <w:lang w:val="sq-AL"/>
        </w:rPr>
      </w:pPr>
      <w:r w:rsidRPr="00CB13F7">
        <w:rPr>
          <w:lang w:val="sq-AL"/>
        </w:rPr>
        <w:t xml:space="preserve">Për shumë </w:t>
      </w:r>
      <w:r w:rsidR="79189A40" w:rsidRPr="00CB13F7">
        <w:rPr>
          <w:lang w:val="sq-AL"/>
        </w:rPr>
        <w:t>se</w:t>
      </w:r>
      <w:r w:rsidR="0F9C4D04" w:rsidRPr="00CB13F7">
        <w:rPr>
          <w:lang w:val="sq-AL"/>
        </w:rPr>
        <w:t xml:space="preserve"> 148,268 </w:t>
      </w:r>
      <w:r w:rsidRPr="00CB13F7">
        <w:rPr>
          <w:lang w:val="sq-AL"/>
        </w:rPr>
        <w:t>persona me aftësi të kufizuara</w:t>
      </w:r>
      <w:r w:rsidR="0F9C4D04" w:rsidRPr="00CB13F7">
        <w:rPr>
          <w:lang w:val="sq-AL"/>
        </w:rPr>
        <w:t xml:space="preserve"> </w:t>
      </w:r>
      <w:r w:rsidR="4794F7C1" w:rsidRPr="00CB13F7">
        <w:rPr>
          <w:lang w:val="sq-AL"/>
        </w:rPr>
        <w:t>dhe invalid</w:t>
      </w:r>
      <w:r w:rsidR="004B03EF" w:rsidRPr="00CB13F7">
        <w:rPr>
          <w:lang w:val="sq-AL"/>
        </w:rPr>
        <w:t>ë</w:t>
      </w:r>
      <w:r w:rsidR="4794F7C1" w:rsidRPr="00CB13F7">
        <w:rPr>
          <w:lang w:val="sq-AL"/>
        </w:rPr>
        <w:t xml:space="preserve"> pune </w:t>
      </w:r>
      <w:r w:rsidR="0F9C4D04" w:rsidRPr="00CB13F7">
        <w:rPr>
          <w:lang w:val="sq-AL"/>
        </w:rPr>
        <w:t>në Shqipëri</w:t>
      </w:r>
      <w:r w:rsidRPr="00CB13F7">
        <w:rPr>
          <w:lang w:val="sq-AL"/>
        </w:rPr>
        <w:t xml:space="preserve">, pengesat nuk lidhen vetëm me gjendjen shëndetësore, por me barrierat </w:t>
      </w:r>
      <w:r w:rsidR="0F9C4D04" w:rsidRPr="00CB13F7">
        <w:rPr>
          <w:lang w:val="sq-AL"/>
        </w:rPr>
        <w:t>me të cilat at</w:t>
      </w:r>
      <w:r w:rsidR="74F4F83B" w:rsidRPr="00CB13F7">
        <w:rPr>
          <w:lang w:val="sq-AL"/>
        </w:rPr>
        <w:t>a</w:t>
      </w:r>
      <w:r w:rsidR="0F9C4D04" w:rsidRPr="00CB13F7">
        <w:rPr>
          <w:lang w:val="sq-AL"/>
        </w:rPr>
        <w:t xml:space="preserve"> ndeshen në</w:t>
      </w:r>
      <w:r w:rsidRPr="00CB13F7">
        <w:rPr>
          <w:lang w:val="sq-AL"/>
        </w:rPr>
        <w:t xml:space="preserve"> mjedis, në shërbimet publike, në informacion, në tregun e punës dhe në jetën komunitare. Për rrjedhojë, përfshirja e tyre nuk është vetëm një çështje e mbrojtjes sociale, por një çështje e të drejtave të njeriut, zhvillimit ekonomik dhe demokracisë.</w:t>
      </w:r>
    </w:p>
    <w:p w14:paraId="5EC12E47" w14:textId="0A030F63" w:rsidR="005306F3" w:rsidRPr="00CB13F7" w:rsidRDefault="094CF2DF" w:rsidP="004E4604">
      <w:pPr>
        <w:autoSpaceDE w:val="0"/>
        <w:autoSpaceDN w:val="0"/>
        <w:adjustRightInd w:val="0"/>
        <w:spacing w:before="120" w:after="120" w:line="276" w:lineRule="auto"/>
        <w:jc w:val="both"/>
        <w:rPr>
          <w:color w:val="000000"/>
        </w:rPr>
      </w:pPr>
      <w:r w:rsidRPr="00CB13F7">
        <w:t>Në këtë kontekst, Plani Kombëtar i Veprimit për Personat me Aftësi të Kufizuara 2026</w:t>
      </w:r>
      <w:r w:rsidR="3D136F1F" w:rsidRPr="00CB13F7">
        <w:t>-</w:t>
      </w:r>
      <w:r w:rsidRPr="00CB13F7">
        <w:t>2030 (PKVPAK) përbën dokumentin kryesor të politikave publike</w:t>
      </w:r>
      <w:r w:rsidR="3D136F1F" w:rsidRPr="00CB13F7">
        <w:t>,</w:t>
      </w:r>
      <w:r w:rsidRPr="00CB13F7">
        <w:t xml:space="preserve"> që synon të </w:t>
      </w:r>
      <w:r w:rsidR="3D136F1F" w:rsidRPr="00CB13F7">
        <w:t>mund</w:t>
      </w:r>
      <w:r w:rsidR="3F09EB32" w:rsidRPr="00CB13F7">
        <w:t>ë</w:t>
      </w:r>
      <w:r w:rsidR="3D136F1F" w:rsidRPr="00CB13F7">
        <w:t>soj</w:t>
      </w:r>
      <w:r w:rsidR="3F09EB32" w:rsidRPr="00CB13F7">
        <w:t>ë</w:t>
      </w:r>
      <w:r w:rsidR="3D136F1F" w:rsidRPr="00CB13F7">
        <w:t xml:space="preserve"> </w:t>
      </w:r>
      <w:r w:rsidRPr="00CB13F7">
        <w:t xml:space="preserve">kalimin nga një model i mbështetjes financiare drejt një modeli të përfshirjes së plotë sociale dhe ekonomike. Plani synon të </w:t>
      </w:r>
      <w:r w:rsidR="3D136F1F" w:rsidRPr="00CB13F7">
        <w:t>realizoj</w:t>
      </w:r>
      <w:r w:rsidR="3F09EB32" w:rsidRPr="00CB13F7">
        <w:t>ë</w:t>
      </w:r>
      <w:r w:rsidR="3D136F1F" w:rsidRPr="00CB13F7">
        <w:t xml:space="preserve"> </w:t>
      </w:r>
      <w:r w:rsidRPr="00CB13F7">
        <w:t>që personat me aftësi të kufizuara të kenë mundësi reale për të jetuar në mënyrë të pavarur, për të marrë pjesë në komunitet dhe për të ushtruar të drejtat e tyre në mënyrë të barabartë me të gjithë qytetarët</w:t>
      </w:r>
      <w:r w:rsidR="3D136F1F" w:rsidRPr="00CB13F7">
        <w:t xml:space="preserve"> e tjer</w:t>
      </w:r>
      <w:r w:rsidR="3F09EB32" w:rsidRPr="00CB13F7">
        <w:t>ë</w:t>
      </w:r>
      <w:r w:rsidR="3D136F1F" w:rsidRPr="00CB13F7">
        <w:t>.</w:t>
      </w:r>
      <w:r w:rsidR="654FECFB" w:rsidRPr="00CB13F7">
        <w:t xml:space="preserve"> </w:t>
      </w:r>
      <w:r w:rsidR="3A581716" w:rsidRPr="00CB13F7">
        <w:rPr>
          <w:color w:val="000000"/>
        </w:rPr>
        <w:t>PKVPAK 2026-2030, është një dokument ndërsektorial i qeverisë shqiptare që përfshin politika të dedikuara për personat me aftësi të kufizuara e që do të zbat</w:t>
      </w:r>
      <w:r w:rsidR="00D27E69" w:rsidRPr="00CB13F7">
        <w:rPr>
          <w:color w:val="000000"/>
        </w:rPr>
        <w:t>ohen</w:t>
      </w:r>
      <w:r w:rsidR="3A581716" w:rsidRPr="00CB13F7">
        <w:rPr>
          <w:color w:val="000000"/>
        </w:rPr>
        <w:t xml:space="preserve"> gjatë 5 vjeçarit të ardhshëm. </w:t>
      </w:r>
      <w:r w:rsidR="3644967F" w:rsidRPr="00CB13F7">
        <w:rPr>
          <w:color w:val="000000"/>
        </w:rPr>
        <w:t xml:space="preserve">Ky plan, vjen si një dokument vijues i PKVPAK 2021-2025. </w:t>
      </w:r>
      <w:r w:rsidR="3A581716" w:rsidRPr="00CB13F7">
        <w:rPr>
          <w:color w:val="000000"/>
        </w:rPr>
        <w:t>Hartimi i PKVPAK 2025-2030 kaloi nëpërmjet një procesi të udhëhequr nga Ministria e Shëndetësisë dhe Mirëqenies Sociale nëpërmjet Grupit Teknik Ndërinstitucional të Punës (GTNP) i ngritur me Urdhër Nr. 553 datë 11.11.2025</w:t>
      </w:r>
      <w:r w:rsidR="00D27E69" w:rsidRPr="00CB13F7">
        <w:rPr>
          <w:color w:val="000000"/>
        </w:rPr>
        <w:t xml:space="preserve"> </w:t>
      </w:r>
      <w:r w:rsidR="1EBECFEC" w:rsidRPr="00CB13F7">
        <w:rPr>
          <w:color w:val="000000"/>
        </w:rPr>
        <w:t>t</w:t>
      </w:r>
      <w:r w:rsidR="004B03EF" w:rsidRPr="00CB13F7">
        <w:rPr>
          <w:color w:val="000000"/>
        </w:rPr>
        <w:t>ë</w:t>
      </w:r>
      <w:r w:rsidR="1EBECFEC" w:rsidRPr="00CB13F7">
        <w:rPr>
          <w:color w:val="000000"/>
        </w:rPr>
        <w:t xml:space="preserve"> Ministrit t</w:t>
      </w:r>
      <w:r w:rsidR="004B03EF" w:rsidRPr="00CB13F7">
        <w:rPr>
          <w:color w:val="000000"/>
        </w:rPr>
        <w:t>ë</w:t>
      </w:r>
      <w:r w:rsidR="1EBECFEC" w:rsidRPr="00CB13F7">
        <w:rPr>
          <w:color w:val="000000"/>
        </w:rPr>
        <w:t xml:space="preserve"> Sh</w:t>
      </w:r>
      <w:r w:rsidR="004B03EF" w:rsidRPr="00CB13F7">
        <w:rPr>
          <w:color w:val="000000"/>
        </w:rPr>
        <w:t>ë</w:t>
      </w:r>
      <w:r w:rsidR="1EBECFEC" w:rsidRPr="00CB13F7">
        <w:rPr>
          <w:color w:val="000000"/>
        </w:rPr>
        <w:t>ndet</w:t>
      </w:r>
      <w:r w:rsidR="004B03EF" w:rsidRPr="00CB13F7">
        <w:rPr>
          <w:color w:val="000000"/>
        </w:rPr>
        <w:t>ë</w:t>
      </w:r>
      <w:r w:rsidR="1EBECFEC" w:rsidRPr="00CB13F7">
        <w:rPr>
          <w:color w:val="000000"/>
        </w:rPr>
        <w:t>sis</w:t>
      </w:r>
      <w:r w:rsidR="004B03EF" w:rsidRPr="00CB13F7">
        <w:rPr>
          <w:color w:val="000000"/>
        </w:rPr>
        <w:t>ë</w:t>
      </w:r>
      <w:r w:rsidR="1EBECFEC" w:rsidRPr="00CB13F7">
        <w:rPr>
          <w:color w:val="000000"/>
        </w:rPr>
        <w:t xml:space="preserve"> dhe Mir</w:t>
      </w:r>
      <w:r w:rsidR="004B03EF" w:rsidRPr="00CB13F7">
        <w:rPr>
          <w:color w:val="000000"/>
        </w:rPr>
        <w:t>ë</w:t>
      </w:r>
      <w:r w:rsidR="1EBECFEC" w:rsidRPr="00CB13F7">
        <w:rPr>
          <w:color w:val="000000"/>
        </w:rPr>
        <w:t>qenies Sociale</w:t>
      </w:r>
      <w:r w:rsidR="3A581716" w:rsidRPr="00CB13F7">
        <w:t>.</w:t>
      </w:r>
      <w:r w:rsidR="3A581716" w:rsidRPr="00CB13F7">
        <w:rPr>
          <w:rFonts w:eastAsia="+mn-ea"/>
          <w:kern w:val="24"/>
        </w:rPr>
        <w:t xml:space="preserve"> </w:t>
      </w:r>
      <w:r w:rsidR="3644967F" w:rsidRPr="00CB13F7">
        <w:t>Procesi i formulimit dhe konsultimit t</w:t>
      </w:r>
      <w:r w:rsidR="3644967F" w:rsidRPr="00CB13F7">
        <w:rPr>
          <w:color w:val="000000"/>
        </w:rPr>
        <w:t>ë</w:t>
      </w:r>
      <w:r w:rsidR="3644967F" w:rsidRPr="00CB13F7">
        <w:t xml:space="preserve"> dokumentit u realizua me asistenc</w:t>
      </w:r>
      <w:r w:rsidR="3644967F" w:rsidRPr="00CB13F7">
        <w:rPr>
          <w:color w:val="000000"/>
        </w:rPr>
        <w:t>ë</w:t>
      </w:r>
      <w:r w:rsidR="3644967F" w:rsidRPr="00CB13F7">
        <w:t>n teknike t</w:t>
      </w:r>
      <w:r w:rsidR="3644967F" w:rsidRPr="00CB13F7">
        <w:rPr>
          <w:color w:val="000000"/>
        </w:rPr>
        <w:t>ë</w:t>
      </w:r>
      <w:r w:rsidR="3644967F" w:rsidRPr="00CB13F7">
        <w:t xml:space="preserve"> </w:t>
      </w:r>
      <w:r w:rsidR="3644967F" w:rsidRPr="00CB13F7">
        <w:rPr>
          <w:color w:val="000000"/>
        </w:rPr>
        <w:t xml:space="preserve">dy ekspertëve vendas </w:t>
      </w:r>
      <w:r w:rsidR="3644967F" w:rsidRPr="00CB13F7">
        <w:t>t</w:t>
      </w:r>
      <w:r w:rsidR="3644967F" w:rsidRPr="00CB13F7">
        <w:rPr>
          <w:color w:val="000000"/>
        </w:rPr>
        <w:t>ë</w:t>
      </w:r>
      <w:r w:rsidR="3644967F" w:rsidRPr="00CB13F7">
        <w:t xml:space="preserve"> UNDP-s</w:t>
      </w:r>
      <w:r w:rsidR="3644967F" w:rsidRPr="00CB13F7">
        <w:rPr>
          <w:color w:val="000000"/>
        </w:rPr>
        <w:t>ë</w:t>
      </w:r>
      <w:r w:rsidR="3644967F" w:rsidRPr="00CB13F7">
        <w:t xml:space="preserve"> si pjes</w:t>
      </w:r>
      <w:r w:rsidR="3644967F" w:rsidRPr="00CB13F7">
        <w:rPr>
          <w:color w:val="000000"/>
        </w:rPr>
        <w:t>ë</w:t>
      </w:r>
      <w:r w:rsidR="3644967F" w:rsidRPr="00CB13F7">
        <w:t xml:space="preserve"> e Programit</w:t>
      </w:r>
      <w:r w:rsidR="6309BE2C" w:rsidRPr="00CB13F7">
        <w:t xml:space="preserve"> </w:t>
      </w:r>
      <w:r w:rsidR="3644967F" w:rsidRPr="00CB13F7">
        <w:t>t</w:t>
      </w:r>
      <w:r w:rsidR="3644967F" w:rsidRPr="00CB13F7">
        <w:rPr>
          <w:color w:val="000000"/>
        </w:rPr>
        <w:t>ë</w:t>
      </w:r>
      <w:r w:rsidR="3644967F" w:rsidRPr="00CB13F7">
        <w:t xml:space="preserve"> P</w:t>
      </w:r>
      <w:r w:rsidR="3644967F" w:rsidRPr="00CB13F7">
        <w:rPr>
          <w:color w:val="000000"/>
        </w:rPr>
        <w:t>ë</w:t>
      </w:r>
      <w:r w:rsidR="3644967F" w:rsidRPr="00CB13F7">
        <w:t>rbashk</w:t>
      </w:r>
      <w:r w:rsidR="3644967F" w:rsidRPr="00CB13F7">
        <w:rPr>
          <w:color w:val="000000"/>
        </w:rPr>
        <w:t>ë</w:t>
      </w:r>
      <w:r w:rsidR="3644967F" w:rsidRPr="00CB13F7">
        <w:t>t t</w:t>
      </w:r>
      <w:r w:rsidR="3644967F" w:rsidRPr="00CB13F7">
        <w:rPr>
          <w:color w:val="000000"/>
        </w:rPr>
        <w:t>ë</w:t>
      </w:r>
      <w:r w:rsidR="3644967F" w:rsidRPr="00CB13F7">
        <w:t xml:space="preserve"> Kombeve t</w:t>
      </w:r>
      <w:r w:rsidR="3644967F" w:rsidRPr="00CB13F7">
        <w:rPr>
          <w:color w:val="000000"/>
        </w:rPr>
        <w:t>ë</w:t>
      </w:r>
      <w:r w:rsidR="3644967F" w:rsidRPr="00CB13F7">
        <w:t xml:space="preserve"> Bashkuara</w:t>
      </w:r>
      <w:r w:rsidR="3644967F" w:rsidRPr="00CB13F7">
        <w:rPr>
          <w:color w:val="000000"/>
        </w:rPr>
        <w:t xml:space="preserve"> “Askush të mos Mbetet Pas /</w:t>
      </w:r>
      <w:r w:rsidR="215B49D6" w:rsidRPr="00CB13F7">
        <w:rPr>
          <w:color w:val="000000"/>
        </w:rPr>
        <w:t xml:space="preserve"> </w:t>
      </w:r>
      <w:r w:rsidR="3644967F" w:rsidRPr="00CB13F7">
        <w:rPr>
          <w:i/>
          <w:iCs/>
          <w:color w:val="000000"/>
        </w:rPr>
        <w:t>Leave No One Behind</w:t>
      </w:r>
      <w:r w:rsidR="3644967F" w:rsidRPr="00CB13F7">
        <w:rPr>
          <w:color w:val="000000"/>
        </w:rPr>
        <w:t>” (LNB),</w:t>
      </w:r>
      <w:r w:rsidR="6309BE2C" w:rsidRPr="00CB13F7">
        <w:rPr>
          <w:color w:val="000000"/>
        </w:rPr>
        <w:t xml:space="preserve"> </w:t>
      </w:r>
      <w:r w:rsidR="3644967F" w:rsidRPr="00CB13F7">
        <w:rPr>
          <w:color w:val="000000"/>
        </w:rPr>
        <w:t xml:space="preserve">që zbatohet në bashkëpunim me Ministrinë e Shëndetësisë dhe </w:t>
      </w:r>
      <w:r w:rsidR="3A016281" w:rsidRPr="00CB13F7">
        <w:rPr>
          <w:color w:val="000000"/>
        </w:rPr>
        <w:t xml:space="preserve">Mirëqenies </w:t>
      </w:r>
      <w:r w:rsidR="3644967F" w:rsidRPr="00CB13F7">
        <w:rPr>
          <w:color w:val="000000"/>
        </w:rPr>
        <w:t xml:space="preserve">Sociale dhe mbështetet nga Qeveria Zvicerane (SDC). </w:t>
      </w:r>
    </w:p>
    <w:p w14:paraId="3419367B" w14:textId="77777777" w:rsidR="00F536EA" w:rsidRPr="00CB13F7" w:rsidRDefault="00F536EA" w:rsidP="004E4604">
      <w:pPr>
        <w:pStyle w:val="NormalWeb"/>
        <w:spacing w:before="120" w:beforeAutospacing="0" w:after="120" w:afterAutospacing="0" w:line="276" w:lineRule="auto"/>
        <w:jc w:val="both"/>
        <w:rPr>
          <w:lang w:val="sq-AL"/>
        </w:rPr>
      </w:pPr>
      <w:r w:rsidRPr="00CB13F7">
        <w:rPr>
          <w:lang w:val="sq-AL"/>
        </w:rPr>
        <w:t>PKVPAK 2026</w:t>
      </w:r>
      <w:r w:rsidR="00630349" w:rsidRPr="00CB13F7">
        <w:rPr>
          <w:lang w:val="sq-AL"/>
        </w:rPr>
        <w:t>-</w:t>
      </w:r>
      <w:r w:rsidRPr="00CB13F7">
        <w:rPr>
          <w:lang w:val="sq-AL"/>
        </w:rPr>
        <w:t xml:space="preserve">2030 përfshin </w:t>
      </w:r>
      <w:r w:rsidRPr="00CB13F7">
        <w:rPr>
          <w:i/>
          <w:iCs/>
          <w:lang w:val="sq-AL"/>
        </w:rPr>
        <w:t>tetë fusha prioritare</w:t>
      </w:r>
      <w:r w:rsidRPr="00CB13F7">
        <w:rPr>
          <w:lang w:val="sq-AL"/>
        </w:rPr>
        <w:t xml:space="preserve"> të politikave publike:</w:t>
      </w:r>
      <w:r w:rsidR="00630349" w:rsidRPr="00CB13F7">
        <w:rPr>
          <w:lang w:val="sq-AL"/>
        </w:rPr>
        <w:t xml:space="preserve"> (i) </w:t>
      </w:r>
      <w:r w:rsidRPr="00CB13F7">
        <w:rPr>
          <w:lang w:val="sq-AL"/>
        </w:rPr>
        <w:t>aksesueshmëria;</w:t>
      </w:r>
      <w:r w:rsidR="00630349" w:rsidRPr="00CB13F7">
        <w:rPr>
          <w:lang w:val="sq-AL"/>
        </w:rPr>
        <w:t xml:space="preserve"> (ii) </w:t>
      </w:r>
      <w:r w:rsidRPr="00CB13F7">
        <w:rPr>
          <w:lang w:val="sq-AL"/>
        </w:rPr>
        <w:t>barazia para ligjit dhe aksesi në drejtësi;</w:t>
      </w:r>
      <w:r w:rsidR="00630349" w:rsidRPr="00CB13F7">
        <w:rPr>
          <w:lang w:val="sq-AL"/>
        </w:rPr>
        <w:t xml:space="preserve"> (iii) </w:t>
      </w:r>
      <w:r w:rsidRPr="00CB13F7">
        <w:rPr>
          <w:lang w:val="sq-AL"/>
        </w:rPr>
        <w:t>punësimi dhe aftësimi profesional;</w:t>
      </w:r>
      <w:r w:rsidR="00630349" w:rsidRPr="00CB13F7">
        <w:rPr>
          <w:lang w:val="sq-AL"/>
        </w:rPr>
        <w:t xml:space="preserve"> (iv) </w:t>
      </w:r>
      <w:r w:rsidRPr="00CB13F7">
        <w:rPr>
          <w:lang w:val="sq-AL"/>
        </w:rPr>
        <w:t>arsimi gjithëpërfshirës;</w:t>
      </w:r>
      <w:r w:rsidR="00630349" w:rsidRPr="00CB13F7">
        <w:rPr>
          <w:lang w:val="sq-AL"/>
        </w:rPr>
        <w:t xml:space="preserve"> (v) </w:t>
      </w:r>
      <w:r w:rsidRPr="00CB13F7">
        <w:rPr>
          <w:lang w:val="sq-AL"/>
        </w:rPr>
        <w:t>mbrojtja sociale dhe jetesa e pavarur</w:t>
      </w:r>
      <w:r w:rsidR="00630349" w:rsidRPr="00CB13F7">
        <w:rPr>
          <w:lang w:val="sq-AL"/>
        </w:rPr>
        <w:t xml:space="preserve"> (vi) </w:t>
      </w:r>
      <w:r w:rsidRPr="00CB13F7">
        <w:rPr>
          <w:lang w:val="sq-AL"/>
        </w:rPr>
        <w:t>shëndetësia dhe rehabilitimi;</w:t>
      </w:r>
      <w:r w:rsidR="00630349" w:rsidRPr="00CB13F7">
        <w:rPr>
          <w:lang w:val="sq-AL"/>
        </w:rPr>
        <w:t xml:space="preserve"> (vii) </w:t>
      </w:r>
      <w:r w:rsidRPr="00CB13F7">
        <w:rPr>
          <w:lang w:val="sq-AL"/>
        </w:rPr>
        <w:t>pjesëmarrja në jetën politike, kulturore, sportive dhe rekreative;</w:t>
      </w:r>
      <w:r w:rsidR="00630349" w:rsidRPr="00CB13F7">
        <w:rPr>
          <w:lang w:val="sq-AL"/>
        </w:rPr>
        <w:t xml:space="preserve"> (viii) </w:t>
      </w:r>
      <w:r w:rsidRPr="00CB13F7">
        <w:rPr>
          <w:lang w:val="sq-AL"/>
        </w:rPr>
        <w:t>bashkëpunimi institucional dhe koordinimi i politikave.</w:t>
      </w:r>
    </w:p>
    <w:p w14:paraId="464BDA9C" w14:textId="06FF23B1" w:rsidR="005306F3" w:rsidRPr="00CB13F7" w:rsidRDefault="00F536EA" w:rsidP="004E4604">
      <w:pPr>
        <w:spacing w:before="120" w:after="120" w:line="276" w:lineRule="auto"/>
        <w:jc w:val="both"/>
        <w:rPr>
          <w:rFonts w:eastAsia="Times New Roman"/>
          <w:bCs/>
          <w:lang w:eastAsia="en-GB"/>
        </w:rPr>
      </w:pPr>
      <w:r w:rsidRPr="00CB13F7">
        <w:t>Në këto fusha</w:t>
      </w:r>
      <w:r w:rsidR="00630349" w:rsidRPr="00CB13F7">
        <w:t xml:space="preserve"> prioritare</w:t>
      </w:r>
      <w:r w:rsidRPr="00CB13F7">
        <w:t>, P</w:t>
      </w:r>
      <w:r w:rsidR="00630349" w:rsidRPr="00CB13F7">
        <w:t>KVPAK</w:t>
      </w:r>
      <w:r w:rsidRPr="00CB13F7">
        <w:t xml:space="preserve"> përcakton </w:t>
      </w:r>
      <w:r w:rsidRPr="00CB13F7">
        <w:rPr>
          <w:rStyle w:val="Strong"/>
          <w:b w:val="0"/>
          <w:bCs w:val="0"/>
          <w:i/>
          <w:iCs/>
        </w:rPr>
        <w:t>28 objektiva specifike</w:t>
      </w:r>
      <w:r w:rsidRPr="00CB13F7">
        <w:t xml:space="preserve">, të cilat operacionalizohen përmes </w:t>
      </w:r>
      <w:r w:rsidRPr="00CB13F7">
        <w:rPr>
          <w:rStyle w:val="Strong"/>
          <w:b w:val="0"/>
          <w:bCs w:val="0"/>
          <w:i/>
          <w:iCs/>
        </w:rPr>
        <w:t>68 masave prioritare</w:t>
      </w:r>
      <w:r w:rsidRPr="00CB13F7">
        <w:t xml:space="preserve"> dhe </w:t>
      </w:r>
      <w:r w:rsidRPr="00CB13F7">
        <w:rPr>
          <w:rStyle w:val="Strong"/>
          <w:b w:val="0"/>
          <w:bCs w:val="0"/>
          <w:i/>
          <w:iCs/>
        </w:rPr>
        <w:t>283 ndërhyrjeve konkrete të buxhetuara</w:t>
      </w:r>
      <w:r w:rsidRPr="00CB13F7">
        <w:t>, të shpërndara përgjatë periudhës 2026</w:t>
      </w:r>
      <w:r w:rsidR="004D0AF9" w:rsidRPr="00CB13F7">
        <w:t>-</w:t>
      </w:r>
      <w:r w:rsidRPr="00CB13F7">
        <w:t>2030.</w:t>
      </w:r>
      <w:r w:rsidR="00630349" w:rsidRPr="00CB13F7">
        <w:t xml:space="preserve"> </w:t>
      </w:r>
      <w:r w:rsidR="005306F3" w:rsidRPr="00CB13F7">
        <w:rPr>
          <w:rFonts w:eastAsia="Times New Roman"/>
          <w:lang w:eastAsia="en-GB"/>
        </w:rPr>
        <w:t xml:space="preserve">Kostoja totale për zbatimin e Planit të Veprimit për periudhën </w:t>
      </w:r>
      <w:r w:rsidR="005306F3" w:rsidRPr="00CB13F7">
        <w:rPr>
          <w:rFonts w:eastAsia="Times New Roman"/>
          <w:bCs/>
          <w:lang w:eastAsia="en-GB"/>
        </w:rPr>
        <w:t>2026-2030</w:t>
      </w:r>
      <w:r w:rsidR="005306F3" w:rsidRPr="00CB13F7">
        <w:rPr>
          <w:rFonts w:eastAsia="Times New Roman"/>
          <w:lang w:eastAsia="en-GB"/>
        </w:rPr>
        <w:t xml:space="preserve"> është vlerësuar në</w:t>
      </w:r>
      <w:r w:rsidR="001771D3" w:rsidRPr="00CB13F7">
        <w:rPr>
          <w:rFonts w:eastAsia="Times New Roman"/>
          <w:lang w:eastAsia="en-GB"/>
        </w:rPr>
        <w:t xml:space="preserve"> </w:t>
      </w:r>
      <w:r w:rsidR="008F4C1A">
        <w:rPr>
          <w:rFonts w:eastAsia="Times New Roman"/>
          <w:b/>
          <w:bCs/>
          <w:lang w:eastAsia="en-GB"/>
        </w:rPr>
        <w:t>7</w:t>
      </w:r>
      <w:r w:rsidR="008F4C1A" w:rsidRPr="00CB13F7">
        <w:rPr>
          <w:rFonts w:eastAsia="Times New Roman"/>
          <w:b/>
          <w:bCs/>
          <w:lang w:eastAsia="en-GB"/>
        </w:rPr>
        <w:t xml:space="preserve"> </w:t>
      </w:r>
      <w:r w:rsidR="008F4C1A">
        <w:rPr>
          <w:rFonts w:eastAsia="Times New Roman"/>
          <w:b/>
          <w:bCs/>
          <w:lang w:eastAsia="en-GB"/>
        </w:rPr>
        <w:t>615</w:t>
      </w:r>
      <w:r w:rsidR="008F4C1A" w:rsidRPr="00CB13F7">
        <w:rPr>
          <w:rFonts w:eastAsia="Times New Roman"/>
          <w:b/>
          <w:bCs/>
          <w:lang w:eastAsia="en-GB"/>
        </w:rPr>
        <w:t xml:space="preserve"> </w:t>
      </w:r>
      <w:r w:rsidR="008F4C1A">
        <w:rPr>
          <w:rFonts w:eastAsia="Times New Roman"/>
          <w:b/>
          <w:bCs/>
          <w:lang w:eastAsia="en-GB"/>
        </w:rPr>
        <w:t>080 707</w:t>
      </w:r>
      <w:r w:rsidR="008F4C1A" w:rsidRPr="00CB13F7">
        <w:rPr>
          <w:rFonts w:eastAsia="Times New Roman"/>
          <w:b/>
          <w:bCs/>
          <w:lang w:eastAsia="en-GB"/>
        </w:rPr>
        <w:t xml:space="preserve"> </w:t>
      </w:r>
      <w:r w:rsidR="008F4C1A" w:rsidRPr="00CB13F7">
        <w:rPr>
          <w:rFonts w:eastAsia="SimSun"/>
          <w:lang w:eastAsia="en-US"/>
        </w:rPr>
        <w:t>(</w:t>
      </w:r>
      <w:r w:rsidR="008F4C1A" w:rsidRPr="00753F52">
        <w:rPr>
          <w:b/>
        </w:rPr>
        <w:t>Shtatë miliardë e gjashtëqind e pesëmbëdhjetë milionë e tetëdhjetë mijë e shtatëqind e shtatë</w:t>
      </w:r>
      <w:r w:rsidR="008F4C1A">
        <w:t>.</w:t>
      </w:r>
      <w:r w:rsidR="008F4C1A" w:rsidRPr="00CB13F7">
        <w:rPr>
          <w:rFonts w:eastAsia="SimSun"/>
          <w:lang w:eastAsia="en-US"/>
        </w:rPr>
        <w:t>)</w:t>
      </w:r>
      <w:r w:rsidR="008F4C1A" w:rsidRPr="00CB13F7">
        <w:rPr>
          <w:rFonts w:eastAsia="Times New Roman"/>
          <w:b/>
          <w:bCs/>
          <w:lang w:eastAsia="en-GB"/>
        </w:rPr>
        <w:t xml:space="preserve"> lekë</w:t>
      </w:r>
      <w:r w:rsidR="005306F3" w:rsidRPr="00CB13F7">
        <w:rPr>
          <w:rFonts w:eastAsia="Times New Roman"/>
          <w:b/>
          <w:bCs/>
          <w:lang w:eastAsia="en-GB"/>
        </w:rPr>
        <w:t>.</w:t>
      </w:r>
      <w:r w:rsidR="005306F3" w:rsidRPr="00CB13F7">
        <w:rPr>
          <w:rFonts w:eastAsia="Times New Roman"/>
          <w:bCs/>
          <w:lang w:eastAsia="en-GB"/>
        </w:rPr>
        <w:t xml:space="preserve"> </w:t>
      </w:r>
    </w:p>
    <w:p w14:paraId="2EDBB578" w14:textId="292A4690" w:rsidR="005306F3" w:rsidRPr="00CB13F7" w:rsidRDefault="3644967F" w:rsidP="004E4604">
      <w:pPr>
        <w:spacing w:before="120" w:after="120" w:line="276" w:lineRule="auto"/>
        <w:jc w:val="both"/>
        <w:rPr>
          <w:rFonts w:eastAsia="Times New Roman"/>
          <w:lang w:eastAsia="en-GB"/>
        </w:rPr>
      </w:pPr>
      <w:r w:rsidRPr="00CB13F7">
        <w:rPr>
          <w:rStyle w:val="Emphasis"/>
          <w:i w:val="0"/>
          <w:iCs w:val="0"/>
        </w:rPr>
        <w:lastRenderedPageBreak/>
        <w:t xml:space="preserve">Financimi për zbatimin e masave të parashikuara në </w:t>
      </w:r>
      <w:r w:rsidRPr="00CB13F7">
        <w:rPr>
          <w:i/>
          <w:iCs/>
          <w:color w:val="000000" w:themeColor="text1"/>
        </w:rPr>
        <w:t>PKVPAK 202</w:t>
      </w:r>
      <w:r w:rsidR="654FECFB" w:rsidRPr="00CB13F7">
        <w:rPr>
          <w:i/>
          <w:iCs/>
          <w:color w:val="000000" w:themeColor="text1"/>
        </w:rPr>
        <w:t>6</w:t>
      </w:r>
      <w:r w:rsidRPr="00CB13F7">
        <w:rPr>
          <w:i/>
          <w:iCs/>
          <w:color w:val="000000" w:themeColor="text1"/>
        </w:rPr>
        <w:t>-20</w:t>
      </w:r>
      <w:r w:rsidR="654FECFB" w:rsidRPr="00CB13F7">
        <w:rPr>
          <w:i/>
          <w:iCs/>
          <w:color w:val="000000" w:themeColor="text1"/>
        </w:rPr>
        <w:t>30</w:t>
      </w:r>
      <w:r w:rsidRPr="00CB13F7">
        <w:rPr>
          <w:i/>
          <w:iCs/>
          <w:color w:val="000000" w:themeColor="text1"/>
        </w:rPr>
        <w:t xml:space="preserve">, </w:t>
      </w:r>
      <w:r w:rsidRPr="00CB13F7">
        <w:rPr>
          <w:rStyle w:val="Emphasis"/>
          <w:i w:val="0"/>
          <w:iCs w:val="0"/>
        </w:rPr>
        <w:t xml:space="preserve">është parashikuar në buxhetin e shtetit, pas një vlerësimi të fondeve të disponueshme në ministritë </w:t>
      </w:r>
      <w:r w:rsidR="3A016281" w:rsidRPr="00CB13F7">
        <w:rPr>
          <w:rStyle w:val="Emphasis"/>
          <w:i w:val="0"/>
          <w:iCs w:val="0"/>
        </w:rPr>
        <w:t xml:space="preserve"> e</w:t>
      </w:r>
      <w:r w:rsidR="0BA2C06C" w:rsidRPr="00CB13F7">
        <w:rPr>
          <w:rStyle w:val="Emphasis"/>
          <w:i w:val="0"/>
          <w:iCs w:val="0"/>
        </w:rPr>
        <w:t xml:space="preserve"> </w:t>
      </w:r>
      <w:r w:rsidRPr="00CB13F7">
        <w:rPr>
          <w:rStyle w:val="Emphasis"/>
          <w:i w:val="0"/>
          <w:iCs w:val="0"/>
        </w:rPr>
        <w:t xml:space="preserve">linjës. Në rastet kur buxheti i shtetit nuk është i mjaftueshëm për përmbushjen e plotë të objektivave, </w:t>
      </w:r>
      <w:r w:rsidRPr="00CB13F7">
        <w:rPr>
          <w:i/>
          <w:iCs/>
          <w:color w:val="000000" w:themeColor="text1"/>
        </w:rPr>
        <w:t>PKVPAK</w:t>
      </w:r>
      <w:r w:rsidRPr="00CB13F7">
        <w:rPr>
          <w:rStyle w:val="Emphasis"/>
          <w:i w:val="0"/>
          <w:iCs w:val="0"/>
        </w:rPr>
        <w:t xml:space="preserve"> parashikon një ndarje të hendekut të financimit</w:t>
      </w:r>
      <w:r w:rsidR="3A016281" w:rsidRPr="00CB13F7">
        <w:rPr>
          <w:rStyle w:val="Emphasis"/>
          <w:i w:val="0"/>
          <w:iCs w:val="0"/>
        </w:rPr>
        <w:t>,</w:t>
      </w:r>
      <w:r w:rsidRPr="00CB13F7">
        <w:rPr>
          <w:rStyle w:val="Emphasis"/>
          <w:i w:val="0"/>
          <w:iCs w:val="0"/>
        </w:rPr>
        <w:t xml:space="preserve"> si dhe propozimin për fonde donatorësh. Gjithashtu, fondet dhe lloje të tjera burimesh të ofruara nga njësitë e </w:t>
      </w:r>
      <w:r w:rsidR="3D35C013" w:rsidRPr="00CB13F7">
        <w:rPr>
          <w:rStyle w:val="Emphasis"/>
          <w:i w:val="0"/>
          <w:iCs w:val="0"/>
        </w:rPr>
        <w:t>vet</w:t>
      </w:r>
      <w:r w:rsidR="73DE3CA1" w:rsidRPr="00CB13F7">
        <w:rPr>
          <w:rStyle w:val="Emphasis"/>
          <w:i w:val="0"/>
          <w:iCs w:val="0"/>
        </w:rPr>
        <w:t>ë</w:t>
      </w:r>
      <w:r w:rsidRPr="00CB13F7">
        <w:rPr>
          <w:rStyle w:val="Emphasis"/>
          <w:i w:val="0"/>
          <w:iCs w:val="0"/>
        </w:rPr>
        <w:t>qeverisjes vendore dhe shoqëria civile janë thelbësore për nxitjen e përfshirjes në nivel vendor, por ato nuk pasqyrohen në këtë Plan Kombëtar Veprimi, i cili fokusohet në angazhimet, aktivitetet dhe buxhetet e qeverisjes qendrore.</w:t>
      </w:r>
    </w:p>
    <w:p w14:paraId="3DCD9BFA" w14:textId="77777777" w:rsidR="00F536EA" w:rsidRPr="00CB13F7" w:rsidRDefault="00630349" w:rsidP="004E4604">
      <w:pPr>
        <w:pStyle w:val="NormalWeb"/>
        <w:spacing w:before="120" w:beforeAutospacing="0" w:after="120" w:afterAutospacing="0" w:line="276" w:lineRule="auto"/>
        <w:jc w:val="both"/>
        <w:rPr>
          <w:lang w:val="sq-AL"/>
        </w:rPr>
      </w:pPr>
      <w:r w:rsidRPr="00CB13F7">
        <w:rPr>
          <w:lang w:val="sq-AL"/>
        </w:rPr>
        <w:t xml:space="preserve">PKVPAK 2026-2030, </w:t>
      </w:r>
      <w:r w:rsidR="00F536EA" w:rsidRPr="00CB13F7">
        <w:rPr>
          <w:lang w:val="sq-AL"/>
        </w:rPr>
        <w:t xml:space="preserve">është hartuar përmes një procesi konsultimi gjithëpërfshirës me institucionet publike qendrore dhe vendore, organizatat e shoqërisë civile, organizatat përfaqësuese të personave me aftësi të kufizuara, ekspertë të fushës dhe partnerë ndërkombëtarë. Personat me aftësi të kufizuara dhe përfaqësuesit e tyre kanë marrë pjesë aktivisht në identifikimin e prioriteteve, diskutimin e masave dhe vlerësimin e pengesave reale në jetën e përditshme, duke siguruar që </w:t>
      </w:r>
      <w:r w:rsidR="001B1899" w:rsidRPr="00CB13F7">
        <w:rPr>
          <w:lang w:val="sq-AL"/>
        </w:rPr>
        <w:t xml:space="preserve">Plani </w:t>
      </w:r>
      <w:r w:rsidR="00F536EA" w:rsidRPr="00CB13F7">
        <w:rPr>
          <w:lang w:val="sq-AL"/>
        </w:rPr>
        <w:t>të reflektojë nevojat konkrete dhe jo vetëm parashikime institucionale.</w:t>
      </w:r>
    </w:p>
    <w:p w14:paraId="13E5A86E" w14:textId="2FEF34ED" w:rsidR="00F536EA" w:rsidRPr="00CB13F7" w:rsidRDefault="00F536EA" w:rsidP="004E4604">
      <w:pPr>
        <w:pStyle w:val="NormalWeb"/>
        <w:spacing w:before="120" w:beforeAutospacing="0" w:after="120" w:afterAutospacing="0" w:line="276" w:lineRule="auto"/>
        <w:jc w:val="both"/>
        <w:rPr>
          <w:lang w:val="sq-AL"/>
        </w:rPr>
      </w:pPr>
      <w:r w:rsidRPr="00CB13F7">
        <w:rPr>
          <w:lang w:val="sq-AL"/>
        </w:rPr>
        <w:t xml:space="preserve">Dokumenti është i strukturuar në disa kapituj kryesorë. Pas hyrjes, kapitulli i dytë paraqet përputhshmërinë e </w:t>
      </w:r>
      <w:r w:rsidR="001B1899" w:rsidRPr="00CB13F7">
        <w:rPr>
          <w:lang w:val="sq-AL"/>
        </w:rPr>
        <w:t xml:space="preserve">Planit </w:t>
      </w:r>
      <w:r w:rsidRPr="00CB13F7">
        <w:rPr>
          <w:lang w:val="sq-AL"/>
        </w:rPr>
        <w:t>me kuadrin strategjik kombëtar, evropian dhe ndërkombëtar. Kapitulli i tretë analizon gjendjen aktuale në secilën fushë prioritare</w:t>
      </w:r>
      <w:r w:rsidR="00630349" w:rsidRPr="00CB13F7">
        <w:rPr>
          <w:lang w:val="sq-AL"/>
        </w:rPr>
        <w:t>, bazuar n</w:t>
      </w:r>
      <w:r w:rsidR="00F427D5" w:rsidRPr="00CB13F7">
        <w:rPr>
          <w:lang w:val="sq-AL"/>
        </w:rPr>
        <w:t>ë</w:t>
      </w:r>
      <w:r w:rsidR="00630349" w:rsidRPr="00CB13F7">
        <w:rPr>
          <w:lang w:val="sq-AL"/>
        </w:rPr>
        <w:t xml:space="preserve"> gjetjet e Raportit t</w:t>
      </w:r>
      <w:r w:rsidR="00F427D5" w:rsidRPr="00CB13F7">
        <w:rPr>
          <w:lang w:val="sq-AL"/>
        </w:rPr>
        <w:t>ë</w:t>
      </w:r>
      <w:r w:rsidR="00630349" w:rsidRPr="00CB13F7">
        <w:rPr>
          <w:lang w:val="sq-AL"/>
        </w:rPr>
        <w:t xml:space="preserve"> Monitorimit t</w:t>
      </w:r>
      <w:r w:rsidR="00F427D5" w:rsidRPr="00CB13F7">
        <w:rPr>
          <w:lang w:val="sq-AL"/>
        </w:rPr>
        <w:t>ë</w:t>
      </w:r>
      <w:r w:rsidR="00630349" w:rsidRPr="00CB13F7">
        <w:rPr>
          <w:lang w:val="sq-AL"/>
        </w:rPr>
        <w:t xml:space="preserve"> PKVPAK t</w:t>
      </w:r>
      <w:r w:rsidR="00F427D5" w:rsidRPr="00CB13F7">
        <w:rPr>
          <w:lang w:val="sq-AL"/>
        </w:rPr>
        <w:t>ë</w:t>
      </w:r>
      <w:r w:rsidR="00630349" w:rsidRPr="00CB13F7">
        <w:rPr>
          <w:lang w:val="sq-AL"/>
        </w:rPr>
        <w:t xml:space="preserve"> m</w:t>
      </w:r>
      <w:r w:rsidR="00F427D5" w:rsidRPr="00CB13F7">
        <w:rPr>
          <w:lang w:val="sq-AL"/>
        </w:rPr>
        <w:t>ë</w:t>
      </w:r>
      <w:r w:rsidR="00630349" w:rsidRPr="00CB13F7">
        <w:rPr>
          <w:lang w:val="sq-AL"/>
        </w:rPr>
        <w:t>parsh</w:t>
      </w:r>
      <w:r w:rsidR="00F427D5" w:rsidRPr="00CB13F7">
        <w:rPr>
          <w:lang w:val="sq-AL"/>
        </w:rPr>
        <w:t>ë</w:t>
      </w:r>
      <w:r w:rsidR="00630349" w:rsidRPr="00CB13F7">
        <w:rPr>
          <w:lang w:val="sq-AL"/>
        </w:rPr>
        <w:t>m, 2021-2025</w:t>
      </w:r>
      <w:r w:rsidRPr="00CB13F7">
        <w:rPr>
          <w:lang w:val="sq-AL"/>
        </w:rPr>
        <w:t xml:space="preserve">. Kapitulli i katërt paraqet kontekstin strategjik </w:t>
      </w:r>
      <w:r w:rsidR="00630349" w:rsidRPr="00CB13F7">
        <w:rPr>
          <w:lang w:val="sq-AL"/>
        </w:rPr>
        <w:t xml:space="preserve">specifik </w:t>
      </w:r>
      <w:r w:rsidRPr="00CB13F7">
        <w:rPr>
          <w:lang w:val="sq-AL"/>
        </w:rPr>
        <w:t xml:space="preserve">të </w:t>
      </w:r>
      <w:r w:rsidR="000E6121" w:rsidRPr="00CB13F7">
        <w:rPr>
          <w:lang w:val="sq-AL"/>
        </w:rPr>
        <w:t>çdo</w:t>
      </w:r>
      <w:r w:rsidR="00630349" w:rsidRPr="00CB13F7">
        <w:rPr>
          <w:lang w:val="sq-AL"/>
        </w:rPr>
        <w:t xml:space="preserve"> fushe </w:t>
      </w:r>
      <w:r w:rsidRPr="00CB13F7">
        <w:rPr>
          <w:lang w:val="sq-AL"/>
        </w:rPr>
        <w:t>veprimi</w:t>
      </w:r>
      <w:r w:rsidR="00C36864" w:rsidRPr="00CB13F7">
        <w:rPr>
          <w:lang w:val="sq-AL"/>
        </w:rPr>
        <w:t>, p</w:t>
      </w:r>
      <w:r w:rsidR="00F427D5" w:rsidRPr="00CB13F7">
        <w:rPr>
          <w:lang w:val="sq-AL"/>
        </w:rPr>
        <w:t>ë</w:t>
      </w:r>
      <w:r w:rsidR="00C36864" w:rsidRPr="00CB13F7">
        <w:rPr>
          <w:lang w:val="sq-AL"/>
        </w:rPr>
        <w:t>rfshir</w:t>
      </w:r>
      <w:r w:rsidR="00F427D5" w:rsidRPr="00CB13F7">
        <w:rPr>
          <w:lang w:val="sq-AL"/>
        </w:rPr>
        <w:t>ë</w:t>
      </w:r>
      <w:r w:rsidR="00C36864" w:rsidRPr="00CB13F7">
        <w:rPr>
          <w:lang w:val="sq-AL"/>
        </w:rPr>
        <w:t xml:space="preserve"> q</w:t>
      </w:r>
      <w:r w:rsidR="00F427D5" w:rsidRPr="00CB13F7">
        <w:rPr>
          <w:lang w:val="sq-AL"/>
        </w:rPr>
        <w:t>ë</w:t>
      </w:r>
      <w:r w:rsidR="00C36864" w:rsidRPr="00CB13F7">
        <w:rPr>
          <w:lang w:val="sq-AL"/>
        </w:rPr>
        <w:t xml:space="preserve">llimi, </w:t>
      </w:r>
      <w:r w:rsidRPr="00CB13F7">
        <w:rPr>
          <w:lang w:val="sq-AL"/>
        </w:rPr>
        <w:t>objektivat</w:t>
      </w:r>
      <w:r w:rsidR="00C36864" w:rsidRPr="00CB13F7">
        <w:rPr>
          <w:lang w:val="sq-AL"/>
        </w:rPr>
        <w:t xml:space="preserve"> specifik</w:t>
      </w:r>
      <w:r w:rsidR="00F427D5" w:rsidRPr="00CB13F7">
        <w:rPr>
          <w:lang w:val="sq-AL"/>
        </w:rPr>
        <w:t>ë</w:t>
      </w:r>
      <w:r w:rsidRPr="00CB13F7">
        <w:rPr>
          <w:lang w:val="sq-AL"/>
        </w:rPr>
        <w:t>, masat</w:t>
      </w:r>
      <w:r w:rsidR="00C36864" w:rsidRPr="00CB13F7">
        <w:rPr>
          <w:lang w:val="sq-AL"/>
        </w:rPr>
        <w:t xml:space="preserve"> prioritare</w:t>
      </w:r>
      <w:r w:rsidRPr="00CB13F7">
        <w:rPr>
          <w:lang w:val="sq-AL"/>
        </w:rPr>
        <w:t xml:space="preserve">. Kapitulli i </w:t>
      </w:r>
      <w:r w:rsidR="00C36864" w:rsidRPr="00CB13F7">
        <w:rPr>
          <w:lang w:val="sq-AL"/>
        </w:rPr>
        <w:t>pest</w:t>
      </w:r>
      <w:r w:rsidR="00F427D5" w:rsidRPr="00CB13F7">
        <w:rPr>
          <w:lang w:val="sq-AL"/>
        </w:rPr>
        <w:t>ë</w:t>
      </w:r>
      <w:r w:rsidR="00C36864" w:rsidRPr="00CB13F7">
        <w:rPr>
          <w:lang w:val="sq-AL"/>
        </w:rPr>
        <w:t>,</w:t>
      </w:r>
      <w:r w:rsidRPr="00CB13F7">
        <w:rPr>
          <w:lang w:val="sq-AL"/>
        </w:rPr>
        <w:t xml:space="preserve"> përcakton sistemin e monitorimit, raportimit dhe llogaridhënies.</w:t>
      </w:r>
      <w:r w:rsidR="00C36864" w:rsidRPr="00CB13F7">
        <w:rPr>
          <w:lang w:val="sq-AL"/>
        </w:rPr>
        <w:t xml:space="preserve"> Kapitulli i gjasht</w:t>
      </w:r>
      <w:r w:rsidR="00F427D5" w:rsidRPr="00CB13F7">
        <w:rPr>
          <w:lang w:val="sq-AL"/>
        </w:rPr>
        <w:t>ë</w:t>
      </w:r>
      <w:r w:rsidR="001B1899" w:rsidRPr="00CB13F7">
        <w:rPr>
          <w:lang w:val="sq-AL"/>
        </w:rPr>
        <w:t>,</w:t>
      </w:r>
      <w:r w:rsidR="00C36864" w:rsidRPr="00CB13F7">
        <w:rPr>
          <w:lang w:val="sq-AL"/>
        </w:rPr>
        <w:t xml:space="preserve"> identifikon treguesit p</w:t>
      </w:r>
      <w:r w:rsidR="00F427D5" w:rsidRPr="00CB13F7">
        <w:rPr>
          <w:lang w:val="sq-AL"/>
        </w:rPr>
        <w:t>ë</w:t>
      </w:r>
      <w:r w:rsidR="00C36864" w:rsidRPr="00CB13F7">
        <w:rPr>
          <w:lang w:val="sq-AL"/>
        </w:rPr>
        <w:t xml:space="preserve">r </w:t>
      </w:r>
      <w:r w:rsidR="000E6121" w:rsidRPr="00CB13F7">
        <w:rPr>
          <w:lang w:val="sq-AL"/>
        </w:rPr>
        <w:t>çdo</w:t>
      </w:r>
      <w:r w:rsidR="00C36864" w:rsidRPr="00CB13F7">
        <w:rPr>
          <w:lang w:val="sq-AL"/>
        </w:rPr>
        <w:t xml:space="preserve"> fush</w:t>
      </w:r>
      <w:r w:rsidR="00F427D5" w:rsidRPr="00CB13F7">
        <w:rPr>
          <w:lang w:val="sq-AL"/>
        </w:rPr>
        <w:t>ë</w:t>
      </w:r>
      <w:r w:rsidR="00C36864" w:rsidRPr="00CB13F7">
        <w:rPr>
          <w:lang w:val="sq-AL"/>
        </w:rPr>
        <w:t xml:space="preserve"> prioritare dhe kapitulli i shtat</w:t>
      </w:r>
      <w:r w:rsidR="00F427D5" w:rsidRPr="00CB13F7">
        <w:rPr>
          <w:lang w:val="sq-AL"/>
        </w:rPr>
        <w:t>ë</w:t>
      </w:r>
      <w:r w:rsidR="00C36864" w:rsidRPr="00CB13F7">
        <w:rPr>
          <w:lang w:val="sq-AL"/>
        </w:rPr>
        <w:t xml:space="preserve">, </w:t>
      </w:r>
      <w:r w:rsidR="00F427D5" w:rsidRPr="00CB13F7">
        <w:rPr>
          <w:lang w:val="sq-AL"/>
        </w:rPr>
        <w:t>ë</w:t>
      </w:r>
      <w:r w:rsidR="00C36864" w:rsidRPr="00CB13F7">
        <w:rPr>
          <w:lang w:val="sq-AL"/>
        </w:rPr>
        <w:t>sht</w:t>
      </w:r>
      <w:r w:rsidR="00F427D5" w:rsidRPr="00CB13F7">
        <w:rPr>
          <w:lang w:val="sq-AL"/>
        </w:rPr>
        <w:t>ë</w:t>
      </w:r>
      <w:r w:rsidR="00C36864" w:rsidRPr="00CB13F7">
        <w:rPr>
          <w:lang w:val="sq-AL"/>
        </w:rPr>
        <w:t xml:space="preserve"> i lidhur me buxhetimin n</w:t>
      </w:r>
      <w:r w:rsidR="00F427D5" w:rsidRPr="00CB13F7">
        <w:rPr>
          <w:lang w:val="sq-AL"/>
        </w:rPr>
        <w:t>ë</w:t>
      </w:r>
      <w:r w:rsidR="00C36864" w:rsidRPr="00CB13F7">
        <w:rPr>
          <w:lang w:val="sq-AL"/>
        </w:rPr>
        <w:t xml:space="preserve"> </w:t>
      </w:r>
      <w:r w:rsidR="000E6121" w:rsidRPr="00CB13F7">
        <w:rPr>
          <w:lang w:val="sq-AL"/>
        </w:rPr>
        <w:t>çdo</w:t>
      </w:r>
      <w:r w:rsidR="00C36864" w:rsidRPr="00CB13F7">
        <w:rPr>
          <w:lang w:val="sq-AL"/>
        </w:rPr>
        <w:t xml:space="preserve"> fush</w:t>
      </w:r>
      <w:r w:rsidR="00F427D5" w:rsidRPr="00CB13F7">
        <w:rPr>
          <w:lang w:val="sq-AL"/>
        </w:rPr>
        <w:t>ë</w:t>
      </w:r>
      <w:r w:rsidR="00C36864" w:rsidRPr="00CB13F7">
        <w:rPr>
          <w:lang w:val="sq-AL"/>
        </w:rPr>
        <w:t xml:space="preserve"> prioritare t</w:t>
      </w:r>
      <w:r w:rsidR="00F427D5" w:rsidRPr="00CB13F7">
        <w:rPr>
          <w:lang w:val="sq-AL"/>
        </w:rPr>
        <w:t>ë</w:t>
      </w:r>
      <w:r w:rsidR="00C36864" w:rsidRPr="00CB13F7">
        <w:rPr>
          <w:lang w:val="sq-AL"/>
        </w:rPr>
        <w:t xml:space="preserve"> dokumentit.</w:t>
      </w:r>
    </w:p>
    <w:p w14:paraId="4E4412C6" w14:textId="19357260" w:rsidR="00E66747" w:rsidRPr="00CB13F7" w:rsidRDefault="00F536EA" w:rsidP="004E4604">
      <w:pPr>
        <w:spacing w:before="120" w:after="120" w:line="276" w:lineRule="auto"/>
        <w:jc w:val="both"/>
        <w:rPr>
          <w:rStyle w:val="Emphasis"/>
        </w:rPr>
      </w:pPr>
      <w:r w:rsidRPr="00CB13F7">
        <w:t>PKVPAK 2026</w:t>
      </w:r>
      <w:r w:rsidR="00C36864" w:rsidRPr="00CB13F7">
        <w:t>-</w:t>
      </w:r>
      <w:r w:rsidRPr="00CB13F7">
        <w:t xml:space="preserve">2030 synon të shërbejë jo vetëm si dokument planifikimi, por si instrument qeverisjeje që orienton institucionet </w:t>
      </w:r>
      <w:r w:rsidR="00C36864" w:rsidRPr="00CB13F7">
        <w:t>p</w:t>
      </w:r>
      <w:r w:rsidR="00F427D5" w:rsidRPr="00CB13F7">
        <w:t>ë</w:t>
      </w:r>
      <w:r w:rsidR="00C36864" w:rsidRPr="00CB13F7">
        <w:t>rgjegj</w:t>
      </w:r>
      <w:r w:rsidR="00F427D5" w:rsidRPr="00CB13F7">
        <w:t>ë</w:t>
      </w:r>
      <w:r w:rsidR="00C36864" w:rsidRPr="00CB13F7">
        <w:t xml:space="preserve">se </w:t>
      </w:r>
      <w:r w:rsidRPr="00CB13F7">
        <w:t>drejt garantimit real të barazisë së mundësive dhe përfshirjes së plotë të personave me aftësi të kufizuara në shoqëri.</w:t>
      </w:r>
      <w:r w:rsidR="005306F3" w:rsidRPr="00CB13F7">
        <w:rPr>
          <w:rStyle w:val="Emphasis"/>
        </w:rPr>
        <w:t xml:space="preserve"> </w:t>
      </w:r>
      <w:r w:rsidR="005306F3" w:rsidRPr="00CB13F7">
        <w:rPr>
          <w:rStyle w:val="Emphasis"/>
          <w:i w:val="0"/>
          <w:iCs w:val="0"/>
        </w:rPr>
        <w:t xml:space="preserve">Zbatimi i </w:t>
      </w:r>
      <w:r w:rsidR="00F726C0" w:rsidRPr="00CB13F7">
        <w:rPr>
          <w:rStyle w:val="Emphasis"/>
          <w:i w:val="0"/>
          <w:iCs w:val="0"/>
        </w:rPr>
        <w:t xml:space="preserve">tij </w:t>
      </w:r>
      <w:r w:rsidR="005306F3" w:rsidRPr="00CB13F7">
        <w:rPr>
          <w:rStyle w:val="Emphasis"/>
          <w:i w:val="0"/>
          <w:iCs w:val="0"/>
        </w:rPr>
        <w:t xml:space="preserve">do të monitorohet nga </w:t>
      </w:r>
      <w:r w:rsidR="00EF69D7" w:rsidRPr="00CB13F7">
        <w:rPr>
          <w:rStyle w:val="Emphasis"/>
          <w:i w:val="0"/>
          <w:iCs w:val="0"/>
        </w:rPr>
        <w:t xml:space="preserve">Ministria e Shëndetësisë dhe Mirëqenies Sociale, si </w:t>
      </w:r>
      <w:r w:rsidR="005306F3" w:rsidRPr="00CB13F7">
        <w:rPr>
          <w:rStyle w:val="Emphasis"/>
          <w:i w:val="0"/>
          <w:iCs w:val="0"/>
        </w:rPr>
        <w:t>dhe me përfshirjen direkte të pikave fokale në ministritë e linjës. Zbatimi i suksesshëm i këtij Plani, do të varet edhe nga bashkëpunimi i ngushtë ndërmjet aktorëve të ndryshëm, kryesisht i institucioneve të qeverisjes qendrore dhe vendore dhe organizatave të shoqërisë civile.</w:t>
      </w:r>
      <w:r w:rsidR="005306F3" w:rsidRPr="00CB13F7">
        <w:rPr>
          <w:rStyle w:val="Emphasis"/>
        </w:rPr>
        <w:t xml:space="preserve"> </w:t>
      </w:r>
    </w:p>
    <w:p w14:paraId="1EFBE355" w14:textId="77777777" w:rsidR="004B03EF" w:rsidRPr="00CB13F7" w:rsidRDefault="004B03EF" w:rsidP="004E4604">
      <w:pPr>
        <w:spacing w:before="120" w:after="120" w:line="276" w:lineRule="auto"/>
        <w:jc w:val="both"/>
        <w:rPr>
          <w:lang w:eastAsia="en-US"/>
        </w:rPr>
      </w:pPr>
    </w:p>
    <w:p w14:paraId="249109A0" w14:textId="77777777" w:rsidR="00E66747" w:rsidRPr="00CB13F7" w:rsidRDefault="00E66747" w:rsidP="004E4604">
      <w:pPr>
        <w:pStyle w:val="ListParagraph"/>
        <w:numPr>
          <w:ilvl w:val="0"/>
          <w:numId w:val="8"/>
        </w:numPr>
        <w:tabs>
          <w:tab w:val="left" w:pos="360"/>
        </w:tabs>
        <w:spacing w:before="120" w:after="120" w:line="276" w:lineRule="auto"/>
        <w:ind w:left="360"/>
        <w:contextualSpacing w:val="0"/>
        <w:jc w:val="both"/>
        <w:rPr>
          <w:rFonts w:eastAsia="Times New Roman"/>
          <w:b/>
          <w:bCs/>
          <w:lang w:eastAsia="en-US"/>
        </w:rPr>
      </w:pPr>
      <w:bookmarkStart w:id="1" w:name="_Hlk223102950"/>
      <w:bookmarkStart w:id="2" w:name="_Hlk223084919"/>
      <w:r w:rsidRPr="00CB13F7">
        <w:rPr>
          <w:rFonts w:eastAsia="Times New Roman"/>
          <w:b/>
          <w:bCs/>
          <w:lang w:eastAsia="en-US"/>
        </w:rPr>
        <w:t>P</w:t>
      </w:r>
      <w:r w:rsidR="00753C46" w:rsidRPr="00CB13F7">
        <w:rPr>
          <w:rFonts w:eastAsia="Times New Roman"/>
          <w:b/>
          <w:bCs/>
          <w:lang w:eastAsia="en-US"/>
        </w:rPr>
        <w:t>Ë</w:t>
      </w:r>
      <w:r w:rsidRPr="00CB13F7">
        <w:rPr>
          <w:rFonts w:eastAsia="Times New Roman"/>
          <w:b/>
          <w:bCs/>
          <w:lang w:eastAsia="en-US"/>
        </w:rPr>
        <w:t>RPUTHSHM</w:t>
      </w:r>
      <w:r w:rsidR="00753C46" w:rsidRPr="00CB13F7">
        <w:rPr>
          <w:rFonts w:eastAsia="Times New Roman"/>
          <w:b/>
          <w:bCs/>
          <w:lang w:eastAsia="en-US"/>
        </w:rPr>
        <w:t>Ë</w:t>
      </w:r>
      <w:r w:rsidRPr="00CB13F7">
        <w:rPr>
          <w:rFonts w:eastAsia="Times New Roman"/>
          <w:b/>
          <w:bCs/>
          <w:lang w:eastAsia="en-US"/>
        </w:rPr>
        <w:t>RIA ME KUADRIN STRATEGJIK KOMB</w:t>
      </w:r>
      <w:r w:rsidR="00753C46" w:rsidRPr="00CB13F7">
        <w:rPr>
          <w:rFonts w:eastAsia="Times New Roman"/>
          <w:b/>
          <w:bCs/>
          <w:lang w:eastAsia="en-US"/>
        </w:rPr>
        <w:t>Ë</w:t>
      </w:r>
      <w:r w:rsidRPr="00CB13F7">
        <w:rPr>
          <w:rFonts w:eastAsia="Times New Roman"/>
          <w:b/>
          <w:bCs/>
          <w:lang w:eastAsia="en-US"/>
        </w:rPr>
        <w:t xml:space="preserve">TAR </w:t>
      </w:r>
      <w:r w:rsidR="001B1899" w:rsidRPr="00CB13F7">
        <w:rPr>
          <w:rFonts w:eastAsia="Times New Roman"/>
          <w:b/>
          <w:bCs/>
          <w:lang w:eastAsia="en-US"/>
        </w:rPr>
        <w:t>DH</w:t>
      </w:r>
      <w:r w:rsidRPr="00CB13F7">
        <w:rPr>
          <w:rFonts w:eastAsia="Times New Roman"/>
          <w:b/>
          <w:bCs/>
          <w:lang w:eastAsia="en-US"/>
        </w:rPr>
        <w:t>E ND</w:t>
      </w:r>
      <w:r w:rsidR="00753C46" w:rsidRPr="00CB13F7">
        <w:rPr>
          <w:rFonts w:eastAsia="Times New Roman"/>
          <w:b/>
          <w:bCs/>
          <w:lang w:eastAsia="en-US"/>
        </w:rPr>
        <w:t>Ë</w:t>
      </w:r>
      <w:r w:rsidRPr="00CB13F7">
        <w:rPr>
          <w:rFonts w:eastAsia="Times New Roman"/>
          <w:b/>
          <w:bCs/>
          <w:lang w:eastAsia="en-US"/>
        </w:rPr>
        <w:t>RKOMB</w:t>
      </w:r>
      <w:r w:rsidR="00753C46" w:rsidRPr="00CB13F7">
        <w:rPr>
          <w:rFonts w:eastAsia="Times New Roman"/>
          <w:b/>
          <w:bCs/>
          <w:lang w:eastAsia="en-US"/>
        </w:rPr>
        <w:t>Ë</w:t>
      </w:r>
      <w:r w:rsidRPr="00CB13F7">
        <w:rPr>
          <w:rFonts w:eastAsia="Times New Roman"/>
          <w:b/>
          <w:bCs/>
          <w:lang w:eastAsia="en-US"/>
        </w:rPr>
        <w:t>TAR</w:t>
      </w:r>
    </w:p>
    <w:bookmarkEnd w:id="1"/>
    <w:p w14:paraId="6B2B14D7"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Plani Kombëtar i Veprimit për Personat me Aftësi të Kufizuara 2026</w:t>
      </w:r>
      <w:r w:rsidR="00562245" w:rsidRPr="00CB13F7">
        <w:rPr>
          <w:rFonts w:eastAsia="Times New Roman"/>
          <w:lang w:eastAsia="en-US"/>
        </w:rPr>
        <w:t>-</w:t>
      </w:r>
      <w:r w:rsidRPr="00CB13F7">
        <w:rPr>
          <w:rFonts w:eastAsia="Times New Roman"/>
          <w:lang w:eastAsia="en-US"/>
        </w:rPr>
        <w:t>2030 (PKVPAK) përbën instrumentin qendror të politikave publike të Republikës së Shqipërisë për garantimin e të drejtave, përfshirjes dhe pjesëmarrjes së barabartë të personave me aftësi të kufizuara. Ky plan</w:t>
      </w:r>
      <w:r w:rsidR="001B1899" w:rsidRPr="00CB13F7">
        <w:rPr>
          <w:rFonts w:eastAsia="Times New Roman"/>
          <w:lang w:eastAsia="en-US"/>
        </w:rPr>
        <w:t>,</w:t>
      </w:r>
      <w:r w:rsidRPr="00CB13F7">
        <w:rPr>
          <w:rFonts w:eastAsia="Times New Roman"/>
          <w:lang w:eastAsia="en-US"/>
        </w:rPr>
        <w:t xml:space="preserve"> nuk është një dokument i izoluar politikash sociale, </w:t>
      </w:r>
      <w:r w:rsidR="00AD5EEB" w:rsidRPr="00CB13F7">
        <w:rPr>
          <w:rFonts w:eastAsia="Times New Roman"/>
          <w:lang w:eastAsia="en-US"/>
        </w:rPr>
        <w:t>por nj</w:t>
      </w:r>
      <w:r w:rsidR="00F427D5" w:rsidRPr="00CB13F7">
        <w:rPr>
          <w:rFonts w:eastAsia="Times New Roman"/>
          <w:lang w:eastAsia="en-US"/>
        </w:rPr>
        <w:t>ë</w:t>
      </w:r>
      <w:r w:rsidR="00AD5EEB" w:rsidRPr="00CB13F7">
        <w:rPr>
          <w:rFonts w:eastAsia="Times New Roman"/>
          <w:lang w:eastAsia="en-US"/>
        </w:rPr>
        <w:t xml:space="preserve"> dokument i</w:t>
      </w:r>
      <w:r w:rsidRPr="00CB13F7">
        <w:rPr>
          <w:rFonts w:eastAsia="Times New Roman"/>
          <w:lang w:eastAsia="en-US"/>
        </w:rPr>
        <w:t xml:space="preserve"> lidhur ngushtë me angazhimet ndërkombëtare për të drejtat e njeriut, me procesin e integrimit evropian dhe me dokumentet strategjike kombëtare dhe sektoriale.</w:t>
      </w:r>
      <w:r w:rsidR="00AD5EEB" w:rsidRPr="00CB13F7">
        <w:rPr>
          <w:rFonts w:eastAsia="Times New Roman"/>
          <w:lang w:eastAsia="en-US"/>
        </w:rPr>
        <w:t xml:space="preserve"> Q</w:t>
      </w:r>
      <w:r w:rsidRPr="00CB13F7">
        <w:rPr>
          <w:rFonts w:eastAsia="Times New Roman"/>
          <w:lang w:eastAsia="en-US"/>
        </w:rPr>
        <w:t xml:space="preserve">asja mbi të cilën ndërtohet Plani mbështetet në parimin e </w:t>
      </w:r>
      <w:r w:rsidRPr="00CB13F7">
        <w:rPr>
          <w:rFonts w:eastAsia="Times New Roman"/>
          <w:lang w:eastAsia="en-US"/>
        </w:rPr>
        <w:lastRenderedPageBreak/>
        <w:t>integrimit horizontal të aftësisë së kufizuar në të gjitha politikat publike. Për rrjedhojë, politikat për personat me aftësi të kufizuara nuk trajtohen si një sektor i veçantë, por si një dimension i detyrueshëm i çdo politike shtetërore që lidhet me shërbimet publike, zhvillimin ekonomik dhe pjesëmarrjen qytetare.</w:t>
      </w:r>
    </w:p>
    <w:p w14:paraId="6ECB7483" w14:textId="77777777" w:rsidR="00AC32A3" w:rsidRPr="00CB13F7" w:rsidRDefault="00AC32A3" w:rsidP="004E4604">
      <w:pPr>
        <w:spacing w:before="120" w:after="120" w:line="276" w:lineRule="auto"/>
        <w:jc w:val="both"/>
        <w:rPr>
          <w:rFonts w:eastAsia="Times New Roman"/>
          <w:b/>
          <w:bCs/>
          <w:lang w:eastAsia="en-US"/>
        </w:rPr>
      </w:pPr>
      <w:r w:rsidRPr="00CB13F7">
        <w:rPr>
          <w:rFonts w:eastAsia="Times New Roman"/>
          <w:b/>
          <w:bCs/>
          <w:lang w:eastAsia="en-US"/>
        </w:rPr>
        <w:t>2.1 Kuadri ndërkombëtar</w:t>
      </w:r>
    </w:p>
    <w:p w14:paraId="0E41C1E6" w14:textId="6BF22AC5" w:rsidR="00AC32A3" w:rsidRPr="00CB13F7" w:rsidRDefault="3EEBC077" w:rsidP="004E4604">
      <w:pPr>
        <w:spacing w:before="120" w:after="120" w:line="276" w:lineRule="auto"/>
        <w:jc w:val="both"/>
        <w:rPr>
          <w:rFonts w:eastAsia="Times New Roman"/>
          <w:lang w:eastAsia="en-US"/>
        </w:rPr>
      </w:pPr>
      <w:r w:rsidRPr="00CB13F7">
        <w:rPr>
          <w:rFonts w:eastAsia="Times New Roman"/>
          <w:lang w:eastAsia="en-US"/>
        </w:rPr>
        <w:t>Referenca themelore e Planit është Konventa</w:t>
      </w:r>
      <w:r w:rsidR="00F71DC7" w:rsidRPr="00CB13F7">
        <w:rPr>
          <w:rStyle w:val="FootnoteReference"/>
          <w:rFonts w:eastAsia="Times New Roman"/>
          <w:lang w:eastAsia="en-US"/>
        </w:rPr>
        <w:footnoteReference w:id="1"/>
      </w:r>
      <w:r w:rsidRPr="00CB13F7">
        <w:rPr>
          <w:rFonts w:eastAsia="Times New Roman"/>
          <w:lang w:eastAsia="en-US"/>
        </w:rPr>
        <w:t xml:space="preserve"> e Kombeve të Bashkuara për të Drejtat e Personave me Aftësi të Kufizuara (</w:t>
      </w:r>
      <w:r w:rsidR="0E746ADF" w:rsidRPr="00CB13F7">
        <w:rPr>
          <w:rFonts w:eastAsia="Times New Roman"/>
          <w:lang w:eastAsia="en-US"/>
        </w:rPr>
        <w:t>KDPAK</w:t>
      </w:r>
      <w:r w:rsidRPr="00CB13F7">
        <w:rPr>
          <w:rFonts w:eastAsia="Times New Roman"/>
          <w:lang w:eastAsia="en-US"/>
        </w:rPr>
        <w:t xml:space="preserve">), e ratifikuar nga Republika e Shqipërisë. </w:t>
      </w:r>
      <w:r w:rsidR="202686CD" w:rsidRPr="00CB13F7">
        <w:rPr>
          <w:rFonts w:eastAsia="Times New Roman"/>
          <w:lang w:eastAsia="en-US"/>
        </w:rPr>
        <w:t xml:space="preserve">Nisur nga parimet e </w:t>
      </w:r>
      <w:r w:rsidR="204CD269" w:rsidRPr="00CB13F7">
        <w:rPr>
          <w:rFonts w:eastAsia="Times New Roman"/>
          <w:lang w:eastAsia="en-US"/>
        </w:rPr>
        <w:t>e kësaj Konvente</w:t>
      </w:r>
      <w:r w:rsidR="202686CD" w:rsidRPr="00CB13F7">
        <w:rPr>
          <w:rFonts w:eastAsia="Times New Roman"/>
          <w:lang w:eastAsia="en-US"/>
        </w:rPr>
        <w:t xml:space="preserve">, </w:t>
      </w:r>
      <w:r w:rsidRPr="00CB13F7">
        <w:rPr>
          <w:rFonts w:eastAsia="Times New Roman"/>
          <w:lang w:eastAsia="en-US"/>
        </w:rPr>
        <w:t>P</w:t>
      </w:r>
      <w:r w:rsidR="202686CD" w:rsidRPr="00CB13F7">
        <w:rPr>
          <w:rFonts w:eastAsia="Times New Roman"/>
          <w:lang w:eastAsia="en-US"/>
        </w:rPr>
        <w:t>KVPAK</w:t>
      </w:r>
      <w:r w:rsidRPr="00CB13F7">
        <w:rPr>
          <w:rFonts w:eastAsia="Times New Roman"/>
          <w:lang w:eastAsia="en-US"/>
        </w:rPr>
        <w:t xml:space="preserve"> 2026</w:t>
      </w:r>
      <w:r w:rsidR="202686CD" w:rsidRPr="00CB13F7">
        <w:rPr>
          <w:rFonts w:eastAsia="Times New Roman"/>
          <w:lang w:eastAsia="en-US"/>
        </w:rPr>
        <w:t>-</w:t>
      </w:r>
      <w:r w:rsidRPr="00CB13F7">
        <w:rPr>
          <w:rFonts w:eastAsia="Times New Roman"/>
          <w:lang w:eastAsia="en-US"/>
        </w:rPr>
        <w:t>2030</w:t>
      </w:r>
      <w:r w:rsidR="202686CD" w:rsidRPr="00CB13F7">
        <w:rPr>
          <w:rFonts w:eastAsia="Times New Roman"/>
          <w:lang w:eastAsia="en-US"/>
        </w:rPr>
        <w:t>,</w:t>
      </w:r>
      <w:r w:rsidRPr="00CB13F7">
        <w:rPr>
          <w:rFonts w:eastAsia="Times New Roman"/>
          <w:lang w:eastAsia="en-US"/>
        </w:rPr>
        <w:t xml:space="preserve"> synon të vendos</w:t>
      </w:r>
      <w:r w:rsidR="3F09EB32" w:rsidRPr="00CB13F7">
        <w:rPr>
          <w:rFonts w:eastAsia="Times New Roman"/>
          <w:lang w:eastAsia="en-US"/>
        </w:rPr>
        <w:t>ë</w:t>
      </w:r>
      <w:r w:rsidRPr="00CB13F7">
        <w:rPr>
          <w:rFonts w:eastAsia="Times New Roman"/>
          <w:lang w:eastAsia="en-US"/>
        </w:rPr>
        <w:t xml:space="preserve"> në </w:t>
      </w:r>
      <w:r w:rsidR="202686CD" w:rsidRPr="00CB13F7">
        <w:rPr>
          <w:rFonts w:eastAsia="Times New Roman"/>
          <w:lang w:eastAsia="en-US"/>
        </w:rPr>
        <w:t xml:space="preserve">fokus </w:t>
      </w:r>
      <w:r w:rsidRPr="00CB13F7">
        <w:rPr>
          <w:rFonts w:eastAsia="Times New Roman"/>
          <w:lang w:eastAsia="en-US"/>
        </w:rPr>
        <w:t>jetesën e pavarur, aksesueshmërinë universale dhe pjesëmarrjen e plotë në komunitet.</w:t>
      </w:r>
    </w:p>
    <w:p w14:paraId="0BB85539" w14:textId="145A9A53" w:rsidR="00AC32A3" w:rsidRPr="00CB13F7" w:rsidRDefault="3EEBC077" w:rsidP="004E4604">
      <w:pPr>
        <w:spacing w:before="120" w:after="120" w:line="276" w:lineRule="auto"/>
        <w:jc w:val="both"/>
        <w:rPr>
          <w:rFonts w:eastAsia="Times New Roman"/>
          <w:lang w:eastAsia="en-US"/>
        </w:rPr>
      </w:pPr>
      <w:r w:rsidRPr="00CB13F7">
        <w:rPr>
          <w:rFonts w:eastAsia="Times New Roman"/>
          <w:lang w:eastAsia="en-US"/>
        </w:rPr>
        <w:t>Plani kontribuon gjithashtu në realizimin e Objektivave</w:t>
      </w:r>
      <w:r w:rsidR="00F71DC7" w:rsidRPr="00CB13F7">
        <w:rPr>
          <w:rStyle w:val="FootnoteReference"/>
          <w:rFonts w:eastAsia="Times New Roman"/>
          <w:lang w:eastAsia="en-US"/>
        </w:rPr>
        <w:footnoteReference w:id="2"/>
      </w:r>
      <w:r w:rsidRPr="00CB13F7">
        <w:rPr>
          <w:rFonts w:eastAsia="Times New Roman"/>
          <w:lang w:eastAsia="en-US"/>
        </w:rPr>
        <w:t xml:space="preserve"> të Zhvillimit të Qëndrueshëm (</w:t>
      </w:r>
      <w:r w:rsidR="7CCBCF77" w:rsidRPr="00CB13F7">
        <w:rPr>
          <w:rFonts w:eastAsia="Times New Roman"/>
          <w:lang w:eastAsia="en-US"/>
        </w:rPr>
        <w:t>OZHQ</w:t>
      </w:r>
      <w:r w:rsidRPr="00CB13F7">
        <w:rPr>
          <w:rFonts w:eastAsia="Times New Roman"/>
          <w:lang w:eastAsia="en-US"/>
        </w:rPr>
        <w:t>), duke adresuar varfërinë, pabarazitë, arsimin cilësor, punësimin e denjë dhe qytetet gjithëpërfshirëse</w:t>
      </w:r>
      <w:r w:rsidR="202686CD" w:rsidRPr="00CB13F7">
        <w:rPr>
          <w:rFonts w:eastAsia="Times New Roman"/>
          <w:lang w:eastAsia="en-US"/>
        </w:rPr>
        <w:t>.</w:t>
      </w:r>
    </w:p>
    <w:p w14:paraId="39AA15D1" w14:textId="205CB328"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PKVPAK 2026</w:t>
      </w:r>
      <w:r w:rsidR="00E77046" w:rsidRPr="00CB13F7">
        <w:rPr>
          <w:rFonts w:eastAsia="Times New Roman"/>
          <w:lang w:eastAsia="en-US"/>
        </w:rPr>
        <w:t>-</w:t>
      </w:r>
      <w:r w:rsidRPr="00CB13F7">
        <w:rPr>
          <w:rFonts w:eastAsia="Times New Roman"/>
          <w:lang w:eastAsia="en-US"/>
        </w:rPr>
        <w:t>2030 harmonizohet me politikat e Bashkimit Evropian për personat me aftësi të kufizuara, përfshirë Strategjinë</w:t>
      </w:r>
      <w:r w:rsidR="00F71DC7" w:rsidRPr="00CB13F7">
        <w:rPr>
          <w:rStyle w:val="FootnoteReference"/>
          <w:rFonts w:eastAsia="Times New Roman"/>
          <w:lang w:eastAsia="en-US"/>
        </w:rPr>
        <w:footnoteReference w:id="3"/>
      </w:r>
      <w:r w:rsidRPr="00CB13F7">
        <w:rPr>
          <w:rFonts w:eastAsia="Times New Roman"/>
          <w:lang w:eastAsia="en-US"/>
        </w:rPr>
        <w:t xml:space="preserve"> e BE</w:t>
      </w:r>
      <w:r w:rsidR="001B1899" w:rsidRPr="00CB13F7">
        <w:rPr>
          <w:rFonts w:eastAsia="Times New Roman"/>
          <w:lang w:eastAsia="en-US"/>
        </w:rPr>
        <w:t>-së</w:t>
      </w:r>
      <w:r w:rsidRPr="00CB13F7">
        <w:rPr>
          <w:rFonts w:eastAsia="Times New Roman"/>
          <w:lang w:eastAsia="en-US"/>
        </w:rPr>
        <w:t xml:space="preserve"> për të Drejtat e Personave me Aftësi të Kufizuara</w:t>
      </w:r>
      <w:r w:rsidR="00E77046" w:rsidRPr="00CB13F7">
        <w:rPr>
          <w:rFonts w:eastAsia="Times New Roman"/>
          <w:lang w:eastAsia="en-US"/>
        </w:rPr>
        <w:t xml:space="preserve"> 2021</w:t>
      </w:r>
      <w:r w:rsidR="00F71DC7" w:rsidRPr="00CB13F7">
        <w:rPr>
          <w:rFonts w:eastAsia="Times New Roman"/>
          <w:lang w:eastAsia="en-US"/>
        </w:rPr>
        <w:t>-</w:t>
      </w:r>
      <w:r w:rsidR="00E77046" w:rsidRPr="00CB13F7">
        <w:rPr>
          <w:rFonts w:eastAsia="Times New Roman"/>
          <w:lang w:eastAsia="en-US"/>
        </w:rPr>
        <w:t>2030</w:t>
      </w:r>
      <w:r w:rsidRPr="00CB13F7">
        <w:rPr>
          <w:rFonts w:eastAsia="Times New Roman"/>
          <w:lang w:eastAsia="en-US"/>
        </w:rPr>
        <w:t xml:space="preserve">, </w:t>
      </w:r>
      <w:r w:rsidR="00E77046" w:rsidRPr="00CB13F7">
        <w:rPr>
          <w:rFonts w:eastAsia="Times New Roman"/>
          <w:lang w:eastAsia="en-US"/>
        </w:rPr>
        <w:t>Di</w:t>
      </w:r>
      <w:r w:rsidRPr="00CB13F7">
        <w:rPr>
          <w:rFonts w:eastAsia="Times New Roman"/>
          <w:lang w:eastAsia="en-US"/>
        </w:rPr>
        <w:t>rektivat</w:t>
      </w:r>
      <w:r w:rsidR="00F71DC7" w:rsidRPr="00CB13F7">
        <w:rPr>
          <w:rStyle w:val="FootnoteReference"/>
          <w:rFonts w:eastAsia="Times New Roman"/>
          <w:lang w:eastAsia="en-US"/>
        </w:rPr>
        <w:footnoteReference w:id="4"/>
      </w:r>
      <w:r w:rsidRPr="00CB13F7">
        <w:rPr>
          <w:rFonts w:eastAsia="Times New Roman"/>
          <w:lang w:eastAsia="en-US"/>
        </w:rPr>
        <w:t xml:space="preserve"> për aksesueshmërinë</w:t>
      </w:r>
      <w:r w:rsidR="00E77046" w:rsidRPr="00CB13F7">
        <w:rPr>
          <w:rFonts w:eastAsia="Times New Roman"/>
          <w:lang w:eastAsia="en-US"/>
        </w:rPr>
        <w:t>, si</w:t>
      </w:r>
      <w:r w:rsidRPr="00CB13F7">
        <w:rPr>
          <w:rFonts w:eastAsia="Times New Roman"/>
          <w:lang w:eastAsia="en-US"/>
        </w:rPr>
        <w:t xml:space="preserve"> dhe udhëzimet</w:t>
      </w:r>
      <w:r w:rsidR="00F71DC7" w:rsidRPr="00CB13F7">
        <w:rPr>
          <w:rStyle w:val="FootnoteReference"/>
          <w:rFonts w:eastAsia="Times New Roman"/>
          <w:lang w:eastAsia="en-US"/>
        </w:rPr>
        <w:footnoteReference w:id="5"/>
      </w:r>
      <w:r w:rsidRPr="00CB13F7">
        <w:rPr>
          <w:rFonts w:eastAsia="Times New Roman"/>
          <w:lang w:eastAsia="en-US"/>
        </w:rPr>
        <w:t xml:space="preserve"> për jetesën e pavarur në komunitet. Këto dokumente </w:t>
      </w:r>
      <w:r w:rsidR="00F71DC7" w:rsidRPr="00CB13F7">
        <w:rPr>
          <w:rFonts w:eastAsia="Times New Roman"/>
          <w:lang w:eastAsia="en-US"/>
        </w:rPr>
        <w:t>orientojn</w:t>
      </w:r>
      <w:r w:rsidR="00F427D5" w:rsidRPr="00CB13F7">
        <w:rPr>
          <w:rFonts w:eastAsia="Times New Roman"/>
          <w:lang w:eastAsia="en-US"/>
        </w:rPr>
        <w:t>ë</w:t>
      </w:r>
      <w:r w:rsidR="00F71DC7" w:rsidRPr="00CB13F7">
        <w:rPr>
          <w:rFonts w:eastAsia="Times New Roman"/>
          <w:lang w:eastAsia="en-US"/>
        </w:rPr>
        <w:t xml:space="preserve"> </w:t>
      </w:r>
      <w:r w:rsidRPr="00CB13F7">
        <w:rPr>
          <w:rFonts w:eastAsia="Times New Roman"/>
          <w:lang w:eastAsia="en-US"/>
        </w:rPr>
        <w:t xml:space="preserve">që </w:t>
      </w:r>
      <w:r w:rsidR="00F71DC7" w:rsidRPr="00CB13F7">
        <w:rPr>
          <w:rFonts w:eastAsia="Times New Roman"/>
          <w:lang w:eastAsia="en-US"/>
        </w:rPr>
        <w:t>Shqip</w:t>
      </w:r>
      <w:r w:rsidR="00F427D5" w:rsidRPr="00CB13F7">
        <w:rPr>
          <w:rFonts w:eastAsia="Times New Roman"/>
          <w:lang w:eastAsia="en-US"/>
        </w:rPr>
        <w:t>ë</w:t>
      </w:r>
      <w:r w:rsidR="00F71DC7" w:rsidRPr="00CB13F7">
        <w:rPr>
          <w:rFonts w:eastAsia="Times New Roman"/>
          <w:lang w:eastAsia="en-US"/>
        </w:rPr>
        <w:t xml:space="preserve">ria </w:t>
      </w:r>
      <w:r w:rsidRPr="00CB13F7">
        <w:rPr>
          <w:rFonts w:eastAsia="Times New Roman"/>
          <w:lang w:eastAsia="en-US"/>
        </w:rPr>
        <w:t>të kalojnë nga politikat mbrojtëse drejt garantimit të barazisë së mundësive dhe eliminimit të barrierave strukturore.</w:t>
      </w:r>
    </w:p>
    <w:p w14:paraId="4D13CFE9" w14:textId="77777777" w:rsidR="00AC32A3" w:rsidRPr="00CB13F7" w:rsidRDefault="00AC32A3" w:rsidP="004E4604">
      <w:pPr>
        <w:spacing w:before="120" w:after="120" w:line="276" w:lineRule="auto"/>
        <w:jc w:val="both"/>
        <w:rPr>
          <w:rFonts w:eastAsia="Times New Roman"/>
          <w:b/>
          <w:bCs/>
          <w:lang w:eastAsia="en-US"/>
        </w:rPr>
      </w:pPr>
      <w:r w:rsidRPr="00CB13F7">
        <w:rPr>
          <w:rFonts w:eastAsia="Times New Roman"/>
          <w:b/>
          <w:bCs/>
          <w:lang w:eastAsia="en-US"/>
        </w:rPr>
        <w:t>2.</w:t>
      </w:r>
      <w:r w:rsidR="00CA4F34" w:rsidRPr="00CB13F7">
        <w:rPr>
          <w:rFonts w:eastAsia="Times New Roman"/>
          <w:b/>
          <w:bCs/>
          <w:lang w:eastAsia="en-US"/>
        </w:rPr>
        <w:t>2</w:t>
      </w:r>
      <w:r w:rsidRPr="00CB13F7">
        <w:rPr>
          <w:rFonts w:eastAsia="Times New Roman"/>
          <w:b/>
          <w:bCs/>
          <w:lang w:eastAsia="en-US"/>
        </w:rPr>
        <w:t xml:space="preserve"> Kuadri strategjik kombëtar</w:t>
      </w:r>
    </w:p>
    <w:p w14:paraId="0C1C0772" w14:textId="2B75ABFB"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Në nivel kombëtar, P</w:t>
      </w:r>
      <w:r w:rsidR="00F71DC7" w:rsidRPr="00CB13F7">
        <w:rPr>
          <w:rFonts w:eastAsia="Times New Roman"/>
          <w:lang w:eastAsia="en-US"/>
        </w:rPr>
        <w:t>KVPAK</w:t>
      </w:r>
      <w:r w:rsidRPr="00CB13F7">
        <w:rPr>
          <w:rFonts w:eastAsia="Times New Roman"/>
          <w:lang w:eastAsia="en-US"/>
        </w:rPr>
        <w:t xml:space="preserve"> është i harmonizuar me dokumentet kryesore </w:t>
      </w:r>
      <w:r w:rsidR="00EF69D7" w:rsidRPr="00CB13F7">
        <w:rPr>
          <w:rFonts w:eastAsia="Times New Roman"/>
          <w:lang w:eastAsia="en-US"/>
        </w:rPr>
        <w:t>strategjike</w:t>
      </w:r>
      <w:r w:rsidRPr="00CB13F7">
        <w:rPr>
          <w:rFonts w:eastAsia="Times New Roman"/>
          <w:lang w:eastAsia="en-US"/>
        </w:rPr>
        <w:t xml:space="preserve"> të vendit, veçanërisht me Strategjinë</w:t>
      </w:r>
      <w:r w:rsidR="00F71DC7" w:rsidRPr="00CB13F7">
        <w:rPr>
          <w:rStyle w:val="FootnoteReference"/>
          <w:rFonts w:eastAsia="Times New Roman"/>
          <w:lang w:eastAsia="en-US"/>
        </w:rPr>
        <w:footnoteReference w:id="6"/>
      </w:r>
      <w:r w:rsidRPr="00CB13F7">
        <w:rPr>
          <w:rFonts w:eastAsia="Times New Roman"/>
          <w:lang w:eastAsia="en-US"/>
        </w:rPr>
        <w:t xml:space="preserve"> Kombëtare për Zhvillim dhe Integrim Evropian (SKZHIE), e cila synon rritjen e mirëqenies, kohezionit social dhe barazisë së mundësive.</w:t>
      </w:r>
      <w:r w:rsidR="001771D3" w:rsidRPr="00CB13F7">
        <w:rPr>
          <w:rFonts w:eastAsia="Times New Roman"/>
          <w:lang w:eastAsia="en-US"/>
        </w:rPr>
        <w:t xml:space="preserve"> </w:t>
      </w:r>
      <w:r w:rsidRPr="00CB13F7">
        <w:rPr>
          <w:rFonts w:eastAsia="Times New Roman"/>
          <w:lang w:eastAsia="en-US"/>
        </w:rPr>
        <w:t>Përfshirja e personave me aftësi të kufizuara konsiderohet një tregues i drejtpërdrejtë i cilësisë së zhvillimit dhe i funksionimit të shtetit social.</w:t>
      </w:r>
    </w:p>
    <w:p w14:paraId="2A56662D" w14:textId="77777777" w:rsidR="00AC32A3" w:rsidRPr="00CB13F7" w:rsidRDefault="00AC32A3" w:rsidP="004E4604">
      <w:pPr>
        <w:spacing w:before="120" w:after="120" w:line="276" w:lineRule="auto"/>
        <w:jc w:val="both"/>
        <w:rPr>
          <w:rFonts w:eastAsia="Times New Roman"/>
          <w:b/>
          <w:bCs/>
          <w:lang w:eastAsia="en-US"/>
        </w:rPr>
      </w:pPr>
      <w:r w:rsidRPr="00CB13F7">
        <w:rPr>
          <w:rFonts w:eastAsia="Times New Roman"/>
          <w:b/>
          <w:bCs/>
          <w:lang w:eastAsia="en-US"/>
        </w:rPr>
        <w:t>2.</w:t>
      </w:r>
      <w:r w:rsidR="00CA4F34" w:rsidRPr="00CB13F7">
        <w:rPr>
          <w:rFonts w:eastAsia="Times New Roman"/>
          <w:b/>
          <w:bCs/>
          <w:lang w:eastAsia="en-US"/>
        </w:rPr>
        <w:t>3</w:t>
      </w:r>
      <w:r w:rsidRPr="00CB13F7">
        <w:rPr>
          <w:rFonts w:eastAsia="Times New Roman"/>
          <w:b/>
          <w:bCs/>
          <w:lang w:eastAsia="en-US"/>
        </w:rPr>
        <w:t xml:space="preserve"> Harmonizimi me strategjitë sektoriale</w:t>
      </w:r>
    </w:p>
    <w:p w14:paraId="4F9A83F2"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P</w:t>
      </w:r>
      <w:r w:rsidR="003E4CA9" w:rsidRPr="00CB13F7">
        <w:rPr>
          <w:rFonts w:eastAsia="Times New Roman"/>
          <w:lang w:eastAsia="en-US"/>
        </w:rPr>
        <w:t>KVPAK 2026-2030,</w:t>
      </w:r>
      <w:r w:rsidRPr="00CB13F7">
        <w:rPr>
          <w:rFonts w:eastAsia="Times New Roman"/>
          <w:lang w:eastAsia="en-US"/>
        </w:rPr>
        <w:t xml:space="preserve"> </w:t>
      </w:r>
      <w:r w:rsidR="00F427D5" w:rsidRPr="00CB13F7">
        <w:rPr>
          <w:rFonts w:eastAsia="Times New Roman"/>
          <w:lang w:eastAsia="en-US"/>
        </w:rPr>
        <w:t>ë</w:t>
      </w:r>
      <w:r w:rsidR="003E4CA9" w:rsidRPr="00CB13F7">
        <w:rPr>
          <w:rFonts w:eastAsia="Times New Roman"/>
          <w:lang w:eastAsia="en-US"/>
        </w:rPr>
        <w:t>sht</w:t>
      </w:r>
      <w:r w:rsidR="00F427D5" w:rsidRPr="00CB13F7">
        <w:rPr>
          <w:rFonts w:eastAsia="Times New Roman"/>
          <w:lang w:eastAsia="en-US"/>
        </w:rPr>
        <w:t>ë</w:t>
      </w:r>
      <w:r w:rsidR="003E4CA9" w:rsidRPr="00CB13F7">
        <w:rPr>
          <w:rFonts w:eastAsia="Times New Roman"/>
          <w:lang w:eastAsia="en-US"/>
        </w:rPr>
        <w:t xml:space="preserve"> hartuar </w:t>
      </w:r>
      <w:r w:rsidRPr="00CB13F7">
        <w:rPr>
          <w:rFonts w:eastAsia="Times New Roman"/>
          <w:lang w:eastAsia="en-US"/>
        </w:rPr>
        <w:t>mbi ndërveprimin e drejtpërdrejtë me strategjitë sektoriale të qeverisë shqiptare, duke siguruar që përfshirja e personave me aftësi të kufizuara të jetë pjesë e politikave të çdo sektori dhe jo një ndërhyrje paralele.</w:t>
      </w:r>
    </w:p>
    <w:p w14:paraId="75C4AC35"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lastRenderedPageBreak/>
        <w:t xml:space="preserve">Në fushën e drejtësisë, </w:t>
      </w:r>
      <w:r w:rsidR="003E4CA9" w:rsidRPr="00CB13F7">
        <w:rPr>
          <w:rFonts w:eastAsia="Times New Roman"/>
          <w:lang w:eastAsia="en-US"/>
        </w:rPr>
        <w:t xml:space="preserve">PKVPAK </w:t>
      </w:r>
      <w:r w:rsidRPr="00CB13F7">
        <w:rPr>
          <w:rFonts w:eastAsia="Times New Roman"/>
          <w:lang w:eastAsia="en-US"/>
        </w:rPr>
        <w:t>harmonizohet me Strategjinë</w:t>
      </w:r>
      <w:r w:rsidR="00F71DC7" w:rsidRPr="00CB13F7">
        <w:rPr>
          <w:rStyle w:val="FootnoteReference"/>
          <w:rFonts w:eastAsia="Times New Roman"/>
          <w:lang w:eastAsia="en-US"/>
        </w:rPr>
        <w:footnoteReference w:id="7"/>
      </w:r>
      <w:r w:rsidRPr="00CB13F7">
        <w:rPr>
          <w:rFonts w:eastAsia="Times New Roman"/>
          <w:lang w:eastAsia="en-US"/>
        </w:rPr>
        <w:t xml:space="preserve"> Ndërsektoriale të Drejtësisë 2024</w:t>
      </w:r>
      <w:r w:rsidR="003E4CA9" w:rsidRPr="00CB13F7">
        <w:rPr>
          <w:rFonts w:eastAsia="Times New Roman"/>
          <w:lang w:eastAsia="en-US"/>
        </w:rPr>
        <w:t>-</w:t>
      </w:r>
      <w:r w:rsidRPr="00CB13F7">
        <w:rPr>
          <w:rFonts w:eastAsia="Times New Roman"/>
          <w:lang w:eastAsia="en-US"/>
        </w:rPr>
        <w:t>2030, Strategjinë</w:t>
      </w:r>
      <w:r w:rsidR="00F71DC7" w:rsidRPr="00CB13F7">
        <w:rPr>
          <w:rStyle w:val="FootnoteReference"/>
          <w:rFonts w:eastAsia="Times New Roman"/>
          <w:lang w:eastAsia="en-US"/>
        </w:rPr>
        <w:footnoteReference w:id="8"/>
      </w:r>
      <w:r w:rsidRPr="00CB13F7">
        <w:rPr>
          <w:rFonts w:eastAsia="Times New Roman"/>
          <w:lang w:eastAsia="en-US"/>
        </w:rPr>
        <w:t xml:space="preserve"> për Mbrojtjen e Viktimave të Krimit 2024</w:t>
      </w:r>
      <w:r w:rsidR="003E4CA9" w:rsidRPr="00CB13F7">
        <w:rPr>
          <w:rFonts w:eastAsia="Times New Roman"/>
          <w:lang w:eastAsia="en-US"/>
        </w:rPr>
        <w:t>-</w:t>
      </w:r>
      <w:r w:rsidRPr="00CB13F7">
        <w:rPr>
          <w:rFonts w:eastAsia="Times New Roman"/>
          <w:lang w:eastAsia="en-US"/>
        </w:rPr>
        <w:t>2030 dhe Strategjinë</w:t>
      </w:r>
      <w:r w:rsidR="00F71DC7" w:rsidRPr="00CB13F7">
        <w:rPr>
          <w:rStyle w:val="FootnoteReference"/>
          <w:rFonts w:eastAsia="Times New Roman"/>
          <w:lang w:eastAsia="en-US"/>
        </w:rPr>
        <w:footnoteReference w:id="9"/>
      </w:r>
      <w:r w:rsidRPr="00CB13F7">
        <w:rPr>
          <w:rFonts w:eastAsia="Times New Roman"/>
          <w:lang w:eastAsia="en-US"/>
        </w:rPr>
        <w:t xml:space="preserve"> e Drejtësisë për të Mitur 2022</w:t>
      </w:r>
      <w:r w:rsidR="003E4CA9" w:rsidRPr="00CB13F7">
        <w:rPr>
          <w:rFonts w:eastAsia="Times New Roman"/>
          <w:lang w:eastAsia="en-US"/>
        </w:rPr>
        <w:t>-</w:t>
      </w:r>
      <w:r w:rsidRPr="00CB13F7">
        <w:rPr>
          <w:rFonts w:eastAsia="Times New Roman"/>
          <w:lang w:eastAsia="en-US"/>
        </w:rPr>
        <w:t>2026, duke garantuar akses real në drejtësi, barazi para ligjit dhe mbrojtje efektive të të drejtave procedurale.</w:t>
      </w:r>
    </w:p>
    <w:p w14:paraId="150F7088"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Në fushën e punësimit dhe aftësive, ai lidhet me Strategjinë</w:t>
      </w:r>
      <w:r w:rsidR="00F71DC7" w:rsidRPr="00CB13F7">
        <w:rPr>
          <w:rStyle w:val="FootnoteReference"/>
          <w:rFonts w:eastAsia="Times New Roman"/>
          <w:lang w:eastAsia="en-US"/>
        </w:rPr>
        <w:footnoteReference w:id="10"/>
      </w:r>
      <w:r w:rsidRPr="00CB13F7">
        <w:rPr>
          <w:rFonts w:eastAsia="Times New Roman"/>
          <w:lang w:eastAsia="en-US"/>
        </w:rPr>
        <w:t xml:space="preserve"> Kombëtare për Punësim dhe Aftësi 2023</w:t>
      </w:r>
      <w:r w:rsidR="003E4CA9" w:rsidRPr="00CB13F7">
        <w:rPr>
          <w:rFonts w:eastAsia="Times New Roman"/>
          <w:lang w:eastAsia="en-US"/>
        </w:rPr>
        <w:t>-</w:t>
      </w:r>
      <w:r w:rsidRPr="00CB13F7">
        <w:rPr>
          <w:rFonts w:eastAsia="Times New Roman"/>
          <w:lang w:eastAsia="en-US"/>
        </w:rPr>
        <w:t>2030, duke synuar rritjen e pjesëmarrjes në tregun e punës dhe kalimin</w:t>
      </w:r>
      <w:r w:rsidR="003E4CA9" w:rsidRPr="00CB13F7">
        <w:rPr>
          <w:rFonts w:eastAsia="Times New Roman"/>
          <w:lang w:eastAsia="en-US"/>
        </w:rPr>
        <w:t xml:space="preserve"> drejt fuqizimit ekonomik t</w:t>
      </w:r>
      <w:r w:rsidR="00F427D5" w:rsidRPr="00CB13F7">
        <w:rPr>
          <w:rFonts w:eastAsia="Times New Roman"/>
          <w:lang w:eastAsia="en-US"/>
        </w:rPr>
        <w:t>ë</w:t>
      </w:r>
      <w:r w:rsidR="003E4CA9" w:rsidRPr="00CB13F7">
        <w:rPr>
          <w:rFonts w:eastAsia="Times New Roman"/>
          <w:lang w:eastAsia="en-US"/>
        </w:rPr>
        <w:t xml:space="preserve"> personave me aft</w:t>
      </w:r>
      <w:r w:rsidR="00F427D5" w:rsidRPr="00CB13F7">
        <w:rPr>
          <w:rFonts w:eastAsia="Times New Roman"/>
          <w:lang w:eastAsia="en-US"/>
        </w:rPr>
        <w:t>ë</w:t>
      </w:r>
      <w:r w:rsidR="003E4CA9" w:rsidRPr="00CB13F7">
        <w:rPr>
          <w:rFonts w:eastAsia="Times New Roman"/>
          <w:lang w:eastAsia="en-US"/>
        </w:rPr>
        <w:t>si t</w:t>
      </w:r>
      <w:r w:rsidR="00F427D5" w:rsidRPr="00CB13F7">
        <w:rPr>
          <w:rFonts w:eastAsia="Times New Roman"/>
          <w:lang w:eastAsia="en-US"/>
        </w:rPr>
        <w:t>ë</w:t>
      </w:r>
      <w:r w:rsidR="003E4CA9" w:rsidRPr="00CB13F7">
        <w:rPr>
          <w:rFonts w:eastAsia="Times New Roman"/>
          <w:lang w:eastAsia="en-US"/>
        </w:rPr>
        <w:t xml:space="preserve"> kufizuara</w:t>
      </w:r>
      <w:r w:rsidRPr="00CB13F7">
        <w:rPr>
          <w:rFonts w:eastAsia="Times New Roman"/>
          <w:lang w:eastAsia="en-US"/>
        </w:rPr>
        <w:t>.</w:t>
      </w:r>
    </w:p>
    <w:p w14:paraId="0C5CCDE0"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Në arsim, P</w:t>
      </w:r>
      <w:r w:rsidR="003E4CA9" w:rsidRPr="00CB13F7">
        <w:rPr>
          <w:rFonts w:eastAsia="Times New Roman"/>
          <w:lang w:eastAsia="en-US"/>
        </w:rPr>
        <w:t>KVPAK</w:t>
      </w:r>
      <w:r w:rsidRPr="00CB13F7">
        <w:rPr>
          <w:rFonts w:eastAsia="Times New Roman"/>
          <w:lang w:eastAsia="en-US"/>
        </w:rPr>
        <w:t xml:space="preserve"> përputhet me Strategjinë</w:t>
      </w:r>
      <w:r w:rsidR="00F71DC7" w:rsidRPr="00CB13F7">
        <w:rPr>
          <w:rStyle w:val="FootnoteReference"/>
          <w:rFonts w:eastAsia="Times New Roman"/>
          <w:lang w:eastAsia="en-US"/>
        </w:rPr>
        <w:footnoteReference w:id="11"/>
      </w:r>
      <w:r w:rsidRPr="00CB13F7">
        <w:rPr>
          <w:rFonts w:eastAsia="Times New Roman"/>
          <w:lang w:eastAsia="en-US"/>
        </w:rPr>
        <w:t xml:space="preserve"> Kombëtare për Arsimin 2021</w:t>
      </w:r>
      <w:r w:rsidR="003E4CA9" w:rsidRPr="00CB13F7">
        <w:rPr>
          <w:rFonts w:eastAsia="Times New Roman"/>
          <w:lang w:eastAsia="en-US"/>
        </w:rPr>
        <w:t>-</w:t>
      </w:r>
      <w:r w:rsidRPr="00CB13F7">
        <w:rPr>
          <w:rFonts w:eastAsia="Times New Roman"/>
          <w:lang w:eastAsia="en-US"/>
        </w:rPr>
        <w:t>2026, duke mbështetur zhvillimin e arsimit gjithëpërfshirës dhe transformimin e sistemit arsimor në një sistem që garanton mundësi të barabarta për të gjithë nxënësit.</w:t>
      </w:r>
    </w:p>
    <w:p w14:paraId="5F52D441" w14:textId="4E4F4751" w:rsidR="00AC32A3" w:rsidRPr="00CB13F7" w:rsidRDefault="3EEBC077" w:rsidP="004E4604">
      <w:pPr>
        <w:spacing w:before="120" w:after="120" w:line="276" w:lineRule="auto"/>
        <w:jc w:val="both"/>
        <w:rPr>
          <w:rFonts w:eastAsia="Times New Roman"/>
          <w:lang w:eastAsia="en-US"/>
        </w:rPr>
      </w:pPr>
      <w:r w:rsidRPr="00CB13F7">
        <w:rPr>
          <w:rFonts w:eastAsia="Times New Roman"/>
          <w:lang w:eastAsia="en-US"/>
        </w:rPr>
        <w:t xml:space="preserve">Në </w:t>
      </w:r>
      <w:r w:rsidR="3562A970" w:rsidRPr="00CB13F7">
        <w:rPr>
          <w:rFonts w:eastAsia="Times New Roman"/>
          <w:lang w:eastAsia="en-US"/>
        </w:rPr>
        <w:t>fush</w:t>
      </w:r>
      <w:r w:rsidR="3F09EB32" w:rsidRPr="00CB13F7">
        <w:rPr>
          <w:rFonts w:eastAsia="Times New Roman"/>
          <w:lang w:eastAsia="en-US"/>
        </w:rPr>
        <w:t>ë</w:t>
      </w:r>
      <w:r w:rsidR="3562A970" w:rsidRPr="00CB13F7">
        <w:rPr>
          <w:rFonts w:eastAsia="Times New Roman"/>
          <w:lang w:eastAsia="en-US"/>
        </w:rPr>
        <w:t xml:space="preserve">n e </w:t>
      </w:r>
      <w:r w:rsidRPr="00CB13F7">
        <w:rPr>
          <w:rFonts w:eastAsia="Times New Roman"/>
          <w:lang w:eastAsia="en-US"/>
        </w:rPr>
        <w:t>mbrojtje</w:t>
      </w:r>
      <w:r w:rsidR="3562A970" w:rsidRPr="00CB13F7">
        <w:rPr>
          <w:rFonts w:eastAsia="Times New Roman"/>
          <w:lang w:eastAsia="en-US"/>
        </w:rPr>
        <w:t>s</w:t>
      </w:r>
      <w:r w:rsidRPr="00CB13F7">
        <w:rPr>
          <w:rFonts w:eastAsia="Times New Roman"/>
          <w:lang w:eastAsia="en-US"/>
        </w:rPr>
        <w:t xml:space="preserve"> sociale, ai harmonizohet me Strategjinë Kombëtare për Mbrojtjen</w:t>
      </w:r>
      <w:r w:rsidR="00F71DC7" w:rsidRPr="00CB13F7">
        <w:rPr>
          <w:rStyle w:val="FootnoteReference"/>
          <w:rFonts w:eastAsia="Times New Roman"/>
          <w:lang w:eastAsia="en-US"/>
        </w:rPr>
        <w:footnoteReference w:id="12"/>
      </w:r>
      <w:r w:rsidRPr="00CB13F7">
        <w:rPr>
          <w:rFonts w:eastAsia="Times New Roman"/>
          <w:lang w:eastAsia="en-US"/>
        </w:rPr>
        <w:t xml:space="preserve"> Sociale 2024</w:t>
      </w:r>
      <w:r w:rsidR="69783EB1" w:rsidRPr="00CB13F7">
        <w:rPr>
          <w:rFonts w:eastAsia="Times New Roman"/>
          <w:lang w:eastAsia="en-US"/>
        </w:rPr>
        <w:t>-</w:t>
      </w:r>
      <w:r w:rsidRPr="00CB13F7">
        <w:rPr>
          <w:rFonts w:eastAsia="Times New Roman"/>
          <w:lang w:eastAsia="en-US"/>
        </w:rPr>
        <w:t xml:space="preserve">2030, duke mbështetur </w:t>
      </w:r>
      <w:r w:rsidR="5DF53915" w:rsidRPr="00CB13F7">
        <w:rPr>
          <w:rFonts w:eastAsia="Times New Roman"/>
          <w:lang w:eastAsia="en-US"/>
        </w:rPr>
        <w:t>nd</w:t>
      </w:r>
      <w:r w:rsidR="004B03EF" w:rsidRPr="00CB13F7">
        <w:rPr>
          <w:rFonts w:eastAsia="Times New Roman"/>
          <w:lang w:eastAsia="en-US"/>
        </w:rPr>
        <w:t>ë</w:t>
      </w:r>
      <w:r w:rsidR="5DF53915" w:rsidRPr="00CB13F7">
        <w:rPr>
          <w:rFonts w:eastAsia="Times New Roman"/>
          <w:lang w:eastAsia="en-US"/>
        </w:rPr>
        <w:t>rthurjen mes sistemit t</w:t>
      </w:r>
      <w:r w:rsidR="004B03EF" w:rsidRPr="00CB13F7">
        <w:rPr>
          <w:rFonts w:eastAsia="Times New Roman"/>
          <w:lang w:eastAsia="en-US"/>
        </w:rPr>
        <w:t>ë</w:t>
      </w:r>
      <w:r w:rsidR="5DF53915" w:rsidRPr="00CB13F7">
        <w:rPr>
          <w:rFonts w:eastAsia="Times New Roman"/>
          <w:lang w:eastAsia="en-US"/>
        </w:rPr>
        <w:t xml:space="preserve"> pagesave </w:t>
      </w:r>
      <w:r w:rsidR="1B83678E" w:rsidRPr="00CB13F7">
        <w:rPr>
          <w:rFonts w:eastAsia="Times New Roman"/>
          <w:lang w:eastAsia="en-US"/>
        </w:rPr>
        <w:t xml:space="preserve"> n</w:t>
      </w:r>
      <w:r w:rsidR="004B03EF" w:rsidRPr="00CB13F7">
        <w:rPr>
          <w:rFonts w:eastAsia="Times New Roman"/>
          <w:lang w:eastAsia="en-US"/>
        </w:rPr>
        <w:t>ë</w:t>
      </w:r>
      <w:r w:rsidR="1B83678E" w:rsidRPr="00CB13F7">
        <w:rPr>
          <w:rFonts w:eastAsia="Times New Roman"/>
          <w:lang w:eastAsia="en-US"/>
        </w:rPr>
        <w:t xml:space="preserve"> para </w:t>
      </w:r>
      <w:r w:rsidR="503439E6" w:rsidRPr="00CB13F7">
        <w:rPr>
          <w:rFonts w:eastAsia="Times New Roman"/>
          <w:lang w:eastAsia="en-US"/>
        </w:rPr>
        <w:t xml:space="preserve">me </w:t>
      </w:r>
      <w:r w:rsidRPr="00CB13F7">
        <w:rPr>
          <w:rFonts w:eastAsia="Times New Roman"/>
          <w:lang w:eastAsia="en-US"/>
        </w:rPr>
        <w:t>sistemi</w:t>
      </w:r>
      <w:r w:rsidR="2ECD4469" w:rsidRPr="00CB13F7">
        <w:rPr>
          <w:rFonts w:eastAsia="Times New Roman"/>
          <w:lang w:eastAsia="en-US"/>
        </w:rPr>
        <w:t>n</w:t>
      </w:r>
      <w:r w:rsidRPr="00CB13F7">
        <w:rPr>
          <w:rFonts w:eastAsia="Times New Roman"/>
          <w:lang w:eastAsia="en-US"/>
        </w:rPr>
        <w:t xml:space="preserve"> </w:t>
      </w:r>
      <w:r w:rsidR="26AFC2CF" w:rsidRPr="00CB13F7">
        <w:rPr>
          <w:rFonts w:eastAsia="Times New Roman"/>
          <w:lang w:eastAsia="en-US"/>
        </w:rPr>
        <w:t xml:space="preserve">e </w:t>
      </w:r>
      <w:r w:rsidRPr="00CB13F7">
        <w:rPr>
          <w:rFonts w:eastAsia="Times New Roman"/>
          <w:lang w:eastAsia="en-US"/>
        </w:rPr>
        <w:t>shërbime</w:t>
      </w:r>
      <w:r w:rsidR="7E5796E3" w:rsidRPr="00CB13F7">
        <w:rPr>
          <w:rFonts w:eastAsia="Times New Roman"/>
          <w:lang w:eastAsia="en-US"/>
        </w:rPr>
        <w:t>ve n</w:t>
      </w:r>
      <w:r w:rsidR="004B03EF" w:rsidRPr="00CB13F7">
        <w:rPr>
          <w:rFonts w:eastAsia="Times New Roman"/>
          <w:lang w:eastAsia="en-US"/>
        </w:rPr>
        <w:t>ë</w:t>
      </w:r>
      <w:r w:rsidR="7E5796E3" w:rsidRPr="00CB13F7">
        <w:rPr>
          <w:rFonts w:eastAsia="Times New Roman"/>
          <w:lang w:eastAsia="en-US"/>
        </w:rPr>
        <w:t xml:space="preserve"> </w:t>
      </w:r>
      <w:r w:rsidRPr="00CB13F7">
        <w:rPr>
          <w:rFonts w:eastAsia="Times New Roman"/>
          <w:lang w:eastAsia="en-US"/>
        </w:rPr>
        <w:t>komunit</w:t>
      </w:r>
      <w:r w:rsidR="37AC91CA" w:rsidRPr="00CB13F7">
        <w:rPr>
          <w:rFonts w:eastAsia="Times New Roman"/>
          <w:lang w:eastAsia="en-US"/>
        </w:rPr>
        <w:t xml:space="preserve">et </w:t>
      </w:r>
      <w:r w:rsidRPr="00CB13F7">
        <w:rPr>
          <w:rFonts w:eastAsia="Times New Roman"/>
          <w:lang w:eastAsia="en-US"/>
        </w:rPr>
        <w:t>dhe jetes</w:t>
      </w:r>
      <w:r w:rsidR="004B03EF" w:rsidRPr="00CB13F7">
        <w:rPr>
          <w:rFonts w:eastAsia="Times New Roman"/>
          <w:lang w:eastAsia="en-US"/>
        </w:rPr>
        <w:t>ë</w:t>
      </w:r>
      <w:r w:rsidR="48579F7C" w:rsidRPr="00CB13F7">
        <w:rPr>
          <w:rFonts w:eastAsia="Times New Roman"/>
          <w:lang w:eastAsia="en-US"/>
        </w:rPr>
        <w:t xml:space="preserve">n </w:t>
      </w:r>
      <w:r w:rsidR="42619B15" w:rsidRPr="00CB13F7">
        <w:rPr>
          <w:rFonts w:eastAsia="Times New Roman"/>
          <w:lang w:eastAsia="en-US"/>
        </w:rPr>
        <w:t>e</w:t>
      </w:r>
      <w:r w:rsidRPr="00CB13F7">
        <w:rPr>
          <w:rFonts w:eastAsia="Times New Roman"/>
          <w:lang w:eastAsia="en-US"/>
        </w:rPr>
        <w:t xml:space="preserve"> pavarur.</w:t>
      </w:r>
    </w:p>
    <w:p w14:paraId="07A59F34"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 xml:space="preserve">Në </w:t>
      </w:r>
      <w:r w:rsidR="00CA4F34" w:rsidRPr="00CB13F7">
        <w:rPr>
          <w:rFonts w:eastAsia="Times New Roman"/>
          <w:lang w:eastAsia="en-US"/>
        </w:rPr>
        <w:t>fush</w:t>
      </w:r>
      <w:r w:rsidR="00F427D5" w:rsidRPr="00CB13F7">
        <w:rPr>
          <w:rFonts w:eastAsia="Times New Roman"/>
          <w:lang w:eastAsia="en-US"/>
        </w:rPr>
        <w:t>ë</w:t>
      </w:r>
      <w:r w:rsidR="00CA4F34" w:rsidRPr="00CB13F7">
        <w:rPr>
          <w:rFonts w:eastAsia="Times New Roman"/>
          <w:lang w:eastAsia="en-US"/>
        </w:rPr>
        <w:t xml:space="preserve">n e </w:t>
      </w:r>
      <w:r w:rsidRPr="00CB13F7">
        <w:rPr>
          <w:rFonts w:eastAsia="Times New Roman"/>
          <w:lang w:eastAsia="en-US"/>
        </w:rPr>
        <w:t>shëndetësi</w:t>
      </w:r>
      <w:r w:rsidR="00CA4F34" w:rsidRPr="00CB13F7">
        <w:rPr>
          <w:rFonts w:eastAsia="Times New Roman"/>
          <w:lang w:eastAsia="en-US"/>
        </w:rPr>
        <w:t>s</w:t>
      </w:r>
      <w:r w:rsidR="00F427D5" w:rsidRPr="00CB13F7">
        <w:rPr>
          <w:rFonts w:eastAsia="Times New Roman"/>
          <w:lang w:eastAsia="en-US"/>
        </w:rPr>
        <w:t>ë</w:t>
      </w:r>
      <w:r w:rsidRPr="00CB13F7">
        <w:rPr>
          <w:rFonts w:eastAsia="Times New Roman"/>
          <w:lang w:eastAsia="en-US"/>
        </w:rPr>
        <w:t xml:space="preserve">, </w:t>
      </w:r>
      <w:r w:rsidR="00CA4F34" w:rsidRPr="00CB13F7">
        <w:rPr>
          <w:rFonts w:eastAsia="Times New Roman"/>
          <w:lang w:eastAsia="en-US"/>
        </w:rPr>
        <w:t>PKVPAK</w:t>
      </w:r>
      <w:r w:rsidRPr="00CB13F7">
        <w:rPr>
          <w:rFonts w:eastAsia="Times New Roman"/>
          <w:lang w:eastAsia="en-US"/>
        </w:rPr>
        <w:t xml:space="preserve"> lidhet me Strategjinë</w:t>
      </w:r>
      <w:r w:rsidR="00F71DC7" w:rsidRPr="00CB13F7">
        <w:rPr>
          <w:rStyle w:val="FootnoteReference"/>
          <w:rFonts w:eastAsia="Times New Roman"/>
          <w:lang w:eastAsia="en-US"/>
        </w:rPr>
        <w:footnoteReference w:id="13"/>
      </w:r>
      <w:r w:rsidRPr="00CB13F7">
        <w:rPr>
          <w:rFonts w:eastAsia="Times New Roman"/>
          <w:lang w:eastAsia="en-US"/>
        </w:rPr>
        <w:t xml:space="preserve"> Kombëtare të Shëndetësisë 2021</w:t>
      </w:r>
      <w:r w:rsidR="00CA4F34" w:rsidRPr="00CB13F7">
        <w:rPr>
          <w:rFonts w:eastAsia="Times New Roman"/>
          <w:lang w:eastAsia="en-US"/>
        </w:rPr>
        <w:t>-</w:t>
      </w:r>
      <w:r w:rsidRPr="00CB13F7">
        <w:rPr>
          <w:rFonts w:eastAsia="Times New Roman"/>
          <w:lang w:eastAsia="en-US"/>
        </w:rPr>
        <w:t xml:space="preserve">2030, </w:t>
      </w:r>
      <w:r w:rsidR="00CA4F34" w:rsidRPr="00CB13F7">
        <w:rPr>
          <w:rFonts w:eastAsia="Times New Roman"/>
          <w:lang w:eastAsia="en-US"/>
        </w:rPr>
        <w:t>z</w:t>
      </w:r>
      <w:r w:rsidRPr="00CB13F7">
        <w:rPr>
          <w:rFonts w:eastAsia="Times New Roman"/>
          <w:lang w:eastAsia="en-US"/>
        </w:rPr>
        <w:t>hvillimin</w:t>
      </w:r>
      <w:r w:rsidR="00F71DC7" w:rsidRPr="00CB13F7">
        <w:rPr>
          <w:rStyle w:val="FootnoteReference"/>
          <w:rFonts w:eastAsia="Times New Roman"/>
          <w:lang w:eastAsia="en-US"/>
        </w:rPr>
        <w:footnoteReference w:id="14"/>
      </w:r>
      <w:r w:rsidRPr="00CB13F7">
        <w:rPr>
          <w:rFonts w:eastAsia="Times New Roman"/>
          <w:lang w:eastAsia="en-US"/>
        </w:rPr>
        <w:t xml:space="preserve"> e kujdesit shëndetësor parësor dhe </w:t>
      </w:r>
      <w:r w:rsidR="00131027" w:rsidRPr="00CB13F7">
        <w:rPr>
          <w:rFonts w:eastAsia="Times New Roman"/>
          <w:lang w:eastAsia="en-US"/>
        </w:rPr>
        <w:t>ato t</w:t>
      </w:r>
      <w:r w:rsidR="00F427D5" w:rsidRPr="00CB13F7">
        <w:rPr>
          <w:rFonts w:eastAsia="Times New Roman"/>
          <w:lang w:eastAsia="en-US"/>
        </w:rPr>
        <w:t>ë</w:t>
      </w:r>
      <w:r w:rsidR="00131027" w:rsidRPr="00CB13F7">
        <w:rPr>
          <w:rFonts w:eastAsia="Times New Roman"/>
          <w:lang w:eastAsia="en-US"/>
        </w:rPr>
        <w:t xml:space="preserve"> lidhura me</w:t>
      </w:r>
      <w:r w:rsidRPr="00CB13F7">
        <w:rPr>
          <w:rFonts w:eastAsia="Times New Roman"/>
          <w:lang w:eastAsia="en-US"/>
        </w:rPr>
        <w:t xml:space="preserve"> shëndetin mendor, duke synuar akses të barabartë në shërbime shëndetësore dhe rehabilituese.</w:t>
      </w:r>
    </w:p>
    <w:p w14:paraId="77D93C58" w14:textId="5FA7DB5C" w:rsidR="00AC32A3" w:rsidRDefault="00AC32A3" w:rsidP="004E4604">
      <w:pPr>
        <w:spacing w:before="120" w:after="120" w:line="276" w:lineRule="auto"/>
        <w:jc w:val="both"/>
        <w:rPr>
          <w:rFonts w:eastAsia="Times New Roman"/>
          <w:lang w:eastAsia="en-US"/>
        </w:rPr>
      </w:pPr>
      <w:r w:rsidRPr="00CB13F7">
        <w:rPr>
          <w:rFonts w:eastAsia="Times New Roman"/>
          <w:lang w:eastAsia="en-US"/>
        </w:rPr>
        <w:t>Në kulturë</w:t>
      </w:r>
      <w:r w:rsidR="00FA0A5E" w:rsidRPr="00CB13F7">
        <w:rPr>
          <w:rStyle w:val="FootnoteReference"/>
          <w:rFonts w:eastAsia="Times New Roman"/>
          <w:lang w:eastAsia="en-US"/>
        </w:rPr>
        <w:footnoteReference w:id="15"/>
      </w:r>
      <w:r w:rsidRPr="00CB13F7">
        <w:rPr>
          <w:rFonts w:eastAsia="Times New Roman"/>
          <w:lang w:eastAsia="en-US"/>
        </w:rPr>
        <w:t>, turizëm</w:t>
      </w:r>
      <w:r w:rsidR="00FA0A5E" w:rsidRPr="00CB13F7">
        <w:rPr>
          <w:rStyle w:val="FootnoteReference"/>
          <w:rFonts w:eastAsia="Times New Roman"/>
          <w:lang w:eastAsia="en-US"/>
        </w:rPr>
        <w:footnoteReference w:id="16"/>
      </w:r>
      <w:r w:rsidRPr="00CB13F7">
        <w:rPr>
          <w:rFonts w:eastAsia="Times New Roman"/>
          <w:lang w:eastAsia="en-US"/>
        </w:rPr>
        <w:t xml:space="preserve"> dhe sport</w:t>
      </w:r>
      <w:r w:rsidR="00FA0A5E" w:rsidRPr="00CB13F7">
        <w:rPr>
          <w:rStyle w:val="FootnoteReference"/>
          <w:rFonts w:eastAsia="Times New Roman"/>
          <w:lang w:eastAsia="en-US"/>
        </w:rPr>
        <w:footnoteReference w:id="17"/>
      </w:r>
      <w:r w:rsidRPr="00CB13F7">
        <w:rPr>
          <w:rFonts w:eastAsia="Times New Roman"/>
          <w:lang w:eastAsia="en-US"/>
        </w:rPr>
        <w:t>, ai mbështetet në strategjitë përkatëse kombëtare për kulturën, turizmin dhe sportin, duke promovuar pjesëmarrjen kulturore, rekreative dhe sportive si pjesë e jetës komunitare.</w:t>
      </w:r>
    </w:p>
    <w:p w14:paraId="45973D80" w14:textId="6DEF840D" w:rsidR="00CD7884" w:rsidRDefault="00CD7884" w:rsidP="004E4604">
      <w:pPr>
        <w:spacing w:before="120" w:after="120" w:line="276" w:lineRule="auto"/>
        <w:jc w:val="both"/>
        <w:rPr>
          <w:rFonts w:eastAsia="Times New Roman"/>
          <w:lang w:eastAsia="en-US"/>
        </w:rPr>
      </w:pPr>
    </w:p>
    <w:p w14:paraId="18A9D219" w14:textId="77777777" w:rsidR="00CD7884" w:rsidRPr="00CB13F7" w:rsidRDefault="00CD7884" w:rsidP="004E4604">
      <w:pPr>
        <w:spacing w:before="120" w:after="120" w:line="276" w:lineRule="auto"/>
        <w:jc w:val="both"/>
        <w:rPr>
          <w:rFonts w:eastAsia="Times New Roman"/>
          <w:lang w:eastAsia="en-US"/>
        </w:rPr>
      </w:pPr>
    </w:p>
    <w:p w14:paraId="63ECED7C" w14:textId="77777777" w:rsidR="00AC32A3" w:rsidRPr="00CB13F7" w:rsidRDefault="00AC32A3" w:rsidP="004E4604">
      <w:pPr>
        <w:spacing w:before="120" w:after="120" w:line="276" w:lineRule="auto"/>
        <w:jc w:val="both"/>
        <w:rPr>
          <w:rFonts w:eastAsia="Times New Roman"/>
          <w:b/>
          <w:bCs/>
          <w:lang w:eastAsia="en-US"/>
        </w:rPr>
      </w:pPr>
      <w:r w:rsidRPr="00CB13F7">
        <w:rPr>
          <w:rFonts w:eastAsia="Times New Roman"/>
          <w:b/>
          <w:bCs/>
          <w:lang w:eastAsia="en-US"/>
        </w:rPr>
        <w:lastRenderedPageBreak/>
        <w:t>2.</w:t>
      </w:r>
      <w:r w:rsidR="00CA4F34" w:rsidRPr="00CB13F7">
        <w:rPr>
          <w:rFonts w:eastAsia="Times New Roman"/>
          <w:b/>
          <w:bCs/>
          <w:lang w:eastAsia="en-US"/>
        </w:rPr>
        <w:t>4</w:t>
      </w:r>
      <w:r w:rsidRPr="00CB13F7">
        <w:rPr>
          <w:rFonts w:eastAsia="Times New Roman"/>
          <w:b/>
          <w:bCs/>
          <w:lang w:eastAsia="en-US"/>
        </w:rPr>
        <w:t xml:space="preserve"> Lidhja me procesin e integrimit evropian</w:t>
      </w:r>
    </w:p>
    <w:p w14:paraId="135F8F15" w14:textId="77777777"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Përtej harmonizimit me strategjitë kombëtare, PKVPAK 2026</w:t>
      </w:r>
      <w:r w:rsidR="001B1899" w:rsidRPr="00CB13F7">
        <w:rPr>
          <w:rFonts w:eastAsia="Times New Roman"/>
          <w:lang w:eastAsia="en-US"/>
        </w:rPr>
        <w:t>-</w:t>
      </w:r>
      <w:r w:rsidRPr="00CB13F7">
        <w:rPr>
          <w:rFonts w:eastAsia="Times New Roman"/>
          <w:lang w:eastAsia="en-US"/>
        </w:rPr>
        <w:t xml:space="preserve">2030 lidhet drejtpërdrejt me procesin e anëtarësimit </w:t>
      </w:r>
      <w:r w:rsidR="00F71DC7" w:rsidRPr="00CB13F7">
        <w:rPr>
          <w:rFonts w:eastAsia="Times New Roman"/>
          <w:lang w:eastAsia="en-US"/>
        </w:rPr>
        <w:t>t</w:t>
      </w:r>
      <w:r w:rsidR="00F427D5" w:rsidRPr="00CB13F7">
        <w:rPr>
          <w:rFonts w:eastAsia="Times New Roman"/>
          <w:lang w:eastAsia="en-US"/>
        </w:rPr>
        <w:t>ë</w:t>
      </w:r>
      <w:r w:rsidR="00F71DC7" w:rsidRPr="00CB13F7">
        <w:rPr>
          <w:rFonts w:eastAsia="Times New Roman"/>
          <w:lang w:eastAsia="en-US"/>
        </w:rPr>
        <w:t xml:space="preserve"> Shqip</w:t>
      </w:r>
      <w:r w:rsidR="00F427D5" w:rsidRPr="00CB13F7">
        <w:rPr>
          <w:rFonts w:eastAsia="Times New Roman"/>
          <w:lang w:eastAsia="en-US"/>
        </w:rPr>
        <w:t>ë</w:t>
      </w:r>
      <w:r w:rsidR="00F71DC7" w:rsidRPr="00CB13F7">
        <w:rPr>
          <w:rFonts w:eastAsia="Times New Roman"/>
          <w:lang w:eastAsia="en-US"/>
        </w:rPr>
        <w:t>ris</w:t>
      </w:r>
      <w:r w:rsidR="00F427D5" w:rsidRPr="00CB13F7">
        <w:rPr>
          <w:rFonts w:eastAsia="Times New Roman"/>
          <w:lang w:eastAsia="en-US"/>
        </w:rPr>
        <w:t>ë</w:t>
      </w:r>
      <w:r w:rsidR="00F71DC7" w:rsidRPr="00CB13F7">
        <w:rPr>
          <w:rFonts w:eastAsia="Times New Roman"/>
          <w:lang w:eastAsia="en-US"/>
        </w:rPr>
        <w:t xml:space="preserve"> </w:t>
      </w:r>
      <w:r w:rsidRPr="00CB13F7">
        <w:rPr>
          <w:rFonts w:eastAsia="Times New Roman"/>
          <w:lang w:eastAsia="en-US"/>
        </w:rPr>
        <w:t>në Bashkimin Evropian. Politikat për personat me aftësi të kufizuara janë ndërsektoriale dhe kontribuojnë në përmbushjen e detyrimeve që rrjedhin nga disa kapituj</w:t>
      </w:r>
      <w:r w:rsidR="00F71DC7" w:rsidRPr="00CB13F7">
        <w:rPr>
          <w:rStyle w:val="FootnoteReference"/>
          <w:rFonts w:eastAsia="Times New Roman"/>
          <w:lang w:eastAsia="en-US"/>
        </w:rPr>
        <w:footnoteReference w:id="18"/>
      </w:r>
      <w:r w:rsidRPr="00CB13F7">
        <w:rPr>
          <w:rFonts w:eastAsia="Times New Roman"/>
          <w:lang w:eastAsia="en-US"/>
        </w:rPr>
        <w:t xml:space="preserve"> të </w:t>
      </w:r>
      <w:r w:rsidRPr="00CB13F7">
        <w:rPr>
          <w:rFonts w:eastAsia="Times New Roman"/>
          <w:i/>
          <w:lang w:eastAsia="en-US"/>
        </w:rPr>
        <w:t>acquis communautaire</w:t>
      </w:r>
      <w:r w:rsidRPr="00CB13F7">
        <w:rPr>
          <w:rFonts w:eastAsia="Times New Roman"/>
          <w:lang w:eastAsia="en-US"/>
        </w:rPr>
        <w:t>, veçanërisht ata që lidhen me të drejtat themelore, politikat sociale dhe punësimin, arsimin, shëndetësinë dhe mbrojtjen e konsumatorit.</w:t>
      </w:r>
    </w:p>
    <w:p w14:paraId="5400D4B8" w14:textId="35405D3A" w:rsidR="00AC32A3" w:rsidRPr="00CB13F7" w:rsidRDefault="00AC32A3" w:rsidP="004E4604">
      <w:pPr>
        <w:spacing w:before="120" w:after="120" w:line="276" w:lineRule="auto"/>
        <w:jc w:val="both"/>
        <w:rPr>
          <w:rFonts w:eastAsia="Times New Roman"/>
          <w:lang w:eastAsia="en-US"/>
        </w:rPr>
      </w:pPr>
      <w:r w:rsidRPr="00CB13F7">
        <w:rPr>
          <w:rFonts w:eastAsia="Times New Roman"/>
          <w:lang w:eastAsia="en-US"/>
        </w:rPr>
        <w:t xml:space="preserve">Në këtë kuadër, zbatimi i </w:t>
      </w:r>
      <w:r w:rsidR="00F71DC7" w:rsidRPr="00CB13F7">
        <w:rPr>
          <w:rFonts w:eastAsia="Times New Roman"/>
          <w:lang w:eastAsia="en-US"/>
        </w:rPr>
        <w:t>PKVPAK</w:t>
      </w:r>
      <w:r w:rsidRPr="00CB13F7">
        <w:rPr>
          <w:rFonts w:eastAsia="Times New Roman"/>
          <w:lang w:eastAsia="en-US"/>
        </w:rPr>
        <w:t xml:space="preserve"> kontribuon në </w:t>
      </w:r>
      <w:r w:rsidR="00F91DBD" w:rsidRPr="00CB13F7">
        <w:rPr>
          <w:rFonts w:eastAsia="Times New Roman"/>
          <w:lang w:eastAsia="en-US"/>
        </w:rPr>
        <w:t xml:space="preserve">zhvillimin </w:t>
      </w:r>
      <w:r w:rsidRPr="00CB13F7">
        <w:rPr>
          <w:rFonts w:eastAsia="Times New Roman"/>
          <w:lang w:eastAsia="en-US"/>
        </w:rPr>
        <w:t>e standardeve në fushën e të drejtave themelore dhe të mosdiskriminimit, përmirësimin e politikave sociale dhe të punësimit, garantimin e aksesit në shërbime publike dhe rritjen e cilësisë së jetës. Përfshirja e personave me aftësi të kufizuara shërben kështu si indikator i funksionimit të shtetit të së drejtës dhe i kapacitetit administrativ të institucioneve publike.</w:t>
      </w:r>
    </w:p>
    <w:p w14:paraId="3EED8A9C" w14:textId="3B05AE79" w:rsidR="00E66747" w:rsidRPr="00CB13F7" w:rsidRDefault="00AC32A3" w:rsidP="004E4604">
      <w:pPr>
        <w:spacing w:before="120" w:after="120" w:line="276" w:lineRule="auto"/>
        <w:jc w:val="both"/>
        <w:rPr>
          <w:rFonts w:eastAsia="Times New Roman"/>
          <w:lang w:eastAsia="en-US"/>
        </w:rPr>
      </w:pPr>
      <w:r w:rsidRPr="00CB13F7">
        <w:rPr>
          <w:rFonts w:eastAsia="Times New Roman"/>
          <w:lang w:eastAsia="en-US"/>
        </w:rPr>
        <w:t>PKVPAK 2026</w:t>
      </w:r>
      <w:r w:rsidR="00CA4F34" w:rsidRPr="00CB13F7">
        <w:rPr>
          <w:rFonts w:eastAsia="Times New Roman"/>
          <w:lang w:eastAsia="en-US"/>
        </w:rPr>
        <w:t>-</w:t>
      </w:r>
      <w:r w:rsidRPr="00CB13F7">
        <w:rPr>
          <w:rFonts w:eastAsia="Times New Roman"/>
          <w:lang w:eastAsia="en-US"/>
        </w:rPr>
        <w:t>2030 përfaqëson mekanizmin që lidh angazhimet ndërkombëtare, reformat e integrimit evropian dhe politikat kombëtare sektoriale në një sistem të vetëm veprimi. Ai synon të kalojë nga njohja ligjore e të drejtave drejt realizimit praktik të tyre, duke ndërtuar një model qeverisjeje</w:t>
      </w:r>
      <w:r w:rsidR="00CA4F34" w:rsidRPr="00CB13F7">
        <w:rPr>
          <w:rFonts w:eastAsia="Times New Roman"/>
          <w:lang w:eastAsia="en-US"/>
        </w:rPr>
        <w:t>,</w:t>
      </w:r>
      <w:r w:rsidRPr="00CB13F7">
        <w:rPr>
          <w:rFonts w:eastAsia="Times New Roman"/>
          <w:lang w:eastAsia="en-US"/>
        </w:rPr>
        <w:t xml:space="preserve"> ku përfshirja e personave me aftësi të kufizuara bëhet pjesë e funksionimit normal të institucioneve publike</w:t>
      </w:r>
      <w:r w:rsidR="00CA4F34" w:rsidRPr="00CB13F7">
        <w:rPr>
          <w:rFonts w:eastAsia="Times New Roman"/>
          <w:lang w:eastAsia="en-US"/>
        </w:rPr>
        <w:t xml:space="preserve">. </w:t>
      </w:r>
    </w:p>
    <w:p w14:paraId="64033697" w14:textId="77777777" w:rsidR="004B03EF" w:rsidRPr="00CB13F7" w:rsidRDefault="004B03EF" w:rsidP="004E4604">
      <w:pPr>
        <w:spacing w:before="120" w:after="120" w:line="276" w:lineRule="auto"/>
        <w:jc w:val="both"/>
        <w:rPr>
          <w:rFonts w:eastAsia="Times New Roman"/>
          <w:b/>
          <w:bCs/>
          <w:lang w:eastAsia="en-US"/>
        </w:rPr>
      </w:pPr>
    </w:p>
    <w:bookmarkEnd w:id="2"/>
    <w:p w14:paraId="39EB4E80" w14:textId="77777777" w:rsidR="00E66747" w:rsidRPr="00CB13F7" w:rsidRDefault="00E66747" w:rsidP="004E4604">
      <w:pPr>
        <w:pStyle w:val="ListParagraph"/>
        <w:numPr>
          <w:ilvl w:val="0"/>
          <w:numId w:val="8"/>
        </w:numPr>
        <w:tabs>
          <w:tab w:val="left" w:pos="360"/>
        </w:tabs>
        <w:spacing w:before="120" w:after="120" w:line="276" w:lineRule="auto"/>
        <w:ind w:left="0" w:firstLine="0"/>
        <w:contextualSpacing w:val="0"/>
        <w:jc w:val="both"/>
        <w:rPr>
          <w:rFonts w:eastAsia="Times New Roman"/>
          <w:b/>
          <w:bCs/>
          <w:lang w:eastAsia="en-US"/>
        </w:rPr>
      </w:pPr>
      <w:r w:rsidRPr="00CB13F7">
        <w:rPr>
          <w:rFonts w:eastAsia="Times New Roman"/>
          <w:b/>
          <w:bCs/>
          <w:lang w:eastAsia="en-US"/>
        </w:rPr>
        <w:t>ANALIZA E GJENDJES AKTUALE</w:t>
      </w:r>
    </w:p>
    <w:p w14:paraId="132F5773" w14:textId="3C04D8D0" w:rsidR="009B4544" w:rsidRPr="00CB13F7" w:rsidRDefault="00753C46" w:rsidP="004E4604">
      <w:pPr>
        <w:spacing w:before="120" w:after="120" w:line="276" w:lineRule="auto"/>
        <w:jc w:val="both"/>
        <w:rPr>
          <w:rFonts w:eastAsia="Times New Roman"/>
          <w:lang w:eastAsia="en-US"/>
        </w:rPr>
      </w:pPr>
      <w:r w:rsidRPr="00CB13F7">
        <w:rPr>
          <w:rFonts w:eastAsia="Times New Roman"/>
          <w:lang w:eastAsia="en-US"/>
        </w:rPr>
        <w:t xml:space="preserve">Raporti i monitorimit të </w:t>
      </w:r>
      <w:r w:rsidR="00E90A3B" w:rsidRPr="00CB13F7">
        <w:rPr>
          <w:rFonts w:eastAsia="Times New Roman"/>
          <w:lang w:eastAsia="en-US"/>
        </w:rPr>
        <w:t>zbatimit të Planit Kombëtar të Veprimit për Personat me Aftësi të Kufizuara 2021</w:t>
      </w:r>
      <w:r w:rsidR="00FA0A5E" w:rsidRPr="00CB13F7">
        <w:rPr>
          <w:rFonts w:eastAsia="Times New Roman"/>
          <w:lang w:eastAsia="en-US"/>
        </w:rPr>
        <w:t>-</w:t>
      </w:r>
      <w:r w:rsidR="00E90A3B" w:rsidRPr="00CB13F7">
        <w:rPr>
          <w:rFonts w:eastAsia="Times New Roman"/>
          <w:lang w:eastAsia="en-US"/>
        </w:rPr>
        <w:t>2025</w:t>
      </w:r>
      <w:r w:rsidRPr="00CB13F7">
        <w:rPr>
          <w:rFonts w:eastAsia="Times New Roman"/>
          <w:lang w:eastAsia="en-US"/>
        </w:rPr>
        <w:t>,</w:t>
      </w:r>
      <w:r w:rsidR="00E90A3B" w:rsidRPr="00CB13F7">
        <w:rPr>
          <w:rFonts w:eastAsia="Times New Roman"/>
          <w:lang w:eastAsia="en-US"/>
        </w:rPr>
        <w:t xml:space="preserve"> tregon se Shqipëria ka bërë përparim</w:t>
      </w:r>
      <w:r w:rsidR="00E66747" w:rsidRPr="00CB13F7">
        <w:rPr>
          <w:rFonts w:eastAsia="Times New Roman"/>
          <w:lang w:eastAsia="en-US"/>
        </w:rPr>
        <w:t>e</w:t>
      </w:r>
      <w:r w:rsidR="00E90A3B" w:rsidRPr="00CB13F7">
        <w:rPr>
          <w:rFonts w:eastAsia="Times New Roman"/>
          <w:lang w:eastAsia="en-US"/>
        </w:rPr>
        <w:t xml:space="preserve"> në ndërtimin e kuadrit ligjor, zhvillimin e instrumenteve të politikave dhe zgjerimin e disa shërbimeve publike, veçanërisht në mbrojtjen sociale, arsimin gjithëpërfshirës, shëndetësinë dhe aksesin në drejtësi. Reforma e vlerësimit bio-psiko-social, konsolidimi i ndihmës juridike falas dhe zgjerimi gradual i shërbimeve komunitare</w:t>
      </w:r>
      <w:r w:rsidR="00E66747" w:rsidRPr="00CB13F7">
        <w:rPr>
          <w:rFonts w:eastAsia="Times New Roman"/>
          <w:lang w:eastAsia="en-US"/>
        </w:rPr>
        <w:t>,</w:t>
      </w:r>
      <w:r w:rsidR="00E90A3B" w:rsidRPr="00CB13F7">
        <w:rPr>
          <w:rFonts w:eastAsia="Times New Roman"/>
          <w:lang w:eastAsia="en-US"/>
        </w:rPr>
        <w:t xml:space="preserve"> përbëjnë arritje strukturore me ndikim afatgjatë. Megjithatë, monitorimi ndërsektorial evidenton se sfida kryesore mbetet hendeku midis të drejtave të njohura në legjislacion dhe zbatimit efektiv të tyre në praktikë. Koordinimi i pamjaftueshëm ndërinstitucional, kapacitetet e kufizuara profesionale, mungesa e mekanizmave të qëndrueshëm financiarë</w:t>
      </w:r>
      <w:r w:rsidR="00EF69D7" w:rsidRPr="00CB13F7">
        <w:rPr>
          <w:rFonts w:eastAsia="Times New Roman"/>
          <w:lang w:eastAsia="en-US"/>
        </w:rPr>
        <w:t xml:space="preserve">, </w:t>
      </w:r>
      <w:r w:rsidR="00E90A3B" w:rsidRPr="00CB13F7">
        <w:rPr>
          <w:rFonts w:eastAsia="Times New Roman"/>
          <w:lang w:eastAsia="en-US"/>
        </w:rPr>
        <w:t>e të dhënave të integruara, si dhe pabarazitë territoriale në ofrimin e shërbimeve, vijojnë të kufizojnë përfshirjen reale të personave me aftësi të kufizuara në jetën sociale, ekonomike dhe publike. Për rrjedhojë, Plani i ri 2026</w:t>
      </w:r>
      <w:r w:rsidR="00FA0A5E" w:rsidRPr="00CB13F7">
        <w:rPr>
          <w:rFonts w:eastAsia="Times New Roman"/>
          <w:lang w:eastAsia="en-US"/>
        </w:rPr>
        <w:t>-</w:t>
      </w:r>
      <w:r w:rsidR="00E90A3B" w:rsidRPr="00CB13F7">
        <w:rPr>
          <w:rFonts w:eastAsia="Times New Roman"/>
          <w:lang w:eastAsia="en-US"/>
        </w:rPr>
        <w:t>2030</w:t>
      </w:r>
      <w:r w:rsidR="00E66747" w:rsidRPr="00CB13F7">
        <w:rPr>
          <w:rFonts w:eastAsia="Times New Roman"/>
          <w:lang w:eastAsia="en-US"/>
        </w:rPr>
        <w:t>,</w:t>
      </w:r>
      <w:r w:rsidR="00E90A3B" w:rsidRPr="00CB13F7">
        <w:rPr>
          <w:rFonts w:eastAsia="Times New Roman"/>
          <w:lang w:eastAsia="en-US"/>
        </w:rPr>
        <w:t xml:space="preserve"> synon të kalojë nga zgjerimi i politikave dhe programeve drejt konsolidimit të zbatimit, duke përqendruar ndërhyrjet në forcimin e qeverisjes së politikave të aftësisë së kufizuar, garantimin e financimit të qëndrueshëm dhe ndërtimin e mekanizmave të detyrueshëm të monitorimit dhe llogaridhënies, në mënyrë që përparimet e arritura të përkthehen në përmirësim të qëndrueshëm të cilësisë së jetës.</w:t>
      </w:r>
    </w:p>
    <w:p w14:paraId="6150F7F9" w14:textId="77777777" w:rsidR="004B03EF" w:rsidRPr="00CB13F7" w:rsidRDefault="004B03EF" w:rsidP="004E4604">
      <w:pPr>
        <w:spacing w:before="120" w:after="120" w:line="276" w:lineRule="auto"/>
        <w:jc w:val="both"/>
        <w:rPr>
          <w:rFonts w:eastAsia="Times New Roman"/>
          <w:lang w:eastAsia="en-US"/>
        </w:rPr>
      </w:pPr>
    </w:p>
    <w:p w14:paraId="1A3A8D2E" w14:textId="77777777" w:rsidR="00E90A3B" w:rsidRPr="00CB13F7" w:rsidRDefault="00E66747" w:rsidP="004E4604">
      <w:pPr>
        <w:pStyle w:val="ListParagraph"/>
        <w:numPr>
          <w:ilvl w:val="1"/>
          <w:numId w:val="8"/>
        </w:numPr>
        <w:tabs>
          <w:tab w:val="left" w:pos="450"/>
        </w:tabs>
        <w:spacing w:before="120" w:after="120" w:line="276" w:lineRule="auto"/>
        <w:ind w:left="0" w:firstLine="0"/>
        <w:contextualSpacing w:val="0"/>
        <w:jc w:val="both"/>
        <w:rPr>
          <w:rFonts w:eastAsia="Times New Roman"/>
          <w:b/>
          <w:bCs/>
          <w:lang w:eastAsia="en-US"/>
        </w:rPr>
      </w:pPr>
      <w:r w:rsidRPr="00CB13F7">
        <w:rPr>
          <w:rFonts w:eastAsia="Times New Roman"/>
          <w:b/>
          <w:bCs/>
          <w:lang w:eastAsia="en-US"/>
        </w:rPr>
        <w:lastRenderedPageBreak/>
        <w:t>Analiza e gjendjes aktuale n</w:t>
      </w:r>
      <w:r w:rsidR="00753C46" w:rsidRPr="00CB13F7">
        <w:rPr>
          <w:rFonts w:eastAsia="Times New Roman"/>
          <w:b/>
          <w:bCs/>
          <w:lang w:eastAsia="en-US"/>
        </w:rPr>
        <w:t>ë</w:t>
      </w:r>
      <w:r w:rsidRPr="00CB13F7">
        <w:rPr>
          <w:rFonts w:eastAsia="Times New Roman"/>
          <w:b/>
          <w:bCs/>
          <w:lang w:eastAsia="en-US"/>
        </w:rPr>
        <w:t xml:space="preserve"> fush</w:t>
      </w:r>
      <w:r w:rsidR="00753C46" w:rsidRPr="00CB13F7">
        <w:rPr>
          <w:rFonts w:eastAsia="Times New Roman"/>
          <w:b/>
          <w:bCs/>
          <w:lang w:eastAsia="en-US"/>
        </w:rPr>
        <w:t>ë</w:t>
      </w:r>
      <w:r w:rsidRPr="00CB13F7">
        <w:rPr>
          <w:rFonts w:eastAsia="Times New Roman"/>
          <w:b/>
          <w:bCs/>
          <w:lang w:eastAsia="en-US"/>
        </w:rPr>
        <w:t xml:space="preserve">n e </w:t>
      </w:r>
      <w:r w:rsidR="00E90A3B" w:rsidRPr="00CB13F7">
        <w:rPr>
          <w:rFonts w:eastAsia="Times New Roman"/>
          <w:b/>
          <w:bCs/>
          <w:lang w:eastAsia="en-US"/>
        </w:rPr>
        <w:t>aksesueshm</w:t>
      </w:r>
      <w:r w:rsidR="00753C46" w:rsidRPr="00CB13F7">
        <w:rPr>
          <w:rFonts w:eastAsia="Times New Roman"/>
          <w:b/>
          <w:bCs/>
          <w:lang w:eastAsia="en-US"/>
        </w:rPr>
        <w:t>ë</w:t>
      </w:r>
      <w:r w:rsidRPr="00CB13F7">
        <w:rPr>
          <w:rFonts w:eastAsia="Times New Roman"/>
          <w:b/>
          <w:bCs/>
          <w:lang w:eastAsia="en-US"/>
        </w:rPr>
        <w:t>ris</w:t>
      </w:r>
      <w:r w:rsidR="00753C46" w:rsidRPr="00CB13F7">
        <w:rPr>
          <w:rFonts w:eastAsia="Times New Roman"/>
          <w:b/>
          <w:bCs/>
          <w:lang w:eastAsia="en-US"/>
        </w:rPr>
        <w:t>ë</w:t>
      </w:r>
    </w:p>
    <w:p w14:paraId="5346CC3E"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Gjatë zbatimit të </w:t>
      </w:r>
      <w:r w:rsidR="009A2119" w:rsidRPr="00CB13F7">
        <w:rPr>
          <w:rFonts w:eastAsia="Times New Roman"/>
          <w:lang w:eastAsia="en-US"/>
        </w:rPr>
        <w:t>PKVPAK</w:t>
      </w:r>
      <w:r w:rsidRPr="00CB13F7">
        <w:rPr>
          <w:rFonts w:eastAsia="Times New Roman"/>
          <w:lang w:eastAsia="en-US"/>
        </w:rPr>
        <w:t xml:space="preserve"> 2021-2025, në fushën e aksesueshmërisë u përcaktua si qëllim strategjik realizimi i aksesit të personave me aftësi të kufizuara në mjedise, transport</w:t>
      </w:r>
      <w:r w:rsidR="009A2119" w:rsidRPr="00CB13F7">
        <w:rPr>
          <w:rFonts w:eastAsia="Times New Roman"/>
          <w:lang w:eastAsia="en-US"/>
        </w:rPr>
        <w:t xml:space="preserve">, </w:t>
      </w:r>
      <w:r w:rsidRPr="00CB13F7">
        <w:rPr>
          <w:rFonts w:eastAsia="Times New Roman"/>
          <w:lang w:eastAsia="en-US"/>
        </w:rPr>
        <w:t>informacion dhe komunikim, me synim reduktimin e barrierave fizike, sociale dhe digjitale në jetën publike.</w:t>
      </w:r>
    </w:p>
    <w:p w14:paraId="5E1638A5" w14:textId="53436C44" w:rsidR="00E90A3B" w:rsidRPr="00CB13F7" w:rsidRDefault="71A05BE9" w:rsidP="004E4604">
      <w:pPr>
        <w:spacing w:before="120" w:after="120" w:line="276" w:lineRule="auto"/>
        <w:jc w:val="both"/>
      </w:pPr>
      <w:r w:rsidRPr="00CB13F7">
        <w:t>Komiteti për të Drejtat e Personave me Aftësi të Kufizuara në OKB, lidhur me zbatimin e</w:t>
      </w:r>
      <w:r w:rsidR="6309BE2C" w:rsidRPr="00CB13F7">
        <w:t xml:space="preserve"> </w:t>
      </w:r>
      <w:r w:rsidRPr="00CB13F7">
        <w:t xml:space="preserve">Nenit 9 të KDPAK, </w:t>
      </w:r>
      <w:r w:rsidRPr="00CB13F7">
        <w:rPr>
          <w:i/>
          <w:iCs/>
        </w:rPr>
        <w:t>“Aksesueshmëria”,</w:t>
      </w:r>
      <w:r w:rsidRPr="00CB13F7">
        <w:t xml:space="preserve"> tërheq vëmendjen e Qeverisë Shqiptare në lidhje me: </w:t>
      </w:r>
      <w:r w:rsidRPr="00CB13F7">
        <w:rPr>
          <w:i/>
          <w:iCs/>
        </w:rPr>
        <w:t>(i) mungesën e një plani kombëtar gjithëpërfshirës mbi zbatimin e Ligjit</w:t>
      </w:r>
      <w:r w:rsidR="00E90A3B" w:rsidRPr="00CB13F7">
        <w:rPr>
          <w:i/>
          <w:iCs/>
          <w:vertAlign w:val="superscript"/>
        </w:rPr>
        <w:footnoteReference w:id="19"/>
      </w:r>
      <w:r w:rsidRPr="00CB13F7">
        <w:rPr>
          <w:i/>
          <w:iCs/>
        </w:rPr>
        <w:t xml:space="preserve"> Nr. 93/2014 dhe VKM</w:t>
      </w:r>
      <w:r w:rsidR="00E90A3B" w:rsidRPr="00CB13F7">
        <w:rPr>
          <w:i/>
          <w:iCs/>
          <w:vertAlign w:val="superscript"/>
        </w:rPr>
        <w:footnoteReference w:id="20"/>
      </w:r>
      <w:r w:rsidRPr="00CB13F7">
        <w:rPr>
          <w:i/>
          <w:iCs/>
        </w:rPr>
        <w:t xml:space="preserve"> Nr. 1074/2015 mbi heqjen e barrierave mjedisore dhe infrastrukturore në shërbimet publike; (ii) mungesën e të dhënave mbi aplikimin e penaliteteve administrative dhe financiare për mos plotësimin e </w:t>
      </w:r>
      <w:r w:rsidR="3A581716" w:rsidRPr="00CB13F7">
        <w:rPr>
          <w:i/>
          <w:iCs/>
        </w:rPr>
        <w:t>standardeve</w:t>
      </w:r>
      <w:r w:rsidRPr="00CB13F7">
        <w:rPr>
          <w:i/>
          <w:iCs/>
        </w:rPr>
        <w:t xml:space="preserve"> të aksesueshmërisë, duke përfshirë</w:t>
      </w:r>
      <w:r w:rsidRPr="00CB13F7">
        <w:rPr>
          <w:b/>
          <w:bCs/>
          <w:i/>
          <w:iCs/>
        </w:rPr>
        <w:t xml:space="preserve"> </w:t>
      </w:r>
      <w:r w:rsidRPr="00CB13F7">
        <w:rPr>
          <w:i/>
          <w:iCs/>
        </w:rPr>
        <w:t xml:space="preserve">ndërtesat e vjetra në shërbim të publikut; (iii) mungesën e informacionit mbi aksesueshmërinë në </w:t>
      </w:r>
      <w:r w:rsidR="3A581716" w:rsidRPr="00CB13F7">
        <w:rPr>
          <w:i/>
          <w:iCs/>
        </w:rPr>
        <w:t>mediet</w:t>
      </w:r>
      <w:r w:rsidRPr="00CB13F7">
        <w:rPr>
          <w:i/>
          <w:iCs/>
        </w:rPr>
        <w:t xml:space="preserve"> elektronike, përfshi edhe </w:t>
      </w:r>
      <w:r w:rsidR="3A581716" w:rsidRPr="00CB13F7">
        <w:rPr>
          <w:i/>
          <w:iCs/>
        </w:rPr>
        <w:t>medien</w:t>
      </w:r>
      <w:r w:rsidRPr="00CB13F7">
        <w:rPr>
          <w:i/>
          <w:iCs/>
        </w:rPr>
        <w:t xml:space="preserve"> sociale.</w:t>
      </w:r>
    </w:p>
    <w:p w14:paraId="1587EEC8" w14:textId="58DBBDEB" w:rsidR="00E90A3B" w:rsidRPr="00CB13F7" w:rsidRDefault="00E90A3B" w:rsidP="004E4604">
      <w:pPr>
        <w:spacing w:before="120" w:after="120" w:line="276" w:lineRule="auto"/>
        <w:jc w:val="both"/>
        <w:rPr>
          <w:lang w:eastAsia="en-US"/>
        </w:rPr>
      </w:pPr>
      <w:r w:rsidRPr="00CB13F7">
        <w:rPr>
          <w:lang w:eastAsia="en-US"/>
        </w:rPr>
        <w:t xml:space="preserve">Shpesh aksesueshmëria në mjedise identifikohet vetëm me vendosjen e një rampe në hyrje të ndërtesës, e cila në shumë raste rezulton jashtë </w:t>
      </w:r>
      <w:r w:rsidR="000E6121" w:rsidRPr="00CB13F7">
        <w:rPr>
          <w:lang w:eastAsia="en-US"/>
        </w:rPr>
        <w:t>standardeve</w:t>
      </w:r>
      <w:r w:rsidRPr="00CB13F7">
        <w:rPr>
          <w:lang w:eastAsia="en-US"/>
        </w:rPr>
        <w:t>.</w:t>
      </w:r>
      <w:r w:rsidRPr="00CB13F7">
        <w:rPr>
          <w:b/>
          <w:lang w:eastAsia="en-US"/>
        </w:rPr>
        <w:t xml:space="preserve"> </w:t>
      </w:r>
      <w:r w:rsidRPr="00CB13F7">
        <w:rPr>
          <w:lang w:eastAsia="en-US"/>
        </w:rPr>
        <w:t>Më pak vëmendje i kushtohet aplikimit të elementëve të aksesueshmërisë për personat që nuk shikojnë ose kanë vështirësi në shikim dhe personat që nuk dëgjojnë ose kanë vështirësi në dëgjim.</w:t>
      </w:r>
      <w:r w:rsidRPr="00CB13F7">
        <w:rPr>
          <w:b/>
          <w:lang w:eastAsia="en-US"/>
        </w:rPr>
        <w:t xml:space="preserve"> </w:t>
      </w:r>
      <w:r w:rsidR="00EF69D7" w:rsidRPr="00CB13F7">
        <w:rPr>
          <w:bCs/>
          <w:lang w:eastAsia="en-US"/>
        </w:rPr>
        <w:t>Gjithashtu, pak</w:t>
      </w:r>
      <w:r w:rsidRPr="00CB13F7">
        <w:rPr>
          <w:bCs/>
          <w:lang w:eastAsia="en-US"/>
        </w:rPr>
        <w:t xml:space="preserve"> </w:t>
      </w:r>
      <w:r w:rsidR="000E6121" w:rsidRPr="00CB13F7">
        <w:rPr>
          <w:bCs/>
          <w:lang w:eastAsia="en-US"/>
        </w:rPr>
        <w:t>vëmendje</w:t>
      </w:r>
      <w:r w:rsidRPr="00CB13F7">
        <w:rPr>
          <w:bCs/>
          <w:lang w:eastAsia="en-US"/>
        </w:rPr>
        <w:t xml:space="preserve"> ka në produktet dhe shërbimet e aksesueshme. Mungesa e një strukture </w:t>
      </w:r>
      <w:r w:rsidRPr="00CB13F7">
        <w:rPr>
          <w:lang w:eastAsia="en-US"/>
        </w:rPr>
        <w:t xml:space="preserve">të specializuar mbi kontrollin e territorit në lidhje me nivelin e aksesueshmërisë, ka lejuar krijimin në vazhdimësi të barrierave të reja në mjedis. </w:t>
      </w:r>
    </w:p>
    <w:p w14:paraId="1AE02428" w14:textId="77777777" w:rsidR="00E90A3B" w:rsidRPr="00CB13F7" w:rsidRDefault="00E90A3B" w:rsidP="004E4604">
      <w:pPr>
        <w:spacing w:before="120" w:after="120" w:line="276" w:lineRule="auto"/>
        <w:jc w:val="both"/>
      </w:pPr>
      <w:r w:rsidRPr="00CB13F7">
        <w:t xml:space="preserve">Gjatë viteve të fundit aksesueshmëria në mjedise ka </w:t>
      </w:r>
      <w:r w:rsidR="000E6121" w:rsidRPr="00CB13F7">
        <w:t>pasur</w:t>
      </w:r>
      <w:r w:rsidRPr="00CB13F7">
        <w:t xml:space="preserve"> përmirësime kryesisht në qytetin e Tiranës, por në shumë raste jo sipas </w:t>
      </w:r>
      <w:r w:rsidR="000E6121" w:rsidRPr="00CB13F7">
        <w:t>standardeve</w:t>
      </w:r>
      <w:r w:rsidRPr="00CB13F7">
        <w:t xml:space="preserve"> të kërkuara dhe sigurisht</w:t>
      </w:r>
      <w:r w:rsidR="009A2119" w:rsidRPr="00CB13F7">
        <w:t>,</w:t>
      </w:r>
      <w:r w:rsidRPr="00CB13F7">
        <w:t xml:space="preserve"> janë akoma të pamjaftueshme. Përdoruesit e karrigeve me rrota mendojnë që rampat e realizuara janë jashtë </w:t>
      </w:r>
      <w:r w:rsidR="000E6121" w:rsidRPr="00CB13F7">
        <w:t>standardeve</w:t>
      </w:r>
      <w:r w:rsidRPr="00CB13F7">
        <w:t>, ndërsa personat me probleme shikimi</w:t>
      </w:r>
      <w:r w:rsidR="001771D3" w:rsidRPr="00CB13F7">
        <w:t xml:space="preserve"> </w:t>
      </w:r>
      <w:r w:rsidRPr="00CB13F7">
        <w:t xml:space="preserve">mendojnë se edhe relievi në rrugë për ta nuk </w:t>
      </w:r>
      <w:r w:rsidR="000E6121" w:rsidRPr="00CB13F7">
        <w:t>është</w:t>
      </w:r>
      <w:r w:rsidRPr="00CB13F7">
        <w:t xml:space="preserve"> në përputhje me </w:t>
      </w:r>
      <w:r w:rsidR="000E6121" w:rsidRPr="00CB13F7">
        <w:t>standardet</w:t>
      </w:r>
      <w:r w:rsidRPr="00CB13F7">
        <w:t xml:space="preserve">. </w:t>
      </w:r>
    </w:p>
    <w:p w14:paraId="2BCD9E9E" w14:textId="691C45B4" w:rsidR="00E90A3B" w:rsidRPr="00CB13F7" w:rsidRDefault="3A581716" w:rsidP="004E4604">
      <w:pPr>
        <w:spacing w:before="120" w:after="120" w:line="276" w:lineRule="auto"/>
        <w:jc w:val="both"/>
        <w:rPr>
          <w:rFonts w:eastAsia="Times New Roman"/>
          <w:color w:val="FF0000"/>
          <w:lang w:eastAsia="en-US"/>
        </w:rPr>
      </w:pPr>
      <w:r w:rsidRPr="00CB13F7">
        <w:rPr>
          <w:lang w:eastAsia="en-US"/>
        </w:rPr>
        <w:t>Inspektorati</w:t>
      </w:r>
      <w:r w:rsidR="71A05BE9" w:rsidRPr="00CB13F7">
        <w:rPr>
          <w:lang w:eastAsia="en-US"/>
        </w:rPr>
        <w:t xml:space="preserve"> Kombëtar i Mbrojtjes së Territorit (IKMT)</w:t>
      </w:r>
      <w:r w:rsidR="71A05BE9" w:rsidRPr="00CB13F7">
        <w:rPr>
          <w:b/>
          <w:bCs/>
          <w:lang w:eastAsia="en-US"/>
        </w:rPr>
        <w:t>,</w:t>
      </w:r>
      <w:r w:rsidR="71A05BE9" w:rsidRPr="00CB13F7">
        <w:rPr>
          <w:lang w:eastAsia="en-US"/>
        </w:rPr>
        <w:t xml:space="preserve"> objektin kryesor të punës së tij e mbështet në</w:t>
      </w:r>
      <w:r w:rsidR="71A05BE9" w:rsidRPr="00CB13F7">
        <w:rPr>
          <w:b/>
          <w:bCs/>
          <w:lang w:eastAsia="en-US"/>
        </w:rPr>
        <w:t xml:space="preserve"> </w:t>
      </w:r>
      <w:r w:rsidR="6D43A38B" w:rsidRPr="00CB13F7">
        <w:rPr>
          <w:lang w:eastAsia="en-US"/>
        </w:rPr>
        <w:t xml:space="preserve">Ligjin </w:t>
      </w:r>
      <w:r w:rsidR="71A05BE9" w:rsidRPr="00CB13F7">
        <w:rPr>
          <w:lang w:eastAsia="en-US"/>
        </w:rPr>
        <w:t>nr. 9780, datë 16.</w:t>
      </w:r>
      <w:r w:rsidR="6D43A38B" w:rsidRPr="00CB13F7">
        <w:rPr>
          <w:lang w:eastAsia="en-US"/>
        </w:rPr>
        <w:t>0</w:t>
      </w:r>
      <w:r w:rsidR="71A05BE9" w:rsidRPr="00CB13F7">
        <w:rPr>
          <w:lang w:eastAsia="en-US"/>
        </w:rPr>
        <w:t>7.2007, “</w:t>
      </w:r>
      <w:r w:rsidR="71A05BE9" w:rsidRPr="00CB13F7">
        <w:rPr>
          <w:i/>
          <w:iCs/>
          <w:lang w:eastAsia="en-US"/>
        </w:rPr>
        <w:t>Për</w:t>
      </w:r>
      <w:r w:rsidR="71A05BE9" w:rsidRPr="00CB13F7">
        <w:rPr>
          <w:b/>
          <w:bCs/>
          <w:i/>
          <w:iCs/>
          <w:lang w:eastAsia="en-US"/>
        </w:rPr>
        <w:t xml:space="preserve"> </w:t>
      </w:r>
      <w:r w:rsidR="71A05BE9" w:rsidRPr="00CB13F7">
        <w:rPr>
          <w:i/>
          <w:iCs/>
          <w:lang w:eastAsia="en-US"/>
        </w:rPr>
        <w:t>inspektimin dhe mbrojtjen e territorit nga ndërtimet e kundërligjshme</w:t>
      </w:r>
      <w:r w:rsidR="71A05BE9" w:rsidRPr="00CB13F7">
        <w:rPr>
          <w:lang w:eastAsia="en-US"/>
        </w:rPr>
        <w:t>” të ndryshuar</w:t>
      </w:r>
      <w:r w:rsidR="6D43A38B" w:rsidRPr="00CB13F7">
        <w:rPr>
          <w:lang w:eastAsia="en-US"/>
        </w:rPr>
        <w:t>,</w:t>
      </w:r>
      <w:r w:rsidR="71A05BE9" w:rsidRPr="00CB13F7">
        <w:rPr>
          <w:b/>
          <w:bCs/>
          <w:lang w:eastAsia="en-US"/>
        </w:rPr>
        <w:t xml:space="preserve"> </w:t>
      </w:r>
      <w:r w:rsidR="71A05BE9" w:rsidRPr="00CB13F7">
        <w:rPr>
          <w:lang w:eastAsia="en-US"/>
        </w:rPr>
        <w:t>por Policia Bashkiake nuk ka të specifikuar në objektin e saj të punës, kontrollin e zbatimit të lejeve të ndërtimit në zbatimin e kërkesave të përshtatshmërisë në ndërtim dhe infrastrukturë për personat me aftësi të kufizuara.</w:t>
      </w:r>
      <w:r w:rsidR="00EF69D7" w:rsidRPr="00CB13F7">
        <w:rPr>
          <w:lang w:eastAsia="en-US"/>
        </w:rPr>
        <w:t xml:space="preserve"> </w:t>
      </w:r>
      <w:r w:rsidR="71A05BE9" w:rsidRPr="00CB13F7">
        <w:rPr>
          <w:rFonts w:eastAsia="Times New Roman"/>
          <w:lang w:eastAsia="en-US"/>
        </w:rPr>
        <w:t>Rezultatet e raporteve të Monitorimit të zbatimit të Planit 2021-2025 treguan se në sajë të</w:t>
      </w:r>
      <w:r w:rsidR="6309BE2C" w:rsidRPr="00CB13F7">
        <w:rPr>
          <w:rFonts w:eastAsia="Times New Roman"/>
          <w:lang w:eastAsia="en-US"/>
        </w:rPr>
        <w:t xml:space="preserve"> </w:t>
      </w:r>
      <w:r w:rsidR="71A05BE9" w:rsidRPr="00CB13F7">
        <w:rPr>
          <w:rFonts w:eastAsia="Times New Roman"/>
          <w:lang w:eastAsia="en-US"/>
        </w:rPr>
        <w:t xml:space="preserve">masave të ndërmarra ka pasur zhvillime pozitive në disa sektorë, por progresi ka qenë i pabarabartë dhe i pamjaftueshëm në raport me objektivat. </w:t>
      </w:r>
      <w:r w:rsidRPr="00CB13F7">
        <w:rPr>
          <w:rFonts w:eastAsia="Times New Roman"/>
          <w:lang w:eastAsia="en-US"/>
        </w:rPr>
        <w:t xml:space="preserve">Në aksesueshmërinë në mjedise është rritur numri i institucioneve publike që gjatë ndërtimeve ose rikonstruksioneve janë pajisur me elemente përshtatshmërie, por jo gjithnjë në përputhje </w:t>
      </w:r>
      <w:r w:rsidR="2F38DDEE" w:rsidRPr="00CB13F7">
        <w:rPr>
          <w:rFonts w:eastAsia="Times New Roman"/>
          <w:lang w:eastAsia="en-US"/>
        </w:rPr>
        <w:t>me standardet</w:t>
      </w:r>
      <w:r w:rsidRPr="00CB13F7">
        <w:rPr>
          <w:rFonts w:eastAsia="Times New Roman"/>
          <w:lang w:eastAsia="en-US"/>
        </w:rPr>
        <w:t xml:space="preserve">, ndërkohë që kuadri ligjor ekziston dhe konsiderohet bashkëkohor. </w:t>
      </w:r>
      <w:r w:rsidR="71A05BE9" w:rsidRPr="00CB13F7">
        <w:rPr>
          <w:rFonts w:eastAsia="Times New Roman"/>
          <w:lang w:eastAsia="en-US"/>
        </w:rPr>
        <w:t xml:space="preserve">Megjithatë, zbatimi i tij ka mbetur i ngadalshëm dhe i fragmentuar, për shkak se aksesueshmëria nuk përbën kompetencë të një institucioni të vetëm, mungon një autoritet </w:t>
      </w:r>
      <w:r w:rsidR="71A05BE9" w:rsidRPr="00CB13F7">
        <w:rPr>
          <w:rFonts w:eastAsia="Times New Roman"/>
          <w:lang w:eastAsia="en-US"/>
        </w:rPr>
        <w:lastRenderedPageBreak/>
        <w:t>koordinues dhe nuk është ngritur struktura e parashikuar për monitorimin e standardeve. Inspektimi institucional mbetet i kufizuar dhe jo sistematik, ndërsa bashkëpunimi ndërinstitucional dhe shkëmbimi i informacionit mbi nivelin e aksesueshmërisë vijon të jetë i dobët. Në këto kushte, megjithëse ekziston legjislacion i plotë, ai nuk shoqërohet me mekanizma efektivë zbatimi, me planifikim buxhetor dhe me sanksione, çka ka sjellë moszbatim të akteve nënligjore për eliminimin e pengesave në komunikim dhe infrastru</w:t>
      </w:r>
      <w:r w:rsidR="7D3A625D" w:rsidRPr="00CB13F7">
        <w:rPr>
          <w:rFonts w:eastAsia="Times New Roman"/>
          <w:lang w:eastAsia="en-US"/>
        </w:rPr>
        <w:t>k</w:t>
      </w:r>
      <w:r w:rsidR="71A05BE9" w:rsidRPr="00CB13F7">
        <w:rPr>
          <w:rFonts w:eastAsia="Times New Roman"/>
          <w:lang w:eastAsia="en-US"/>
        </w:rPr>
        <w:t>tur</w:t>
      </w:r>
      <w:r w:rsidR="2F38DDEE" w:rsidRPr="00CB13F7">
        <w:rPr>
          <w:rFonts w:eastAsia="Times New Roman"/>
          <w:lang w:eastAsia="en-US"/>
        </w:rPr>
        <w:t>ë</w:t>
      </w:r>
      <w:r w:rsidR="71A05BE9" w:rsidRPr="00CB13F7">
        <w:rPr>
          <w:rFonts w:eastAsia="Times New Roman"/>
          <w:lang w:eastAsia="en-US"/>
        </w:rPr>
        <w:t>, produkte e shërbime.</w:t>
      </w:r>
    </w:p>
    <w:p w14:paraId="0A4AEBBE"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Në fushën e transportit, situata paraqitet më problematike. Mungesa e transportit të aksesueshëm vazhdon të jetë një nga barrierat kryesore për punësimin, arsimin, shërbime shëndetësore dhe pjesëmarrjen sociale të personave me aftësi të kufizuara. Megjithëse kuadri ligjor për transportin rrugor është përafruar me standardet e Bashkimit Evropian dhe janë vendosur kërkesa për parametrat e aksesueshmërisë së mjeteve dhe asistencën ndaj pasagjerëve, zbatimi praktik mbetet i kufizuar. Angazhimi institucional për përmirësimin e transportit publik ka qenë i ulët dhe nuk ka të dhëna të mjaftueshme mbi pajisjen reale të mjeteve me elemente aksesueshmërie. Ndërsa, nëse në terminalet e reja janë bërë hapa </w:t>
      </w:r>
      <w:r w:rsidR="000E6121" w:rsidRPr="00CB13F7">
        <w:rPr>
          <w:rFonts w:eastAsia="Times New Roman"/>
          <w:lang w:eastAsia="en-US"/>
        </w:rPr>
        <w:t>pozitiv</w:t>
      </w:r>
      <w:r w:rsidRPr="00CB13F7">
        <w:rPr>
          <w:rFonts w:eastAsia="Times New Roman"/>
          <w:lang w:eastAsia="en-US"/>
        </w:rPr>
        <w:t xml:space="preserve"> në lidhje me aksesin, terminalet </w:t>
      </w:r>
      <w:r w:rsidR="000E6121" w:rsidRPr="00CB13F7">
        <w:rPr>
          <w:rFonts w:eastAsia="Times New Roman"/>
          <w:lang w:eastAsia="en-US"/>
        </w:rPr>
        <w:t>ekzistuese</w:t>
      </w:r>
      <w:r w:rsidRPr="00CB13F7">
        <w:rPr>
          <w:rFonts w:eastAsia="Times New Roman"/>
          <w:lang w:eastAsia="en-US"/>
        </w:rPr>
        <w:t xml:space="preserve"> vazhdojnë të kenë mungesa të konsiderueshme. Trajnimi i stafit dhe ofrimi i asistencës janë realizuar pjesërisht dhe udhëzuesit informues për përdoruesit nuk janë publikuar ende. Për rrjedhojë, aksesueshmëria në transport vazhdon të mbetet një pengesë e madhe strukturore për integrimin e personave me aftësi të kufizuara.</w:t>
      </w:r>
    </w:p>
    <w:p w14:paraId="7742916A" w14:textId="0F810B4B"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Informacioni dhe komunikimi janë </w:t>
      </w:r>
      <w:r w:rsidR="000E6121" w:rsidRPr="00CB13F7">
        <w:rPr>
          <w:rFonts w:eastAsia="Times New Roman"/>
          <w:lang w:eastAsia="en-US"/>
        </w:rPr>
        <w:t>veçanërisht</w:t>
      </w:r>
      <w:r w:rsidRPr="00CB13F7">
        <w:rPr>
          <w:rFonts w:eastAsia="Times New Roman"/>
          <w:lang w:eastAsia="en-US"/>
        </w:rPr>
        <w:t xml:space="preserve"> të rëndësishëm për personat me aftësi të kufizuara. Ndërkohë shumë </w:t>
      </w:r>
      <w:r w:rsidR="00F60FE2" w:rsidRPr="00CB13F7">
        <w:rPr>
          <w:rFonts w:eastAsia="Times New Roman"/>
          <w:lang w:eastAsia="en-US"/>
        </w:rPr>
        <w:t xml:space="preserve"> prej tyre </w:t>
      </w:r>
      <w:r w:rsidRPr="00CB13F7">
        <w:rPr>
          <w:rFonts w:eastAsia="Times New Roman"/>
          <w:lang w:eastAsia="en-US"/>
        </w:rPr>
        <w:t xml:space="preserve">mund të kenë vështirësi të kuptojnë informacionin e ofruar. Ata mund të jenë me vështirësi në shikim, në të dëgjuar, apo mund të kenë pamundësi ose vështirësi në të lexuar. </w:t>
      </w:r>
      <w:r w:rsidRPr="00CB13F7">
        <w:rPr>
          <w:lang w:eastAsia="en-US"/>
        </w:rPr>
        <w:t>Që</w:t>
      </w:r>
      <w:r w:rsidRPr="00CB13F7">
        <w:rPr>
          <w:rFonts w:eastAsia="Batang"/>
          <w:lang w:eastAsia="en-US"/>
        </w:rPr>
        <w:t xml:space="preserve"> personat me aftësi të kufizuara</w:t>
      </w:r>
      <w:r w:rsidR="001771D3" w:rsidRPr="00CB13F7">
        <w:rPr>
          <w:rFonts w:eastAsia="Batang"/>
          <w:lang w:eastAsia="en-US"/>
        </w:rPr>
        <w:t xml:space="preserve"> </w:t>
      </w:r>
      <w:r w:rsidRPr="00CB13F7">
        <w:rPr>
          <w:rFonts w:eastAsia="Batang"/>
          <w:lang w:eastAsia="en-US"/>
        </w:rPr>
        <w:t>të ushtrojnë të drejtat e tyre në mënyrë aktive, të marrin pjesë dhe të bëjnë zgjedhje në lidhje me jetën e tyre, është thelbësore që të kenë mundësi të përdorin informacionin përmes sistemeve të përshtatshme të komunikimit.</w:t>
      </w:r>
    </w:p>
    <w:p w14:paraId="4FD194F4"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fushën e informacionit dhe komunikimit është konstatuar progres më i kënaqshëm. Janë ndërmarrë përmirësime ligjore dhe institucionale për aksesueshmërinë digjitale, përfshirë përafrimin e legjislacionit me standardet evropiane dhe integrimin e kërkesave të aksesueshmërisë në shërbimet e qeverisjes elektronike</w:t>
      </w:r>
      <w:r w:rsidR="00F60FE2" w:rsidRPr="00CB13F7">
        <w:rPr>
          <w:rFonts w:eastAsia="Times New Roman"/>
          <w:lang w:eastAsia="en-US"/>
        </w:rPr>
        <w:t>.</w:t>
      </w:r>
      <w:r w:rsidRPr="00CB13F7">
        <w:rPr>
          <w:rFonts w:eastAsia="Times New Roman"/>
          <w:lang w:eastAsia="en-US"/>
        </w:rPr>
        <w:t xml:space="preserve"> </w:t>
      </w:r>
    </w:p>
    <w:p w14:paraId="364C41D0"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Platforma e shërbimeve publike digjitale është në proces përshtatjeje sipas standardeve ndërkombëtare të aksesueshmërisë, ndërsa janë krijuar lehtësira në rrjetet e komunikimeve elektronike dhe shërbimet telefonike. Gjithashtu, ndryshimet në legjislacionin e </w:t>
      </w:r>
      <w:r w:rsidR="000E6121" w:rsidRPr="00CB13F7">
        <w:rPr>
          <w:rFonts w:eastAsia="Times New Roman"/>
          <w:lang w:eastAsia="en-US"/>
        </w:rPr>
        <w:t>medieve</w:t>
      </w:r>
      <w:r w:rsidRPr="00CB13F7">
        <w:rPr>
          <w:rFonts w:eastAsia="Times New Roman"/>
          <w:lang w:eastAsia="en-US"/>
        </w:rPr>
        <w:t xml:space="preserve"> audiovizive dhe kodi i ri i transmetimit kanë përforcuar detyrimet për përdorimin e gjuhës së shenjave, titrimin dhe aksesin në informacion publik, duke mundësuar informim më të gjerë për personat me aftësi të kufizuara. Megjithatë, fusha mbetet komplekse dhe kërkon standardizim të mëtejshëm, rritje të përdorimit të teknologjive asistuese dhe trajnime për përdoruesit.</w:t>
      </w:r>
    </w:p>
    <w:p w14:paraId="268594FE" w14:textId="649AEF1F"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Në përmbledhje, analiza e periudhës 2021-2025 tregon se vendi ndodhet në një fazë tranzicioni nga krijimi i kuadrit normativ drejt zbatimit praktik të aksesueshmërisë. Nga 60 aktivitetet e planifikuara, vetëm një pjesë e vogël janë realizuar plotësisht, kryesisht në informacion </w:t>
      </w:r>
      <w:r w:rsidR="00F60FE2" w:rsidRPr="00CB13F7">
        <w:rPr>
          <w:rFonts w:eastAsia="Times New Roman"/>
          <w:lang w:eastAsia="en-US"/>
        </w:rPr>
        <w:t>dh</w:t>
      </w:r>
      <w:r w:rsidRPr="00CB13F7">
        <w:rPr>
          <w:rFonts w:eastAsia="Times New Roman"/>
          <w:lang w:eastAsia="en-US"/>
        </w:rPr>
        <w:t>e komunikim, ndërsa progresi rezulton i dobët në mjedis dhe transport.</w:t>
      </w:r>
    </w:p>
    <w:p w14:paraId="6DB1923D" w14:textId="77777777" w:rsidR="00E90A3B" w:rsidRPr="00CB13F7" w:rsidRDefault="00E90A3B" w:rsidP="004E4604">
      <w:pPr>
        <w:autoSpaceDE w:val="0"/>
        <w:autoSpaceDN w:val="0"/>
        <w:adjustRightInd w:val="0"/>
        <w:spacing w:before="120" w:after="120" w:line="276" w:lineRule="auto"/>
        <w:jc w:val="both"/>
        <w:rPr>
          <w:lang w:eastAsia="en-US"/>
        </w:rPr>
      </w:pPr>
      <w:r w:rsidRPr="00CB13F7">
        <w:rPr>
          <w:lang w:eastAsia="en-US"/>
        </w:rPr>
        <w:lastRenderedPageBreak/>
        <w:t xml:space="preserve">Pushteti vendor luan </w:t>
      </w:r>
      <w:r w:rsidR="000E6121" w:rsidRPr="00CB13F7">
        <w:rPr>
          <w:lang w:eastAsia="en-US"/>
        </w:rPr>
        <w:t>një</w:t>
      </w:r>
      <w:r w:rsidRPr="00CB13F7">
        <w:rPr>
          <w:lang w:eastAsia="en-US"/>
        </w:rPr>
        <w:t xml:space="preserve"> rol të </w:t>
      </w:r>
      <w:r w:rsidR="000E6121" w:rsidRPr="00CB13F7">
        <w:rPr>
          <w:lang w:eastAsia="en-US"/>
        </w:rPr>
        <w:t>rëndësishëm</w:t>
      </w:r>
      <w:r w:rsidRPr="00CB13F7">
        <w:rPr>
          <w:lang w:eastAsia="en-US"/>
        </w:rPr>
        <w:t xml:space="preserve"> dhe ka përgjegjësi të madhe në realizimin e aksesueshmërisë fizike. </w:t>
      </w:r>
      <w:r w:rsidR="000E6121" w:rsidRPr="00CB13F7">
        <w:rPr>
          <w:lang w:eastAsia="en-US"/>
        </w:rPr>
        <w:t>Nga ana e bashkive ka një mungesë të theksuar të njohjes dhe</w:t>
      </w:r>
      <w:r w:rsidR="001771D3" w:rsidRPr="00CB13F7">
        <w:rPr>
          <w:lang w:eastAsia="en-US"/>
        </w:rPr>
        <w:t xml:space="preserve"> </w:t>
      </w:r>
      <w:r w:rsidR="000E6121" w:rsidRPr="00CB13F7">
        <w:rPr>
          <w:lang w:eastAsia="en-US"/>
        </w:rPr>
        <w:t xml:space="preserve">zbatimit të </w:t>
      </w:r>
      <w:r w:rsidR="000E6121" w:rsidRPr="00CB13F7">
        <w:rPr>
          <w:rFonts w:eastAsia="Times New Roman"/>
          <w:lang w:eastAsia="en-US"/>
        </w:rPr>
        <w:t>VKM</w:t>
      </w:r>
      <w:r w:rsidR="000E6121" w:rsidRPr="00CB13F7">
        <w:rPr>
          <w:b/>
          <w:lang w:eastAsia="en-US"/>
        </w:rPr>
        <w:t xml:space="preserve"> </w:t>
      </w:r>
      <w:r w:rsidR="000E6121" w:rsidRPr="00CB13F7">
        <w:rPr>
          <w:lang w:eastAsia="en-US"/>
        </w:rPr>
        <w:t>Nr. 1074</w:t>
      </w:r>
      <w:r w:rsidR="00D02CF3" w:rsidRPr="00CB13F7">
        <w:rPr>
          <w:lang w:eastAsia="en-US"/>
        </w:rPr>
        <w:t>,</w:t>
      </w:r>
      <w:r w:rsidR="000E6121" w:rsidRPr="00CB13F7">
        <w:rPr>
          <w:lang w:eastAsia="en-US"/>
        </w:rPr>
        <w:t xml:space="preserve"> datë 23.12.2015 </w:t>
      </w:r>
      <w:r w:rsidR="000E6121" w:rsidRPr="00CB13F7">
        <w:rPr>
          <w:i/>
          <w:lang w:eastAsia="en-US"/>
        </w:rPr>
        <w:t>“Për përcaktimin e masave për mënjanimin e pengesave në komunikim dhe infrastrukturë në ofrimin e shërbimeve publike për personat me aftësi të kufizuara”</w:t>
      </w:r>
      <w:r w:rsidR="000E6121" w:rsidRPr="00CB13F7">
        <w:rPr>
          <w:lang w:eastAsia="en-US"/>
        </w:rPr>
        <w:t xml:space="preserve">. </w:t>
      </w:r>
      <w:r w:rsidRPr="00CB13F7">
        <w:rPr>
          <w:lang w:eastAsia="en-US"/>
        </w:rPr>
        <w:t>Një ndikim të fuqishëm ka bashkëpunimi dhe ndërveprimi i koordinuar i dy pushteteve</w:t>
      </w:r>
      <w:r w:rsidR="001771D3" w:rsidRPr="00CB13F7">
        <w:rPr>
          <w:lang w:eastAsia="en-US"/>
        </w:rPr>
        <w:t xml:space="preserve"> </w:t>
      </w:r>
      <w:r w:rsidRPr="00CB13F7">
        <w:rPr>
          <w:lang w:eastAsia="en-US"/>
        </w:rPr>
        <w:t>në përmirësimin e aksesueshmërisë.</w:t>
      </w:r>
    </w:p>
    <w:p w14:paraId="50441051" w14:textId="77777777" w:rsidR="00E90A3B" w:rsidRPr="00CB13F7" w:rsidRDefault="000E6121" w:rsidP="004E4604">
      <w:pPr>
        <w:spacing w:before="120" w:after="120" w:line="276" w:lineRule="auto"/>
        <w:jc w:val="both"/>
        <w:rPr>
          <w:rFonts w:eastAsia="Times New Roman"/>
          <w:lang w:eastAsia="en-US"/>
        </w:rPr>
      </w:pPr>
      <w:r w:rsidRPr="00CB13F7">
        <w:rPr>
          <w:rFonts w:eastAsia="Times New Roman"/>
          <w:lang w:eastAsia="en-US"/>
        </w:rPr>
        <w:t>Problemet kryesore lidhen me mungesën e një strukture kombëtare monitorimi, koordinimin e pamjaftueshëm ndërinstitucional, mungesën e statistikave dhe raportimit, financimin e kufizuar, si dhe mos shoqërimin e legjislacionit me mekanizma detyrues dhe sanksione.</w:t>
      </w:r>
    </w:p>
    <w:p w14:paraId="5E32CB51"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Për rrjedhojë, Plani i ri 2026-2030 do të fokusohet jo vetëm në ndërhyrje infrastrukturore apo teknologji, por në ndërtimin e një sistemi funksional të qeverisjes së aksesueshmërisë, që përfshin koordinim institucional, monitorim të detyrueshëm, raportim kombëtar periodik, rishikim të legjislacionit me masa zbatuese dhe rritje të investimeve, në mënyrë që aksesueshmëria të kalohet nga një politikë formale në një standard të garantuar realisht për të gjithë personat me aftësi të kufizuara.</w:t>
      </w:r>
    </w:p>
    <w:p w14:paraId="5DAEBEBC" w14:textId="5C9D535A"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Objektivi është që aksesueshmëria të mos mbetet një standard formal, por një e drejtë e garantuar realisht për çdo person me aftësi të kufizuara.</w:t>
      </w:r>
    </w:p>
    <w:p w14:paraId="1A939E0E" w14:textId="77777777" w:rsidR="004B03EF" w:rsidRPr="00CB13F7" w:rsidRDefault="004B03EF" w:rsidP="004E4604">
      <w:pPr>
        <w:spacing w:before="120" w:after="120" w:line="276" w:lineRule="auto"/>
        <w:jc w:val="both"/>
        <w:rPr>
          <w:rFonts w:eastAsia="Times New Roman"/>
          <w:color w:val="FF0000"/>
          <w:lang w:eastAsia="en-US"/>
        </w:rPr>
      </w:pPr>
    </w:p>
    <w:p w14:paraId="13D82A1C" w14:textId="3C1E7B1A" w:rsidR="00E90A3B" w:rsidRPr="00CB13F7" w:rsidRDefault="1D9C28A1" w:rsidP="004E4604">
      <w:pPr>
        <w:spacing w:before="120" w:after="120" w:line="276" w:lineRule="auto"/>
        <w:jc w:val="both"/>
        <w:rPr>
          <w:rFonts w:eastAsia="Times New Roman"/>
          <w:lang w:eastAsia="en-US"/>
        </w:rPr>
      </w:pPr>
      <w:r w:rsidRPr="00CB13F7">
        <w:rPr>
          <w:rFonts w:eastAsia="Times New Roman"/>
          <w:b/>
          <w:bCs/>
          <w:lang w:eastAsia="en-US"/>
        </w:rPr>
        <w:t>3.</w:t>
      </w:r>
      <w:r w:rsidR="0F8C7F42" w:rsidRPr="00CB13F7">
        <w:rPr>
          <w:rFonts w:eastAsia="Times New Roman"/>
          <w:b/>
          <w:bCs/>
          <w:lang w:eastAsia="en-US"/>
        </w:rPr>
        <w:t>2</w:t>
      </w:r>
      <w:r w:rsidRPr="00CB13F7">
        <w:rPr>
          <w:rFonts w:eastAsia="Times New Roman"/>
          <w:b/>
          <w:bCs/>
          <w:lang w:eastAsia="en-US"/>
        </w:rPr>
        <w:t>. Analizë e gjendjes aktuale në fushën e a</w:t>
      </w:r>
      <w:r w:rsidR="71A05BE9" w:rsidRPr="00CB13F7">
        <w:rPr>
          <w:rFonts w:eastAsia="Times New Roman"/>
          <w:b/>
          <w:bCs/>
          <w:lang w:eastAsia="en-US"/>
        </w:rPr>
        <w:t>ksesi</w:t>
      </w:r>
      <w:r w:rsidRPr="00CB13F7">
        <w:rPr>
          <w:rFonts w:eastAsia="Times New Roman"/>
          <w:b/>
          <w:bCs/>
          <w:lang w:eastAsia="en-US"/>
        </w:rPr>
        <w:t>t</w:t>
      </w:r>
      <w:r w:rsidR="71A05BE9" w:rsidRPr="00CB13F7">
        <w:rPr>
          <w:rFonts w:eastAsia="Times New Roman"/>
          <w:b/>
          <w:bCs/>
          <w:lang w:eastAsia="en-US"/>
        </w:rPr>
        <w:t xml:space="preserve"> në drejtësi dhe barazi</w:t>
      </w:r>
      <w:r w:rsidRPr="00CB13F7">
        <w:rPr>
          <w:rFonts w:eastAsia="Times New Roman"/>
          <w:b/>
          <w:bCs/>
          <w:lang w:eastAsia="en-US"/>
        </w:rPr>
        <w:t>së</w:t>
      </w:r>
      <w:r w:rsidR="71A05BE9" w:rsidRPr="00CB13F7">
        <w:rPr>
          <w:rFonts w:eastAsia="Times New Roman"/>
          <w:b/>
          <w:bCs/>
          <w:lang w:eastAsia="en-US"/>
        </w:rPr>
        <w:t xml:space="preserve"> para ligjit</w:t>
      </w:r>
    </w:p>
    <w:p w14:paraId="66D438A7" w14:textId="41D916B8"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Gjatë zbatimit</w:t>
      </w:r>
      <w:r w:rsidR="00A5641F" w:rsidRPr="00CB13F7">
        <w:rPr>
          <w:rFonts w:eastAsia="Times New Roman"/>
          <w:lang w:eastAsia="en-US"/>
        </w:rPr>
        <w:t xml:space="preserve"> </w:t>
      </w:r>
      <w:r w:rsidRPr="00CB13F7">
        <w:rPr>
          <w:rFonts w:eastAsia="Times New Roman"/>
          <w:lang w:eastAsia="en-US"/>
        </w:rPr>
        <w:t>të Planit Kombëtar të Veprimit për Personat me Aftësi të Kufizuara 2021</w:t>
      </w:r>
      <w:r w:rsidR="00A5641F" w:rsidRPr="00CB13F7">
        <w:rPr>
          <w:rFonts w:eastAsia="Times New Roman"/>
          <w:lang w:eastAsia="en-US"/>
        </w:rPr>
        <w:t>-</w:t>
      </w:r>
      <w:r w:rsidRPr="00CB13F7">
        <w:rPr>
          <w:rFonts w:eastAsia="Times New Roman"/>
          <w:lang w:eastAsia="en-US"/>
        </w:rPr>
        <w:t>2025</w:t>
      </w:r>
      <w:r w:rsidR="00A5641F" w:rsidRPr="00CB13F7">
        <w:rPr>
          <w:rStyle w:val="FootnoteReference"/>
          <w:rFonts w:eastAsia="Times New Roman"/>
          <w:lang w:eastAsia="en-US"/>
        </w:rPr>
        <w:footnoteReference w:id="21"/>
      </w:r>
      <w:r w:rsidRPr="00CB13F7">
        <w:rPr>
          <w:rFonts w:eastAsia="Times New Roman"/>
          <w:lang w:eastAsia="en-US"/>
        </w:rPr>
        <w:t>, fusha e barazisë në sistemin e drejtësisë synoi garantimin e aksesit të barabartë në drejtësi për personat me aftësi të kufizuara nëpërmjet rritjes së përdorimit të ndihmës juridike falas, njohjes së barabartë para ligjit dhe respektimit të të drejtave të tyre në institucionet e dënimit</w:t>
      </w:r>
      <w:r w:rsidR="00020B9F" w:rsidRPr="00CB13F7">
        <w:rPr>
          <w:rFonts w:eastAsia="Times New Roman"/>
          <w:lang w:eastAsia="en-US"/>
        </w:rPr>
        <w:t>.</w:t>
      </w:r>
      <w:r w:rsidRPr="00CB13F7">
        <w:rPr>
          <w:rFonts w:eastAsia="Times New Roman"/>
          <w:lang w:eastAsia="en-US"/>
        </w:rPr>
        <w:t xml:space="preserve"> </w:t>
      </w:r>
    </w:p>
    <w:p w14:paraId="7DD74033" w14:textId="2C5E71E0" w:rsidR="002D4649" w:rsidRPr="00CB13F7" w:rsidRDefault="00E90A3B" w:rsidP="004E4604">
      <w:pPr>
        <w:spacing w:before="120" w:after="120" w:line="276" w:lineRule="auto"/>
        <w:jc w:val="both"/>
        <w:rPr>
          <w:rFonts w:eastAsia="Times New Roman"/>
          <w:lang w:eastAsia="en-US"/>
        </w:rPr>
      </w:pPr>
      <w:r w:rsidRPr="00CB13F7">
        <w:rPr>
          <w:rFonts w:eastAsia="Times New Roman"/>
          <w:lang w:eastAsia="en-US"/>
        </w:rPr>
        <w:t>Vlerësimi i periudhës tregon se progresi më i prekshëm është arritur në dimensionin praktik të aksesit fillestar në drejtësi, ndërsa reformat strukturore të barazisë juridike mbeten ende të papërfunduara.</w:t>
      </w:r>
    </w:p>
    <w:p w14:paraId="4EF72164" w14:textId="7F94F096"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Arritja më e dukshme lidhet me konsolidimin e sistemit të </w:t>
      </w:r>
      <w:r w:rsidR="00020B9F" w:rsidRPr="00CB13F7">
        <w:rPr>
          <w:rFonts w:eastAsia="Times New Roman"/>
          <w:lang w:eastAsia="en-US"/>
        </w:rPr>
        <w:t>Ndihmës Juridike Falas</w:t>
      </w:r>
      <w:r w:rsidRPr="00CB13F7">
        <w:rPr>
          <w:rFonts w:eastAsia="Times New Roman"/>
          <w:lang w:eastAsia="en-US"/>
        </w:rPr>
        <w:t>. Integrimi i plotë i Qendrave të Shërbimit të Ndihmës Juridike Parësore në buxhetin e Ministrisë së Drejtësisë në vitin 2025 ka shënuar kalimin nga një shërbim i mbështetur kryesisht nga donatorët në një shërbim publik të qëndrueshëm financiarisht.</w:t>
      </w:r>
      <w:r w:rsidR="001771D3" w:rsidRPr="00CB13F7">
        <w:rPr>
          <w:rFonts w:eastAsia="Times New Roman"/>
          <w:lang w:eastAsia="en-US"/>
        </w:rPr>
        <w:t xml:space="preserve"> </w:t>
      </w:r>
      <w:r w:rsidRPr="00CB13F7">
        <w:rPr>
          <w:rFonts w:eastAsia="Times New Roman"/>
          <w:lang w:eastAsia="en-US"/>
        </w:rPr>
        <w:t>Kjo reformë është reflektuar drejtpërdrejt në rritjen e numrit të përfituesve. Në vitet 2024</w:t>
      </w:r>
      <w:r w:rsidR="002D4649" w:rsidRPr="00CB13F7">
        <w:rPr>
          <w:rFonts w:eastAsia="Times New Roman"/>
          <w:lang w:eastAsia="en-US"/>
        </w:rPr>
        <w:t>-</w:t>
      </w:r>
      <w:r w:rsidRPr="00CB13F7">
        <w:rPr>
          <w:rFonts w:eastAsia="Times New Roman"/>
          <w:lang w:eastAsia="en-US"/>
        </w:rPr>
        <w:t>2025, 11,636 persona me aftësi të kufizuara përfituan ndihmë juridike parësore dhe 955 persona ndihmë juridike dytësore.</w:t>
      </w:r>
    </w:p>
    <w:p w14:paraId="79C8CFDE" w14:textId="00349FF4"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Krahasuar me tre vitet e para të zbatimit të planit (913 përfitues), numri i përfituesve të ndihmës juridike parësore është rritur rreth 12 herë, duke përbërë një nga treguesit më të fortë të progresit real në të gjithë </w:t>
      </w:r>
      <w:r w:rsidR="002D4649" w:rsidRPr="00CB13F7">
        <w:rPr>
          <w:rFonts w:eastAsia="Times New Roman"/>
          <w:lang w:eastAsia="en-US"/>
        </w:rPr>
        <w:t>Planin</w:t>
      </w:r>
      <w:r w:rsidRPr="00CB13F7">
        <w:rPr>
          <w:rFonts w:eastAsia="Times New Roman"/>
          <w:lang w:eastAsia="en-US"/>
        </w:rPr>
        <w:t xml:space="preserve">. Vetëm gjatë vitit 2024 përfituan 6,220 persona me aftësi të kufizuara, </w:t>
      </w:r>
      <w:r w:rsidRPr="00CB13F7">
        <w:rPr>
          <w:rFonts w:eastAsia="Times New Roman"/>
          <w:lang w:eastAsia="en-US"/>
        </w:rPr>
        <w:lastRenderedPageBreak/>
        <w:t xml:space="preserve">ndërsa në vitin 2025 përfituan 5,416, </w:t>
      </w:r>
      <w:r w:rsidR="002D4649" w:rsidRPr="00CB13F7">
        <w:rPr>
          <w:rFonts w:eastAsia="Times New Roman"/>
          <w:lang w:eastAsia="en-US"/>
        </w:rPr>
        <w:t xml:space="preserve">të dhëna të cilat tregojnë </w:t>
      </w:r>
      <w:r w:rsidRPr="00CB13F7">
        <w:rPr>
          <w:rFonts w:eastAsia="Times New Roman"/>
          <w:lang w:eastAsia="en-US"/>
        </w:rPr>
        <w:t xml:space="preserve">jo vetëm rritje, por stabilizim të kërkesës dhe funksionim të konsoliduar të sistemit. </w:t>
      </w:r>
    </w:p>
    <w:p w14:paraId="27DB6FFC"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Zgjerimi i aksesit është mbështetur edhe nga 13 klinika ligjore universitare dhe financimi i organizatave të shoqërisë civile për shtrirjen e shërbimit në komunitete të përjashtuara.</w:t>
      </w:r>
    </w:p>
    <w:p w14:paraId="2863E573"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Një tjetër element progresi është rritja e informimit dhe ndërgjegjësimit. Vetëm gjatë vitit 2025 janë realizuar 543 aktivitete informuese në nivel kombëtar, nga të cilat 19 të dedikuara posaçërisht për personat me aftësi të kufizuara.</w:t>
      </w:r>
    </w:p>
    <w:p w14:paraId="1B662A85"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Për herë të parë janë prodhuar materiale informuese në gjuhë të thjeshtë, audio, gjuhën e shenjave dhe Braille, duke mundësuar akses të drejtpërdrejtë në informacion për kategori të ndryshme aftësie të kufizuar. Po ashtu, është ofruar shërbim lëvizës i ndihmës juridike për personat me pamundësi lëvizjeje dhe për zonat me akses të kufizuar.</w:t>
      </w:r>
    </w:p>
    <w:p w14:paraId="3979FD91" w14:textId="11719A77"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Në drejtim të kapaciteteve profesionale janë realizuar trajnime për aktorët e sistemit të drejtësisë: vetëm përmes bashkëpunimit me institucionet e arsimit të lartë janë trajnuar 293 studentë të klinikave ligjore, si dhe punonjës të qendrave të ndihmës juridike, avokatë dhe organizata jofitimprurëse. </w:t>
      </w:r>
      <w:r w:rsidR="44ACD0DB" w:rsidRPr="00CB13F7">
        <w:rPr>
          <w:rFonts w:eastAsia="Times New Roman"/>
          <w:lang w:eastAsia="en-US"/>
        </w:rPr>
        <w:t>Gjithashtu, j</w:t>
      </w:r>
      <w:r w:rsidRPr="00CB13F7">
        <w:rPr>
          <w:rFonts w:eastAsia="Times New Roman"/>
          <w:lang w:eastAsia="en-US"/>
        </w:rPr>
        <w:t xml:space="preserve">anë zhvilluar 5 trajnime për përfaqësues të institucioneve të drejtësisë në disa qytete dhe 7 seanca trajnuese nga Shkolla e Magjistraturës për mbrojtjen nga diskriminimi. </w:t>
      </w:r>
    </w:p>
    <w:p w14:paraId="180187EF"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Këto ndërhyrje kanë rritur aftësinë e sistemit për të trajtuar rastet e personave me aftësi të kufizuara, por nuk kanë qenë të mjaftueshme për të ndryshuar praktikën gjyqësore në mënyrë sistemike.</w:t>
      </w:r>
    </w:p>
    <w:p w14:paraId="0DC890A7" w14:textId="4E3F8A5E"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Ndryshe nga progresi i dukshëm në ndihmën juridike, njohja e barabartë para ligjit mbetet sfida më e madhe strukturore. Legjislacioni shqiptar, veçanërisht dispozitat e Kodit Civil, Kodit të Procedurës Civile dhe Kodit të Familjes, nuk është përshtatur ende plotësisht me parimet e Konventës për të Drejtat e Personave me Aftësi të Kufizuara në lidhje me zotësinë  për të vepruar. Edhe pse është miratuar kuadri për vendimmarrjen e mbështetur, ai nuk shoqërohet ende me ndryshime të plota ligjore dhe procedurale, çka bën që personat me aftësi të kufizuara, veçanërisht ata me aftësi të kufizuara mendore, të mos e ushtrojnë plotësisht kapacitetin juridik në praktikë.</w:t>
      </w:r>
    </w:p>
    <w:p w14:paraId="62620C51"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institucionet e dënimit janë ndërmarrë masa për përmirësimin e trajtimit dhe monitorimit, përfshirë raportime të rregullta shëndetësore dhe përpjekje për zbatimin e rekomandimeve ndërkombëtare, si dhe planifikimin e ndërtimit të një spitali forensik të specializuar.</w:t>
      </w:r>
      <w:r w:rsidR="001771D3" w:rsidRPr="00CB13F7">
        <w:rPr>
          <w:rFonts w:eastAsia="Times New Roman"/>
          <w:lang w:eastAsia="en-US"/>
        </w:rPr>
        <w:t xml:space="preserve"> </w:t>
      </w:r>
      <w:r w:rsidRPr="00CB13F7">
        <w:rPr>
          <w:rFonts w:eastAsia="Times New Roman"/>
          <w:lang w:eastAsia="en-US"/>
        </w:rPr>
        <w:t xml:space="preserve">Megjithatë, disa rregullime ligjore dhe procedurale mbeten të </w:t>
      </w:r>
      <w:r w:rsidR="000E6121" w:rsidRPr="00CB13F7">
        <w:rPr>
          <w:rFonts w:eastAsia="Times New Roman"/>
          <w:lang w:eastAsia="en-US"/>
        </w:rPr>
        <w:t>pa miratuara</w:t>
      </w:r>
      <w:r w:rsidRPr="00CB13F7">
        <w:rPr>
          <w:rFonts w:eastAsia="Times New Roman"/>
          <w:lang w:eastAsia="en-US"/>
        </w:rPr>
        <w:t xml:space="preserve">. </w:t>
      </w:r>
    </w:p>
    <w:p w14:paraId="3EE0D3C1" w14:textId="2C234A51" w:rsidR="00E90A3B" w:rsidRPr="00CB13F7" w:rsidRDefault="71A05BE9" w:rsidP="661F9D2E">
      <w:pPr>
        <w:spacing w:before="120" w:after="120" w:line="276" w:lineRule="auto"/>
        <w:jc w:val="both"/>
        <w:rPr>
          <w:rFonts w:eastAsia="Times New Roman"/>
          <w:lang w:eastAsia="en-US"/>
        </w:rPr>
      </w:pPr>
      <w:r w:rsidRPr="00CB13F7">
        <w:rPr>
          <w:rFonts w:eastAsia="Times New Roman"/>
          <w:lang w:eastAsia="en-US"/>
        </w:rPr>
        <w:t>Gjatë periudhës 2021</w:t>
      </w:r>
      <w:r w:rsidR="44ACD0DB" w:rsidRPr="00CB13F7">
        <w:rPr>
          <w:rFonts w:eastAsia="Times New Roman"/>
          <w:lang w:eastAsia="en-US"/>
        </w:rPr>
        <w:t>-</w:t>
      </w:r>
      <w:r w:rsidRPr="00CB13F7">
        <w:rPr>
          <w:rFonts w:eastAsia="Times New Roman"/>
          <w:lang w:eastAsia="en-US"/>
        </w:rPr>
        <w:t>2025, aksesi fillestar në drejtësi është përmirësuar ndjeshëm, përmes shumëfishimit të ndihmës juridike falas, ndërsa barazia para ligjit mbetet kryesisht një objektiv normativ i pa</w:t>
      </w:r>
      <w:r w:rsidR="44ACD0DB" w:rsidRPr="00CB13F7">
        <w:rPr>
          <w:rFonts w:eastAsia="Times New Roman"/>
          <w:lang w:eastAsia="en-US"/>
        </w:rPr>
        <w:t xml:space="preserve"> realizuar </w:t>
      </w:r>
      <w:r w:rsidRPr="00CB13F7">
        <w:rPr>
          <w:rFonts w:eastAsia="Times New Roman"/>
          <w:lang w:eastAsia="en-US"/>
        </w:rPr>
        <w:t xml:space="preserve">plotësisht. Sfidat kryesore lidhen me mungesën e reformës së plotë ligjore për zotësinë juridike për të vepruar, koordinimin ndërinstitucional dhe kapacitetet profesionale të sistemit të drejtësisë. Për rrjedhojë, Plani </w:t>
      </w:r>
      <w:r w:rsidR="53C27F6F" w:rsidRPr="00CB13F7">
        <w:rPr>
          <w:rFonts w:eastAsia="Times New Roman"/>
          <w:lang w:eastAsia="en-US"/>
        </w:rPr>
        <w:t xml:space="preserve">Kombëtar i Veprimit për Personat me Aftësi të Kufizuara </w:t>
      </w:r>
      <w:r w:rsidRPr="00CB13F7">
        <w:rPr>
          <w:rFonts w:eastAsia="Times New Roman"/>
          <w:lang w:eastAsia="en-US"/>
        </w:rPr>
        <w:t>2026</w:t>
      </w:r>
      <w:r w:rsidR="44ACD0DB" w:rsidRPr="00CB13F7">
        <w:rPr>
          <w:rFonts w:eastAsia="Times New Roman"/>
          <w:lang w:eastAsia="en-US"/>
        </w:rPr>
        <w:t>-</w:t>
      </w:r>
      <w:r w:rsidRPr="00CB13F7">
        <w:rPr>
          <w:rFonts w:eastAsia="Times New Roman"/>
          <w:lang w:eastAsia="en-US"/>
        </w:rPr>
        <w:t xml:space="preserve">2030 do të fokusohet në reforma strukturore, duke kaluar nga garantimi i aksesit formal në </w:t>
      </w:r>
      <w:r w:rsidRPr="00CB13F7">
        <w:rPr>
          <w:rFonts w:eastAsia="Times New Roman"/>
          <w:lang w:eastAsia="en-US"/>
        </w:rPr>
        <w:lastRenderedPageBreak/>
        <w:t>shërbime juridike drejt garantimit të ushtrimit real dhe të plotë të të drejtave për personat me aftësi të kufizuara.</w:t>
      </w:r>
    </w:p>
    <w:p w14:paraId="60E6C6FD" w14:textId="77777777" w:rsidR="004B03EF" w:rsidRPr="00CB13F7" w:rsidRDefault="004B03EF" w:rsidP="661F9D2E">
      <w:pPr>
        <w:spacing w:before="120" w:after="120" w:line="276" w:lineRule="auto"/>
        <w:jc w:val="both"/>
        <w:rPr>
          <w:rFonts w:eastAsia="Times New Roman"/>
          <w:b/>
          <w:bCs/>
          <w:lang w:eastAsia="en-US"/>
        </w:rPr>
      </w:pPr>
    </w:p>
    <w:p w14:paraId="6F4E198B" w14:textId="77777777" w:rsidR="00753C46" w:rsidRPr="00CB13F7" w:rsidRDefault="00753C46" w:rsidP="004E4604">
      <w:pPr>
        <w:pStyle w:val="ListParagraph"/>
        <w:numPr>
          <w:ilvl w:val="1"/>
          <w:numId w:val="12"/>
        </w:numPr>
        <w:tabs>
          <w:tab w:val="left" w:pos="360"/>
        </w:tabs>
        <w:spacing w:before="120" w:after="120" w:line="276" w:lineRule="auto"/>
        <w:ind w:left="0" w:firstLine="0"/>
        <w:contextualSpacing w:val="0"/>
        <w:jc w:val="both"/>
        <w:rPr>
          <w:rFonts w:eastAsia="Times New Roman"/>
          <w:lang w:eastAsia="en-US"/>
        </w:rPr>
      </w:pPr>
      <w:r w:rsidRPr="00CB13F7">
        <w:rPr>
          <w:rFonts w:eastAsia="Times New Roman"/>
          <w:b/>
          <w:bCs/>
          <w:lang w:eastAsia="en-US"/>
        </w:rPr>
        <w:t>Analiza e gjendjes aktuale n</w:t>
      </w:r>
      <w:r w:rsidR="003443E2" w:rsidRPr="00CB13F7">
        <w:rPr>
          <w:rFonts w:eastAsia="Times New Roman"/>
          <w:b/>
          <w:bCs/>
          <w:lang w:eastAsia="en-US"/>
        </w:rPr>
        <w:t>ë</w:t>
      </w:r>
      <w:r w:rsidRPr="00CB13F7">
        <w:rPr>
          <w:rFonts w:eastAsia="Times New Roman"/>
          <w:b/>
          <w:bCs/>
          <w:lang w:eastAsia="en-US"/>
        </w:rPr>
        <w:t xml:space="preserve"> fush</w:t>
      </w:r>
      <w:r w:rsidR="003443E2" w:rsidRPr="00CB13F7">
        <w:rPr>
          <w:rFonts w:eastAsia="Times New Roman"/>
          <w:b/>
          <w:bCs/>
          <w:lang w:eastAsia="en-US"/>
        </w:rPr>
        <w:t>ë</w:t>
      </w:r>
      <w:r w:rsidRPr="00CB13F7">
        <w:rPr>
          <w:rFonts w:eastAsia="Times New Roman"/>
          <w:b/>
          <w:bCs/>
          <w:lang w:eastAsia="en-US"/>
        </w:rPr>
        <w:t>n e p</w:t>
      </w:r>
      <w:r w:rsidR="00E90A3B" w:rsidRPr="00CB13F7">
        <w:rPr>
          <w:rFonts w:eastAsia="Times New Roman"/>
          <w:b/>
          <w:bCs/>
          <w:lang w:eastAsia="en-US"/>
        </w:rPr>
        <w:t>unësimi</w:t>
      </w:r>
      <w:r w:rsidRPr="00CB13F7">
        <w:rPr>
          <w:rFonts w:eastAsia="Times New Roman"/>
          <w:b/>
          <w:bCs/>
          <w:lang w:eastAsia="en-US"/>
        </w:rPr>
        <w:t>t dhe aft</w:t>
      </w:r>
      <w:r w:rsidR="003443E2" w:rsidRPr="00CB13F7">
        <w:rPr>
          <w:rFonts w:eastAsia="Times New Roman"/>
          <w:b/>
          <w:bCs/>
          <w:lang w:eastAsia="en-US"/>
        </w:rPr>
        <w:t>ë</w:t>
      </w:r>
      <w:r w:rsidRPr="00CB13F7">
        <w:rPr>
          <w:rFonts w:eastAsia="Times New Roman"/>
          <w:b/>
          <w:bCs/>
          <w:lang w:eastAsia="en-US"/>
        </w:rPr>
        <w:t>simit</w:t>
      </w:r>
    </w:p>
    <w:p w14:paraId="2236DA6A" w14:textId="5FAA956B"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Gjatë zbatimit të Planit Kombëtar të Veprimit për Personat me Aftësi të Kufizuara 2021</w:t>
      </w:r>
      <w:r w:rsidR="003F582F" w:rsidRPr="00CB13F7">
        <w:rPr>
          <w:rFonts w:eastAsia="Times New Roman"/>
          <w:lang w:eastAsia="en-US"/>
        </w:rPr>
        <w:t>-</w:t>
      </w:r>
      <w:r w:rsidRPr="00CB13F7">
        <w:rPr>
          <w:rFonts w:eastAsia="Times New Roman"/>
          <w:lang w:eastAsia="en-US"/>
        </w:rPr>
        <w:t>2025, fusha e punësimit dhe aftësimit profesional kishte si qëllim rritjen e pjesëmarrjes së personave me aftësi të kufizuara në tregun e punës dhe krijimin e mundësive të barabarta për punë të denjë, përmes përmirësimit të arsimit dhe formimit profesional, zgjerimit të programeve të nxitjes së punësimit dhe rritjes së cilësisë së shërbimeve të integrimit në tregun e punës.</w:t>
      </w:r>
    </w:p>
    <w:p w14:paraId="2D65E428" w14:textId="055022F0"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Monitorimi i periudhës 202</w:t>
      </w:r>
      <w:r w:rsidR="00753C46" w:rsidRPr="00CB13F7">
        <w:rPr>
          <w:rFonts w:eastAsia="Times New Roman"/>
          <w:lang w:eastAsia="en-US"/>
        </w:rPr>
        <w:t>1</w:t>
      </w:r>
      <w:r w:rsidR="003F582F" w:rsidRPr="00CB13F7">
        <w:rPr>
          <w:rFonts w:eastAsia="Times New Roman"/>
          <w:lang w:eastAsia="en-US"/>
        </w:rPr>
        <w:t>-</w:t>
      </w:r>
      <w:r w:rsidRPr="00CB13F7">
        <w:rPr>
          <w:rFonts w:eastAsia="Times New Roman"/>
          <w:lang w:eastAsia="en-US"/>
        </w:rPr>
        <w:t>2025 tregon se në këtë fushë janë ndërmarrë masa të rëndësishme dhe është shënuar progres i dukshëm në aspektin e përfshirjes, por rezultatet mbeten të pjesshme dhe të paqëndrueshme, pasi shumë prej mekanizmave mbështetës nuk janë institucionalizuar plotësisht dhe nuk kanë arritur ende të përkthehen në punësim të qëndrueshëm.</w:t>
      </w:r>
    </w:p>
    <w:p w14:paraId="38EEAF98" w14:textId="33978B55"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Në dimensionin e arsimit dhe formimit profesional, zhvillimi më pozitiv lidhet me rritjen graduale të pjesëmarrjes së personave me aftësi të kufizuara. Numri i kursantëve në kurset e formimit profesional u rrit nga 94 në vitin 2024 në </w:t>
      </w:r>
      <w:r w:rsidR="4A55BA95" w:rsidRPr="00CB13F7">
        <w:rPr>
          <w:rFonts w:eastAsia="Times New Roman"/>
          <w:lang w:eastAsia="en-US"/>
        </w:rPr>
        <w:t>233</w:t>
      </w:r>
      <w:r w:rsidRPr="00CB13F7">
        <w:rPr>
          <w:rFonts w:eastAsia="Times New Roman"/>
          <w:lang w:eastAsia="en-US"/>
        </w:rPr>
        <w:t xml:space="preserve"> persona në viti</w:t>
      </w:r>
      <w:r w:rsidR="10DE238F" w:rsidRPr="00CB13F7">
        <w:rPr>
          <w:rFonts w:eastAsia="Times New Roman"/>
          <w:lang w:eastAsia="en-US"/>
        </w:rPr>
        <w:t>n</w:t>
      </w:r>
      <w:r w:rsidRPr="00CB13F7">
        <w:rPr>
          <w:rFonts w:eastAsia="Times New Roman"/>
          <w:lang w:eastAsia="en-US"/>
        </w:rPr>
        <w:t xml:space="preserve"> 2025, duke reflektuar një trend të qartë të zgjerimit të aksesit në trajnim </w:t>
      </w:r>
      <w:r w:rsidR="3A581716" w:rsidRPr="00CB13F7">
        <w:rPr>
          <w:rFonts w:eastAsia="Times New Roman"/>
          <w:lang w:eastAsia="en-US"/>
        </w:rPr>
        <w:t>profesional</w:t>
      </w:r>
      <w:r w:rsidRPr="00CB13F7">
        <w:rPr>
          <w:rFonts w:eastAsia="Times New Roman"/>
          <w:lang w:eastAsia="en-US"/>
        </w:rPr>
        <w:t>.</w:t>
      </w:r>
      <w:r w:rsidR="00132C9A" w:rsidRPr="00CB13F7">
        <w:rPr>
          <w:rFonts w:eastAsia="Times New Roman"/>
          <w:lang w:eastAsia="en-US"/>
        </w:rPr>
        <w:t xml:space="preserve"> </w:t>
      </w:r>
    </w:p>
    <w:p w14:paraId="37D324A0" w14:textId="5CA4A695"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Edhe në arsimin e mesëm profesional vërehet një rritje e vazhdueshme: nga 212 nxënës me aftësi të kufizuara në vitin shkollor 2023</w:t>
      </w:r>
      <w:r w:rsidR="003F582F" w:rsidRPr="00CB13F7">
        <w:rPr>
          <w:rFonts w:eastAsia="Times New Roman"/>
          <w:lang w:eastAsia="en-US"/>
        </w:rPr>
        <w:t>-</w:t>
      </w:r>
      <w:r w:rsidRPr="00CB13F7">
        <w:rPr>
          <w:rFonts w:eastAsia="Times New Roman"/>
          <w:lang w:eastAsia="en-US"/>
        </w:rPr>
        <w:t>2024</w:t>
      </w:r>
      <w:r w:rsidR="00132C9A" w:rsidRPr="00CB13F7">
        <w:rPr>
          <w:rFonts w:eastAsia="Times New Roman"/>
          <w:lang w:eastAsia="en-US"/>
        </w:rPr>
        <w:t>,</w:t>
      </w:r>
      <w:r w:rsidRPr="00CB13F7">
        <w:rPr>
          <w:rFonts w:eastAsia="Times New Roman"/>
          <w:lang w:eastAsia="en-US"/>
        </w:rPr>
        <w:t xml:space="preserve"> në 242 </w:t>
      </w:r>
      <w:r w:rsidR="00132C9A" w:rsidRPr="00CB13F7">
        <w:rPr>
          <w:rFonts w:eastAsia="Times New Roman"/>
          <w:lang w:eastAsia="en-US"/>
        </w:rPr>
        <w:t>nxënës me aftësi të kufizuara</w:t>
      </w:r>
      <w:r w:rsidR="003F582F" w:rsidRPr="00CB13F7">
        <w:rPr>
          <w:rFonts w:eastAsia="Times New Roman"/>
          <w:lang w:eastAsia="en-US"/>
        </w:rPr>
        <w:t xml:space="preserve"> </w:t>
      </w:r>
      <w:r w:rsidRPr="00CB13F7">
        <w:rPr>
          <w:rFonts w:eastAsia="Times New Roman"/>
          <w:lang w:eastAsia="en-US"/>
        </w:rPr>
        <w:t>në vitin 2024</w:t>
      </w:r>
      <w:r w:rsidR="003F582F" w:rsidRPr="00CB13F7">
        <w:rPr>
          <w:rFonts w:eastAsia="Times New Roman"/>
          <w:lang w:eastAsia="en-US"/>
        </w:rPr>
        <w:t>-</w:t>
      </w:r>
      <w:r w:rsidRPr="00CB13F7">
        <w:rPr>
          <w:rFonts w:eastAsia="Times New Roman"/>
          <w:lang w:eastAsia="en-US"/>
        </w:rPr>
        <w:t>2025, ndërkohë që numri i mësuesve ndihmës u rrit nga 51 në 57.</w:t>
      </w:r>
      <w:r w:rsidR="001771D3" w:rsidRPr="00CB13F7">
        <w:rPr>
          <w:rFonts w:eastAsia="Times New Roman"/>
          <w:lang w:eastAsia="en-US"/>
        </w:rPr>
        <w:t xml:space="preserve"> </w:t>
      </w:r>
      <w:r w:rsidRPr="00CB13F7">
        <w:rPr>
          <w:rFonts w:eastAsia="Times New Roman"/>
          <w:lang w:eastAsia="en-US"/>
        </w:rPr>
        <w:t>Ky zhvillim tregon një zgjerim real të sistemit gjithëpërfshirës, si dhe një përpjekje për të respektuar standardet nënligjore të mbështetjes arsimore.</w:t>
      </w:r>
    </w:p>
    <w:p w14:paraId="3A30CFC3" w14:textId="546D9264"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Një hap i rëndësishëm cilësor është hartimi i Manualit për Gjithëpërfshirjen e Nxënësve dhe Kursantëve me Aftësi të Kufizuara në Arsimin dhe Formimin Profesional, i cili përcakton standarde për vlerësimin, planet individuale të mbështetjes, përshtatjen e arsyeshme dhe metodat e të nxënit të aksesueshëm. Për herë të parë u krijua mundësia e financimit të përshtatjes së arsyeshme deri në 200,000 lekë për kursantët me aftësi të kufizuara, duke përfshirë përshtatjen e kurrikulave dhe përgatitjen e instruktorëve për trajnim të posaçëm.</w:t>
      </w:r>
      <w:r w:rsidR="001771D3" w:rsidRPr="00CB13F7">
        <w:rPr>
          <w:rFonts w:eastAsia="Times New Roman"/>
          <w:lang w:eastAsia="en-US"/>
        </w:rPr>
        <w:t xml:space="preserve"> </w:t>
      </w:r>
      <w:r w:rsidRPr="00CB13F7">
        <w:rPr>
          <w:rFonts w:eastAsia="Times New Roman"/>
          <w:lang w:eastAsia="en-US"/>
        </w:rPr>
        <w:t>Këto masa përbëjnë një ndryshim të rëndësishëm konceptual, pasi sistemi tentoi të kalojë nga integrimi formal në përpjekje për mbështetje individuale, të bazuar në nevojat e personit.</w:t>
      </w:r>
    </w:p>
    <w:p w14:paraId="7D9F4A2C" w14:textId="0035C421"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Megjithatë, këto zhvillime mbeten ende të kufizuara në shtrirje. Manualet dhe standardet janë në fazë pilotimi dhe nuk janë bërë pjesë e detyrueshme e sistemit. Mungojnë programe të strukturuara dhe të certifikuara trajnimi për mësuesit lëndorë, instruktorët dhe mësuesit ndihmës, </w:t>
      </w:r>
      <w:r w:rsidR="003F582F" w:rsidRPr="00CB13F7">
        <w:rPr>
          <w:rFonts w:eastAsia="Times New Roman"/>
          <w:lang w:eastAsia="en-US"/>
        </w:rPr>
        <w:t>të cilat</w:t>
      </w:r>
      <w:r w:rsidRPr="00CB13F7">
        <w:rPr>
          <w:rFonts w:eastAsia="Times New Roman"/>
          <w:lang w:eastAsia="en-US"/>
        </w:rPr>
        <w:t xml:space="preserve"> </w:t>
      </w:r>
      <w:r w:rsidR="003F582F" w:rsidRPr="00CB13F7">
        <w:rPr>
          <w:rFonts w:eastAsia="Times New Roman"/>
          <w:lang w:eastAsia="en-US"/>
        </w:rPr>
        <w:t xml:space="preserve">ndikojnë </w:t>
      </w:r>
      <w:r w:rsidRPr="00CB13F7">
        <w:rPr>
          <w:rFonts w:eastAsia="Times New Roman"/>
          <w:lang w:eastAsia="en-US"/>
        </w:rPr>
        <w:t xml:space="preserve">drejtpërdrejt në cilësinë e shërbimeve arsimore dhe në zbatimin real të gjithëpërfshirjes. </w:t>
      </w:r>
    </w:p>
    <w:p w14:paraId="62ED6E1F" w14:textId="4F8E557B"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Financimi për përshtatjen e arsyeshme ekziston,</w:t>
      </w:r>
      <w:r w:rsidR="00132C9A" w:rsidRPr="00CB13F7">
        <w:rPr>
          <w:rFonts w:eastAsia="Times New Roman"/>
          <w:lang w:eastAsia="en-US"/>
        </w:rPr>
        <w:t xml:space="preserve"> por</w:t>
      </w:r>
      <w:r w:rsidRPr="00CB13F7">
        <w:rPr>
          <w:rFonts w:eastAsia="Times New Roman"/>
          <w:lang w:eastAsia="en-US"/>
        </w:rPr>
        <w:t xml:space="preserve"> u aplikua në mënyrë të kufizuar për shkak të mungesës së udhëzimeve procedurale. Po ashtu, nuk arritën të realizohen masa të rëndësishme si ofrimi falas i kurseve të gjuhëve të huaja dhe teknologjisë së informacionit, ndërsa përgatitja e </w:t>
      </w:r>
      <w:r w:rsidRPr="00CB13F7">
        <w:rPr>
          <w:rFonts w:eastAsia="Times New Roman"/>
          <w:lang w:eastAsia="en-US"/>
        </w:rPr>
        <w:lastRenderedPageBreak/>
        <w:t xml:space="preserve">interpretëve të gjuhës së shenjave ka mbetur pa </w:t>
      </w:r>
      <w:r w:rsidR="000E6121" w:rsidRPr="00CB13F7">
        <w:rPr>
          <w:rFonts w:eastAsia="Times New Roman"/>
          <w:lang w:eastAsia="en-US"/>
        </w:rPr>
        <w:t>progres</w:t>
      </w:r>
      <w:r w:rsidRPr="00CB13F7">
        <w:rPr>
          <w:rFonts w:eastAsia="Times New Roman"/>
          <w:lang w:eastAsia="en-US"/>
        </w:rPr>
        <w:t xml:space="preserve">, </w:t>
      </w:r>
      <w:r w:rsidR="000E6121" w:rsidRPr="00CB13F7">
        <w:rPr>
          <w:rFonts w:eastAsia="Times New Roman"/>
          <w:lang w:eastAsia="en-US"/>
        </w:rPr>
        <w:t>çka</w:t>
      </w:r>
      <w:r w:rsidRPr="00CB13F7">
        <w:rPr>
          <w:rFonts w:eastAsia="Times New Roman"/>
          <w:lang w:eastAsia="en-US"/>
        </w:rPr>
        <w:t xml:space="preserve"> tregon se sistemi arsimor profesional është në proces transformimi, por ende nuk ka arritur të krijojë një model të plotë dhe të qëndrueshëm përfshirjeje.</w:t>
      </w:r>
    </w:p>
    <w:p w14:paraId="49A689EE" w14:textId="6CF5D278"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Në dimensionin e punësimit, progresi është më i dukshëm në rritjen e pjesëmarrjes në programe sesa në punësimin real. Numri i personave me aftësi të kufizuara që përfituan nga programet e nxitjes së punësimit u rrit nga 103 në vitin 2024 në 242 persona në vitin 2025. Edhe skema e Garancisë Rinore përfshiu 71 të rinj me aftësi të kufizuara gjatë dy viteve</w:t>
      </w:r>
      <w:r w:rsidR="2ABAD135" w:rsidRPr="00CB13F7">
        <w:rPr>
          <w:rFonts w:eastAsia="Times New Roman"/>
          <w:lang w:eastAsia="en-US"/>
        </w:rPr>
        <w:t>.</w:t>
      </w:r>
    </w:p>
    <w:p w14:paraId="1506542B" w14:textId="71DCE036"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Paralelisht, u rrit edhe numri i personave të regjistruar si punëkërkues, nga </w:t>
      </w:r>
      <w:r w:rsidR="6EB63302" w:rsidRPr="00CB13F7">
        <w:rPr>
          <w:rFonts w:eastAsia="Times New Roman"/>
          <w:lang w:eastAsia="en-US"/>
        </w:rPr>
        <w:t>3,347</w:t>
      </w:r>
      <w:r w:rsidRPr="00CB13F7">
        <w:rPr>
          <w:rFonts w:eastAsia="Times New Roman"/>
          <w:lang w:eastAsia="en-US"/>
        </w:rPr>
        <w:t xml:space="preserve"> në vitin 2024 në </w:t>
      </w:r>
      <w:r w:rsidR="607F1041" w:rsidRPr="00CB13F7">
        <w:rPr>
          <w:rFonts w:eastAsia="Times New Roman"/>
          <w:lang w:eastAsia="en-US"/>
        </w:rPr>
        <w:t>3,429</w:t>
      </w:r>
      <w:r w:rsidRPr="00CB13F7">
        <w:rPr>
          <w:rFonts w:eastAsia="Times New Roman"/>
          <w:lang w:eastAsia="en-US"/>
        </w:rPr>
        <w:t xml:space="preserve"> persona në vitin 2025. Këta tregues dëshmojnë një rritje të kontaktit të personave me aftësi të kufizuara me shërbimet e punësimit dhe një besim më të madh ndaj institucioneve publike. Megjithatë, këto zhvillime nuk janë përkthyer ende në rritje të qëndrueshme të punësimit. Në vitin 2024 u punësuan 379 persona me aftësi të kufizuara, ndërsa në vitin 2025 </w:t>
      </w:r>
      <w:r w:rsidR="00E4350C" w:rsidRPr="00CB13F7">
        <w:rPr>
          <w:rFonts w:eastAsia="Times New Roman"/>
          <w:lang w:eastAsia="en-US"/>
        </w:rPr>
        <w:t xml:space="preserve">u punësuan </w:t>
      </w:r>
      <w:r w:rsidR="34D97E9F" w:rsidRPr="00CB13F7">
        <w:rPr>
          <w:rFonts w:eastAsia="Times New Roman"/>
          <w:lang w:eastAsia="en-US"/>
        </w:rPr>
        <w:t>266</w:t>
      </w:r>
      <w:r w:rsidRPr="00CB13F7">
        <w:rPr>
          <w:rFonts w:eastAsia="Times New Roman"/>
          <w:lang w:eastAsia="en-US"/>
        </w:rPr>
        <w:t xml:space="preserve">. Ky kontrast </w:t>
      </w:r>
      <w:r w:rsidR="00920D39" w:rsidRPr="00CB13F7">
        <w:rPr>
          <w:rFonts w:eastAsia="Times New Roman"/>
          <w:lang w:eastAsia="en-US"/>
        </w:rPr>
        <w:t>mes rregjistrimit dhe pun</w:t>
      </w:r>
      <w:r w:rsidR="004B03EF" w:rsidRPr="00CB13F7">
        <w:rPr>
          <w:rFonts w:eastAsia="Times New Roman"/>
          <w:lang w:eastAsia="en-US"/>
        </w:rPr>
        <w:t>ë</w:t>
      </w:r>
      <w:r w:rsidR="00920D39" w:rsidRPr="00CB13F7">
        <w:rPr>
          <w:rFonts w:eastAsia="Times New Roman"/>
          <w:lang w:eastAsia="en-US"/>
        </w:rPr>
        <w:t xml:space="preserve">simit </w:t>
      </w:r>
      <w:r w:rsidRPr="00CB13F7">
        <w:rPr>
          <w:rFonts w:eastAsia="Times New Roman"/>
          <w:lang w:eastAsia="en-US"/>
        </w:rPr>
        <w:t xml:space="preserve">nxjerr në pah që sistemi funksionon më mirë në regjistrimin sesa në ndërmjetësimin efektiv </w:t>
      </w:r>
      <w:r w:rsidR="00920D39" w:rsidRPr="00CB13F7">
        <w:rPr>
          <w:rFonts w:eastAsia="Times New Roman"/>
          <w:lang w:eastAsia="en-US"/>
        </w:rPr>
        <w:t>me pun</w:t>
      </w:r>
      <w:r w:rsidR="004B03EF" w:rsidRPr="00CB13F7">
        <w:rPr>
          <w:rFonts w:eastAsia="Times New Roman"/>
          <w:lang w:eastAsia="en-US"/>
        </w:rPr>
        <w:t>ë</w:t>
      </w:r>
      <w:r w:rsidR="00920D39" w:rsidRPr="00CB13F7">
        <w:rPr>
          <w:rFonts w:eastAsia="Times New Roman"/>
          <w:lang w:eastAsia="en-US"/>
        </w:rPr>
        <w:t>dh</w:t>
      </w:r>
      <w:r w:rsidR="004B03EF" w:rsidRPr="00CB13F7">
        <w:rPr>
          <w:rFonts w:eastAsia="Times New Roman"/>
          <w:lang w:eastAsia="en-US"/>
        </w:rPr>
        <w:t>ë</w:t>
      </w:r>
      <w:r w:rsidR="00920D39" w:rsidRPr="00CB13F7">
        <w:rPr>
          <w:rFonts w:eastAsia="Times New Roman"/>
          <w:lang w:eastAsia="en-US"/>
        </w:rPr>
        <w:t>n</w:t>
      </w:r>
      <w:r w:rsidR="004B03EF" w:rsidRPr="00CB13F7">
        <w:rPr>
          <w:rFonts w:eastAsia="Times New Roman"/>
          <w:lang w:eastAsia="en-US"/>
        </w:rPr>
        <w:t>ë</w:t>
      </w:r>
      <w:r w:rsidR="00920D39" w:rsidRPr="00CB13F7">
        <w:rPr>
          <w:rFonts w:eastAsia="Times New Roman"/>
          <w:lang w:eastAsia="en-US"/>
        </w:rPr>
        <w:t>sit dhe garantimin e nj</w:t>
      </w:r>
      <w:r w:rsidR="004B03EF" w:rsidRPr="00CB13F7">
        <w:rPr>
          <w:rFonts w:eastAsia="Times New Roman"/>
          <w:lang w:eastAsia="en-US"/>
        </w:rPr>
        <w:t>ë</w:t>
      </w:r>
      <w:r w:rsidR="00920D39" w:rsidRPr="00CB13F7">
        <w:rPr>
          <w:rFonts w:eastAsia="Times New Roman"/>
          <w:lang w:eastAsia="en-US"/>
        </w:rPr>
        <w:t xml:space="preserve"> pun</w:t>
      </w:r>
      <w:r w:rsidR="004B03EF" w:rsidRPr="00CB13F7">
        <w:rPr>
          <w:rFonts w:eastAsia="Times New Roman"/>
          <w:lang w:eastAsia="en-US"/>
        </w:rPr>
        <w:t>ë</w:t>
      </w:r>
      <w:r w:rsidR="00920D39" w:rsidRPr="00CB13F7">
        <w:rPr>
          <w:rFonts w:eastAsia="Times New Roman"/>
          <w:lang w:eastAsia="en-US"/>
        </w:rPr>
        <w:t>simi t</w:t>
      </w:r>
      <w:r w:rsidR="004B03EF" w:rsidRPr="00CB13F7">
        <w:rPr>
          <w:rFonts w:eastAsia="Times New Roman"/>
          <w:lang w:eastAsia="en-US"/>
        </w:rPr>
        <w:t>ë</w:t>
      </w:r>
      <w:r w:rsidR="00920D39" w:rsidRPr="00CB13F7">
        <w:rPr>
          <w:rFonts w:eastAsia="Times New Roman"/>
          <w:lang w:eastAsia="en-US"/>
        </w:rPr>
        <w:t xml:space="preserve"> q</w:t>
      </w:r>
      <w:r w:rsidR="004B03EF" w:rsidRPr="00CB13F7">
        <w:rPr>
          <w:rFonts w:eastAsia="Times New Roman"/>
          <w:lang w:eastAsia="en-US"/>
        </w:rPr>
        <w:t>ë</w:t>
      </w:r>
      <w:r w:rsidR="00920D39" w:rsidRPr="00CB13F7">
        <w:rPr>
          <w:rFonts w:eastAsia="Times New Roman"/>
          <w:lang w:eastAsia="en-US"/>
        </w:rPr>
        <w:t>ndruesh</w:t>
      </w:r>
      <w:r w:rsidR="004B03EF" w:rsidRPr="00CB13F7">
        <w:rPr>
          <w:rFonts w:eastAsia="Times New Roman"/>
          <w:lang w:eastAsia="en-US"/>
        </w:rPr>
        <w:t>ë</w:t>
      </w:r>
      <w:r w:rsidR="00920D39" w:rsidRPr="00CB13F7">
        <w:rPr>
          <w:rFonts w:eastAsia="Times New Roman"/>
          <w:lang w:eastAsia="en-US"/>
        </w:rPr>
        <w:t>m t</w:t>
      </w:r>
      <w:r w:rsidR="004B03EF" w:rsidRPr="00CB13F7">
        <w:rPr>
          <w:rFonts w:eastAsia="Times New Roman"/>
          <w:lang w:eastAsia="en-US"/>
        </w:rPr>
        <w:t>ë</w:t>
      </w:r>
      <w:r w:rsidR="00920D39" w:rsidRPr="00CB13F7">
        <w:rPr>
          <w:rFonts w:eastAsia="Times New Roman"/>
          <w:lang w:eastAsia="en-US"/>
        </w:rPr>
        <w:t xml:space="preserve"> pun</w:t>
      </w:r>
      <w:r w:rsidR="004B03EF" w:rsidRPr="00CB13F7">
        <w:rPr>
          <w:rFonts w:eastAsia="Times New Roman"/>
          <w:lang w:eastAsia="en-US"/>
        </w:rPr>
        <w:t>ë</w:t>
      </w:r>
      <w:r w:rsidR="00920D39" w:rsidRPr="00CB13F7">
        <w:rPr>
          <w:rFonts w:eastAsia="Times New Roman"/>
          <w:lang w:eastAsia="en-US"/>
        </w:rPr>
        <w:t>k</w:t>
      </w:r>
      <w:r w:rsidR="004B03EF" w:rsidRPr="00CB13F7">
        <w:rPr>
          <w:rFonts w:eastAsia="Times New Roman"/>
          <w:lang w:eastAsia="en-US"/>
        </w:rPr>
        <w:t>ë</w:t>
      </w:r>
      <w:r w:rsidR="00920D39" w:rsidRPr="00CB13F7">
        <w:rPr>
          <w:rFonts w:eastAsia="Times New Roman"/>
          <w:lang w:eastAsia="en-US"/>
        </w:rPr>
        <w:t>rkuesve t</w:t>
      </w:r>
      <w:r w:rsidR="004B03EF" w:rsidRPr="00CB13F7">
        <w:rPr>
          <w:rFonts w:eastAsia="Times New Roman"/>
          <w:lang w:eastAsia="en-US"/>
        </w:rPr>
        <w:t>ë</w:t>
      </w:r>
      <w:r w:rsidR="00920D39" w:rsidRPr="00CB13F7">
        <w:rPr>
          <w:rFonts w:eastAsia="Times New Roman"/>
          <w:lang w:eastAsia="en-US"/>
        </w:rPr>
        <w:t xml:space="preserve"> papun</w:t>
      </w:r>
      <w:r w:rsidR="004B03EF" w:rsidRPr="00CB13F7">
        <w:rPr>
          <w:rFonts w:eastAsia="Times New Roman"/>
          <w:lang w:eastAsia="en-US"/>
        </w:rPr>
        <w:t>ë</w:t>
      </w:r>
      <w:r w:rsidR="00920D39" w:rsidRPr="00CB13F7">
        <w:rPr>
          <w:rFonts w:eastAsia="Times New Roman"/>
          <w:lang w:eastAsia="en-US"/>
        </w:rPr>
        <w:t xml:space="preserve"> me aft</w:t>
      </w:r>
      <w:r w:rsidR="004B03EF" w:rsidRPr="00CB13F7">
        <w:rPr>
          <w:rFonts w:eastAsia="Times New Roman"/>
          <w:lang w:eastAsia="en-US"/>
        </w:rPr>
        <w:t>ë</w:t>
      </w:r>
      <w:r w:rsidR="00920D39" w:rsidRPr="00CB13F7">
        <w:rPr>
          <w:rFonts w:eastAsia="Times New Roman"/>
          <w:lang w:eastAsia="en-US"/>
        </w:rPr>
        <w:t>si t</w:t>
      </w:r>
      <w:r w:rsidR="004B03EF" w:rsidRPr="00CB13F7">
        <w:rPr>
          <w:rFonts w:eastAsia="Times New Roman"/>
          <w:lang w:eastAsia="en-US"/>
        </w:rPr>
        <w:t>ë</w:t>
      </w:r>
      <w:r w:rsidR="00920D39" w:rsidRPr="00CB13F7">
        <w:rPr>
          <w:rFonts w:eastAsia="Times New Roman"/>
          <w:lang w:eastAsia="en-US"/>
        </w:rPr>
        <w:t xml:space="preserve"> kufizuara.</w:t>
      </w:r>
    </w:p>
    <w:p w14:paraId="2ED7ADE5"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Gjatë periudhës së mëparshme, janë ndërmarrë hapa për përmirësimin e shërbimeve publike të punësimit, përfshirë manuale për këshillim karriere, profilizim dhe punësim me mbështetje, si dhe përmirësim të bazës së të dhënave për punëkërkuesit me aftësi të kufizuara. Megjithatë, këto mekanizma janë ende në konsolidim dhe ndikimi i tyre mbetet i kufizuar. Sfidat kryesore rezultojnë strukturore. Fondi Social i Punësimit, i cili do të mundësonte mbështetje për vetëpunësim dhe integrim afatgjatë, nuk është ende funksional. Mungon një studim kombëtar për situatën e personave me aftësi të kufizuara në tregun e punës, </w:t>
      </w:r>
      <w:r w:rsidR="000E6121" w:rsidRPr="00CB13F7">
        <w:rPr>
          <w:rFonts w:eastAsia="Times New Roman"/>
          <w:lang w:eastAsia="en-US"/>
        </w:rPr>
        <w:t>çka</w:t>
      </w:r>
      <w:r w:rsidRPr="00CB13F7">
        <w:rPr>
          <w:rFonts w:eastAsia="Times New Roman"/>
          <w:lang w:eastAsia="en-US"/>
        </w:rPr>
        <w:t xml:space="preserve"> kufizon planifikimin strategjik.</w:t>
      </w:r>
      <w:r w:rsidR="001771D3" w:rsidRPr="00CB13F7">
        <w:rPr>
          <w:rFonts w:eastAsia="Times New Roman"/>
          <w:lang w:eastAsia="en-US"/>
        </w:rPr>
        <w:t xml:space="preserve"> </w:t>
      </w:r>
      <w:r w:rsidRPr="00CB13F7">
        <w:rPr>
          <w:rFonts w:eastAsia="Times New Roman"/>
          <w:lang w:eastAsia="en-US"/>
        </w:rPr>
        <w:t xml:space="preserve">Bashkëpunimi me sektorin privat mbetet i dobët dhe përshtatja e arsyeshme në vendin e punës nuk aplikohet. </w:t>
      </w:r>
    </w:p>
    <w:p w14:paraId="0D413F82" w14:textId="15FAED6F" w:rsidR="00E90A3B" w:rsidRPr="00CB13F7" w:rsidRDefault="71A05BE9" w:rsidP="661F9D2E">
      <w:pPr>
        <w:spacing w:before="120" w:after="120" w:line="276" w:lineRule="auto"/>
        <w:jc w:val="both"/>
        <w:rPr>
          <w:rFonts w:eastAsia="Times New Roman"/>
          <w:lang w:eastAsia="en-US"/>
        </w:rPr>
      </w:pPr>
      <w:r w:rsidRPr="00CB13F7">
        <w:rPr>
          <w:rFonts w:eastAsia="Times New Roman"/>
          <w:lang w:eastAsia="en-US"/>
        </w:rPr>
        <w:t xml:space="preserve">Monitorimi </w:t>
      </w:r>
      <w:r w:rsidR="1D9C28A1" w:rsidRPr="00CB13F7">
        <w:rPr>
          <w:rFonts w:eastAsia="Times New Roman"/>
          <w:lang w:eastAsia="en-US"/>
        </w:rPr>
        <w:t>i</w:t>
      </w:r>
      <w:r w:rsidRPr="00CB13F7">
        <w:rPr>
          <w:rFonts w:eastAsia="Times New Roman"/>
          <w:lang w:eastAsia="en-US"/>
        </w:rPr>
        <w:t xml:space="preserve"> zbatimit të PKVPAK për periudhën 2021</w:t>
      </w:r>
      <w:r w:rsidR="78036A4F" w:rsidRPr="00CB13F7">
        <w:rPr>
          <w:rFonts w:eastAsia="Times New Roman"/>
          <w:lang w:eastAsia="en-US"/>
        </w:rPr>
        <w:t>-</w:t>
      </w:r>
      <w:r w:rsidRPr="00CB13F7">
        <w:rPr>
          <w:rFonts w:eastAsia="Times New Roman"/>
          <w:lang w:eastAsia="en-US"/>
        </w:rPr>
        <w:t xml:space="preserve">2025 tregon një progres real në aksesin në arsim profesional dhe në pjesëmarrjen në programe punësimi, por një progres shumë më të kufizuar në punësimin e qëndrueshëm. Sistemi aktual ka arritur të afrojë personat me aftësi të kufizuara pranë tregut të punës, por ende nuk ka krijuar mekanizma efektivë për t’i mbajtur ata në të. Për këtë arsye, Plani </w:t>
      </w:r>
      <w:r w:rsidR="2E0BD6C4" w:rsidRPr="00CB13F7">
        <w:rPr>
          <w:rFonts w:eastAsia="Times New Roman"/>
          <w:lang w:eastAsia="en-US"/>
        </w:rPr>
        <w:t xml:space="preserve">Kombëtar i Veprimit për Personat me Aftësi të Kufizuara </w:t>
      </w:r>
      <w:r w:rsidRPr="00CB13F7">
        <w:rPr>
          <w:rFonts w:eastAsia="Times New Roman"/>
          <w:lang w:eastAsia="en-US"/>
        </w:rPr>
        <w:t>2026</w:t>
      </w:r>
      <w:r w:rsidR="78036A4F" w:rsidRPr="00CB13F7">
        <w:rPr>
          <w:rFonts w:eastAsia="Times New Roman"/>
          <w:lang w:eastAsia="en-US"/>
        </w:rPr>
        <w:t>-</w:t>
      </w:r>
      <w:r w:rsidRPr="00CB13F7">
        <w:rPr>
          <w:rFonts w:eastAsia="Times New Roman"/>
          <w:lang w:eastAsia="en-US"/>
        </w:rPr>
        <w:t>2030 duhet të kalojë nga qasja e përfshirjes sociale drejt gjithëpërfshirjes ekonomike reale, duke institucionalizuar standardet e arsimit profesional gjithëpërfshirës, funksionalizuar mekanizmat financiarë të punësimit, zhvilluar punësimin me mbështetje dhe forcuar ndërmjetësimin me punëdhënësit, në mënyrë që punësimi i personave me aftësi të kufizuara të mos mbetet rezultat projektesh apo programesh të përkohshme, por të bëhet një proces i qëndrueshëm dhe pjesë e zakonshme e tregut të punës.</w:t>
      </w:r>
    </w:p>
    <w:p w14:paraId="567368BB" w14:textId="77777777" w:rsidR="0058320F" w:rsidRPr="00CB13F7" w:rsidRDefault="0058320F" w:rsidP="661F9D2E">
      <w:pPr>
        <w:spacing w:before="120" w:after="120" w:line="276" w:lineRule="auto"/>
        <w:jc w:val="both"/>
        <w:rPr>
          <w:rFonts w:eastAsia="Times New Roman"/>
          <w:b/>
          <w:bCs/>
          <w:lang w:eastAsia="en-US"/>
        </w:rPr>
      </w:pPr>
    </w:p>
    <w:p w14:paraId="1B2E1E11" w14:textId="77777777" w:rsidR="00E90A3B" w:rsidRPr="00CB13F7" w:rsidRDefault="000E6121" w:rsidP="004E4604">
      <w:pPr>
        <w:spacing w:before="120" w:after="120" w:line="276" w:lineRule="auto"/>
        <w:jc w:val="both"/>
        <w:rPr>
          <w:b/>
          <w:bCs/>
        </w:rPr>
      </w:pPr>
      <w:r w:rsidRPr="00CB13F7">
        <w:rPr>
          <w:b/>
          <w:bCs/>
        </w:rPr>
        <w:t>3.4. Analiza</w:t>
      </w:r>
      <w:r w:rsidR="00753C46" w:rsidRPr="00CB13F7">
        <w:rPr>
          <w:b/>
          <w:bCs/>
        </w:rPr>
        <w:t xml:space="preserve"> e gjendjes aktuale n</w:t>
      </w:r>
      <w:r w:rsidR="003443E2" w:rsidRPr="00CB13F7">
        <w:rPr>
          <w:b/>
          <w:bCs/>
        </w:rPr>
        <w:t>ë</w:t>
      </w:r>
      <w:r w:rsidR="00753C46" w:rsidRPr="00CB13F7">
        <w:rPr>
          <w:b/>
          <w:bCs/>
        </w:rPr>
        <w:t xml:space="preserve"> fush</w:t>
      </w:r>
      <w:r w:rsidR="003443E2" w:rsidRPr="00CB13F7">
        <w:rPr>
          <w:b/>
          <w:bCs/>
        </w:rPr>
        <w:t>ë</w:t>
      </w:r>
      <w:r w:rsidR="00753C46" w:rsidRPr="00CB13F7">
        <w:rPr>
          <w:b/>
          <w:bCs/>
        </w:rPr>
        <w:t>n e a</w:t>
      </w:r>
      <w:r w:rsidR="00E90A3B" w:rsidRPr="00CB13F7">
        <w:rPr>
          <w:b/>
          <w:bCs/>
        </w:rPr>
        <w:t>rsimi</w:t>
      </w:r>
      <w:r w:rsidR="00753C46" w:rsidRPr="00CB13F7">
        <w:rPr>
          <w:b/>
          <w:bCs/>
        </w:rPr>
        <w:t>t</w:t>
      </w:r>
      <w:r w:rsidR="00E90A3B" w:rsidRPr="00CB13F7">
        <w:rPr>
          <w:b/>
          <w:bCs/>
        </w:rPr>
        <w:t xml:space="preserve"> </w:t>
      </w:r>
    </w:p>
    <w:p w14:paraId="534442B9" w14:textId="1A254280"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lastRenderedPageBreak/>
        <w:t>Gjatë zbatimit të Planit Kombëtar të Veprimit për Personat me Aftësi të Kufizuara 2021</w:t>
      </w:r>
      <w:r w:rsidR="00F006C3" w:rsidRPr="00CB13F7">
        <w:rPr>
          <w:rFonts w:eastAsia="Times New Roman"/>
          <w:lang w:eastAsia="en-US"/>
        </w:rPr>
        <w:t>-</w:t>
      </w:r>
      <w:r w:rsidRPr="00CB13F7">
        <w:rPr>
          <w:rFonts w:eastAsia="Times New Roman"/>
          <w:lang w:eastAsia="en-US"/>
        </w:rPr>
        <w:t xml:space="preserve">2025, në fushën e arsimit u përcaktua si objektiv strategjik ofrimi i arsimit gjithëpërfshirës dhe cilësor për të gjithë fëmijët me aftësi të kufizuara, përmes rritjes së pjesëmarrjes së tyre në arsimin e zakonshëm dhe transformimit të shkollave speciale në qendra burimore. </w:t>
      </w:r>
    </w:p>
    <w:p w14:paraId="7CC09728" w14:textId="6FAC2BD0" w:rsidR="00E90A3B" w:rsidRPr="00CB13F7" w:rsidRDefault="71A05BE9" w:rsidP="661F9D2E">
      <w:pPr>
        <w:spacing w:before="120" w:after="120" w:line="276" w:lineRule="auto"/>
        <w:jc w:val="both"/>
        <w:rPr>
          <w:rFonts w:eastAsia="Times New Roman"/>
          <w:lang w:eastAsia="en-US"/>
        </w:rPr>
      </w:pPr>
      <w:r w:rsidRPr="00CB13F7">
        <w:rPr>
          <w:rFonts w:eastAsia="Times New Roman"/>
          <w:lang w:eastAsia="en-US"/>
        </w:rPr>
        <w:t xml:space="preserve"> Monitorimi i zbatimit të këtij </w:t>
      </w:r>
      <w:r w:rsidR="6FC917A0" w:rsidRPr="00CB13F7">
        <w:rPr>
          <w:rFonts w:eastAsia="Times New Roman"/>
          <w:lang w:eastAsia="en-US"/>
        </w:rPr>
        <w:t xml:space="preserve">Plani </w:t>
      </w:r>
      <w:r w:rsidR="5DBE91DD" w:rsidRPr="00CB13F7">
        <w:rPr>
          <w:rFonts w:eastAsia="Times New Roman"/>
          <w:lang w:eastAsia="en-US"/>
        </w:rPr>
        <w:t xml:space="preserve">Kombëtar i Veprimit për Personat me Aftësi të Kufizuara </w:t>
      </w:r>
      <w:r w:rsidRPr="00CB13F7">
        <w:rPr>
          <w:rFonts w:eastAsia="Times New Roman"/>
          <w:lang w:eastAsia="en-US"/>
        </w:rPr>
        <w:t>tregon se janë hedhur baza të rëndësishme institucionale në arsim gjithëpërfshirës, ndërsa rezultatet janë më të dukshme në aksesin në shkollë dhe ngritjen e strukturave mbështetëse, se</w:t>
      </w:r>
      <w:r w:rsidR="6FC917A0" w:rsidRPr="00CB13F7">
        <w:rPr>
          <w:rFonts w:eastAsia="Times New Roman"/>
          <w:lang w:eastAsia="en-US"/>
        </w:rPr>
        <w:t xml:space="preserve"> </w:t>
      </w:r>
      <w:r w:rsidRPr="00CB13F7">
        <w:rPr>
          <w:rFonts w:eastAsia="Times New Roman"/>
          <w:lang w:eastAsia="en-US"/>
        </w:rPr>
        <w:t>sa në cilësinë e qëndrueshme të përfshirjes.</w:t>
      </w:r>
    </w:p>
    <w:p w14:paraId="0373E594" w14:textId="19662022"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Një nga treguesit më të qartë të progresit është rritja e numrit të fëmijëve me aftësi të kufizuara të përfshirë në arsimin parauniversitar publik. Në vitin shkollor 2025</w:t>
      </w:r>
      <w:r w:rsidR="00F006C3" w:rsidRPr="00CB13F7">
        <w:rPr>
          <w:rFonts w:eastAsia="Times New Roman"/>
          <w:lang w:eastAsia="en-US"/>
        </w:rPr>
        <w:t>-</w:t>
      </w:r>
      <w:r w:rsidRPr="00CB13F7">
        <w:rPr>
          <w:rFonts w:eastAsia="Times New Roman"/>
          <w:lang w:eastAsia="en-US"/>
        </w:rPr>
        <w:t xml:space="preserve">2026 sistemi arsimor përfshin 5,208 nxënës me aftësi të kufizuara, nga 4,682 një vit më parë. Kjo rritje reflekton përmirësim të identifikimit dhe referimit të fëmijëve, por edhe rritje të besimit të familjeve ndaj arsimit gjithëpërfshirës. Nuk janë raportuar raste të </w:t>
      </w:r>
      <w:r w:rsidR="000E6121" w:rsidRPr="00CB13F7">
        <w:rPr>
          <w:rFonts w:eastAsia="Times New Roman"/>
          <w:lang w:eastAsia="en-US"/>
        </w:rPr>
        <w:t>braktisjes të</w:t>
      </w:r>
      <w:r w:rsidRPr="00CB13F7">
        <w:rPr>
          <w:rFonts w:eastAsia="Times New Roman"/>
          <w:lang w:eastAsia="en-US"/>
        </w:rPr>
        <w:t xml:space="preserve"> shkollës, megjithëse mungesa e të dhënave të detajuara sipas faktorëve socialë dhe ekonomikë e bën të vështirë analizën e plotë të vijueshmërisë.</w:t>
      </w:r>
    </w:p>
    <w:p w14:paraId="103AFE9D" w14:textId="44FC231E"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Në mbështetje të përfshirjes, është ndërtuar një sistem vlerësimi </w:t>
      </w:r>
      <w:r w:rsidR="3A581716" w:rsidRPr="00CB13F7">
        <w:rPr>
          <w:rFonts w:eastAsia="Times New Roman"/>
          <w:lang w:eastAsia="en-US"/>
        </w:rPr>
        <w:t>ndërdisiplinor</w:t>
      </w:r>
      <w:r w:rsidRPr="00CB13F7">
        <w:rPr>
          <w:rFonts w:eastAsia="Times New Roman"/>
          <w:lang w:eastAsia="en-US"/>
        </w:rPr>
        <w:t>. Komisionet Multidisiplinare për Vlerësimin e Nevojave të Nxënësve me Aftësi të Kufizuara (KMVA) kryejnë vlerësime psiko-pedagogjike dhe funksionale, rekomandojnë masa mbështetëse dhe hartojnë Plane Edukative Individuale, duke bashkëpunuar me shkollat, prindërit dhe shërbimet psiko-sociale. Miratimi në vitin 2024 i udhëzuesit të standardizuar sipas modelit bio-psiko-social ka rritur transpar</w:t>
      </w:r>
      <w:r w:rsidR="25FB0126" w:rsidRPr="00CB13F7">
        <w:rPr>
          <w:rFonts w:eastAsia="Times New Roman"/>
          <w:lang w:eastAsia="en-US"/>
        </w:rPr>
        <w:t>e</w:t>
      </w:r>
      <w:r w:rsidRPr="00CB13F7">
        <w:rPr>
          <w:rFonts w:eastAsia="Times New Roman"/>
          <w:lang w:eastAsia="en-US"/>
        </w:rPr>
        <w:t>ncën dhe koherencën e vendimmarrjes arsimore. Megjithatë, bashkëpunimi i këtyre komisioneve me strukturat e vlerësimit në sistemin e mbrojtjes sociale nuk është ende i institucionalizuar, duke krijuar fragmentarizim në mbështetjen e fëmijëve.</w:t>
      </w:r>
    </w:p>
    <w:p w14:paraId="42468814" w14:textId="51A31CA3"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Mbështetja brenda shkollës është përmirësuar ndjeshëm. Raporti mesatar nxënës</w:t>
      </w:r>
      <w:r w:rsidR="00F006C3" w:rsidRPr="00CB13F7">
        <w:rPr>
          <w:rFonts w:eastAsia="Times New Roman"/>
          <w:lang w:eastAsia="en-US"/>
        </w:rPr>
        <w:t>-</w:t>
      </w:r>
      <w:r w:rsidRPr="00CB13F7">
        <w:rPr>
          <w:rFonts w:eastAsia="Times New Roman"/>
          <w:lang w:eastAsia="en-US"/>
        </w:rPr>
        <w:t>mësues ndihmës ka qenë 2.12 në vitin 2024</w:t>
      </w:r>
      <w:r w:rsidR="00F006C3" w:rsidRPr="00CB13F7">
        <w:rPr>
          <w:rFonts w:eastAsia="Times New Roman"/>
          <w:lang w:eastAsia="en-US"/>
        </w:rPr>
        <w:t>-</w:t>
      </w:r>
      <w:r w:rsidRPr="00CB13F7">
        <w:rPr>
          <w:rFonts w:eastAsia="Times New Roman"/>
          <w:lang w:eastAsia="en-US"/>
        </w:rPr>
        <w:t>2025 dhe 2.24 në 2025</w:t>
      </w:r>
      <w:r w:rsidR="00F006C3" w:rsidRPr="00CB13F7">
        <w:rPr>
          <w:rFonts w:eastAsia="Times New Roman"/>
          <w:lang w:eastAsia="en-US"/>
        </w:rPr>
        <w:t>-</w:t>
      </w:r>
      <w:r w:rsidRPr="00CB13F7">
        <w:rPr>
          <w:rFonts w:eastAsia="Times New Roman"/>
          <w:lang w:eastAsia="en-US"/>
        </w:rPr>
        <w:t>2026, ndërsa rregullimi i ri lejon që një mësues ndihmës të punojë edhe me një nxënës të vetëm. Janë miratuar standardet profesionale të mësuesve ndihmës dhe është realizuar një proces i gjerë trajnimi. Rreth 1,500 mësues ndihmës u trajnuan në vitin 2024 dhe rreth 2,000 në vitin 2025.</w:t>
      </w:r>
    </w:p>
    <w:p w14:paraId="26DF4634"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Në këtë aspekt, janë monitoruar 80 zyra arsimore vendore dhe janë inspektuar 157 institucione arsimore për cilësinë e përfshirjes së nxënësve me aftësi të kufizuara. </w:t>
      </w:r>
    </w:p>
    <w:p w14:paraId="5E94F1AF" w14:textId="3BDD1496"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Infrastruktura mbështetëse është përmirësuar gjatë viteve të zbatimit të PKVPK</w:t>
      </w:r>
      <w:r w:rsidR="00F006C3" w:rsidRPr="00CB13F7">
        <w:rPr>
          <w:rFonts w:eastAsia="Times New Roman"/>
          <w:lang w:eastAsia="en-US"/>
        </w:rPr>
        <w:t xml:space="preserve"> 2021-2025</w:t>
      </w:r>
      <w:r w:rsidRPr="00CB13F7">
        <w:rPr>
          <w:rFonts w:eastAsia="Times New Roman"/>
          <w:lang w:eastAsia="en-US"/>
        </w:rPr>
        <w:t>. Numri i klasave burimore u rrit nga 291 në vitin shkollor 2024</w:t>
      </w:r>
      <w:r w:rsidR="00F006C3" w:rsidRPr="00CB13F7">
        <w:rPr>
          <w:rFonts w:eastAsia="Times New Roman"/>
          <w:lang w:eastAsia="en-US"/>
        </w:rPr>
        <w:t>-</w:t>
      </w:r>
      <w:r w:rsidRPr="00CB13F7">
        <w:rPr>
          <w:rFonts w:eastAsia="Times New Roman"/>
          <w:lang w:eastAsia="en-US"/>
        </w:rPr>
        <w:t>2025 në 317 në atë 2025</w:t>
      </w:r>
      <w:r w:rsidR="00F006C3" w:rsidRPr="00CB13F7">
        <w:rPr>
          <w:rFonts w:eastAsia="Times New Roman"/>
          <w:lang w:eastAsia="en-US"/>
        </w:rPr>
        <w:t>-</w:t>
      </w:r>
      <w:r w:rsidRPr="00CB13F7">
        <w:rPr>
          <w:rFonts w:eastAsia="Times New Roman"/>
          <w:lang w:eastAsia="en-US"/>
        </w:rPr>
        <w:t xml:space="preserve">2026. </w:t>
      </w:r>
    </w:p>
    <w:p w14:paraId="1308BAA4"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Paralelisht, ka filluar transformimi i shkollave speciale në qendra burimore. Tre institucione tashmë funksionojnë si struktura referimi për ekspertizë profesionale dhe mbështetje metodologjike për shkollat e zakonshme. Janë zhvilluar module për gjuhën e shenjave dhe materiale didaktike të specializuara, ndërsa Kodi Braille është unifikuar në nivel kombëtar, edhe pse institucionalizimi i plotë ligjor mbetet në proces. </w:t>
      </w:r>
    </w:p>
    <w:p w14:paraId="50ECE6EA"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lastRenderedPageBreak/>
        <w:t>Megjithatë, përtej progresit në akses, cilësia e përfshirjes mbetet sfida kryesore. Ndërhyrjet mbështetëse varen ende nga kapacitetet profesionale lokale dhe zbatimi i Planeve Edukative Individuale nuk është i njëtrajtshëm. Monitorimi i ndikimit real të masave mbështetëse në progresin akademik dhe social të nxënësve mbetet i kufizuar. Po ashtu, mungesa e një sistemi të integruar të të dhënave kufizon analizën e frekuentimit dhe rrezikut për braktisjen e</w:t>
      </w:r>
      <w:r w:rsidR="001771D3" w:rsidRPr="00CB13F7">
        <w:rPr>
          <w:rFonts w:eastAsia="Times New Roman"/>
          <w:lang w:eastAsia="en-US"/>
        </w:rPr>
        <w:t xml:space="preserve"> </w:t>
      </w:r>
      <w:r w:rsidRPr="00CB13F7">
        <w:rPr>
          <w:rFonts w:eastAsia="Times New Roman"/>
          <w:lang w:eastAsia="en-US"/>
        </w:rPr>
        <w:t xml:space="preserve">shkollës. </w:t>
      </w:r>
    </w:p>
    <w:p w14:paraId="2B6387D6" w14:textId="7DEB6501"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Një problem tjetër është mbështetja sociale e pamjaftueshme për të ndjekur shkollën. Skema e transportit falas ka përfshirë vetëm 30 nxënës në vitin 2024 dhe 32 në vitin 2025, çka tregon se mekanizmat e aksesit nuk janë ende efektivë për shumicën e fëmijëve me aftësi të kufizuara. </w:t>
      </w:r>
      <w:r w:rsidR="005A4334" w:rsidRPr="00CB13F7">
        <w:rPr>
          <w:rFonts w:eastAsia="Times New Roman"/>
          <w:lang w:eastAsia="en-US"/>
        </w:rPr>
        <w:t>Gjithashtu</w:t>
      </w:r>
      <w:r w:rsidRPr="00CB13F7">
        <w:rPr>
          <w:rFonts w:eastAsia="Times New Roman"/>
          <w:lang w:eastAsia="en-US"/>
        </w:rPr>
        <w:t>, furnizimi me materiale didaktike të përshtatura dhe financimi i tyre mbetet i pamjaftueshëm në shumë shkolla.</w:t>
      </w:r>
    </w:p>
    <w:p w14:paraId="245ED4A4" w14:textId="55A7200E"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periudhën 2021</w:t>
      </w:r>
      <w:r w:rsidR="005A4334" w:rsidRPr="00CB13F7">
        <w:rPr>
          <w:rFonts w:eastAsia="Times New Roman"/>
          <w:lang w:eastAsia="en-US"/>
        </w:rPr>
        <w:t>-</w:t>
      </w:r>
      <w:r w:rsidRPr="00CB13F7">
        <w:rPr>
          <w:rFonts w:eastAsia="Times New Roman"/>
          <w:lang w:eastAsia="en-US"/>
        </w:rPr>
        <w:t>2025, Shqipëria ka kaluar nga faza e përjashtimit në arsim drejt përfshirjes në sistem, por ende jo drejt gjithëpërfshirjes cilësore. Sistemi arsimor ka arritur të përfshijë një numër më të madh fëmijësh dhe të krijojë struktura mbështetëse, por nuk ka arritur ende të garantojë standarde të njëtrajtshme cilësie në të gjithë territorin.</w:t>
      </w:r>
    </w:p>
    <w:p w14:paraId="49612272" w14:textId="348D08B1" w:rsidR="00920D39" w:rsidRPr="00CB13F7" w:rsidRDefault="71A05BE9" w:rsidP="004E4604">
      <w:pPr>
        <w:spacing w:before="120" w:after="120" w:line="276" w:lineRule="auto"/>
        <w:jc w:val="both"/>
        <w:rPr>
          <w:rFonts w:eastAsia="Times New Roman"/>
          <w:lang w:eastAsia="en-US"/>
        </w:rPr>
      </w:pPr>
      <w:r w:rsidRPr="00CB13F7">
        <w:rPr>
          <w:rFonts w:eastAsia="Times New Roman"/>
          <w:lang w:eastAsia="en-US"/>
        </w:rPr>
        <w:t>Për këtë arsye, Plani</w:t>
      </w:r>
      <w:r w:rsidR="323031F5" w:rsidRPr="00CB13F7">
        <w:rPr>
          <w:rFonts w:eastAsia="Times New Roman"/>
          <w:lang w:eastAsia="en-US"/>
        </w:rPr>
        <w:t xml:space="preserve"> Kombëtar</w:t>
      </w:r>
      <w:r w:rsidRPr="00CB13F7">
        <w:rPr>
          <w:rFonts w:eastAsia="Times New Roman"/>
          <w:lang w:eastAsia="en-US"/>
        </w:rPr>
        <w:t xml:space="preserve"> i Veprimit për Personat me Aftësi të Kufizuara, 2026</w:t>
      </w:r>
      <w:r w:rsidR="6C02AC0E" w:rsidRPr="00CB13F7">
        <w:rPr>
          <w:rFonts w:eastAsia="Times New Roman"/>
          <w:lang w:eastAsia="en-US"/>
        </w:rPr>
        <w:t>-</w:t>
      </w:r>
      <w:r w:rsidRPr="00CB13F7">
        <w:rPr>
          <w:rFonts w:eastAsia="Times New Roman"/>
          <w:lang w:eastAsia="en-US"/>
        </w:rPr>
        <w:t xml:space="preserve">2030 do të fokusohet në konsolidimin e reformës dhe jo vetëm në zgjerimin e aksesit. Prioritetet do të përfshijnë institucionalizimin e bashkëpunimit ndërmjet sistemit arsimor dhe atij të mbrojtjes sociale, përfundimin e transformimit të shkollave speciale në qendra burimore funksionale, forcimin e kapaciteteve profesionale të mësuesve dhe mësuesve ndihmës, garantimin e shërbimeve mbështetëse si transporti dhe materialet didaktike, si dhe krijimin e një sistemi të plotë të monitorimit të rezultateve arsimore. </w:t>
      </w:r>
    </w:p>
    <w:p w14:paraId="2193363C" w14:textId="77777777" w:rsidR="004B03EF" w:rsidRPr="00CB13F7" w:rsidRDefault="004B03EF" w:rsidP="004E4604">
      <w:pPr>
        <w:spacing w:before="120" w:after="120" w:line="276" w:lineRule="auto"/>
        <w:jc w:val="both"/>
        <w:rPr>
          <w:rFonts w:eastAsia="Times New Roman"/>
          <w:lang w:eastAsia="en-US"/>
        </w:rPr>
      </w:pPr>
    </w:p>
    <w:p w14:paraId="61947730" w14:textId="43B31CB5" w:rsidR="00E90A3B" w:rsidRPr="00CB13F7" w:rsidRDefault="000E6121" w:rsidP="004E4604">
      <w:pPr>
        <w:spacing w:before="120" w:after="120" w:line="276" w:lineRule="auto"/>
        <w:jc w:val="both"/>
        <w:rPr>
          <w:rFonts w:eastAsia="Times New Roman"/>
          <w:b/>
          <w:bCs/>
          <w:lang w:eastAsia="en-US"/>
        </w:rPr>
      </w:pPr>
      <w:r w:rsidRPr="00CB13F7">
        <w:rPr>
          <w:rFonts w:eastAsia="Times New Roman"/>
          <w:b/>
          <w:bCs/>
          <w:lang w:eastAsia="en-US"/>
        </w:rPr>
        <w:t>3.5. Analiza</w:t>
      </w:r>
      <w:r w:rsidR="00AF3EB5" w:rsidRPr="00CB13F7">
        <w:rPr>
          <w:rFonts w:eastAsia="Times New Roman"/>
          <w:b/>
          <w:bCs/>
          <w:lang w:eastAsia="en-US"/>
        </w:rPr>
        <w:t xml:space="preserve"> e gjendjes aktuale n</w:t>
      </w:r>
      <w:r w:rsidR="003443E2" w:rsidRPr="00CB13F7">
        <w:rPr>
          <w:rFonts w:eastAsia="Times New Roman"/>
          <w:b/>
          <w:bCs/>
          <w:lang w:eastAsia="en-US"/>
        </w:rPr>
        <w:t>ë</w:t>
      </w:r>
      <w:r w:rsidR="00AF3EB5" w:rsidRPr="00CB13F7">
        <w:rPr>
          <w:rFonts w:eastAsia="Times New Roman"/>
          <w:b/>
          <w:bCs/>
          <w:lang w:eastAsia="en-US"/>
        </w:rPr>
        <w:t xml:space="preserve"> fush</w:t>
      </w:r>
      <w:r w:rsidR="003443E2" w:rsidRPr="00CB13F7">
        <w:rPr>
          <w:rFonts w:eastAsia="Times New Roman"/>
          <w:b/>
          <w:bCs/>
          <w:lang w:eastAsia="en-US"/>
        </w:rPr>
        <w:t>ë</w:t>
      </w:r>
      <w:r w:rsidR="00AF3EB5" w:rsidRPr="00CB13F7">
        <w:rPr>
          <w:rFonts w:eastAsia="Times New Roman"/>
          <w:b/>
          <w:bCs/>
          <w:lang w:eastAsia="en-US"/>
        </w:rPr>
        <w:t xml:space="preserve">n e </w:t>
      </w:r>
      <w:r w:rsidR="00DA295E" w:rsidRPr="00CB13F7">
        <w:rPr>
          <w:rFonts w:eastAsia="Times New Roman"/>
          <w:b/>
          <w:bCs/>
          <w:lang w:eastAsia="en-US"/>
        </w:rPr>
        <w:t>m</w:t>
      </w:r>
      <w:r w:rsidR="00E90A3B" w:rsidRPr="00CB13F7">
        <w:rPr>
          <w:rFonts w:eastAsia="Times New Roman"/>
          <w:b/>
          <w:bCs/>
          <w:lang w:eastAsia="en-US"/>
        </w:rPr>
        <w:t>brojtj</w:t>
      </w:r>
      <w:r w:rsidR="00AF3EB5" w:rsidRPr="00CB13F7">
        <w:rPr>
          <w:rFonts w:eastAsia="Times New Roman"/>
          <w:b/>
          <w:bCs/>
          <w:lang w:eastAsia="en-US"/>
        </w:rPr>
        <w:t>es</w:t>
      </w:r>
      <w:r w:rsidR="00E90A3B" w:rsidRPr="00CB13F7">
        <w:rPr>
          <w:rFonts w:eastAsia="Times New Roman"/>
          <w:b/>
          <w:bCs/>
          <w:lang w:eastAsia="en-US"/>
        </w:rPr>
        <w:t xml:space="preserve"> </w:t>
      </w:r>
      <w:r w:rsidR="00DA295E" w:rsidRPr="00CB13F7">
        <w:rPr>
          <w:rFonts w:eastAsia="Times New Roman"/>
          <w:b/>
          <w:bCs/>
          <w:lang w:eastAsia="en-US"/>
        </w:rPr>
        <w:t>s</w:t>
      </w:r>
      <w:r w:rsidR="00E90A3B" w:rsidRPr="00CB13F7">
        <w:rPr>
          <w:rFonts w:eastAsia="Times New Roman"/>
          <w:b/>
          <w:bCs/>
          <w:lang w:eastAsia="en-US"/>
        </w:rPr>
        <w:t>ociale</w:t>
      </w:r>
    </w:p>
    <w:p w14:paraId="17AD4455" w14:textId="60B3EE6E"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Planin Kombëtar të Veprimit për Personat me Aftësi të Kufizuara 2021</w:t>
      </w:r>
      <w:r w:rsidR="005A4334" w:rsidRPr="00CB13F7">
        <w:rPr>
          <w:rFonts w:eastAsia="Times New Roman"/>
          <w:lang w:eastAsia="en-US"/>
        </w:rPr>
        <w:t>-</w:t>
      </w:r>
      <w:r w:rsidRPr="00CB13F7">
        <w:rPr>
          <w:rFonts w:eastAsia="Times New Roman"/>
          <w:lang w:eastAsia="en-US"/>
        </w:rPr>
        <w:t>2025, fusha e mbrojtjes sociale synoi përmirësimin e cilësisë së jetës së personave me aftësi të kufizuara përmes përfitimeve dhe shërbimeve të aksesueshme, të përballueshme dhe të orientuara drejt nevojave individuale.</w:t>
      </w:r>
    </w:p>
    <w:p w14:paraId="6D2326D3" w14:textId="1D674DBC"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Monitorimi i zbatimit të këtij </w:t>
      </w:r>
      <w:r w:rsidR="6C02AC0E" w:rsidRPr="00CB13F7">
        <w:rPr>
          <w:rFonts w:eastAsia="Times New Roman"/>
          <w:lang w:eastAsia="en-US"/>
        </w:rPr>
        <w:t>Plani</w:t>
      </w:r>
      <w:r w:rsidRPr="00CB13F7">
        <w:rPr>
          <w:rFonts w:eastAsia="Times New Roman"/>
          <w:lang w:eastAsia="en-US"/>
        </w:rPr>
        <w:t>, trego</w:t>
      </w:r>
      <w:r w:rsidR="48A1BFD1" w:rsidRPr="00CB13F7">
        <w:rPr>
          <w:rFonts w:eastAsia="Times New Roman"/>
          <w:lang w:eastAsia="en-US"/>
        </w:rPr>
        <w:t>n</w:t>
      </w:r>
      <w:r w:rsidRPr="00CB13F7">
        <w:rPr>
          <w:rFonts w:eastAsia="Times New Roman"/>
          <w:lang w:eastAsia="en-US"/>
        </w:rPr>
        <w:t xml:space="preserve"> se kjo është një nga fushat ku është arritur progresi më i dukshëm strukturor, veçanërisht me konsolidimin e reformës së vlerësimit të aftësisë së kufizuar dhe zgjerimin e rrjetit të shërbimeve komunitare</w:t>
      </w:r>
      <w:r w:rsidR="710C921A" w:rsidRPr="00CB13F7">
        <w:rPr>
          <w:rFonts w:eastAsia="Times New Roman"/>
          <w:lang w:eastAsia="en-US"/>
        </w:rPr>
        <w:t>.</w:t>
      </w:r>
      <w:r w:rsidRPr="00CB13F7">
        <w:rPr>
          <w:rFonts w:eastAsia="Times New Roman"/>
          <w:lang w:eastAsia="en-US"/>
        </w:rPr>
        <w:t xml:space="preserve"> </w:t>
      </w:r>
      <w:r w:rsidR="02F7DC8F" w:rsidRPr="00CB13F7">
        <w:rPr>
          <w:rFonts w:eastAsia="Times New Roman"/>
          <w:lang w:eastAsia="en-US"/>
        </w:rPr>
        <w:t>M</w:t>
      </w:r>
      <w:r w:rsidR="6C02AC0E" w:rsidRPr="00CB13F7">
        <w:rPr>
          <w:rFonts w:eastAsia="Times New Roman"/>
          <w:lang w:eastAsia="en-US"/>
        </w:rPr>
        <w:t xml:space="preserve">egjithatë </w:t>
      </w:r>
      <w:r w:rsidRPr="00CB13F7">
        <w:rPr>
          <w:rFonts w:eastAsia="Times New Roman"/>
          <w:lang w:eastAsia="en-US"/>
        </w:rPr>
        <w:t>sistemi mbetet ende në një fazë tranzicioni nga përfitimet financiare drejt një modeli të plotë të kujdesit social dhe jetesës së pavarur</w:t>
      </w:r>
      <w:r w:rsidR="323BD689" w:rsidRPr="00CB13F7">
        <w:rPr>
          <w:rFonts w:eastAsia="Times New Roman"/>
          <w:lang w:eastAsia="en-US"/>
        </w:rPr>
        <w:t xml:space="preserve">  q</w:t>
      </w:r>
      <w:r w:rsidR="004B03EF" w:rsidRPr="00CB13F7">
        <w:rPr>
          <w:rFonts w:eastAsia="Times New Roman"/>
          <w:lang w:eastAsia="en-US"/>
        </w:rPr>
        <w:t>ë</w:t>
      </w:r>
      <w:r w:rsidR="323BD689" w:rsidRPr="00CB13F7">
        <w:rPr>
          <w:rFonts w:eastAsia="Times New Roman"/>
          <w:lang w:eastAsia="en-US"/>
        </w:rPr>
        <w:t xml:space="preserve"> nd</w:t>
      </w:r>
      <w:r w:rsidR="004B03EF" w:rsidRPr="00CB13F7">
        <w:rPr>
          <w:rFonts w:eastAsia="Times New Roman"/>
          <w:lang w:eastAsia="en-US"/>
        </w:rPr>
        <w:t>ë</w:t>
      </w:r>
      <w:r w:rsidR="323BD689" w:rsidRPr="00CB13F7">
        <w:rPr>
          <w:rFonts w:eastAsia="Times New Roman"/>
          <w:lang w:eastAsia="en-US"/>
        </w:rPr>
        <w:t>rthur p</w:t>
      </w:r>
      <w:r w:rsidR="004B03EF" w:rsidRPr="00CB13F7">
        <w:rPr>
          <w:rFonts w:eastAsia="Times New Roman"/>
          <w:lang w:eastAsia="en-US"/>
        </w:rPr>
        <w:t>ë</w:t>
      </w:r>
      <w:r w:rsidR="323BD689" w:rsidRPr="00CB13F7">
        <w:rPr>
          <w:rFonts w:eastAsia="Times New Roman"/>
          <w:lang w:eastAsia="en-US"/>
        </w:rPr>
        <w:t>rfitimet n</w:t>
      </w:r>
      <w:r w:rsidR="004B03EF" w:rsidRPr="00CB13F7">
        <w:rPr>
          <w:rFonts w:eastAsia="Times New Roman"/>
          <w:lang w:eastAsia="en-US"/>
        </w:rPr>
        <w:t>ë</w:t>
      </w:r>
      <w:r w:rsidR="323BD689" w:rsidRPr="00CB13F7">
        <w:rPr>
          <w:rFonts w:eastAsia="Times New Roman"/>
          <w:lang w:eastAsia="en-US"/>
        </w:rPr>
        <w:t xml:space="preserve"> para me sh</w:t>
      </w:r>
      <w:r w:rsidR="004B03EF" w:rsidRPr="00CB13F7">
        <w:rPr>
          <w:rFonts w:eastAsia="Times New Roman"/>
          <w:lang w:eastAsia="en-US"/>
        </w:rPr>
        <w:t>ë</w:t>
      </w:r>
      <w:r w:rsidR="323BD689" w:rsidRPr="00CB13F7">
        <w:rPr>
          <w:rFonts w:eastAsia="Times New Roman"/>
          <w:lang w:eastAsia="en-US"/>
        </w:rPr>
        <w:t>rbimet e integruara</w:t>
      </w:r>
      <w:r w:rsidRPr="00CB13F7">
        <w:rPr>
          <w:rFonts w:eastAsia="Times New Roman"/>
          <w:lang w:eastAsia="en-US"/>
        </w:rPr>
        <w:t>.</w:t>
      </w:r>
    </w:p>
    <w:p w14:paraId="682B2530" w14:textId="2C0599DC" w:rsidR="00E90A3B" w:rsidRPr="00CB13F7" w:rsidRDefault="71A05BE9" w:rsidP="661F9D2E">
      <w:pPr>
        <w:spacing w:before="120" w:after="120" w:line="276" w:lineRule="auto"/>
        <w:jc w:val="both"/>
        <w:rPr>
          <w:rFonts w:eastAsia="Times New Roman"/>
        </w:rPr>
      </w:pPr>
      <w:r w:rsidRPr="00CB13F7">
        <w:rPr>
          <w:rFonts w:eastAsia="Times New Roman"/>
          <w:lang w:eastAsia="en-US"/>
        </w:rPr>
        <w:t xml:space="preserve">Një nga </w:t>
      </w:r>
      <w:r w:rsidR="63E53D6B" w:rsidRPr="00CB13F7">
        <w:rPr>
          <w:rFonts w:eastAsia="Times New Roman"/>
          <w:lang w:eastAsia="en-US"/>
        </w:rPr>
        <w:t>zhvillimet kryesore n</w:t>
      </w:r>
      <w:r w:rsidR="004B03EF" w:rsidRPr="00CB13F7">
        <w:rPr>
          <w:rFonts w:eastAsia="Times New Roman"/>
          <w:lang w:eastAsia="en-US"/>
        </w:rPr>
        <w:t>ë</w:t>
      </w:r>
      <w:r w:rsidR="63E53D6B" w:rsidRPr="00CB13F7">
        <w:rPr>
          <w:rFonts w:eastAsia="Times New Roman"/>
          <w:lang w:eastAsia="en-US"/>
        </w:rPr>
        <w:t xml:space="preserve"> k</w:t>
      </w:r>
      <w:r w:rsidR="004B03EF" w:rsidRPr="00CB13F7">
        <w:rPr>
          <w:rFonts w:eastAsia="Times New Roman"/>
          <w:lang w:eastAsia="en-US"/>
        </w:rPr>
        <w:t>ë</w:t>
      </w:r>
      <w:r w:rsidR="63E53D6B" w:rsidRPr="00CB13F7">
        <w:rPr>
          <w:rFonts w:eastAsia="Times New Roman"/>
          <w:lang w:eastAsia="en-US"/>
        </w:rPr>
        <w:t>t</w:t>
      </w:r>
      <w:r w:rsidR="004B03EF" w:rsidRPr="00CB13F7">
        <w:rPr>
          <w:rFonts w:eastAsia="Times New Roman"/>
          <w:lang w:eastAsia="en-US"/>
        </w:rPr>
        <w:t>ë</w:t>
      </w:r>
      <w:r w:rsidR="63E53D6B" w:rsidRPr="00CB13F7">
        <w:rPr>
          <w:rFonts w:eastAsia="Times New Roman"/>
          <w:lang w:eastAsia="en-US"/>
        </w:rPr>
        <w:t xml:space="preserve"> drejtim</w:t>
      </w:r>
      <w:r w:rsidRPr="00CB13F7">
        <w:rPr>
          <w:rFonts w:eastAsia="Times New Roman"/>
          <w:lang w:eastAsia="en-US"/>
        </w:rPr>
        <w:t xml:space="preserve"> është konsolidimi në shkallë kombëtare i reformës së vlerësimit bio-psiko-social. Reforma tashmë është shtrirë në të gjithë territorin e vendit, përmes funksionimit të 37 komisioneve të vlerësimit, të shpërndara sipas popullsisë dhe numrit të përfituesve. Gjatë kësaj periudhe është investuar në rritjen e kapaciteteve profesionale.</w:t>
      </w:r>
      <w:r w:rsidR="3A581716" w:rsidRPr="00CB13F7">
        <w:rPr>
          <w:rFonts w:eastAsia="Times New Roman"/>
          <w:lang w:eastAsia="en-US"/>
        </w:rPr>
        <w:t xml:space="preserve"> </w:t>
      </w:r>
      <w:r w:rsidRPr="00CB13F7">
        <w:rPr>
          <w:rFonts w:eastAsia="Times New Roman"/>
          <w:lang w:eastAsia="en-US"/>
        </w:rPr>
        <w:t>Në vitin 2024 janë trajnuar 123 profesionistë të komisioneve (mjekë, punonjës socialë dhe operatorë), s</w:t>
      </w:r>
      <w:r w:rsidR="569477F1" w:rsidRPr="00CB13F7">
        <w:rPr>
          <w:rFonts w:eastAsia="Times New Roman"/>
          <w:lang w:eastAsia="en-US"/>
        </w:rPr>
        <w:t xml:space="preserve"> </w:t>
      </w:r>
      <w:r w:rsidRPr="00CB13F7">
        <w:rPr>
          <w:rFonts w:eastAsia="Times New Roman"/>
          <w:lang w:eastAsia="en-US"/>
        </w:rPr>
        <w:t xml:space="preserve">i </w:t>
      </w:r>
      <w:r w:rsidRPr="00CB13F7">
        <w:rPr>
          <w:rFonts w:eastAsia="Times New Roman"/>
          <w:lang w:eastAsia="en-US"/>
        </w:rPr>
        <w:lastRenderedPageBreak/>
        <w:t xml:space="preserve">dhe stafe të shërbimeve sociale dhe të kujdesit shëndetësor, ndërsa trajnimet vijuan edhe në vitin 2025.  </w:t>
      </w:r>
    </w:p>
    <w:p w14:paraId="78956476" w14:textId="01622878" w:rsidR="00E90A3B" w:rsidRPr="00CB13F7" w:rsidRDefault="16CF28C5" w:rsidP="661F9D2E">
      <w:pPr>
        <w:spacing w:before="120" w:after="120" w:line="276" w:lineRule="auto"/>
        <w:jc w:val="both"/>
        <w:rPr>
          <w:rFonts w:eastAsia="Times New Roman"/>
        </w:rPr>
      </w:pPr>
      <w:r w:rsidRPr="00CB13F7">
        <w:rPr>
          <w:rFonts w:eastAsia="Times New Roman"/>
        </w:rPr>
        <w:t xml:space="preserve">Reforma ka mundësuar </w:t>
      </w:r>
      <w:r w:rsidR="5688524C" w:rsidRPr="00CB13F7">
        <w:rPr>
          <w:rFonts w:eastAsia="Times New Roman"/>
        </w:rPr>
        <w:t xml:space="preserve">gjithashtu </w:t>
      </w:r>
      <w:r w:rsidRPr="00CB13F7">
        <w:rPr>
          <w:rFonts w:eastAsia="Times New Roman"/>
        </w:rPr>
        <w:t>zgjerimin e skemës së mbështetjes, duke përfshirë në procesin e vlerësimit kategori dhe tipologji të reja t</w:t>
      </w:r>
      <w:r w:rsidR="004B03EF" w:rsidRPr="00CB13F7">
        <w:rPr>
          <w:rFonts w:eastAsia="Times New Roman"/>
        </w:rPr>
        <w:t>ë</w:t>
      </w:r>
      <w:r w:rsidRPr="00CB13F7">
        <w:rPr>
          <w:rFonts w:eastAsia="Times New Roman"/>
        </w:rPr>
        <w:t xml:space="preserve"> aft</w:t>
      </w:r>
      <w:r w:rsidR="004B03EF" w:rsidRPr="00CB13F7">
        <w:rPr>
          <w:rFonts w:eastAsia="Times New Roman"/>
        </w:rPr>
        <w:t>ë</w:t>
      </w:r>
      <w:r w:rsidRPr="00CB13F7">
        <w:rPr>
          <w:rFonts w:eastAsia="Times New Roman"/>
        </w:rPr>
        <w:t>sis</w:t>
      </w:r>
      <w:r w:rsidR="004B03EF" w:rsidRPr="00CB13F7">
        <w:rPr>
          <w:rFonts w:eastAsia="Times New Roman"/>
        </w:rPr>
        <w:t>ë</w:t>
      </w:r>
      <w:r w:rsidRPr="00CB13F7">
        <w:rPr>
          <w:rFonts w:eastAsia="Times New Roman"/>
        </w:rPr>
        <w:t xml:space="preserve"> s</w:t>
      </w:r>
      <w:r w:rsidR="004B03EF" w:rsidRPr="00CB13F7">
        <w:rPr>
          <w:rFonts w:eastAsia="Times New Roman"/>
        </w:rPr>
        <w:t>ë</w:t>
      </w:r>
      <w:r w:rsidRPr="00CB13F7">
        <w:rPr>
          <w:rFonts w:eastAsia="Times New Roman"/>
        </w:rPr>
        <w:t xml:space="preserve"> kufizuar që më parë nuk trajtoheshin nga sistemi, si psh., </w:t>
      </w:r>
      <w:r w:rsidR="62AE78CC" w:rsidRPr="00CB13F7">
        <w:rPr>
          <w:rFonts w:eastAsia="Times New Roman"/>
        </w:rPr>
        <w:t>personat q</w:t>
      </w:r>
      <w:r w:rsidR="004B03EF" w:rsidRPr="00CB13F7">
        <w:rPr>
          <w:rFonts w:eastAsia="Times New Roman"/>
        </w:rPr>
        <w:t>ë</w:t>
      </w:r>
      <w:r w:rsidR="62AE78CC" w:rsidRPr="00CB13F7">
        <w:rPr>
          <w:rFonts w:eastAsia="Times New Roman"/>
        </w:rPr>
        <w:t xml:space="preserve"> nuk d</w:t>
      </w:r>
      <w:r w:rsidR="004B03EF" w:rsidRPr="00CB13F7">
        <w:rPr>
          <w:rFonts w:eastAsia="Times New Roman"/>
        </w:rPr>
        <w:t>ë</w:t>
      </w:r>
      <w:r w:rsidR="62AE78CC" w:rsidRPr="00CB13F7">
        <w:rPr>
          <w:rFonts w:eastAsia="Times New Roman"/>
        </w:rPr>
        <w:t>gjojn</w:t>
      </w:r>
      <w:r w:rsidR="004B03EF" w:rsidRPr="00CB13F7">
        <w:rPr>
          <w:rFonts w:eastAsia="Times New Roman"/>
        </w:rPr>
        <w:t>ë</w:t>
      </w:r>
      <w:r w:rsidR="62AE78CC" w:rsidRPr="00CB13F7">
        <w:rPr>
          <w:rFonts w:eastAsia="Times New Roman"/>
        </w:rPr>
        <w:t xml:space="preserve"> mbi 21 vjeç, m</w:t>
      </w:r>
      <w:r w:rsidR="004B03EF" w:rsidRPr="00CB13F7">
        <w:rPr>
          <w:rFonts w:eastAsia="Times New Roman"/>
        </w:rPr>
        <w:t>ë</w:t>
      </w:r>
      <w:r w:rsidR="62AE78CC" w:rsidRPr="00CB13F7">
        <w:rPr>
          <w:rFonts w:eastAsia="Times New Roman"/>
        </w:rPr>
        <w:t xml:space="preserve"> shum</w:t>
      </w:r>
      <w:r w:rsidR="004B03EF" w:rsidRPr="00CB13F7">
        <w:rPr>
          <w:rFonts w:eastAsia="Times New Roman"/>
        </w:rPr>
        <w:t>ë</w:t>
      </w:r>
      <w:r w:rsidR="62AE78CC" w:rsidRPr="00CB13F7">
        <w:rPr>
          <w:rFonts w:eastAsia="Times New Roman"/>
        </w:rPr>
        <w:t xml:space="preserve"> raste me probleme t</w:t>
      </w:r>
      <w:r w:rsidR="004B03EF" w:rsidRPr="00CB13F7">
        <w:rPr>
          <w:rFonts w:eastAsia="Times New Roman"/>
        </w:rPr>
        <w:t>ë</w:t>
      </w:r>
      <w:r w:rsidR="62AE78CC" w:rsidRPr="00CB13F7">
        <w:rPr>
          <w:rFonts w:eastAsia="Times New Roman"/>
        </w:rPr>
        <w:t xml:space="preserve"> sh</w:t>
      </w:r>
      <w:r w:rsidR="004B03EF" w:rsidRPr="00CB13F7">
        <w:rPr>
          <w:rFonts w:eastAsia="Times New Roman"/>
        </w:rPr>
        <w:t>ë</w:t>
      </w:r>
      <w:r w:rsidR="62AE78CC" w:rsidRPr="00CB13F7">
        <w:rPr>
          <w:rFonts w:eastAsia="Times New Roman"/>
        </w:rPr>
        <w:t>ndetit mendor, etj.</w:t>
      </w:r>
    </w:p>
    <w:p w14:paraId="678AA6ED" w14:textId="3A959945"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Përfitimet monetare </w:t>
      </w:r>
      <w:r w:rsidR="10A7D79D" w:rsidRPr="00CB13F7">
        <w:rPr>
          <w:rFonts w:eastAsia="Times New Roman"/>
        </w:rPr>
        <w:t xml:space="preserve"> vijojnë të përbëjnë një komponent të rëndësishëm të mbështetjes sociale për personat me aftësi të kufizuara</w:t>
      </w:r>
      <w:r w:rsidRPr="00CB13F7">
        <w:rPr>
          <w:rFonts w:eastAsia="Times New Roman"/>
          <w:lang w:eastAsia="en-US"/>
        </w:rPr>
        <w:t xml:space="preserve">. Numri i personave që marrin pagesë për aftësinë e kufizuar u rrit nga 73,559 persona në vitin 2024 në </w:t>
      </w:r>
      <w:r w:rsidR="6C159014" w:rsidRPr="00CB13F7">
        <w:rPr>
          <w:rFonts w:eastAsia="Times New Roman"/>
          <w:lang w:eastAsia="en-US"/>
        </w:rPr>
        <w:t>76,</w:t>
      </w:r>
      <w:r w:rsidR="72CEEABB" w:rsidRPr="00CB13F7">
        <w:rPr>
          <w:rFonts w:eastAsia="Times New Roman"/>
          <w:lang w:eastAsia="en-US"/>
        </w:rPr>
        <w:t>586</w:t>
      </w:r>
      <w:r w:rsidRPr="00CB13F7">
        <w:rPr>
          <w:rFonts w:eastAsia="Times New Roman"/>
          <w:lang w:eastAsia="en-US"/>
        </w:rPr>
        <w:t xml:space="preserve"> në vitin 2025.</w:t>
      </w:r>
      <w:r w:rsidR="6309BE2C" w:rsidRPr="00CB13F7">
        <w:rPr>
          <w:rFonts w:eastAsia="Times New Roman"/>
          <w:lang w:eastAsia="en-US"/>
        </w:rPr>
        <w:t xml:space="preserve"> </w:t>
      </w:r>
      <w:r w:rsidR="1F05FBAF" w:rsidRPr="00CB13F7">
        <w:rPr>
          <w:rFonts w:eastAsia="Times New Roman"/>
          <w:lang w:eastAsia="en-US"/>
        </w:rPr>
        <w:t>Jan</w:t>
      </w:r>
      <w:r w:rsidR="004B03EF" w:rsidRPr="00CB13F7">
        <w:rPr>
          <w:rFonts w:eastAsia="Times New Roman"/>
          <w:lang w:eastAsia="en-US"/>
        </w:rPr>
        <w:t>ë</w:t>
      </w:r>
      <w:r w:rsidR="1F05FBAF" w:rsidRPr="00CB13F7">
        <w:rPr>
          <w:rFonts w:eastAsia="Times New Roman"/>
          <w:lang w:eastAsia="en-US"/>
        </w:rPr>
        <w:t xml:space="preserve"> p</w:t>
      </w:r>
      <w:r w:rsidR="004B03EF" w:rsidRPr="00CB13F7">
        <w:rPr>
          <w:rFonts w:eastAsia="Times New Roman"/>
          <w:lang w:eastAsia="en-US"/>
        </w:rPr>
        <w:t>ë</w:t>
      </w:r>
      <w:r w:rsidR="1F05FBAF" w:rsidRPr="00CB13F7">
        <w:rPr>
          <w:rFonts w:eastAsia="Times New Roman"/>
          <w:lang w:eastAsia="en-US"/>
        </w:rPr>
        <w:t>rfshir</w:t>
      </w:r>
      <w:r w:rsidR="004B03EF" w:rsidRPr="00CB13F7">
        <w:rPr>
          <w:rFonts w:eastAsia="Times New Roman"/>
          <w:lang w:eastAsia="en-US"/>
        </w:rPr>
        <w:t>ë</w:t>
      </w:r>
      <w:r w:rsidR="1F05FBAF" w:rsidRPr="00CB13F7">
        <w:rPr>
          <w:rFonts w:eastAsia="Times New Roman"/>
          <w:lang w:eastAsia="en-US"/>
        </w:rPr>
        <w:t xml:space="preserve"> n</w:t>
      </w:r>
      <w:r w:rsidR="004B03EF" w:rsidRPr="00CB13F7">
        <w:rPr>
          <w:rFonts w:eastAsia="Times New Roman"/>
          <w:lang w:eastAsia="en-US"/>
        </w:rPr>
        <w:t>ë</w:t>
      </w:r>
      <w:r w:rsidR="1F05FBAF" w:rsidRPr="00CB13F7">
        <w:rPr>
          <w:rFonts w:eastAsia="Times New Roman"/>
          <w:lang w:eastAsia="en-US"/>
        </w:rPr>
        <w:t xml:space="preserve"> p</w:t>
      </w:r>
      <w:r w:rsidR="004B03EF" w:rsidRPr="00CB13F7">
        <w:rPr>
          <w:rFonts w:eastAsia="Times New Roman"/>
          <w:lang w:eastAsia="en-US"/>
        </w:rPr>
        <w:t>ë</w:t>
      </w:r>
      <w:r w:rsidR="1F05FBAF" w:rsidRPr="00CB13F7">
        <w:rPr>
          <w:rFonts w:eastAsia="Times New Roman"/>
          <w:lang w:eastAsia="en-US"/>
        </w:rPr>
        <w:t>rfitimin e fishave t</w:t>
      </w:r>
      <w:r w:rsidR="004B03EF" w:rsidRPr="00CB13F7">
        <w:rPr>
          <w:rFonts w:eastAsia="Times New Roman"/>
          <w:lang w:eastAsia="en-US"/>
        </w:rPr>
        <w:t>ë</w:t>
      </w:r>
      <w:r w:rsidR="1F05FBAF" w:rsidRPr="00CB13F7">
        <w:rPr>
          <w:rFonts w:eastAsia="Times New Roman"/>
          <w:lang w:eastAsia="en-US"/>
        </w:rPr>
        <w:t xml:space="preserve"> </w:t>
      </w:r>
      <w:r w:rsidR="182E60D5" w:rsidRPr="00CB13F7">
        <w:rPr>
          <w:rFonts w:eastAsia="Times New Roman"/>
          <w:lang w:eastAsia="en-US"/>
        </w:rPr>
        <w:t>diabetit falas t</w:t>
      </w:r>
      <w:r w:rsidR="004B03EF" w:rsidRPr="00CB13F7">
        <w:rPr>
          <w:rFonts w:eastAsia="Times New Roman"/>
          <w:lang w:eastAsia="en-US"/>
        </w:rPr>
        <w:t>ë</w:t>
      </w:r>
      <w:r w:rsidR="182E60D5" w:rsidRPr="00CB13F7">
        <w:rPr>
          <w:rFonts w:eastAsia="Times New Roman"/>
          <w:lang w:eastAsia="en-US"/>
        </w:rPr>
        <w:t xml:space="preserve"> gjith</w:t>
      </w:r>
      <w:r w:rsidR="004B03EF" w:rsidRPr="00CB13F7">
        <w:rPr>
          <w:rFonts w:eastAsia="Times New Roman"/>
          <w:lang w:eastAsia="en-US"/>
        </w:rPr>
        <w:t>ë</w:t>
      </w:r>
      <w:r w:rsidR="182E60D5" w:rsidRPr="00CB13F7">
        <w:rPr>
          <w:rFonts w:eastAsia="Times New Roman"/>
          <w:lang w:eastAsia="en-US"/>
        </w:rPr>
        <w:t xml:space="preserve"> personat me aft</w:t>
      </w:r>
      <w:r w:rsidR="004B03EF" w:rsidRPr="00CB13F7">
        <w:rPr>
          <w:rFonts w:eastAsia="Times New Roman"/>
          <w:lang w:eastAsia="en-US"/>
        </w:rPr>
        <w:t>ë</w:t>
      </w:r>
      <w:r w:rsidR="182E60D5" w:rsidRPr="00CB13F7">
        <w:rPr>
          <w:rFonts w:eastAsia="Times New Roman"/>
          <w:lang w:eastAsia="en-US"/>
        </w:rPr>
        <w:t>si t</w:t>
      </w:r>
      <w:r w:rsidR="004B03EF" w:rsidRPr="00CB13F7">
        <w:rPr>
          <w:rFonts w:eastAsia="Times New Roman"/>
          <w:lang w:eastAsia="en-US"/>
        </w:rPr>
        <w:t>ë</w:t>
      </w:r>
      <w:r w:rsidR="182E60D5" w:rsidRPr="00CB13F7">
        <w:rPr>
          <w:rFonts w:eastAsia="Times New Roman"/>
          <w:lang w:eastAsia="en-US"/>
        </w:rPr>
        <w:t xml:space="preserve"> kufizuar </w:t>
      </w:r>
      <w:r w:rsidR="3A581716" w:rsidRPr="00CB13F7">
        <w:rPr>
          <w:rFonts w:eastAsia="Times New Roman"/>
          <w:lang w:eastAsia="en-US"/>
        </w:rPr>
        <w:t xml:space="preserve">Po ashtu, është rishikuar </w:t>
      </w:r>
      <w:r w:rsidR="25E6AF11" w:rsidRPr="00CB13F7">
        <w:rPr>
          <w:rFonts w:eastAsia="Times New Roman"/>
          <w:lang w:eastAsia="en-US"/>
        </w:rPr>
        <w:t>pagesa mujore p</w:t>
      </w:r>
      <w:r w:rsidR="004B03EF" w:rsidRPr="00CB13F7">
        <w:rPr>
          <w:rFonts w:eastAsia="Times New Roman"/>
          <w:lang w:eastAsia="en-US"/>
        </w:rPr>
        <w:t>ë</w:t>
      </w:r>
      <w:r w:rsidR="25E6AF11" w:rsidRPr="00CB13F7">
        <w:rPr>
          <w:rFonts w:eastAsia="Times New Roman"/>
          <w:lang w:eastAsia="en-US"/>
        </w:rPr>
        <w:t xml:space="preserve">r mbulimin e </w:t>
      </w:r>
      <w:r w:rsidR="3A581716" w:rsidRPr="00CB13F7">
        <w:rPr>
          <w:rFonts w:eastAsia="Times New Roman"/>
          <w:lang w:eastAsia="en-US"/>
        </w:rPr>
        <w:t xml:space="preserve"> paketës higj</w:t>
      </w:r>
      <w:r w:rsidR="326938AB" w:rsidRPr="00CB13F7">
        <w:rPr>
          <w:rFonts w:eastAsia="Times New Roman"/>
          <w:lang w:eastAsia="en-US"/>
        </w:rPr>
        <w:t>i</w:t>
      </w:r>
      <w:r w:rsidR="3A581716" w:rsidRPr="00CB13F7">
        <w:rPr>
          <w:rFonts w:eastAsia="Times New Roman"/>
          <w:lang w:eastAsia="en-US"/>
        </w:rPr>
        <w:t>eno-sanitare, duke u rritur me 4,000 lekë dhe duke u indeksuar çdo vit</w:t>
      </w:r>
      <w:r w:rsidR="470A5D83" w:rsidRPr="00CB13F7">
        <w:rPr>
          <w:rFonts w:eastAsia="Times New Roman"/>
          <w:lang w:eastAsia="en-US"/>
        </w:rPr>
        <w:t xml:space="preserve"> n</w:t>
      </w:r>
      <w:r w:rsidR="004B03EF" w:rsidRPr="00CB13F7">
        <w:rPr>
          <w:rFonts w:eastAsia="Times New Roman"/>
          <w:lang w:eastAsia="en-US"/>
        </w:rPr>
        <w:t>ë</w:t>
      </w:r>
      <w:r w:rsidR="470A5D83" w:rsidRPr="00CB13F7">
        <w:rPr>
          <w:rFonts w:eastAsia="Times New Roman"/>
          <w:lang w:eastAsia="en-US"/>
        </w:rPr>
        <w:t xml:space="preserve"> baz</w:t>
      </w:r>
      <w:r w:rsidR="004B03EF" w:rsidRPr="00CB13F7">
        <w:rPr>
          <w:rFonts w:eastAsia="Times New Roman"/>
          <w:lang w:eastAsia="en-US"/>
        </w:rPr>
        <w:t>ë</w:t>
      </w:r>
      <w:r w:rsidR="470A5D83" w:rsidRPr="00CB13F7">
        <w:rPr>
          <w:rFonts w:eastAsia="Times New Roman"/>
          <w:lang w:eastAsia="en-US"/>
        </w:rPr>
        <w:t xml:space="preserve"> t</w:t>
      </w:r>
      <w:r w:rsidR="004B03EF" w:rsidRPr="00CB13F7">
        <w:rPr>
          <w:rFonts w:eastAsia="Times New Roman"/>
          <w:lang w:eastAsia="en-US"/>
        </w:rPr>
        <w:t>ë</w:t>
      </w:r>
      <w:r w:rsidR="470A5D83" w:rsidRPr="00CB13F7">
        <w:rPr>
          <w:rFonts w:eastAsia="Times New Roman"/>
          <w:lang w:eastAsia="en-US"/>
        </w:rPr>
        <w:t xml:space="preserve"> indeksit t</w:t>
      </w:r>
      <w:r w:rsidR="004B03EF" w:rsidRPr="00CB13F7">
        <w:rPr>
          <w:rFonts w:eastAsia="Times New Roman"/>
          <w:lang w:eastAsia="en-US"/>
        </w:rPr>
        <w:t>ë</w:t>
      </w:r>
      <w:r w:rsidR="470A5D83" w:rsidRPr="00CB13F7">
        <w:rPr>
          <w:rFonts w:eastAsia="Times New Roman"/>
          <w:lang w:eastAsia="en-US"/>
        </w:rPr>
        <w:t xml:space="preserve"> çmimeve t</w:t>
      </w:r>
      <w:r w:rsidR="004B03EF" w:rsidRPr="00CB13F7">
        <w:rPr>
          <w:rFonts w:eastAsia="Times New Roman"/>
          <w:lang w:eastAsia="en-US"/>
        </w:rPr>
        <w:t>ë</w:t>
      </w:r>
      <w:r w:rsidR="470A5D83" w:rsidRPr="00CB13F7">
        <w:rPr>
          <w:rFonts w:eastAsia="Times New Roman"/>
          <w:lang w:eastAsia="en-US"/>
        </w:rPr>
        <w:t xml:space="preserve"> konsumit</w:t>
      </w:r>
      <w:r w:rsidR="3A581716" w:rsidRPr="00CB13F7">
        <w:rPr>
          <w:rFonts w:eastAsia="Times New Roman"/>
          <w:lang w:eastAsia="en-US"/>
        </w:rPr>
        <w:t xml:space="preserve">. </w:t>
      </w:r>
      <w:r w:rsidRPr="00CB13F7">
        <w:rPr>
          <w:rFonts w:eastAsia="Times New Roman"/>
          <w:lang w:eastAsia="en-US"/>
        </w:rPr>
        <w:t>Megjithatë, ende nuk është realizuar një analizë e plotë për përshtatjen e kësaj pakete sipas nevojave individuale</w:t>
      </w:r>
      <w:r w:rsidR="21FD10CC" w:rsidRPr="00CB13F7">
        <w:rPr>
          <w:rFonts w:eastAsia="Times New Roman"/>
          <w:lang w:eastAsia="en-US"/>
        </w:rPr>
        <w:t>.</w:t>
      </w:r>
      <w:r w:rsidRPr="00CB13F7">
        <w:rPr>
          <w:rFonts w:eastAsia="Times New Roman"/>
          <w:lang w:eastAsia="en-US"/>
        </w:rPr>
        <w:t xml:space="preserve"> Nëpërmjet Fondit Social janë ngritur 39 shërbime të dedikuara për personat me aftësi të kufizuara, nga të cilat përfitojnë rreth 11,000 persona. Këto përfshijnë 18 shërbime lëvizëse me ekipe </w:t>
      </w:r>
      <w:r w:rsidR="0C5B1CB2" w:rsidRPr="00CB13F7">
        <w:rPr>
          <w:rFonts w:eastAsia="Times New Roman"/>
          <w:lang w:eastAsia="en-US"/>
        </w:rPr>
        <w:t>shumëdisiplinore</w:t>
      </w:r>
      <w:r w:rsidR="39819314" w:rsidRPr="00CB13F7">
        <w:rPr>
          <w:rFonts w:eastAsia="Times New Roman"/>
          <w:lang w:eastAsia="en-US"/>
        </w:rPr>
        <w:t xml:space="preserve">, </w:t>
      </w:r>
      <w:r w:rsidRPr="00CB13F7">
        <w:rPr>
          <w:rFonts w:eastAsia="Times New Roman"/>
          <w:lang w:eastAsia="en-US"/>
        </w:rPr>
        <w:t>që ofrojnë kujdes në familje, 20 qendra ditore rehabilituese dhe një shërbim të specializuar për mjete ndihmëse</w:t>
      </w:r>
      <w:r w:rsidR="67D89939" w:rsidRPr="00CB13F7">
        <w:rPr>
          <w:rFonts w:eastAsia="Times New Roman"/>
          <w:lang w:eastAsia="en-US"/>
        </w:rPr>
        <w:t>,</w:t>
      </w:r>
      <w:r w:rsidRPr="00CB13F7">
        <w:rPr>
          <w:rFonts w:eastAsia="Times New Roman"/>
          <w:lang w:eastAsia="en-US"/>
        </w:rPr>
        <w:t xml:space="preserve"> që ofron karrige me rrota dhe pajisje mbështetëse çdo vit</w:t>
      </w:r>
      <w:r w:rsidR="44D9778D" w:rsidRPr="00CB13F7">
        <w:rPr>
          <w:rFonts w:eastAsia="Times New Roman"/>
          <w:lang w:eastAsia="en-US"/>
        </w:rPr>
        <w:t>, nga ku mbi 650 persona përfitojnë karrige me rrota të përshtatura sipas nevojave individuale</w:t>
      </w:r>
      <w:r w:rsidRPr="00CB13F7">
        <w:rPr>
          <w:rFonts w:eastAsia="Times New Roman"/>
          <w:lang w:eastAsia="en-US"/>
        </w:rPr>
        <w:t>. Shërbimet lëvizëse kanë rezultuar ndër më efektivet për të arritur përfituesit në komunitet.</w:t>
      </w:r>
      <w:r w:rsidR="00E4350C" w:rsidRPr="00CB13F7">
        <w:rPr>
          <w:rFonts w:eastAsia="Times New Roman"/>
          <w:lang w:eastAsia="en-US"/>
        </w:rPr>
        <w:t xml:space="preserve"> </w:t>
      </w:r>
      <w:r w:rsidRPr="00CB13F7">
        <w:rPr>
          <w:rFonts w:eastAsia="Times New Roman"/>
          <w:lang w:eastAsia="en-US"/>
        </w:rPr>
        <w:t>Megjithatë, shërbimet mbeten të pabarabarta dhe të fragmentuara. Personat mbi 16 vjeç kanë më pak akses në kujdes social dhe të rriturit përbëjnë rreth një të tretën e përfituesve. Ndërkohë, ende nuk ekziston një cikël i plotë i gjurmimit të shërbimit. Sistemi i të dhënave nuk mundëson të dihet</w:t>
      </w:r>
      <w:r w:rsidR="38FDF46E" w:rsidRPr="00CB13F7">
        <w:rPr>
          <w:rFonts w:eastAsia="Times New Roman"/>
          <w:lang w:eastAsia="en-US"/>
        </w:rPr>
        <w:t>,</w:t>
      </w:r>
      <w:r w:rsidRPr="00CB13F7">
        <w:rPr>
          <w:rFonts w:eastAsia="Times New Roman"/>
          <w:lang w:eastAsia="en-US"/>
        </w:rPr>
        <w:t xml:space="preserve"> nëse personat e referuar nga komisionet e vlerësimit e marrin realisht shërbimin. Edhe pse ekziston regjistri elektronik i aftësisë së kufizuar dhe realizohet referimi drejt shërbimeve, mungon monitorimi i</w:t>
      </w:r>
      <w:r w:rsidR="00E4350C" w:rsidRPr="00CB13F7">
        <w:rPr>
          <w:rFonts w:eastAsia="Times New Roman"/>
          <w:lang w:eastAsia="en-US"/>
        </w:rPr>
        <w:t xml:space="preserve"> </w:t>
      </w:r>
      <w:r w:rsidRPr="00CB13F7">
        <w:rPr>
          <w:rFonts w:eastAsia="Times New Roman"/>
          <w:lang w:eastAsia="en-US"/>
        </w:rPr>
        <w:t>impaktit në jetën e përfituesit.</w:t>
      </w:r>
    </w:p>
    <w:p w14:paraId="4D32CB42" w14:textId="64E5C6C9"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Një tjetër zhvillim i rëndësishëm është avancimi i deinstitucionalizimit. Numri i personave me aftësi të kufizuara</w:t>
      </w:r>
      <w:r w:rsidR="190D9969" w:rsidRPr="00CB13F7">
        <w:rPr>
          <w:rFonts w:eastAsia="Times New Roman"/>
          <w:lang w:eastAsia="en-US"/>
        </w:rPr>
        <w:t>,</w:t>
      </w:r>
      <w:r w:rsidRPr="00CB13F7">
        <w:rPr>
          <w:rFonts w:eastAsia="Times New Roman"/>
          <w:lang w:eastAsia="en-US"/>
        </w:rPr>
        <w:t xml:space="preserve"> që jetojnë në institucione rezidenciale u ul në 207 në vitin 2024 dhe 213 në vitin 2025, nga 263 në vitin 2023.</w:t>
      </w:r>
      <w:r w:rsidR="6309BE2C" w:rsidRPr="00CB13F7">
        <w:rPr>
          <w:rFonts w:eastAsia="Times New Roman"/>
          <w:lang w:eastAsia="en-US"/>
        </w:rPr>
        <w:t xml:space="preserve"> </w:t>
      </w:r>
      <w:r w:rsidRPr="00CB13F7">
        <w:rPr>
          <w:rFonts w:eastAsia="Times New Roman"/>
          <w:lang w:eastAsia="en-US"/>
        </w:rPr>
        <w:t xml:space="preserve">Janë hartuar plane individuale mbështetjeje dhe janë zhvilluar modele të reja të jetesës së pavarur, përfshirë shërbimet komunitare dhe përfshirjen në familje kujdestare. Miratimi i ligjit për kujdesin alternativ në familje </w:t>
      </w:r>
      <w:r w:rsidR="7E53DBD1" w:rsidRPr="00CB13F7">
        <w:rPr>
          <w:rFonts w:eastAsia="Times New Roman"/>
          <w:lang w:eastAsia="en-US"/>
        </w:rPr>
        <w:t>92/</w:t>
      </w:r>
      <w:r w:rsidRPr="00CB13F7">
        <w:rPr>
          <w:rFonts w:eastAsia="Times New Roman"/>
          <w:lang w:eastAsia="en-US"/>
        </w:rPr>
        <w:t>2025 përforcon këtë drejtim</w:t>
      </w:r>
      <w:r w:rsidR="74ED95D8" w:rsidRPr="00CB13F7">
        <w:rPr>
          <w:rFonts w:eastAsia="Times New Roman"/>
          <w:lang w:eastAsia="en-US"/>
        </w:rPr>
        <w:t>.</w:t>
      </w:r>
      <w:r w:rsidRPr="00CB13F7">
        <w:rPr>
          <w:rFonts w:eastAsia="Times New Roman"/>
          <w:lang w:eastAsia="en-US"/>
        </w:rPr>
        <w:t xml:space="preserve"> </w:t>
      </w:r>
    </w:p>
    <w:p w14:paraId="30AC71CD" w14:textId="31535B48" w:rsidR="00E90A3B" w:rsidRPr="00CB13F7" w:rsidRDefault="0012096D" w:rsidP="004E4604">
      <w:pPr>
        <w:spacing w:before="120" w:after="120" w:line="276" w:lineRule="auto"/>
        <w:jc w:val="both"/>
        <w:rPr>
          <w:rFonts w:eastAsia="Times New Roman"/>
          <w:lang w:eastAsia="en-US"/>
        </w:rPr>
      </w:pPr>
      <w:r w:rsidRPr="00CB13F7">
        <w:rPr>
          <w:rFonts w:eastAsia="Times New Roman"/>
          <w:lang w:eastAsia="en-US"/>
        </w:rPr>
        <w:t>Politikat e strehimit social janë zgjeruar për të garantuar akses dhe përfshirje të personave me aftësi të kufizuara.</w:t>
      </w:r>
      <w:r w:rsidR="007A5656" w:rsidRPr="00CB13F7">
        <w:rPr>
          <w:rFonts w:eastAsia="Times New Roman"/>
          <w:lang w:eastAsia="en-US"/>
        </w:rPr>
        <w:t xml:space="preserve"> </w:t>
      </w:r>
      <w:r w:rsidR="00570186" w:rsidRPr="00CB13F7">
        <w:rPr>
          <w:rFonts w:eastAsia="Times New Roman"/>
          <w:lang w:eastAsia="en-US"/>
        </w:rPr>
        <w:t xml:space="preserve">Rreth 18% e përfituesve të programeve të strehimit social janë persona me aftësi të kufizuara dhe subvencioni i qirasë është forma më e përdorur e mbështetjes. Ndryshimet ligjore parashikojnë edhe banesa të përshtatura dhe prioritet në aplikim për familjet që kanë anëtarë me aftësi të kufizuara. </w:t>
      </w:r>
    </w:p>
    <w:p w14:paraId="4F3F899D" w14:textId="5A1C44D1" w:rsidR="47396AED" w:rsidRPr="00CB13F7" w:rsidRDefault="15DBA70A" w:rsidP="661F9D2E">
      <w:pPr>
        <w:spacing w:before="120" w:after="120" w:line="276" w:lineRule="auto"/>
        <w:jc w:val="both"/>
        <w:rPr>
          <w:rFonts w:eastAsia="Times New Roman"/>
        </w:rPr>
      </w:pPr>
      <w:r w:rsidRPr="00CB13F7">
        <w:rPr>
          <w:rFonts w:eastAsia="Times New Roman"/>
        </w:rPr>
        <w:t>Disa sfida me karakter strukturor mbeten për t’u adresuar më tej. Ndërkohë që janë ndërmarrë hapa të rëndësishëm për përmirësimin e koordinimit dhe planifikimit të shërbimeve</w:t>
      </w:r>
      <w:r w:rsidR="00E4350C" w:rsidRPr="00CB13F7">
        <w:rPr>
          <w:rFonts w:eastAsia="Times New Roman"/>
        </w:rPr>
        <w:t>,</w:t>
      </w:r>
      <w:r w:rsidRPr="00CB13F7">
        <w:rPr>
          <w:rFonts w:eastAsia="Times New Roman"/>
        </w:rPr>
        <w:t xml:space="preserve"> përfshirë hartën kombëtare të shërbimeve sociale që përditësohet periodikisht, mekanizmin e financimit përmes Fondit Social dhe analizat e nevojave të realizuara nga njësitë e vetëqeverisjes vendore në kuadër të planeve sociale vendore</w:t>
      </w:r>
      <w:r w:rsidR="00E4350C" w:rsidRPr="00CB13F7">
        <w:rPr>
          <w:rFonts w:eastAsia="Times New Roman"/>
        </w:rPr>
        <w:t>,</w:t>
      </w:r>
      <w:r w:rsidRPr="00CB13F7">
        <w:rPr>
          <w:rFonts w:eastAsia="Times New Roman"/>
        </w:rPr>
        <w:t xml:space="preserve"> ende nevojitet forcimi i mëtejshëm i një sistemi të integruar monitorimi </w:t>
      </w:r>
      <w:r w:rsidRPr="00CB13F7">
        <w:rPr>
          <w:rFonts w:eastAsia="Times New Roman"/>
        </w:rPr>
        <w:lastRenderedPageBreak/>
        <w:t>që të lidhë procesin e vlerësimit të nevojave me aksesin efektiv në shërbime dhe me ndikimin e tyre në cilësinë e jetës së personave me aftësi të kufizuara. Kapacitetet e bashkive, veçanërisht në zonat rurale</w:t>
      </w:r>
      <w:r w:rsidR="64C82FE7" w:rsidRPr="00CB13F7">
        <w:rPr>
          <w:rFonts w:eastAsia="Times New Roman"/>
        </w:rPr>
        <w:t xml:space="preserve"> duhet të fuqizohen, </w:t>
      </w:r>
      <w:r w:rsidRPr="00CB13F7">
        <w:rPr>
          <w:rFonts w:eastAsia="Times New Roman"/>
        </w:rPr>
        <w:t xml:space="preserve">ndërsa po ndërmerren masa për të rritur qëndrueshmërinë financiare të shërbimeve përmes forcimit të mekanizmave të financimit, përfshirë edhe krijimin e Fondit Social Vendor. </w:t>
      </w:r>
      <w:r w:rsidR="5397478F" w:rsidRPr="00CB13F7">
        <w:rPr>
          <w:rFonts w:eastAsia="Times New Roman"/>
        </w:rPr>
        <w:t>Gjitha</w:t>
      </w:r>
      <w:r w:rsidRPr="00CB13F7">
        <w:rPr>
          <w:rFonts w:eastAsia="Times New Roman"/>
        </w:rPr>
        <w:t>shtu, kuadri i shërbimeve për jetesë të pavarur kërkon zhvillim të mëtejshëm, veçanërisht përmes avancimit të skemës së asistentit personal, mekanizmave të vendimmarrjes së mbështetur dhe shërbimeve të strukturuara të mbështetjes për familjen.</w:t>
      </w:r>
    </w:p>
    <w:p w14:paraId="527FE5E0" w14:textId="64E5DDE3"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Në tërësi, periudha 2021</w:t>
      </w:r>
      <w:r w:rsidR="47396AED" w:rsidRPr="00CB13F7">
        <w:rPr>
          <w:rFonts w:eastAsia="Times New Roman"/>
          <w:lang w:eastAsia="en-US"/>
        </w:rPr>
        <w:t>-</w:t>
      </w:r>
      <w:r w:rsidRPr="00CB13F7">
        <w:rPr>
          <w:rFonts w:eastAsia="Times New Roman"/>
          <w:lang w:eastAsia="en-US"/>
        </w:rPr>
        <w:t xml:space="preserve">2025 tregon një transformim gradual të sistemit nga një model i bazuar kryesisht në pagesa financiare drejt një modeli </w:t>
      </w:r>
      <w:r w:rsidR="35DEB257" w:rsidRPr="00CB13F7">
        <w:rPr>
          <w:rFonts w:eastAsia="Times New Roman"/>
          <w:lang w:eastAsia="en-US"/>
        </w:rPr>
        <w:t>q</w:t>
      </w:r>
      <w:r w:rsidR="004B03EF" w:rsidRPr="00CB13F7">
        <w:rPr>
          <w:rFonts w:eastAsia="Times New Roman"/>
          <w:lang w:eastAsia="en-US"/>
        </w:rPr>
        <w:t>ë</w:t>
      </w:r>
      <w:r w:rsidR="35DEB257" w:rsidRPr="00CB13F7">
        <w:rPr>
          <w:rFonts w:eastAsia="Times New Roman"/>
          <w:lang w:eastAsia="en-US"/>
        </w:rPr>
        <w:t xml:space="preserve"> nd</w:t>
      </w:r>
      <w:r w:rsidR="004B03EF" w:rsidRPr="00CB13F7">
        <w:rPr>
          <w:rFonts w:eastAsia="Times New Roman"/>
          <w:lang w:eastAsia="en-US"/>
        </w:rPr>
        <w:t>ë</w:t>
      </w:r>
      <w:r w:rsidR="35DEB257" w:rsidRPr="00CB13F7">
        <w:rPr>
          <w:rFonts w:eastAsia="Times New Roman"/>
          <w:lang w:eastAsia="en-US"/>
        </w:rPr>
        <w:t>rthur p</w:t>
      </w:r>
      <w:r w:rsidR="004B03EF" w:rsidRPr="00CB13F7">
        <w:rPr>
          <w:rFonts w:eastAsia="Times New Roman"/>
          <w:lang w:eastAsia="en-US"/>
        </w:rPr>
        <w:t>ë</w:t>
      </w:r>
      <w:r w:rsidR="35DEB257" w:rsidRPr="00CB13F7">
        <w:rPr>
          <w:rFonts w:eastAsia="Times New Roman"/>
          <w:lang w:eastAsia="en-US"/>
        </w:rPr>
        <w:t>rfitimet n</w:t>
      </w:r>
      <w:r w:rsidR="004B03EF" w:rsidRPr="00CB13F7">
        <w:rPr>
          <w:rFonts w:eastAsia="Times New Roman"/>
          <w:lang w:eastAsia="en-US"/>
        </w:rPr>
        <w:t>ë</w:t>
      </w:r>
      <w:r w:rsidR="35DEB257" w:rsidRPr="00CB13F7">
        <w:rPr>
          <w:rFonts w:eastAsia="Times New Roman"/>
          <w:lang w:eastAsia="en-US"/>
        </w:rPr>
        <w:t xml:space="preserve"> para me </w:t>
      </w:r>
      <w:r w:rsidRPr="00CB13F7">
        <w:rPr>
          <w:rFonts w:eastAsia="Times New Roman"/>
          <w:lang w:eastAsia="en-US"/>
        </w:rPr>
        <w:t>shërbime</w:t>
      </w:r>
      <w:r w:rsidR="4BFDBE6B" w:rsidRPr="00CB13F7">
        <w:rPr>
          <w:rFonts w:eastAsia="Times New Roman"/>
          <w:lang w:eastAsia="en-US"/>
        </w:rPr>
        <w:t>t</w:t>
      </w:r>
      <w:r w:rsidRPr="00CB13F7">
        <w:rPr>
          <w:rFonts w:eastAsia="Times New Roman"/>
          <w:lang w:eastAsia="en-US"/>
        </w:rPr>
        <w:t xml:space="preserve"> sociale komunitare. Megjithatë, sistemi ende nuk garanton mbështetje të integruar dhe të personalizuar për çdo individ. Për këtë arsye, Plani </w:t>
      </w:r>
      <w:r w:rsidR="4DD72F38" w:rsidRPr="00CB13F7">
        <w:rPr>
          <w:rFonts w:eastAsia="Times New Roman"/>
          <w:lang w:eastAsia="en-US"/>
        </w:rPr>
        <w:t>Kombëtar i Veprimit për Personat me Aftësi të Kufizuara</w:t>
      </w:r>
      <w:r w:rsidR="00E4350C" w:rsidRPr="00CB13F7">
        <w:rPr>
          <w:rFonts w:eastAsia="Times New Roman"/>
          <w:lang w:eastAsia="en-US"/>
        </w:rPr>
        <w:t xml:space="preserve"> </w:t>
      </w:r>
      <w:r w:rsidRPr="00CB13F7">
        <w:rPr>
          <w:rFonts w:eastAsia="Times New Roman"/>
          <w:lang w:eastAsia="en-US"/>
        </w:rPr>
        <w:t>2026</w:t>
      </w:r>
      <w:r w:rsidR="47396AED" w:rsidRPr="00CB13F7">
        <w:rPr>
          <w:rFonts w:eastAsia="Times New Roman"/>
          <w:lang w:eastAsia="en-US"/>
        </w:rPr>
        <w:t>-</w:t>
      </w:r>
      <w:r w:rsidRPr="00CB13F7">
        <w:rPr>
          <w:rFonts w:eastAsia="Times New Roman"/>
          <w:lang w:eastAsia="en-US"/>
        </w:rPr>
        <w:t>2030</w:t>
      </w:r>
      <w:r w:rsidR="2C75ED10" w:rsidRPr="00CB13F7">
        <w:rPr>
          <w:rFonts w:eastAsia="Times New Roman"/>
          <w:lang w:eastAsia="en-US"/>
        </w:rPr>
        <w:t>,</w:t>
      </w:r>
      <w:r w:rsidRPr="00CB13F7">
        <w:rPr>
          <w:rFonts w:eastAsia="Times New Roman"/>
          <w:lang w:eastAsia="en-US"/>
        </w:rPr>
        <w:t xml:space="preserve"> do të përqendrohet në ndërtimin e një sistemi të plotë të jetesës së pavarur. Ai do të mundësojë lidhjen funksionale ndërmjet vlerësimit bio-psiko-social dhe përfitimit real të shërbimeve, krijimin e shërbimeve të reja si ndihmësi personal dhe kujdesi në banesë, zgjerimin e strehimit të përshtatur, garantimin e mjeteve ndihmëse sipas nevojës individuale</w:t>
      </w:r>
      <w:r w:rsidR="1F5100A0" w:rsidRPr="00CB13F7">
        <w:rPr>
          <w:rFonts w:eastAsia="Times New Roman"/>
          <w:lang w:eastAsia="en-US"/>
        </w:rPr>
        <w:t xml:space="preserve"> n</w:t>
      </w:r>
      <w:r w:rsidR="004B03EF" w:rsidRPr="00CB13F7">
        <w:rPr>
          <w:rFonts w:eastAsia="Times New Roman"/>
          <w:lang w:eastAsia="en-US"/>
        </w:rPr>
        <w:t>ë</w:t>
      </w:r>
      <w:r w:rsidR="1F5100A0" w:rsidRPr="00CB13F7">
        <w:rPr>
          <w:rFonts w:eastAsia="Times New Roman"/>
          <w:lang w:eastAsia="en-US"/>
        </w:rPr>
        <w:t>p</w:t>
      </w:r>
      <w:r w:rsidR="004B03EF" w:rsidRPr="00CB13F7">
        <w:rPr>
          <w:rFonts w:eastAsia="Times New Roman"/>
          <w:lang w:eastAsia="en-US"/>
        </w:rPr>
        <w:t>ë</w:t>
      </w:r>
      <w:r w:rsidR="1F5100A0" w:rsidRPr="00CB13F7">
        <w:rPr>
          <w:rFonts w:eastAsia="Times New Roman"/>
          <w:lang w:eastAsia="en-US"/>
        </w:rPr>
        <w:t>rmjet sistemit sh</w:t>
      </w:r>
      <w:r w:rsidR="004B03EF" w:rsidRPr="00CB13F7">
        <w:rPr>
          <w:rFonts w:eastAsia="Times New Roman"/>
          <w:lang w:eastAsia="en-US"/>
        </w:rPr>
        <w:t>ë</w:t>
      </w:r>
      <w:r w:rsidR="1F5100A0" w:rsidRPr="00CB13F7">
        <w:rPr>
          <w:rFonts w:eastAsia="Times New Roman"/>
          <w:lang w:eastAsia="en-US"/>
        </w:rPr>
        <w:t>ndet</w:t>
      </w:r>
      <w:r w:rsidR="004B03EF" w:rsidRPr="00CB13F7">
        <w:rPr>
          <w:rFonts w:eastAsia="Times New Roman"/>
          <w:lang w:eastAsia="en-US"/>
        </w:rPr>
        <w:t>ë</w:t>
      </w:r>
      <w:r w:rsidR="1F5100A0" w:rsidRPr="00CB13F7">
        <w:rPr>
          <w:rFonts w:eastAsia="Times New Roman"/>
          <w:lang w:eastAsia="en-US"/>
        </w:rPr>
        <w:t>sor</w:t>
      </w:r>
      <w:r w:rsidRPr="00CB13F7">
        <w:rPr>
          <w:rFonts w:eastAsia="Times New Roman"/>
          <w:lang w:eastAsia="en-US"/>
        </w:rPr>
        <w:t xml:space="preserve">, forcimin e kapaciteteve të bashkive dhe sigurimin e financimit të qëndrueshëm të shërbimeve. </w:t>
      </w:r>
    </w:p>
    <w:p w14:paraId="1FD6E3D8" w14:textId="77777777" w:rsidR="004B03EF" w:rsidRPr="00CB13F7" w:rsidRDefault="004B03EF" w:rsidP="004E4604">
      <w:pPr>
        <w:spacing w:before="120" w:after="120" w:line="276" w:lineRule="auto"/>
        <w:jc w:val="both"/>
        <w:rPr>
          <w:rFonts w:eastAsia="Times New Roman"/>
          <w:b/>
          <w:bCs/>
          <w:lang w:eastAsia="en-US"/>
        </w:rPr>
      </w:pPr>
    </w:p>
    <w:p w14:paraId="0FA2A116" w14:textId="77777777"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3.6. Analizë</w:t>
      </w:r>
      <w:r w:rsidR="00416E45" w:rsidRPr="00CB13F7">
        <w:rPr>
          <w:rFonts w:eastAsia="Times New Roman"/>
          <w:b/>
          <w:bCs/>
          <w:lang w:eastAsia="en-US"/>
        </w:rPr>
        <w:t xml:space="preserve"> e gjendjes aktuale n</w:t>
      </w:r>
      <w:r w:rsidR="003443E2" w:rsidRPr="00CB13F7">
        <w:rPr>
          <w:rFonts w:eastAsia="Times New Roman"/>
          <w:b/>
          <w:bCs/>
          <w:lang w:eastAsia="en-US"/>
        </w:rPr>
        <w:t>ë</w:t>
      </w:r>
      <w:r w:rsidR="00416E45" w:rsidRPr="00CB13F7">
        <w:rPr>
          <w:rFonts w:eastAsia="Times New Roman"/>
          <w:b/>
          <w:bCs/>
          <w:lang w:eastAsia="en-US"/>
        </w:rPr>
        <w:t xml:space="preserve"> fush</w:t>
      </w:r>
      <w:r w:rsidR="003443E2" w:rsidRPr="00CB13F7">
        <w:rPr>
          <w:rFonts w:eastAsia="Times New Roman"/>
          <w:b/>
          <w:bCs/>
          <w:lang w:eastAsia="en-US"/>
        </w:rPr>
        <w:t>ë</w:t>
      </w:r>
      <w:r w:rsidR="00416E45" w:rsidRPr="00CB13F7">
        <w:rPr>
          <w:rFonts w:eastAsia="Times New Roman"/>
          <w:b/>
          <w:bCs/>
          <w:lang w:eastAsia="en-US"/>
        </w:rPr>
        <w:t xml:space="preserve">n </w:t>
      </w:r>
      <w:r w:rsidR="00DA295E" w:rsidRPr="00CB13F7">
        <w:rPr>
          <w:rFonts w:eastAsia="Times New Roman"/>
          <w:b/>
          <w:bCs/>
          <w:lang w:eastAsia="en-US"/>
        </w:rPr>
        <w:t>e s</w:t>
      </w:r>
      <w:r w:rsidR="00E90A3B" w:rsidRPr="00CB13F7">
        <w:rPr>
          <w:rFonts w:eastAsia="Times New Roman"/>
          <w:b/>
          <w:bCs/>
          <w:lang w:eastAsia="en-US"/>
        </w:rPr>
        <w:t>hëndetësi</w:t>
      </w:r>
      <w:r w:rsidR="00513644" w:rsidRPr="00CB13F7">
        <w:rPr>
          <w:rFonts w:eastAsia="Times New Roman"/>
          <w:b/>
          <w:bCs/>
          <w:lang w:eastAsia="en-US"/>
        </w:rPr>
        <w:t>s</w:t>
      </w:r>
      <w:r w:rsidR="003443E2" w:rsidRPr="00CB13F7">
        <w:rPr>
          <w:rFonts w:eastAsia="Times New Roman"/>
          <w:b/>
          <w:bCs/>
          <w:lang w:eastAsia="en-US"/>
        </w:rPr>
        <w:t>ë</w:t>
      </w:r>
      <w:r w:rsidR="00E90A3B" w:rsidRPr="00CB13F7">
        <w:rPr>
          <w:rFonts w:eastAsia="Times New Roman"/>
          <w:b/>
          <w:bCs/>
          <w:lang w:eastAsia="en-US"/>
        </w:rPr>
        <w:t xml:space="preserve"> </w:t>
      </w:r>
    </w:p>
    <w:p w14:paraId="6D0A933E" w14:textId="6C13920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Planin Kombëtar të Veprimit për Personat me Aftësi të Kufizuara 2021</w:t>
      </w:r>
      <w:r w:rsidR="0012096D" w:rsidRPr="00CB13F7">
        <w:rPr>
          <w:rFonts w:eastAsia="Times New Roman"/>
          <w:lang w:eastAsia="en-US"/>
        </w:rPr>
        <w:t>-</w:t>
      </w:r>
      <w:r w:rsidRPr="00CB13F7">
        <w:rPr>
          <w:rFonts w:eastAsia="Times New Roman"/>
          <w:lang w:eastAsia="en-US"/>
        </w:rPr>
        <w:t xml:space="preserve">2025, në fushën e politikave shëndetësore, u përcaktua si qëllim strategjik sigurimi i një kujdesi shëndetësor të aksesueshëm dhe të përballueshëm për të gjitha kategoritë e personave me aftësi të kufizuara, nëpërmjet lehtësimit të përdorimit të shërbimeve shëndetësore dhe zhvillimit të shërbimeve të parandalimit, ndërhyrjes së hershme dhe rehabilitimit. </w:t>
      </w:r>
    </w:p>
    <w:p w14:paraId="49BFB1F3" w14:textId="24877B8E" w:rsidR="00E90A3B" w:rsidRPr="00CB13F7" w:rsidRDefault="0C5B1CB2" w:rsidP="004E4604">
      <w:pPr>
        <w:spacing w:before="120" w:after="120" w:line="276" w:lineRule="auto"/>
        <w:jc w:val="both"/>
        <w:rPr>
          <w:rFonts w:eastAsia="Times New Roman"/>
          <w:lang w:eastAsia="en-US"/>
        </w:rPr>
      </w:pPr>
      <w:r w:rsidRPr="00CB13F7">
        <w:rPr>
          <w:rFonts w:eastAsia="Times New Roman"/>
          <w:lang w:eastAsia="en-US"/>
        </w:rPr>
        <w:t>Monitorimi i periudhës 2021</w:t>
      </w:r>
      <w:r w:rsidR="47396AED" w:rsidRPr="00CB13F7">
        <w:rPr>
          <w:rFonts w:eastAsia="Times New Roman"/>
          <w:lang w:eastAsia="en-US"/>
        </w:rPr>
        <w:t>-</w:t>
      </w:r>
      <w:r w:rsidRPr="00CB13F7">
        <w:rPr>
          <w:rFonts w:eastAsia="Times New Roman"/>
          <w:lang w:eastAsia="en-US"/>
        </w:rPr>
        <w:t>2025 tregon se sektori i shëndetësisë ka shënuar progres të qëndrueshëm në zgjerimin e shërbimeve dhe në rritjen e kapaciteteve profesionale, megjithatë një pjesë e rëndësishme e ndërhyrjeve mbetet e pjesshme</w:t>
      </w:r>
      <w:r w:rsidR="00E4350C" w:rsidRPr="00CB13F7">
        <w:rPr>
          <w:rFonts w:eastAsia="Times New Roman"/>
          <w:lang w:eastAsia="en-US"/>
        </w:rPr>
        <w:t xml:space="preserve"> </w:t>
      </w:r>
      <w:r w:rsidRPr="00CB13F7">
        <w:rPr>
          <w:rFonts w:eastAsia="Times New Roman"/>
          <w:lang w:eastAsia="en-US"/>
        </w:rPr>
        <w:t>ose ende në proces zhvillimi.</w:t>
      </w:r>
    </w:p>
    <w:p w14:paraId="5A1A9DDA" w14:textId="1389D04A"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Një nga zhvillimet më të rëndësishme është integrimi gradual i kujdesit shëndetësor me atë social në nivel komuniteti. Që nga viti 2023 janë ngritur dhe funksionojnë 103 qendra socio-shëndetësore, ku ekipit tradicional të mjekëve </w:t>
      </w:r>
      <w:r w:rsidR="0012096D" w:rsidRPr="00CB13F7">
        <w:rPr>
          <w:rFonts w:eastAsia="Times New Roman"/>
          <w:lang w:eastAsia="en-US"/>
        </w:rPr>
        <w:t xml:space="preserve">të </w:t>
      </w:r>
      <w:r w:rsidRPr="00CB13F7">
        <w:rPr>
          <w:rFonts w:eastAsia="Times New Roman"/>
          <w:lang w:eastAsia="en-US"/>
        </w:rPr>
        <w:t xml:space="preserve">familjes i janë shtuar profesionistë psiko-socialë si psikologë, punonjës socialë, të cilët ofrojnë shërbime edhe për personat me aftësi të kufizuara. Këto ekipe </w:t>
      </w:r>
      <w:r w:rsidR="00570186" w:rsidRPr="00CB13F7">
        <w:rPr>
          <w:rFonts w:eastAsia="Times New Roman"/>
          <w:lang w:eastAsia="en-US"/>
        </w:rPr>
        <w:t>ndërdisiplinore</w:t>
      </w:r>
      <w:r w:rsidRPr="00CB13F7">
        <w:rPr>
          <w:rFonts w:eastAsia="Times New Roman"/>
          <w:lang w:eastAsia="en-US"/>
        </w:rPr>
        <w:t xml:space="preserve"> kanë vijuar funksionimin gjatë viteve 2024</w:t>
      </w:r>
      <w:r w:rsidR="0012096D" w:rsidRPr="00CB13F7">
        <w:rPr>
          <w:rFonts w:eastAsia="Times New Roman"/>
          <w:lang w:eastAsia="en-US"/>
        </w:rPr>
        <w:t>-</w:t>
      </w:r>
      <w:r w:rsidRPr="00CB13F7">
        <w:rPr>
          <w:rFonts w:eastAsia="Times New Roman"/>
          <w:lang w:eastAsia="en-US"/>
        </w:rPr>
        <w:t>2025 dhe kanë kontribuar në rritjen e aksesit në shërbime, veçanërisht për grupet vulnerabël. Gjithashtu, janë vendosur pika kontakti pranë operatorëve përkatës për koordinimin e çështjeve që lidhen me personat me aftësi të kufizuara.</w:t>
      </w:r>
    </w:p>
    <w:p w14:paraId="4A26A796" w14:textId="11EF9EE7"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Në të njëjtën kohë është zgjeruar kujdesi shëndetësor në banesë, i cili mbulon 325 qendra shëndetësore në nivel kombëtar dhe shoqërohet me trajnimin e 3,142 profesionistëve shëndetësorë për menaxhimin e sëmundjeve kronike dhe të problemeve të shëndetit mendor. Ky shërbim përbën </w:t>
      </w:r>
      <w:r w:rsidRPr="00CB13F7">
        <w:rPr>
          <w:rFonts w:eastAsia="Times New Roman"/>
          <w:lang w:eastAsia="en-US"/>
        </w:rPr>
        <w:lastRenderedPageBreak/>
        <w:t>një nga arritjet më të rëndësishme praktike, pasi lehtëson aksesin në kujdes për personat me kufizime në lëvizje ose me nevoja të vazhdueshme trajtimi.</w:t>
      </w:r>
    </w:p>
    <w:p w14:paraId="47F7F4D7" w14:textId="786BA749"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Përmirësim është vërejtur edhe në fushën e shëndetit mendor. Janë realizuar 43 seanca fuqizimi kapacitetesh për identifikimin dhe ndërhyrjen e hershme të problemeve të shëndetit mendor, me 437 pjesëmarrës, si dhe aktivitete informuese ndërsektoriale me rreth 500 profesionistë</w:t>
      </w:r>
      <w:r w:rsidR="007A5656" w:rsidRPr="00CB13F7">
        <w:rPr>
          <w:rFonts w:eastAsia="Times New Roman"/>
          <w:lang w:eastAsia="en-US"/>
        </w:rPr>
        <w:t>.</w:t>
      </w:r>
      <w:r w:rsidR="0060677F" w:rsidRPr="00CB13F7">
        <w:rPr>
          <w:rFonts w:eastAsia="Times New Roman"/>
          <w:lang w:eastAsia="en-US"/>
        </w:rPr>
        <w:t xml:space="preserve"> Në vijim të reformës në shërbimet e kujdesit parësor është zbatuar udhëzimi për menaxhimin e çrregullimeve të shëndetit mendor, i orientuar drejt qasjes komunitare dhe garantimit të të drejtave të personave me aftësi të kufizuara.</w:t>
      </w:r>
      <w:r w:rsidR="007A5656" w:rsidRPr="00CB13F7">
        <w:rPr>
          <w:rFonts w:eastAsia="Times New Roman"/>
          <w:lang w:eastAsia="en-US"/>
        </w:rPr>
        <w:t xml:space="preserve"> </w:t>
      </w:r>
      <w:r w:rsidR="00570186" w:rsidRPr="00CB13F7">
        <w:rPr>
          <w:rFonts w:eastAsia="Times New Roman"/>
          <w:lang w:eastAsia="en-US"/>
        </w:rPr>
        <w:t xml:space="preserve">Në kuadër të deinstitucionalizimit ka filluar procesi i vlerësimit socio-shëndetësor dhe i riintegrimit në komunitet për personat me aftësi të kufizuara intelektuale rezidentë në spitalet psikiatrike, në bashkëpunim me pushtetin vendor. </w:t>
      </w:r>
      <w:r w:rsidRPr="00CB13F7">
        <w:rPr>
          <w:rFonts w:eastAsia="Times New Roman"/>
          <w:lang w:eastAsia="en-US"/>
        </w:rPr>
        <w:t>Paralelisht është ngritur grupi i punës për hartimin e standardeve të cilësisë për shërbimet e specializuara të shëndetit mendor dhe për shtëpitë e mbështetura.</w:t>
      </w:r>
    </w:p>
    <w:p w14:paraId="6579581D" w14:textId="2ABD7341" w:rsidR="0060677F" w:rsidRPr="00CB13F7" w:rsidRDefault="6593EB23" w:rsidP="661F9D2E">
      <w:pPr>
        <w:spacing w:before="120" w:after="120" w:line="276" w:lineRule="auto"/>
        <w:jc w:val="both"/>
        <w:rPr>
          <w:rFonts w:eastAsia="Times New Roman"/>
          <w:lang w:eastAsia="en-US"/>
        </w:rPr>
      </w:pPr>
      <w:r w:rsidRPr="00CB13F7">
        <w:rPr>
          <w:rFonts w:eastAsia="Times New Roman"/>
          <w:lang w:eastAsia="en-US"/>
        </w:rPr>
        <w:t>Megjith</w:t>
      </w:r>
      <w:r w:rsidR="004B03EF" w:rsidRPr="00CB13F7">
        <w:rPr>
          <w:rFonts w:eastAsia="Times New Roman"/>
          <w:lang w:eastAsia="en-US"/>
        </w:rPr>
        <w:t>ë</w:t>
      </w:r>
      <w:r w:rsidRPr="00CB13F7">
        <w:rPr>
          <w:rFonts w:eastAsia="Times New Roman"/>
          <w:lang w:eastAsia="en-US"/>
        </w:rPr>
        <w:t xml:space="preserve">se </w:t>
      </w:r>
      <w:r w:rsidR="11F349D2" w:rsidRPr="00CB13F7">
        <w:rPr>
          <w:rFonts w:eastAsia="Times New Roman"/>
          <w:lang w:eastAsia="en-US"/>
        </w:rPr>
        <w:t xml:space="preserve">171 persona pajisen me mjete të tjera ndihmëse </w:t>
      </w:r>
      <w:r w:rsidR="0063FC54" w:rsidRPr="00CB13F7">
        <w:rPr>
          <w:rFonts w:eastAsia="Times New Roman"/>
          <w:lang w:eastAsia="en-US"/>
        </w:rPr>
        <w:t>l</w:t>
      </w:r>
      <w:r w:rsidR="004B03EF" w:rsidRPr="00CB13F7">
        <w:rPr>
          <w:rFonts w:eastAsia="Times New Roman"/>
          <w:lang w:eastAsia="en-US"/>
        </w:rPr>
        <w:t>ë</w:t>
      </w:r>
      <w:r w:rsidR="0063FC54" w:rsidRPr="00CB13F7">
        <w:rPr>
          <w:rFonts w:eastAsia="Times New Roman"/>
          <w:lang w:eastAsia="en-US"/>
        </w:rPr>
        <w:t>viz</w:t>
      </w:r>
      <w:r w:rsidR="004B03EF" w:rsidRPr="00CB13F7">
        <w:rPr>
          <w:rFonts w:eastAsia="Times New Roman"/>
          <w:lang w:eastAsia="en-US"/>
        </w:rPr>
        <w:t>ë</w:t>
      </w:r>
      <w:r w:rsidR="0063FC54" w:rsidRPr="00CB13F7">
        <w:rPr>
          <w:rFonts w:eastAsia="Times New Roman"/>
          <w:lang w:eastAsia="en-US"/>
        </w:rPr>
        <w:t>se</w:t>
      </w:r>
      <w:r w:rsidR="0705DBC7" w:rsidRPr="00CB13F7">
        <w:rPr>
          <w:rFonts w:eastAsia="Times New Roman"/>
          <w:lang w:eastAsia="en-US"/>
        </w:rPr>
        <w:t xml:space="preserve"> krahas karrigeve me rrota</w:t>
      </w:r>
      <w:r w:rsidR="31243174" w:rsidRPr="00CB13F7">
        <w:rPr>
          <w:rFonts w:eastAsia="Times New Roman"/>
          <w:lang w:eastAsia="en-US"/>
        </w:rPr>
        <w:t>,</w:t>
      </w:r>
      <w:r w:rsidR="0705DBC7" w:rsidRPr="00CB13F7">
        <w:rPr>
          <w:rFonts w:eastAsia="Times New Roman"/>
          <w:lang w:eastAsia="en-US"/>
        </w:rPr>
        <w:t xml:space="preserve"> ende nuk ka një sistem </w:t>
      </w:r>
      <w:r w:rsidR="3764CEEE" w:rsidRPr="00CB13F7">
        <w:rPr>
          <w:rFonts w:eastAsia="Times New Roman"/>
          <w:lang w:eastAsia="en-US"/>
        </w:rPr>
        <w:t>t</w:t>
      </w:r>
      <w:r w:rsidR="004B03EF" w:rsidRPr="00CB13F7">
        <w:rPr>
          <w:rFonts w:eastAsia="Times New Roman"/>
          <w:lang w:eastAsia="en-US"/>
        </w:rPr>
        <w:t>ë</w:t>
      </w:r>
      <w:r w:rsidR="0705DBC7" w:rsidRPr="00CB13F7">
        <w:rPr>
          <w:rFonts w:eastAsia="Times New Roman"/>
          <w:lang w:eastAsia="en-US"/>
        </w:rPr>
        <w:t xml:space="preserve"> qartë për mjetet ndihmëse sipas nevojave të personave me aftësi së kufizuar.</w:t>
      </w:r>
    </w:p>
    <w:p w14:paraId="5DAED25A" w14:textId="2337FEE6" w:rsidR="0060677F" w:rsidRPr="00CB13F7" w:rsidRDefault="11F349D2" w:rsidP="004E4604">
      <w:pPr>
        <w:spacing w:before="120" w:after="120" w:line="276" w:lineRule="auto"/>
        <w:jc w:val="both"/>
        <w:rPr>
          <w:rFonts w:eastAsia="Times New Roman"/>
          <w:lang w:eastAsia="en-US"/>
        </w:rPr>
      </w:pPr>
      <w:r w:rsidRPr="00CB13F7">
        <w:rPr>
          <w:rFonts w:eastAsia="Times New Roman"/>
          <w:lang w:eastAsia="en-US"/>
        </w:rPr>
        <w:t>Përfituesit e kujdesit shëndetësor në banesë janë mbështetur gjithashtu me pajisje ndihmëse sipas vlerësimit funksional. Paralelisht, është zgjeruar infrastruktura e shërbimit stomatologjik përmes hapjes së kabineteve të reja dentare pranë shkollave dhe forcimit të strukturave ekzistuese.</w:t>
      </w:r>
    </w:p>
    <w:p w14:paraId="49F6DEEB" w14:textId="209D4176"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Megjithatë, progresi i arritur shoqërohet me një sërë boshllëqesh strukturore. Shumë masa të lehtësimit të vizitave mjekësore zbatohen në praktikë, por nuk janë të formalizuara në protokolle zyrtare, </w:t>
      </w:r>
      <w:r w:rsidR="0060677F" w:rsidRPr="00CB13F7">
        <w:rPr>
          <w:rFonts w:eastAsia="Times New Roman"/>
          <w:lang w:eastAsia="en-US"/>
        </w:rPr>
        <w:t>duke krijuar</w:t>
      </w:r>
      <w:r w:rsidRPr="00CB13F7">
        <w:rPr>
          <w:rFonts w:eastAsia="Times New Roman"/>
          <w:lang w:eastAsia="en-US"/>
        </w:rPr>
        <w:t xml:space="preserve"> pabarazi në akses sipas institucioneve.</w:t>
      </w:r>
      <w:r w:rsidR="001771D3" w:rsidRPr="00CB13F7">
        <w:rPr>
          <w:rFonts w:eastAsia="Times New Roman"/>
          <w:lang w:eastAsia="en-US"/>
        </w:rPr>
        <w:t xml:space="preserve"> </w:t>
      </w:r>
      <w:r w:rsidRPr="00CB13F7">
        <w:rPr>
          <w:rFonts w:eastAsia="Times New Roman"/>
          <w:lang w:eastAsia="en-US"/>
        </w:rPr>
        <w:t xml:space="preserve">Nuk ekziston ende një udhëzim i detyrueshëm për mënyrën e ofrimit të shërbimeve shëndetësore për personat me aftësi të kufizuara dhe ofrimi i interpretimit në gjuhën e shenjave gjatë vizitave mbetet i kufizuar. Gjithashtu, aktivitetet informuese për komunitetin e personave që nuk dëgjojnë kanë qenë </w:t>
      </w:r>
      <w:r w:rsidR="00E4350C" w:rsidRPr="00CB13F7">
        <w:rPr>
          <w:rFonts w:eastAsia="Times New Roman"/>
          <w:lang w:eastAsia="en-US"/>
        </w:rPr>
        <w:t>relativisht të ulëta</w:t>
      </w:r>
      <w:r w:rsidRPr="00CB13F7">
        <w:rPr>
          <w:rFonts w:eastAsia="Times New Roman"/>
          <w:lang w:eastAsia="en-US"/>
        </w:rPr>
        <w:t>.</w:t>
      </w:r>
    </w:p>
    <w:p w14:paraId="1ED2C3E0" w14:textId="21C75242"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Mbështetja me mjete ndihmëse mbetet e pjesshme: financimi shtetëror mbulon kryesisht karriget me rrota, ndërsa për </w:t>
      </w:r>
      <w:r w:rsidR="0C5B1CB2" w:rsidRPr="00CB13F7">
        <w:rPr>
          <w:rFonts w:eastAsia="Times New Roman"/>
          <w:lang w:eastAsia="en-US"/>
        </w:rPr>
        <w:t>p</w:t>
      </w:r>
      <w:r w:rsidR="48C92F91" w:rsidRPr="00CB13F7">
        <w:rPr>
          <w:rFonts w:eastAsia="Times New Roman"/>
          <w:lang w:eastAsia="en-US"/>
        </w:rPr>
        <w:t>r</w:t>
      </w:r>
      <w:r w:rsidR="0C5B1CB2" w:rsidRPr="00CB13F7">
        <w:rPr>
          <w:rFonts w:eastAsia="Times New Roman"/>
          <w:lang w:eastAsia="en-US"/>
        </w:rPr>
        <w:t>oteza</w:t>
      </w:r>
      <w:r w:rsidRPr="00CB13F7">
        <w:rPr>
          <w:rFonts w:eastAsia="Times New Roman"/>
          <w:lang w:eastAsia="en-US"/>
        </w:rPr>
        <w:t xml:space="preserve"> dhe mjete e teknologji të tjera ndihmëse nuk ekziston një planifikim i plotë sipas nevojave individuale. Nuk është kryer </w:t>
      </w:r>
      <w:r w:rsidR="00E4350C" w:rsidRPr="00CB13F7">
        <w:rPr>
          <w:rFonts w:eastAsia="Times New Roman"/>
          <w:lang w:eastAsia="en-US"/>
        </w:rPr>
        <w:t>ende një</w:t>
      </w:r>
      <w:r w:rsidRPr="00CB13F7">
        <w:rPr>
          <w:rFonts w:eastAsia="Times New Roman"/>
          <w:lang w:eastAsia="en-US"/>
        </w:rPr>
        <w:t xml:space="preserve"> analizë kombëtare e nevojave për këto pajisje dhe as identifikimi i prodhuesve potencialë në treg. Njëkohësisht, shërbimet e rehabilitimit mjekësor janë të kufizuara dhe ende në zhvillim, megjithëse janë ngritur disa njësi fizioterapie në sistemin parësor dhe spitalor.</w:t>
      </w:r>
    </w:p>
    <w:p w14:paraId="16B12E70" w14:textId="4868B784"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Në tërësi, periudha 2021</w:t>
      </w:r>
      <w:r w:rsidR="11F349D2" w:rsidRPr="00CB13F7">
        <w:rPr>
          <w:rFonts w:eastAsia="Times New Roman"/>
          <w:lang w:eastAsia="en-US"/>
        </w:rPr>
        <w:t>-</w:t>
      </w:r>
      <w:r w:rsidRPr="00CB13F7">
        <w:rPr>
          <w:rFonts w:eastAsia="Times New Roman"/>
          <w:lang w:eastAsia="en-US"/>
        </w:rPr>
        <w:t xml:space="preserve">2025 tregon një kalim gradual nga një model i kujdesit shëndetësor të fokusuar në trajtimin spitalor, drejt një modeli komunitar dhe të integruar me shërbimet sociale. Megjithatë, sistemi ende nuk garanton akses të barabartë dhe të standardizuar për të gjitha kategoritë e personave me aftësi të kufizuara. Për këtë arsye, </w:t>
      </w:r>
      <w:r w:rsidR="0665BE49" w:rsidRPr="00CB13F7">
        <w:rPr>
          <w:rFonts w:eastAsia="Times New Roman"/>
          <w:lang w:eastAsia="en-US"/>
        </w:rPr>
        <w:t xml:space="preserve">PKVPAK </w:t>
      </w:r>
      <w:r w:rsidRPr="00CB13F7">
        <w:rPr>
          <w:rFonts w:eastAsia="Times New Roman"/>
          <w:lang w:eastAsia="en-US"/>
        </w:rPr>
        <w:t>2026</w:t>
      </w:r>
      <w:r w:rsidR="11F349D2" w:rsidRPr="00CB13F7">
        <w:rPr>
          <w:rFonts w:eastAsia="Times New Roman"/>
          <w:lang w:eastAsia="en-US"/>
        </w:rPr>
        <w:t>-</w:t>
      </w:r>
      <w:r w:rsidRPr="00CB13F7">
        <w:rPr>
          <w:rFonts w:eastAsia="Times New Roman"/>
          <w:lang w:eastAsia="en-US"/>
        </w:rPr>
        <w:t>2030 do të përqendrohet në formalizimin dhe standardizimin e shërbimeve shëndetësore për personat me aftësi të kufizuara, duke përfshirë miratimin e protokolleve të detyrueshme për aksesin në shërbime,</w:t>
      </w:r>
      <w:r w:rsidR="6309BE2C" w:rsidRPr="00CB13F7">
        <w:rPr>
          <w:rFonts w:eastAsia="Times New Roman"/>
          <w:lang w:eastAsia="en-US"/>
        </w:rPr>
        <w:t xml:space="preserve"> </w:t>
      </w:r>
      <w:r w:rsidRPr="00CB13F7">
        <w:rPr>
          <w:rFonts w:eastAsia="Times New Roman"/>
          <w:lang w:eastAsia="en-US"/>
        </w:rPr>
        <w:t xml:space="preserve">zgjerimin e shërbimeve të shëndetit mendor për të rriturit, planifikimin e mbulimit financiar të mjeteve ndihmëse sipas nevojave individuale dhe zgjerimin e shërbimeve të </w:t>
      </w:r>
      <w:r w:rsidRPr="00CB13F7">
        <w:rPr>
          <w:rFonts w:eastAsia="Times New Roman"/>
          <w:lang w:eastAsia="en-US"/>
        </w:rPr>
        <w:lastRenderedPageBreak/>
        <w:t>rehabilitimit. Gjithashtu, do të forcohet koordinimi ndërinstitucional me shërbimet sociale dhe pushtetin vendor, në mënyrë që kujdesi shëndetësor të mos kufizohet vetëm në trajtim mjekësor, por të mbështesë jetesën e pavarur dhe përfshirjen sociale të personave me aftësi të kufizuara.</w:t>
      </w:r>
    </w:p>
    <w:p w14:paraId="464FF1EC" w14:textId="07863E3C" w:rsidR="00E90A3B" w:rsidRPr="00CB13F7" w:rsidRDefault="00DA295E" w:rsidP="004E4604">
      <w:pPr>
        <w:spacing w:before="120" w:after="120" w:line="276" w:lineRule="auto"/>
        <w:jc w:val="both"/>
        <w:rPr>
          <w:rFonts w:eastAsia="Times New Roman"/>
          <w:b/>
          <w:bCs/>
          <w:lang w:eastAsia="en-US"/>
        </w:rPr>
      </w:pPr>
      <w:r w:rsidRPr="00CB13F7">
        <w:rPr>
          <w:rFonts w:eastAsia="Times New Roman"/>
          <w:b/>
          <w:bCs/>
          <w:lang w:eastAsia="en-US"/>
        </w:rPr>
        <w:t xml:space="preserve"> 3.</w:t>
      </w:r>
      <w:r w:rsidR="00513644" w:rsidRPr="00CB13F7">
        <w:rPr>
          <w:rFonts w:eastAsia="Times New Roman"/>
          <w:b/>
          <w:bCs/>
          <w:lang w:eastAsia="en-US"/>
        </w:rPr>
        <w:t>7</w:t>
      </w:r>
      <w:r w:rsidR="0060677F" w:rsidRPr="00CB13F7">
        <w:rPr>
          <w:rFonts w:eastAsia="Times New Roman"/>
          <w:b/>
          <w:bCs/>
          <w:lang w:eastAsia="en-US"/>
        </w:rPr>
        <w:t xml:space="preserve"> </w:t>
      </w:r>
      <w:r w:rsidRPr="00CB13F7">
        <w:rPr>
          <w:rFonts w:eastAsia="Times New Roman"/>
          <w:b/>
          <w:bCs/>
          <w:lang w:eastAsia="en-US"/>
        </w:rPr>
        <w:t>Analiz</w:t>
      </w:r>
      <w:r w:rsidR="003443E2" w:rsidRPr="00CB13F7">
        <w:rPr>
          <w:rFonts w:eastAsia="Times New Roman"/>
          <w:b/>
          <w:bCs/>
          <w:lang w:eastAsia="en-US"/>
        </w:rPr>
        <w:t>ë</w:t>
      </w:r>
      <w:r w:rsidRPr="00CB13F7">
        <w:rPr>
          <w:rFonts w:eastAsia="Times New Roman"/>
          <w:b/>
          <w:bCs/>
          <w:lang w:eastAsia="en-US"/>
        </w:rPr>
        <w:t xml:space="preserve"> e gjendjes aktuale n</w:t>
      </w:r>
      <w:r w:rsidR="003443E2" w:rsidRPr="00CB13F7">
        <w:rPr>
          <w:rFonts w:eastAsia="Times New Roman"/>
          <w:b/>
          <w:bCs/>
          <w:lang w:eastAsia="en-US"/>
        </w:rPr>
        <w:t>ë</w:t>
      </w:r>
      <w:r w:rsidRPr="00CB13F7">
        <w:rPr>
          <w:rFonts w:eastAsia="Times New Roman"/>
          <w:b/>
          <w:bCs/>
          <w:lang w:eastAsia="en-US"/>
        </w:rPr>
        <w:t xml:space="preserve"> fush</w:t>
      </w:r>
      <w:r w:rsidR="003443E2" w:rsidRPr="00CB13F7">
        <w:rPr>
          <w:rFonts w:eastAsia="Times New Roman"/>
          <w:b/>
          <w:bCs/>
          <w:lang w:eastAsia="en-US"/>
        </w:rPr>
        <w:t>ë</w:t>
      </w:r>
      <w:r w:rsidRPr="00CB13F7">
        <w:rPr>
          <w:rFonts w:eastAsia="Times New Roman"/>
          <w:b/>
          <w:bCs/>
          <w:lang w:eastAsia="en-US"/>
        </w:rPr>
        <w:t xml:space="preserve">n </w:t>
      </w:r>
      <w:r w:rsidR="00513644" w:rsidRPr="00CB13F7">
        <w:rPr>
          <w:rFonts w:eastAsia="Times New Roman"/>
          <w:b/>
          <w:bCs/>
          <w:lang w:eastAsia="en-US"/>
        </w:rPr>
        <w:t>e pjes</w:t>
      </w:r>
      <w:r w:rsidR="003443E2" w:rsidRPr="00CB13F7">
        <w:rPr>
          <w:rFonts w:eastAsia="Times New Roman"/>
          <w:b/>
          <w:bCs/>
          <w:lang w:eastAsia="en-US"/>
        </w:rPr>
        <w:t>ë</w:t>
      </w:r>
      <w:r w:rsidR="00513644" w:rsidRPr="00CB13F7">
        <w:rPr>
          <w:rFonts w:eastAsia="Times New Roman"/>
          <w:b/>
          <w:bCs/>
          <w:lang w:eastAsia="en-US"/>
        </w:rPr>
        <w:t>marrjes</w:t>
      </w:r>
    </w:p>
    <w:p w14:paraId="0400C926" w14:textId="27C3EAD7" w:rsidR="00513644" w:rsidRPr="00CB13F7" w:rsidRDefault="00513644" w:rsidP="004E4604">
      <w:pPr>
        <w:spacing w:before="120" w:after="120" w:line="276" w:lineRule="auto"/>
        <w:jc w:val="both"/>
        <w:rPr>
          <w:rFonts w:eastAsia="Times New Roman"/>
          <w:b/>
          <w:bCs/>
          <w:lang w:eastAsia="en-US"/>
        </w:rPr>
      </w:pPr>
      <w:r w:rsidRPr="00CB13F7">
        <w:rPr>
          <w:rFonts w:eastAsia="Times New Roman"/>
          <w:b/>
          <w:bCs/>
          <w:lang w:eastAsia="en-US"/>
        </w:rPr>
        <w:t>3.7.1</w:t>
      </w:r>
      <w:r w:rsidR="0060677F" w:rsidRPr="00CB13F7">
        <w:rPr>
          <w:rFonts w:eastAsia="Times New Roman"/>
          <w:b/>
          <w:bCs/>
          <w:lang w:eastAsia="en-US"/>
        </w:rPr>
        <w:t xml:space="preserve"> </w:t>
      </w:r>
      <w:r w:rsidRPr="00CB13F7">
        <w:rPr>
          <w:rFonts w:eastAsia="Times New Roman"/>
          <w:b/>
          <w:bCs/>
          <w:lang w:eastAsia="en-US"/>
        </w:rPr>
        <w:t>Pjes</w:t>
      </w:r>
      <w:r w:rsidR="003443E2" w:rsidRPr="00CB13F7">
        <w:rPr>
          <w:rFonts w:eastAsia="Times New Roman"/>
          <w:b/>
          <w:bCs/>
          <w:lang w:eastAsia="en-US"/>
        </w:rPr>
        <w:t>ë</w:t>
      </w:r>
      <w:r w:rsidRPr="00CB13F7">
        <w:rPr>
          <w:rFonts w:eastAsia="Times New Roman"/>
          <w:b/>
          <w:bCs/>
          <w:lang w:eastAsia="en-US"/>
        </w:rPr>
        <w:t>marrja n</w:t>
      </w:r>
      <w:r w:rsidR="003443E2" w:rsidRPr="00CB13F7">
        <w:rPr>
          <w:rFonts w:eastAsia="Times New Roman"/>
          <w:b/>
          <w:bCs/>
          <w:lang w:eastAsia="en-US"/>
        </w:rPr>
        <w:t>ë</w:t>
      </w:r>
      <w:r w:rsidRPr="00CB13F7">
        <w:rPr>
          <w:rFonts w:eastAsia="Times New Roman"/>
          <w:b/>
          <w:bCs/>
          <w:lang w:eastAsia="en-US"/>
        </w:rPr>
        <w:t xml:space="preserve"> jet</w:t>
      </w:r>
      <w:r w:rsidR="003443E2" w:rsidRPr="00CB13F7">
        <w:rPr>
          <w:rFonts w:eastAsia="Times New Roman"/>
          <w:b/>
          <w:bCs/>
          <w:lang w:eastAsia="en-US"/>
        </w:rPr>
        <w:t>ë</w:t>
      </w:r>
      <w:r w:rsidRPr="00CB13F7">
        <w:rPr>
          <w:rFonts w:eastAsia="Times New Roman"/>
          <w:b/>
          <w:bCs/>
          <w:lang w:eastAsia="en-US"/>
        </w:rPr>
        <w:t>n politike</w:t>
      </w:r>
    </w:p>
    <w:p w14:paraId="2D316530" w14:textId="69006A98"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Gjatë zbatimit të Planit Kombëtar të Veprimit 2021</w:t>
      </w:r>
      <w:r w:rsidR="0060677F" w:rsidRPr="00CB13F7">
        <w:rPr>
          <w:rFonts w:eastAsia="Times New Roman"/>
          <w:lang w:eastAsia="en-US"/>
        </w:rPr>
        <w:t>-</w:t>
      </w:r>
      <w:r w:rsidRPr="00CB13F7">
        <w:rPr>
          <w:rFonts w:eastAsia="Times New Roman"/>
          <w:lang w:eastAsia="en-US"/>
        </w:rPr>
        <w:t xml:space="preserve">2025 janë ndërmarrë hapa të rëndësishëm për të garantuar ushtrimin e së drejtës së votës nga personat me aftësi të kufizuara. Procesi zgjedhor i vitit 2025 përfaqëson për herë të parë një përpjekje më të strukturuar institucionale për të adresuar aksesin në votim. Komisioni Qendror i Zgjedhjeve hartoi një program të veçantë për edukimin dhe ndërgjegjësimin e zgjedhësve me aftësi të kufizuara, i cili </w:t>
      </w:r>
      <w:r w:rsidR="0060677F" w:rsidRPr="00CB13F7">
        <w:rPr>
          <w:rFonts w:eastAsia="Times New Roman"/>
          <w:lang w:eastAsia="en-US"/>
        </w:rPr>
        <w:t xml:space="preserve">synoi </w:t>
      </w:r>
      <w:r w:rsidRPr="00CB13F7">
        <w:rPr>
          <w:rFonts w:eastAsia="Times New Roman"/>
          <w:lang w:eastAsia="en-US"/>
        </w:rPr>
        <w:t>informimin dhe krijimin e kushteve reale për ushtrimin e të drejtës së votës</w:t>
      </w:r>
      <w:r w:rsidR="0060677F" w:rsidRPr="00CB13F7">
        <w:rPr>
          <w:rFonts w:eastAsia="Times New Roman"/>
          <w:lang w:eastAsia="en-US"/>
        </w:rPr>
        <w:t>.</w:t>
      </w:r>
      <w:r w:rsidRPr="00CB13F7">
        <w:rPr>
          <w:rFonts w:eastAsia="Times New Roman"/>
          <w:lang w:eastAsia="en-US"/>
        </w:rPr>
        <w:t xml:space="preserve"> </w:t>
      </w:r>
    </w:p>
    <w:p w14:paraId="5B03A69F" w14:textId="2172715D"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Fushata informuese u përshtat në gjuhën e shenjave, u prodhuan materiale audiovizive të aksesueshme, 5,500 postera sensibilizues u vendosën në qendrat e votimit dhe u zhvilluan takime informuese në të gjithë vendin</w:t>
      </w:r>
      <w:r w:rsidR="000F30A4" w:rsidRPr="00CB13F7">
        <w:rPr>
          <w:rFonts w:eastAsia="Times New Roman"/>
          <w:lang w:eastAsia="en-US"/>
        </w:rPr>
        <w:t>.</w:t>
      </w:r>
      <w:r w:rsidRPr="00CB13F7">
        <w:rPr>
          <w:rFonts w:eastAsia="Times New Roman"/>
          <w:lang w:eastAsia="en-US"/>
        </w:rPr>
        <w:t xml:space="preserve"> </w:t>
      </w:r>
    </w:p>
    <w:p w14:paraId="361C06D7" w14:textId="1AE5754C"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Një arritje e rëndësishme ishte përdorimi i fletës së votimit në alfabetin Braille, që mundësoi votim të pavarur për personat që nuk shohin. Po ashtu, faqja zyrtare e KQZ u bë e aksesueshme dhe administrata zgjedhore u trajnua për të adresuar nevojat specifike të votuesve me aftësi të kufizuara. Janë ndërmarrë masa për zhvendosjen e qendrave të votimit në kate përdhe</w:t>
      </w:r>
      <w:r w:rsidR="000F30A4" w:rsidRPr="00CB13F7">
        <w:rPr>
          <w:rFonts w:eastAsia="Times New Roman"/>
          <w:lang w:eastAsia="en-US"/>
        </w:rPr>
        <w:t>se</w:t>
      </w:r>
      <w:r w:rsidRPr="00CB13F7">
        <w:rPr>
          <w:rFonts w:eastAsia="Times New Roman"/>
          <w:lang w:eastAsia="en-US"/>
        </w:rPr>
        <w:t xml:space="preserve"> kur </w:t>
      </w:r>
      <w:r w:rsidR="000F30A4" w:rsidRPr="00CB13F7">
        <w:rPr>
          <w:rFonts w:eastAsia="Times New Roman"/>
          <w:lang w:eastAsia="en-US"/>
        </w:rPr>
        <w:t xml:space="preserve">ishte </w:t>
      </w:r>
      <w:r w:rsidRPr="00CB13F7">
        <w:rPr>
          <w:rFonts w:eastAsia="Times New Roman"/>
          <w:lang w:eastAsia="en-US"/>
        </w:rPr>
        <w:t>e nevojshme dhe janë përdorur të dhënat për planifikimin paraprak të aksesueshmërisë</w:t>
      </w:r>
      <w:r w:rsidR="000F30A4" w:rsidRPr="00CB13F7">
        <w:rPr>
          <w:rFonts w:eastAsia="Times New Roman"/>
          <w:lang w:eastAsia="en-US"/>
        </w:rPr>
        <w:t>.</w:t>
      </w:r>
      <w:r w:rsidRPr="00CB13F7">
        <w:rPr>
          <w:rFonts w:eastAsia="Times New Roman"/>
          <w:lang w:eastAsia="en-US"/>
        </w:rPr>
        <w:t xml:space="preserve"> </w:t>
      </w:r>
    </w:p>
    <w:p w14:paraId="6DAEC1B7" w14:textId="4F8DE406" w:rsidR="00CE0A90" w:rsidRPr="00CB13F7" w:rsidRDefault="564F0E3A" w:rsidP="004E4604">
      <w:pPr>
        <w:spacing w:before="120" w:after="120" w:line="276" w:lineRule="auto"/>
        <w:jc w:val="both"/>
        <w:rPr>
          <w:rFonts w:eastAsia="Times New Roman"/>
          <w:lang w:eastAsia="en-US"/>
        </w:rPr>
      </w:pPr>
      <w:r w:rsidRPr="00CB13F7">
        <w:rPr>
          <w:rFonts w:eastAsia="Times New Roman"/>
          <w:lang w:eastAsia="en-US"/>
        </w:rPr>
        <w:t>Megjithatë, progresi i arritur ka qenë kryesisht në nivel zbatimi praktik, ndërsa dimensioni sistemik mbetet i paadresuar plotësisht. Kodi Zgjedhor nuk parashikon ende në mënyrë të qartë forma alternative votimi, si votimi nga banesa, me postë apo në mënyrë elektronike, për personat që nuk mund të paraqiten fizikisht në qendrën e votimit. Një pjesë e konsiderueshme e qendrave të votimit vijo</w:t>
      </w:r>
      <w:r w:rsidR="5DB38C78" w:rsidRPr="00CB13F7">
        <w:rPr>
          <w:rFonts w:eastAsia="Times New Roman"/>
          <w:lang w:eastAsia="en-US"/>
        </w:rPr>
        <w:t>j</w:t>
      </w:r>
      <w:r w:rsidRPr="00CB13F7">
        <w:rPr>
          <w:rFonts w:eastAsia="Times New Roman"/>
          <w:lang w:eastAsia="en-US"/>
        </w:rPr>
        <w:t>n</w:t>
      </w:r>
      <w:r w:rsidR="2E39BF56" w:rsidRPr="00CB13F7">
        <w:rPr>
          <w:rFonts w:eastAsia="Times New Roman"/>
          <w:lang w:eastAsia="en-US"/>
        </w:rPr>
        <w:t>ë</w:t>
      </w:r>
      <w:r w:rsidRPr="00CB13F7">
        <w:rPr>
          <w:rFonts w:eastAsia="Times New Roman"/>
          <w:lang w:eastAsia="en-US"/>
        </w:rPr>
        <w:t xml:space="preserve"> të je</w:t>
      </w:r>
      <w:r w:rsidR="797C4A63" w:rsidRPr="00CB13F7">
        <w:rPr>
          <w:rFonts w:eastAsia="Times New Roman"/>
          <w:lang w:eastAsia="en-US"/>
        </w:rPr>
        <w:t>n</w:t>
      </w:r>
      <w:r w:rsidRPr="00CB13F7">
        <w:rPr>
          <w:rFonts w:eastAsia="Times New Roman"/>
          <w:lang w:eastAsia="en-US"/>
        </w:rPr>
        <w:t>ë fizikisht të paarritshme, ndërsa mbledhja dhe raportimi i të dhënave mbi aksesueshmërinë nuk realizohet sipas një standardi të unifikuar ndërinstitucional. Gjithashtu, nuk është evidentuar përparim në drejtim të rritjes së përfaqësimit të personave me aftësi të kufizuara në këshillat bashkiakë përmes mekanizmave të kuotave.</w:t>
      </w:r>
    </w:p>
    <w:p w14:paraId="47EE7419" w14:textId="2847CAFF" w:rsidR="00E90A3B" w:rsidRPr="00CB13F7" w:rsidRDefault="00E90A3B" w:rsidP="00E4350C">
      <w:pPr>
        <w:jc w:val="both"/>
        <w:rPr>
          <w:rFonts w:eastAsia="Times New Roman"/>
          <w:lang w:eastAsia="en-US"/>
        </w:rPr>
      </w:pPr>
      <w:r w:rsidRPr="00CB13F7">
        <w:rPr>
          <w:rFonts w:eastAsia="Times New Roman"/>
          <w:lang w:eastAsia="en-US"/>
        </w:rPr>
        <w:t>Në thelb, periudha 2021</w:t>
      </w:r>
      <w:r w:rsidR="000F30A4" w:rsidRPr="00CB13F7">
        <w:rPr>
          <w:rFonts w:eastAsia="Times New Roman"/>
          <w:lang w:eastAsia="en-US"/>
        </w:rPr>
        <w:t>-</w:t>
      </w:r>
      <w:r w:rsidRPr="00CB13F7">
        <w:rPr>
          <w:rFonts w:eastAsia="Times New Roman"/>
          <w:lang w:eastAsia="en-US"/>
        </w:rPr>
        <w:t xml:space="preserve">2025 ka përmirësuar aksesin në informacion dhe ndërgjegjësim për votimin, por nuk ka garantuar ende akses universal në ushtrimin e </w:t>
      </w:r>
      <w:r w:rsidR="000F30A4" w:rsidRPr="00CB13F7">
        <w:rPr>
          <w:rFonts w:eastAsia="Times New Roman"/>
          <w:lang w:eastAsia="en-US"/>
        </w:rPr>
        <w:t xml:space="preserve">kësaj të drejte </w:t>
      </w:r>
      <w:r w:rsidRPr="00CB13F7">
        <w:rPr>
          <w:rFonts w:eastAsia="Times New Roman"/>
          <w:lang w:eastAsia="en-US"/>
        </w:rPr>
        <w:t>politike.</w:t>
      </w:r>
    </w:p>
    <w:p w14:paraId="21E8BEA6" w14:textId="6543521B"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P</w:t>
      </w:r>
      <w:r w:rsidR="2405D548" w:rsidRPr="00CB13F7">
        <w:rPr>
          <w:rFonts w:eastAsia="Times New Roman"/>
          <w:lang w:eastAsia="en-US"/>
        </w:rPr>
        <w:t>KVPAK</w:t>
      </w:r>
      <w:r w:rsidRPr="00CB13F7">
        <w:rPr>
          <w:rFonts w:eastAsia="Times New Roman"/>
          <w:lang w:eastAsia="en-US"/>
        </w:rPr>
        <w:t>2026</w:t>
      </w:r>
      <w:r w:rsidR="564F0E3A" w:rsidRPr="00CB13F7">
        <w:rPr>
          <w:rFonts w:eastAsia="Times New Roman"/>
          <w:lang w:eastAsia="en-US"/>
        </w:rPr>
        <w:t>-</w:t>
      </w:r>
      <w:r w:rsidRPr="00CB13F7">
        <w:rPr>
          <w:rFonts w:eastAsia="Times New Roman"/>
          <w:lang w:eastAsia="en-US"/>
        </w:rPr>
        <w:t>2030 do të kalojë nga masa lehtësuese drejt garantimit ligjor të së drejtës së votës. Ai duhet të përfshijë ndryshime në Kodin Zgjedhor për forma alternative votimi, standarde të detyrueshme për aksesueshmërinë e qendrave të votimit, sistem kombëtar raportimi për aksesueshmërinë, trajnime të detyrueshme për administratën zgjedhore dhe mekanizma për përfaqësim real politik, përfshirë nxitjen e kandidimit dhe pjesëmarrjes në organet vendimmarrëse.</w:t>
      </w:r>
    </w:p>
    <w:p w14:paraId="4172A1A8" w14:textId="5153A119"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3.7.2</w:t>
      </w:r>
      <w:r w:rsidR="000F30A4" w:rsidRPr="00CB13F7">
        <w:rPr>
          <w:rFonts w:eastAsia="Times New Roman"/>
          <w:b/>
          <w:bCs/>
          <w:lang w:eastAsia="en-US"/>
        </w:rPr>
        <w:t xml:space="preserve"> </w:t>
      </w:r>
      <w:r w:rsidRPr="00CB13F7">
        <w:rPr>
          <w:rFonts w:eastAsia="Times New Roman"/>
          <w:b/>
          <w:bCs/>
          <w:lang w:eastAsia="en-US"/>
        </w:rPr>
        <w:t>Pjesëmarrja</w:t>
      </w:r>
      <w:r w:rsidR="00E90A3B" w:rsidRPr="00CB13F7">
        <w:rPr>
          <w:rFonts w:eastAsia="Times New Roman"/>
          <w:b/>
          <w:bCs/>
          <w:lang w:eastAsia="en-US"/>
        </w:rPr>
        <w:t xml:space="preserve"> në jetën artistike dhe kulturore</w:t>
      </w:r>
    </w:p>
    <w:p w14:paraId="65B080DF" w14:textId="49CB55F9"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fushën e kulturës, periudha 2021</w:t>
      </w:r>
      <w:r w:rsidR="000F30A4" w:rsidRPr="00CB13F7">
        <w:rPr>
          <w:rFonts w:eastAsia="Times New Roman"/>
          <w:lang w:eastAsia="en-US"/>
        </w:rPr>
        <w:t>-</w:t>
      </w:r>
      <w:r w:rsidRPr="00CB13F7">
        <w:rPr>
          <w:rFonts w:eastAsia="Times New Roman"/>
          <w:lang w:eastAsia="en-US"/>
        </w:rPr>
        <w:t xml:space="preserve">2025 shënon një rritje të ndërgjegjësimit institucional dhe mbështetjes financiare për aktivitetet kulturore që përfshijnë personat me aftësi të kufizuara. </w:t>
      </w:r>
      <w:r w:rsidRPr="00CB13F7">
        <w:rPr>
          <w:rFonts w:eastAsia="Times New Roman"/>
          <w:lang w:eastAsia="en-US"/>
        </w:rPr>
        <w:lastRenderedPageBreak/>
        <w:t xml:space="preserve">Ndryshimet në </w:t>
      </w:r>
      <w:r w:rsidR="000F30A4" w:rsidRPr="00CB13F7">
        <w:rPr>
          <w:rFonts w:eastAsia="Times New Roman"/>
          <w:lang w:eastAsia="en-US"/>
        </w:rPr>
        <w:t xml:space="preserve">Ligjin </w:t>
      </w:r>
      <w:r w:rsidRPr="00CB13F7">
        <w:rPr>
          <w:rFonts w:eastAsia="Times New Roman"/>
          <w:lang w:eastAsia="en-US"/>
        </w:rPr>
        <w:t xml:space="preserve">për të </w:t>
      </w:r>
      <w:r w:rsidR="000F30A4" w:rsidRPr="00CB13F7">
        <w:rPr>
          <w:rFonts w:eastAsia="Times New Roman"/>
          <w:lang w:eastAsia="en-US"/>
        </w:rPr>
        <w:t xml:space="preserve">Drejtën </w:t>
      </w:r>
      <w:r w:rsidRPr="00CB13F7">
        <w:rPr>
          <w:rFonts w:eastAsia="Times New Roman"/>
          <w:lang w:eastAsia="en-US"/>
        </w:rPr>
        <w:t xml:space="preserve">e </w:t>
      </w:r>
      <w:r w:rsidR="000F30A4" w:rsidRPr="00CB13F7">
        <w:rPr>
          <w:rFonts w:eastAsia="Times New Roman"/>
          <w:lang w:eastAsia="en-US"/>
        </w:rPr>
        <w:t xml:space="preserve">Autorit </w:t>
      </w:r>
      <w:r w:rsidRPr="00CB13F7">
        <w:rPr>
          <w:rFonts w:eastAsia="Times New Roman"/>
          <w:lang w:eastAsia="en-US"/>
        </w:rPr>
        <w:t>përafruan legjislacionin me standardet e Bashkimit Evropian dhe krijuan mundësi për publikimin e librave dhe materialeve në formate të aksesueshme për personat e verbër</w:t>
      </w:r>
      <w:r w:rsidR="000F30A4" w:rsidRPr="00CB13F7">
        <w:rPr>
          <w:rFonts w:eastAsia="Times New Roman"/>
          <w:lang w:eastAsia="en-US"/>
        </w:rPr>
        <w:t>.</w:t>
      </w:r>
      <w:r w:rsidRPr="00CB13F7">
        <w:rPr>
          <w:rFonts w:eastAsia="Times New Roman"/>
          <w:lang w:eastAsia="en-US"/>
        </w:rPr>
        <w:t xml:space="preserve"> </w:t>
      </w:r>
    </w:p>
    <w:p w14:paraId="3F4CD8DB" w14:textId="1DFAFD03"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Institucionet kulturore organizuan aktivitete gjithëpërfshirëse dhe programe edukimi përmes artit. Në periudhën 2024</w:t>
      </w:r>
      <w:r w:rsidR="000F30A4" w:rsidRPr="00CB13F7">
        <w:rPr>
          <w:rFonts w:eastAsia="Times New Roman"/>
          <w:lang w:eastAsia="en-US"/>
        </w:rPr>
        <w:t>-</w:t>
      </w:r>
      <w:r w:rsidRPr="00CB13F7">
        <w:rPr>
          <w:rFonts w:eastAsia="Times New Roman"/>
          <w:lang w:eastAsia="en-US"/>
        </w:rPr>
        <w:t xml:space="preserve">2025, në institucionet kulturore kombëtare morën pjesë 51 persona me aftësi të kufizuara në programe edukimi dhe 697 si vizitorë. </w:t>
      </w:r>
    </w:p>
    <w:p w14:paraId="02282E57" w14:textId="60A5CCC4"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 xml:space="preserve">U financuan projekte artistike të dedikuara dhe aktivitetet në muze, teatro dhe institucione kulturore u ofruan falas për fëmijët me aftësi të kufizuara Megjithatë, pjesëmarrja mbetet e </w:t>
      </w:r>
      <w:r w:rsidR="564F0E3A" w:rsidRPr="00CB13F7">
        <w:rPr>
          <w:rFonts w:eastAsia="Times New Roman"/>
          <w:lang w:eastAsia="en-US"/>
        </w:rPr>
        <w:t xml:space="preserve">ulët </w:t>
      </w:r>
      <w:r w:rsidRPr="00CB13F7">
        <w:rPr>
          <w:rFonts w:eastAsia="Times New Roman"/>
          <w:lang w:eastAsia="en-US"/>
        </w:rPr>
        <w:t>dhe shpesh e varur nga projekte të përkohshme. Nuk ekziston një program i qëndrueshëm kombëtar për kulturën gjithëpërfshirëse dhe bashkëpunimi institucional me organizatat e personave me aftësi të kufizuara mbetet sporadik. Sistemi statistikor kulturor nuk gjeneron të dhëna të rregullta për pjesëmarrjen dhe aksesueshmëria fizike dhe në informacion në institucionet kulturore mbetet e pjesshme</w:t>
      </w:r>
      <w:r w:rsidR="564F0E3A" w:rsidRPr="00CB13F7">
        <w:rPr>
          <w:rFonts w:eastAsia="Times New Roman"/>
          <w:lang w:eastAsia="en-US"/>
        </w:rPr>
        <w:t>.</w:t>
      </w:r>
      <w:r w:rsidRPr="00CB13F7">
        <w:rPr>
          <w:rFonts w:eastAsia="Times New Roman"/>
          <w:lang w:eastAsia="en-US"/>
        </w:rPr>
        <w:t xml:space="preserve"> </w:t>
      </w:r>
    </w:p>
    <w:p w14:paraId="5A867ED8" w14:textId="53AD6CDE"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P</w:t>
      </w:r>
      <w:r w:rsidR="6CCE93DC" w:rsidRPr="00CB13F7">
        <w:rPr>
          <w:rFonts w:eastAsia="Times New Roman"/>
          <w:lang w:eastAsia="en-US"/>
        </w:rPr>
        <w:t>KVPAK</w:t>
      </w:r>
      <w:r w:rsidRPr="00CB13F7">
        <w:rPr>
          <w:rFonts w:eastAsia="Times New Roman"/>
          <w:lang w:eastAsia="en-US"/>
        </w:rPr>
        <w:t>2026</w:t>
      </w:r>
      <w:r w:rsidR="564F0E3A" w:rsidRPr="00CB13F7">
        <w:rPr>
          <w:rFonts w:eastAsia="Times New Roman"/>
          <w:lang w:eastAsia="en-US"/>
        </w:rPr>
        <w:t>-</w:t>
      </w:r>
      <w:r w:rsidRPr="00CB13F7">
        <w:rPr>
          <w:rFonts w:eastAsia="Times New Roman"/>
          <w:lang w:eastAsia="en-US"/>
        </w:rPr>
        <w:t xml:space="preserve">2030 </w:t>
      </w:r>
      <w:r w:rsidR="564F0E3A" w:rsidRPr="00CB13F7">
        <w:rPr>
          <w:rFonts w:eastAsia="Times New Roman"/>
          <w:lang w:eastAsia="en-US"/>
        </w:rPr>
        <w:t>synon</w:t>
      </w:r>
      <w:r w:rsidRPr="00CB13F7">
        <w:rPr>
          <w:rFonts w:eastAsia="Times New Roman"/>
          <w:lang w:eastAsia="en-US"/>
        </w:rPr>
        <w:t xml:space="preserve"> të institucionalizojë kulturën gjithëpërfshirëse. Ai </w:t>
      </w:r>
      <w:r w:rsidR="564F0E3A" w:rsidRPr="00CB13F7">
        <w:rPr>
          <w:rFonts w:eastAsia="Times New Roman"/>
          <w:lang w:eastAsia="en-US"/>
        </w:rPr>
        <w:t xml:space="preserve">do </w:t>
      </w:r>
      <w:r w:rsidRPr="00CB13F7">
        <w:rPr>
          <w:rFonts w:eastAsia="Times New Roman"/>
          <w:lang w:eastAsia="en-US"/>
        </w:rPr>
        <w:t>të përfshijë standarde të detyrueshme aksesueshmërie për institucionet kulturore, financim të dedikuar për krijimtarinë artistike të personave me aftësi të kufizuara, programe të edukimit kulturor, akses në libra dhe informacion në formate të aksesueshme dhe një sistem të rregullt monitorimi statistikor të pjesëmarrjes kulturore.</w:t>
      </w:r>
    </w:p>
    <w:p w14:paraId="13357134" w14:textId="6ED7D5B1"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3.7.3</w:t>
      </w:r>
      <w:r w:rsidR="000F30A4" w:rsidRPr="00CB13F7">
        <w:rPr>
          <w:rFonts w:eastAsia="Times New Roman"/>
          <w:b/>
          <w:bCs/>
          <w:lang w:eastAsia="en-US"/>
        </w:rPr>
        <w:t xml:space="preserve"> </w:t>
      </w:r>
      <w:r w:rsidRPr="00CB13F7">
        <w:rPr>
          <w:rFonts w:eastAsia="Times New Roman"/>
          <w:b/>
          <w:bCs/>
          <w:lang w:eastAsia="en-US"/>
        </w:rPr>
        <w:t>Pjesëmarrja</w:t>
      </w:r>
      <w:r w:rsidR="00E90A3B" w:rsidRPr="00CB13F7">
        <w:rPr>
          <w:rFonts w:eastAsia="Times New Roman"/>
          <w:b/>
          <w:bCs/>
          <w:lang w:eastAsia="en-US"/>
        </w:rPr>
        <w:t xml:space="preserve"> në sport</w:t>
      </w:r>
      <w:r w:rsidR="00513644" w:rsidRPr="00CB13F7">
        <w:rPr>
          <w:rFonts w:eastAsia="Times New Roman"/>
          <w:b/>
          <w:bCs/>
          <w:lang w:eastAsia="en-US"/>
        </w:rPr>
        <w:t>e</w:t>
      </w:r>
      <w:r w:rsidR="00E90A3B" w:rsidRPr="00CB13F7">
        <w:rPr>
          <w:rFonts w:eastAsia="Times New Roman"/>
          <w:b/>
          <w:bCs/>
          <w:lang w:eastAsia="en-US"/>
        </w:rPr>
        <w:t xml:space="preserve"> dhe aktivitete rekreative</w:t>
      </w:r>
    </w:p>
    <w:p w14:paraId="04448B38" w14:textId="25DCFC69"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fushën e sportit, arritja më e rëndësishme e periudhës 2021</w:t>
      </w:r>
      <w:r w:rsidR="000F30A4" w:rsidRPr="00CB13F7">
        <w:rPr>
          <w:rFonts w:eastAsia="Times New Roman"/>
          <w:lang w:eastAsia="en-US"/>
        </w:rPr>
        <w:t>-</w:t>
      </w:r>
      <w:r w:rsidRPr="00CB13F7">
        <w:rPr>
          <w:rFonts w:eastAsia="Times New Roman"/>
          <w:lang w:eastAsia="en-US"/>
        </w:rPr>
        <w:t xml:space="preserve">2025 është ndryshimi i ligjit “Për sportin”, i cili njohu për herë të parë Komitetin </w:t>
      </w:r>
      <w:r w:rsidR="00570186" w:rsidRPr="00CB13F7">
        <w:rPr>
          <w:rFonts w:eastAsia="Times New Roman"/>
          <w:lang w:eastAsia="en-US"/>
        </w:rPr>
        <w:t>Paraolimpik</w:t>
      </w:r>
      <w:r w:rsidRPr="00CB13F7">
        <w:rPr>
          <w:rFonts w:eastAsia="Times New Roman"/>
          <w:lang w:eastAsia="en-US"/>
        </w:rPr>
        <w:t xml:space="preserve"> Shqiptar dhe Lëvizjen Speciale Olimpike si struktura të pavarura dhe me financim shtetëror.</w:t>
      </w:r>
      <w:r w:rsidR="001771D3" w:rsidRPr="00CB13F7">
        <w:rPr>
          <w:rFonts w:eastAsia="Times New Roman"/>
          <w:lang w:eastAsia="en-US"/>
        </w:rPr>
        <w:t xml:space="preserve"> </w:t>
      </w:r>
      <w:r w:rsidRPr="00CB13F7">
        <w:rPr>
          <w:rFonts w:eastAsia="Times New Roman"/>
          <w:lang w:eastAsia="en-US"/>
        </w:rPr>
        <w:t>Ky zhvillim përfaqëson një hap të rëndësishëm drejt institucionalizimit të sportit për personat me aftësi të kufizuara dhe drejt përfaqësimit ndërkombëtar.</w:t>
      </w:r>
    </w:p>
    <w:p w14:paraId="549DA714"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Gjatë periudhës së monitorimit, janë zhvilluar disa aktivitete sportive dhe projekte promovuese me pjesëmarrjen e sportistëve me aftësi të kufizuara, përfshirë iniciativa rajonale dhe bashkëpunime ndërkombëtare. Megjithatë, pjesëmarrja mbetet e kufizuar në numër dhe e varur nga projekte të veçuara. Problemi kryesor mbetet infrastruktura. Nuk ka terrene sportive të dedikuara apo të aksesueshme falas për stërvitje dhe shumica e ambienteve sportive nuk plotësojnë standardet e aksesueshmërisë. Nuk ka pasur përfaqësim të personave me aftësi të kufizuara në organet drejtuese sportive dhe as mbështetje për pjesëmarrje në aktivitete ndërkombëtare.</w:t>
      </w:r>
    </w:p>
    <w:p w14:paraId="3846C408" w14:textId="63C3274E"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Plani i ri do të kalojë nga njohja ligjore drejt zhvillimit real të sportit para</w:t>
      </w:r>
      <w:r w:rsidR="00513644" w:rsidRPr="00CB13F7">
        <w:rPr>
          <w:rFonts w:eastAsia="Times New Roman"/>
          <w:lang w:eastAsia="en-US"/>
        </w:rPr>
        <w:t>o</w:t>
      </w:r>
      <w:r w:rsidRPr="00CB13F7">
        <w:rPr>
          <w:rFonts w:eastAsia="Times New Roman"/>
          <w:lang w:eastAsia="en-US"/>
        </w:rPr>
        <w:t>limpik. Ai duhet të përfshijë financim të qëndrueshëm për sportin dhe personat me aftësi së kufizuar, standarde të detyrueshme aksesueshmërie për të gjitha terrenet sportive, programe sportive në shkolla dhe komunitet, mbështetje për pjesëmarrjen ndërkombëtare dhe përfaqësim në strukturat drejtuese sportive.</w:t>
      </w:r>
    </w:p>
    <w:p w14:paraId="0DDB39B5" w14:textId="25E92635"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3.8</w:t>
      </w:r>
      <w:r w:rsidR="00D45BF7" w:rsidRPr="00CB13F7">
        <w:rPr>
          <w:rFonts w:eastAsia="Times New Roman"/>
          <w:b/>
          <w:bCs/>
          <w:lang w:eastAsia="en-US"/>
        </w:rPr>
        <w:t xml:space="preserve"> </w:t>
      </w:r>
      <w:r w:rsidRPr="00CB13F7">
        <w:rPr>
          <w:rFonts w:eastAsia="Times New Roman"/>
          <w:b/>
          <w:bCs/>
          <w:lang w:eastAsia="en-US"/>
        </w:rPr>
        <w:t>Analizë</w:t>
      </w:r>
      <w:r w:rsidR="00513644" w:rsidRPr="00CB13F7">
        <w:rPr>
          <w:rFonts w:eastAsia="Times New Roman"/>
          <w:b/>
          <w:bCs/>
          <w:lang w:eastAsia="en-US"/>
        </w:rPr>
        <w:t xml:space="preserve"> e gjendjes aktuale n</w:t>
      </w:r>
      <w:r w:rsidR="003443E2" w:rsidRPr="00CB13F7">
        <w:rPr>
          <w:rFonts w:eastAsia="Times New Roman"/>
          <w:b/>
          <w:bCs/>
          <w:lang w:eastAsia="en-US"/>
        </w:rPr>
        <w:t>ë</w:t>
      </w:r>
      <w:r w:rsidR="00513644" w:rsidRPr="00CB13F7">
        <w:rPr>
          <w:rFonts w:eastAsia="Times New Roman"/>
          <w:b/>
          <w:bCs/>
          <w:lang w:eastAsia="en-US"/>
        </w:rPr>
        <w:t xml:space="preserve"> fush</w:t>
      </w:r>
      <w:r w:rsidR="003443E2" w:rsidRPr="00CB13F7">
        <w:rPr>
          <w:rFonts w:eastAsia="Times New Roman"/>
          <w:b/>
          <w:bCs/>
          <w:lang w:eastAsia="en-US"/>
        </w:rPr>
        <w:t>ë</w:t>
      </w:r>
      <w:r w:rsidR="00513644" w:rsidRPr="00CB13F7">
        <w:rPr>
          <w:rFonts w:eastAsia="Times New Roman"/>
          <w:b/>
          <w:bCs/>
          <w:lang w:eastAsia="en-US"/>
        </w:rPr>
        <w:t>n e</w:t>
      </w:r>
      <w:r w:rsidR="00E90A3B" w:rsidRPr="00CB13F7">
        <w:rPr>
          <w:rFonts w:eastAsia="Times New Roman"/>
          <w:b/>
          <w:bCs/>
          <w:lang w:eastAsia="en-US"/>
        </w:rPr>
        <w:t xml:space="preserve"> bashkëpunimit </w:t>
      </w:r>
    </w:p>
    <w:p w14:paraId="2E417D37" w14:textId="3F366F8B"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lastRenderedPageBreak/>
        <w:t>Gjatë zbatimit të Planit Kombëtar të Veprimit për Personat me Aftësi të Kufizuara 2021</w:t>
      </w:r>
      <w:r w:rsidR="4D0AA30E" w:rsidRPr="00CB13F7">
        <w:rPr>
          <w:rFonts w:eastAsia="Times New Roman"/>
          <w:lang w:eastAsia="en-US"/>
        </w:rPr>
        <w:t>-</w:t>
      </w:r>
      <w:r w:rsidRPr="00CB13F7">
        <w:rPr>
          <w:rFonts w:eastAsia="Times New Roman"/>
          <w:lang w:eastAsia="en-US"/>
        </w:rPr>
        <w:t>2025 janë bërë përpjekje për të përmirësuar bashkëpunimin ndërinstitucional, veçanërisht ndërmjet institucioneve qendrore dhe bashkive. MSHMS ka organizuar takime periodike me njësitë e vetëqeverisjes vendore dhe me ministritë e linjës, si dhe ka përfshirë çështjet e aftësisë së kufizuar në mekanizma konsultativë ndërinstitucionalë dhe platforma dialogu. Në vitin 2025</w:t>
      </w:r>
      <w:r w:rsidR="4D0AA30E" w:rsidRPr="00CB13F7">
        <w:rPr>
          <w:rFonts w:eastAsia="Times New Roman"/>
          <w:lang w:eastAsia="en-US"/>
        </w:rPr>
        <w:t>,</w:t>
      </w:r>
      <w:r w:rsidRPr="00CB13F7">
        <w:rPr>
          <w:rFonts w:eastAsia="Times New Roman"/>
          <w:lang w:eastAsia="en-US"/>
        </w:rPr>
        <w:t xml:space="preserve"> u publikua udhërrëfyesi për njësitë vendore për shërbimet sociale, i cili orienton bashkitë në planifikimin dhe ofrimin e shërbimeve për personat me aftësi të kufizuara.</w:t>
      </w:r>
      <w:r w:rsidR="6309BE2C" w:rsidRPr="00CB13F7">
        <w:rPr>
          <w:rFonts w:eastAsia="Times New Roman"/>
          <w:lang w:eastAsia="en-US"/>
        </w:rPr>
        <w:t xml:space="preserve"> </w:t>
      </w:r>
      <w:r w:rsidRPr="00CB13F7">
        <w:rPr>
          <w:rFonts w:eastAsia="Times New Roman"/>
          <w:lang w:eastAsia="en-US"/>
        </w:rPr>
        <w:t>Gjithashtu, ndryshimet në legjislacionin e mbrojtjes sociale kanë përcaktuar më qartë ndërveprimin mes strukturave vendore dhe Shërbimit Social Shtetëror.</w:t>
      </w:r>
    </w:p>
    <w:p w14:paraId="01724446" w14:textId="4153432F"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Megjithatë, përfshirja e bashkive në zbatimin e politikave për aftësinë e kufizuar varet ende nga kapacitetet dhe prioritetet lokale. Shumë bashki kanë nevojë për mbështetje metodologjike të vazhdueshme, veçanërisht në vlerësimin e nevojave, planifikimin e buxhetit dhe investimet për realizimin e aksesueshmërisë. </w:t>
      </w:r>
      <w:r w:rsidR="00D45BF7" w:rsidRPr="00CB13F7">
        <w:rPr>
          <w:rFonts w:eastAsia="Times New Roman"/>
          <w:lang w:eastAsia="en-US"/>
        </w:rPr>
        <w:t>Duhet theksuar se</w:t>
      </w:r>
      <w:r w:rsidRPr="00CB13F7">
        <w:rPr>
          <w:rFonts w:eastAsia="Times New Roman"/>
          <w:lang w:eastAsia="en-US"/>
        </w:rPr>
        <w:t xml:space="preserve"> mungon një udhëzim i detyrueshëm për përfshirjen sistematike të organizatave të personave me aftësi të kufizuara në vendimmarrje.</w:t>
      </w:r>
    </w:p>
    <w:p w14:paraId="17B1EEF3" w14:textId="7D1F3310"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3.8.1</w:t>
      </w:r>
      <w:r w:rsidR="00D45BF7" w:rsidRPr="00CB13F7">
        <w:rPr>
          <w:rFonts w:eastAsia="Times New Roman"/>
          <w:b/>
          <w:bCs/>
          <w:lang w:eastAsia="en-US"/>
        </w:rPr>
        <w:t xml:space="preserve"> </w:t>
      </w:r>
      <w:r w:rsidRPr="00CB13F7">
        <w:rPr>
          <w:rFonts w:eastAsia="Times New Roman"/>
          <w:b/>
          <w:bCs/>
          <w:lang w:eastAsia="en-US"/>
        </w:rPr>
        <w:t>Përmirësimi</w:t>
      </w:r>
      <w:r w:rsidR="00E90A3B" w:rsidRPr="00CB13F7">
        <w:rPr>
          <w:rFonts w:eastAsia="Times New Roman"/>
          <w:b/>
          <w:bCs/>
          <w:lang w:eastAsia="en-US"/>
        </w:rPr>
        <w:t xml:space="preserve"> i funksionimit të mekanizmit kombëtar të koordinimit të politikave</w:t>
      </w:r>
    </w:p>
    <w:p w14:paraId="202898A0" w14:textId="32452F40"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Gjatë periudhës 2021</w:t>
      </w:r>
      <w:r w:rsidR="00D45BF7" w:rsidRPr="00CB13F7">
        <w:rPr>
          <w:rFonts w:eastAsia="Times New Roman"/>
          <w:lang w:eastAsia="en-US"/>
        </w:rPr>
        <w:t>-</w:t>
      </w:r>
      <w:r w:rsidRPr="00CB13F7">
        <w:rPr>
          <w:rFonts w:eastAsia="Times New Roman"/>
          <w:lang w:eastAsia="en-US"/>
        </w:rPr>
        <w:t xml:space="preserve">2025 është përmirësuar koordinimi horizontal ndërmjet institucioneve qendrore përmes funksionimit të Këshillit Kombëtar për Aftësinë e Kufizuar (KKAK), i cili shërben si platformë dialogu ndërmjet </w:t>
      </w:r>
      <w:r w:rsidR="00D45BF7" w:rsidRPr="00CB13F7">
        <w:rPr>
          <w:rFonts w:eastAsia="Times New Roman"/>
          <w:lang w:eastAsia="en-US"/>
        </w:rPr>
        <w:t xml:space="preserve"> institucioneve </w:t>
      </w:r>
      <w:r w:rsidRPr="00CB13F7">
        <w:rPr>
          <w:rFonts w:eastAsia="Times New Roman"/>
          <w:lang w:eastAsia="en-US"/>
        </w:rPr>
        <w:t>dhe organizatave të personave me aftësi të kufizuara. Janë zhvilluar katër mbledhje të Këshillit dhe monitorimi i Planit është kryer në bashkëpunim me ministritë e linjës. Po ashtu</w:t>
      </w:r>
      <w:r w:rsidR="00D45BF7" w:rsidRPr="00CB13F7">
        <w:rPr>
          <w:rFonts w:eastAsia="Times New Roman"/>
          <w:lang w:eastAsia="en-US"/>
        </w:rPr>
        <w:t>,</w:t>
      </w:r>
      <w:r w:rsidRPr="00CB13F7">
        <w:rPr>
          <w:rFonts w:eastAsia="Times New Roman"/>
          <w:lang w:eastAsia="en-US"/>
        </w:rPr>
        <w:t xml:space="preserve"> janë realizuar raportimet periodike për zbatimin e Konventës së OKB-së dhe është kryer analiza e legjislacionit për përafrimin me Aktin Evropian të Aksesueshmërisë</w:t>
      </w:r>
      <w:r w:rsidR="00D45BF7" w:rsidRPr="00CB13F7">
        <w:rPr>
          <w:rFonts w:eastAsia="Times New Roman"/>
          <w:lang w:eastAsia="en-US"/>
        </w:rPr>
        <w:t>.</w:t>
      </w:r>
      <w:r w:rsidRPr="00CB13F7">
        <w:rPr>
          <w:rFonts w:eastAsia="Times New Roman"/>
          <w:lang w:eastAsia="en-US"/>
        </w:rPr>
        <w:t xml:space="preserve"> </w:t>
      </w:r>
    </w:p>
    <w:p w14:paraId="507407E1" w14:textId="77777777"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 xml:space="preserve">Megjithatë, koordinimi funksionon më mirë në nivel qendror sesa në atë vendor dhe kapacitetet administrative për koordinimin e politikave mbeten të kufizuara. Numri i stafit përgjegjës për koordinimin e politikave për aftësinë e kufizuar është i pamjaftueshëm për të përmbushur këtë rol në mënyrë </w:t>
      </w:r>
      <w:r w:rsidR="00570186" w:rsidRPr="00CB13F7">
        <w:rPr>
          <w:rFonts w:eastAsia="Times New Roman"/>
          <w:lang w:eastAsia="en-US"/>
        </w:rPr>
        <w:t>efektive. Për</w:t>
      </w:r>
      <w:r w:rsidRPr="00CB13F7">
        <w:rPr>
          <w:rFonts w:eastAsia="Times New Roman"/>
          <w:lang w:eastAsia="en-US"/>
        </w:rPr>
        <w:t xml:space="preserve"> pasojë, shumë politika mbeten sektoriale dhe jo të integruara.</w:t>
      </w:r>
    </w:p>
    <w:p w14:paraId="0E5F2B74" w14:textId="17DD1D4C"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P</w:t>
      </w:r>
      <w:r w:rsidR="744500D9" w:rsidRPr="00CB13F7">
        <w:rPr>
          <w:rFonts w:eastAsia="Times New Roman"/>
          <w:lang w:eastAsia="en-US"/>
        </w:rPr>
        <w:t>KVPAK</w:t>
      </w:r>
      <w:r w:rsidRPr="00CB13F7">
        <w:rPr>
          <w:rFonts w:eastAsia="Times New Roman"/>
          <w:lang w:eastAsia="en-US"/>
        </w:rPr>
        <w:t xml:space="preserve"> </w:t>
      </w:r>
      <w:r w:rsidR="4D0AA30E" w:rsidRPr="00CB13F7">
        <w:rPr>
          <w:rFonts w:eastAsia="Times New Roman"/>
          <w:lang w:eastAsia="en-US"/>
        </w:rPr>
        <w:t>2026-2030</w:t>
      </w:r>
      <w:r w:rsidRPr="00CB13F7">
        <w:rPr>
          <w:rFonts w:eastAsia="Times New Roman"/>
          <w:lang w:eastAsia="en-US"/>
        </w:rPr>
        <w:t xml:space="preserve"> do të forcojë mekanizmin kombëtar të koordinimit, duke rritur kapacitetet institucionale, duke fuqizuar rrjetin e pikave fokale për aftësinë e kufizuar në çdo institucion dhe duke vendosur detyrime raportimi periodik. </w:t>
      </w:r>
    </w:p>
    <w:p w14:paraId="7412C1CD" w14:textId="4F1FA28E"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3.8.2</w:t>
      </w:r>
      <w:r w:rsidR="00D45BF7" w:rsidRPr="00CB13F7">
        <w:rPr>
          <w:rFonts w:eastAsia="Times New Roman"/>
          <w:b/>
          <w:bCs/>
          <w:lang w:eastAsia="en-US"/>
        </w:rPr>
        <w:t xml:space="preserve"> </w:t>
      </w:r>
      <w:r w:rsidRPr="00CB13F7">
        <w:rPr>
          <w:rFonts w:eastAsia="Times New Roman"/>
          <w:b/>
          <w:bCs/>
          <w:lang w:eastAsia="en-US"/>
        </w:rPr>
        <w:t>Ngritja</w:t>
      </w:r>
      <w:r w:rsidR="00E90A3B" w:rsidRPr="00CB13F7">
        <w:rPr>
          <w:rFonts w:eastAsia="Times New Roman"/>
          <w:b/>
          <w:bCs/>
          <w:lang w:eastAsia="en-US"/>
        </w:rPr>
        <w:t xml:space="preserve"> e një sistemi statistikor të qëndrueshëm për aftësinë e kufizuar</w:t>
      </w:r>
    </w:p>
    <w:p w14:paraId="0EA1CC50" w14:textId="4A94E69F"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Në periudhën 2021</w:t>
      </w:r>
      <w:r w:rsidR="00D45BF7" w:rsidRPr="00CB13F7">
        <w:rPr>
          <w:rFonts w:eastAsia="Times New Roman"/>
          <w:lang w:eastAsia="en-US"/>
        </w:rPr>
        <w:t>-</w:t>
      </w:r>
      <w:r w:rsidRPr="00CB13F7">
        <w:rPr>
          <w:rFonts w:eastAsia="Times New Roman"/>
          <w:lang w:eastAsia="en-US"/>
        </w:rPr>
        <w:t xml:space="preserve">2025 janë bërë disa hapa drejt përmirësimit të të dhënave, veçanërisht përmes përfshirjes së pyetjeve të Grupit të </w:t>
      </w:r>
      <w:r w:rsidR="00570186" w:rsidRPr="00CB13F7">
        <w:rPr>
          <w:rFonts w:eastAsia="Times New Roman"/>
          <w:lang w:eastAsia="en-US"/>
        </w:rPr>
        <w:t>Uashingtonit</w:t>
      </w:r>
      <w:r w:rsidRPr="00CB13F7">
        <w:rPr>
          <w:rFonts w:eastAsia="Times New Roman"/>
          <w:lang w:eastAsia="en-US"/>
        </w:rPr>
        <w:t xml:space="preserve"> në Censusin e Popullsisë 2023, i cili për herë të parë prodhoi të dhëna të detajuara për aftësinë e kufizuar në Shqipëri. </w:t>
      </w:r>
    </w:p>
    <w:p w14:paraId="42575660" w14:textId="6BA17A03" w:rsidR="00E90A3B" w:rsidRPr="00CB13F7" w:rsidRDefault="4D0AA30E" w:rsidP="004E4604">
      <w:pPr>
        <w:spacing w:before="120" w:after="120" w:line="276" w:lineRule="auto"/>
        <w:jc w:val="both"/>
        <w:rPr>
          <w:rFonts w:eastAsia="Times New Roman"/>
          <w:lang w:eastAsia="en-US"/>
        </w:rPr>
      </w:pPr>
      <w:r w:rsidRPr="00CB13F7">
        <w:rPr>
          <w:rFonts w:eastAsia="Times New Roman"/>
          <w:lang w:eastAsia="en-US"/>
        </w:rPr>
        <w:t xml:space="preserve">INSTAT publikon çdo vit të dhëna administrative mbi përfituesit dhe kategoritë e aftësisë së kufizuar. Megjithatë, kuadri statistikor paraqet ende fragmentarizim dhe mungesë koordinimi. </w:t>
      </w:r>
      <w:r w:rsidR="7655346D" w:rsidRPr="00CB13F7">
        <w:rPr>
          <w:rFonts w:eastAsia="Times New Roman"/>
          <w:lang w:eastAsia="en-US"/>
        </w:rPr>
        <w:t>R</w:t>
      </w:r>
      <w:r w:rsidRPr="00CB13F7">
        <w:rPr>
          <w:rFonts w:eastAsia="Times New Roman"/>
          <w:lang w:eastAsia="en-US"/>
        </w:rPr>
        <w:t xml:space="preserve">aportimi institucional </w:t>
      </w:r>
      <w:r w:rsidR="703BEFAA" w:rsidRPr="00CB13F7">
        <w:rPr>
          <w:rFonts w:eastAsia="Times New Roman"/>
          <w:lang w:eastAsia="en-US"/>
        </w:rPr>
        <w:t>i</w:t>
      </w:r>
      <w:r w:rsidRPr="00CB13F7">
        <w:rPr>
          <w:rFonts w:eastAsia="Times New Roman"/>
          <w:lang w:eastAsia="en-US"/>
        </w:rPr>
        <w:t xml:space="preserve"> të dhënave nuk është zbatuar plotësisht dhe mungon një sistem kombëtar i integruar për mbledhjen dhe përpunimin e informacionit në të gjitha fushat përkatëse. Të dhënat </w:t>
      </w:r>
      <w:r w:rsidRPr="00CB13F7">
        <w:rPr>
          <w:rFonts w:eastAsia="Times New Roman"/>
          <w:lang w:eastAsia="en-US"/>
        </w:rPr>
        <w:lastRenderedPageBreak/>
        <w:t>ekzistuese janë të kufizuara</w:t>
      </w:r>
      <w:r w:rsidR="04451EE7" w:rsidRPr="00CB13F7">
        <w:rPr>
          <w:rFonts w:eastAsia="Times New Roman"/>
          <w:lang w:eastAsia="en-US"/>
        </w:rPr>
        <w:t xml:space="preserve"> dhe</w:t>
      </w:r>
      <w:r w:rsidRPr="00CB13F7">
        <w:rPr>
          <w:rFonts w:eastAsia="Times New Roman"/>
          <w:lang w:eastAsia="en-US"/>
        </w:rPr>
        <w:t xml:space="preserve"> të </w:t>
      </w:r>
      <w:r w:rsidR="10865C82" w:rsidRPr="00CB13F7">
        <w:rPr>
          <w:rFonts w:eastAsia="Times New Roman"/>
          <w:lang w:eastAsia="en-US"/>
        </w:rPr>
        <w:t xml:space="preserve">pa </w:t>
      </w:r>
      <w:r w:rsidRPr="00CB13F7">
        <w:rPr>
          <w:rFonts w:eastAsia="Times New Roman"/>
          <w:lang w:eastAsia="en-US"/>
        </w:rPr>
        <w:t>disagreguara sipas standardeve ndërkombëtare</w:t>
      </w:r>
      <w:r w:rsidR="0192888F" w:rsidRPr="00CB13F7">
        <w:rPr>
          <w:rFonts w:eastAsia="Times New Roman"/>
          <w:lang w:eastAsia="en-US"/>
        </w:rPr>
        <w:t>. T</w:t>
      </w:r>
      <w:r w:rsidR="004B03EF" w:rsidRPr="00CB13F7">
        <w:rPr>
          <w:rFonts w:eastAsia="Times New Roman"/>
          <w:lang w:eastAsia="en-US"/>
        </w:rPr>
        <w:t>ë</w:t>
      </w:r>
      <w:r w:rsidR="0192888F" w:rsidRPr="00CB13F7">
        <w:rPr>
          <w:rFonts w:eastAsia="Times New Roman"/>
          <w:lang w:eastAsia="en-US"/>
        </w:rPr>
        <w:t xml:space="preserve"> dh</w:t>
      </w:r>
      <w:r w:rsidR="004B03EF" w:rsidRPr="00CB13F7">
        <w:rPr>
          <w:rFonts w:eastAsia="Times New Roman"/>
          <w:lang w:eastAsia="en-US"/>
        </w:rPr>
        <w:t>ë</w:t>
      </w:r>
      <w:r w:rsidR="0192888F" w:rsidRPr="00CB13F7">
        <w:rPr>
          <w:rFonts w:eastAsia="Times New Roman"/>
          <w:lang w:eastAsia="en-US"/>
        </w:rPr>
        <w:t>nat jan</w:t>
      </w:r>
      <w:r w:rsidR="004B03EF" w:rsidRPr="00CB13F7">
        <w:rPr>
          <w:rFonts w:eastAsia="Times New Roman"/>
          <w:lang w:eastAsia="en-US"/>
        </w:rPr>
        <w:t>ë</w:t>
      </w:r>
      <w:r w:rsidRPr="00CB13F7">
        <w:rPr>
          <w:rFonts w:eastAsia="Times New Roman"/>
          <w:lang w:eastAsia="en-US"/>
        </w:rPr>
        <w:t xml:space="preserve"> të përqendruara kryesisht në mbrojtjen sociale, ndërkohë që në sektorë të tjerë informacioni është minimal ose mungon. Kjo situatë e vështirëson vlerësimin objektiv të progresit të politikave publike. Në këtë kuadër, Plani i ri parashikon ngritjen e një sistemi të detyrueshëm kombëtar raportimi, rishikimin e kuadrit ligjor në fushën e statistikave dhe zhvillimin e indikatorëve të standardizuar të monitorimit në të gjithë sektorët.</w:t>
      </w:r>
    </w:p>
    <w:p w14:paraId="2B9966A3" w14:textId="3332B375"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3.8.3</w:t>
      </w:r>
      <w:r w:rsidR="00D45BF7" w:rsidRPr="00CB13F7">
        <w:rPr>
          <w:rFonts w:eastAsia="Times New Roman"/>
          <w:b/>
          <w:bCs/>
          <w:lang w:eastAsia="en-US"/>
        </w:rPr>
        <w:t xml:space="preserve"> </w:t>
      </w:r>
      <w:r w:rsidRPr="00CB13F7">
        <w:rPr>
          <w:rFonts w:eastAsia="Times New Roman"/>
          <w:b/>
          <w:bCs/>
          <w:lang w:eastAsia="en-US"/>
        </w:rPr>
        <w:t>Bashkëpunimi</w:t>
      </w:r>
      <w:r w:rsidR="00E90A3B" w:rsidRPr="00CB13F7">
        <w:rPr>
          <w:rFonts w:eastAsia="Times New Roman"/>
          <w:b/>
          <w:bCs/>
          <w:lang w:eastAsia="en-US"/>
        </w:rPr>
        <w:t xml:space="preserve"> rajonal dhe ndërkombëtar</w:t>
      </w:r>
    </w:p>
    <w:p w14:paraId="370332D0" w14:textId="613961BF" w:rsidR="00E90A3B" w:rsidRPr="00CB13F7" w:rsidRDefault="00E90A3B" w:rsidP="004E4604">
      <w:pPr>
        <w:spacing w:before="120" w:after="120" w:line="276" w:lineRule="auto"/>
        <w:jc w:val="both"/>
        <w:rPr>
          <w:rFonts w:eastAsia="Times New Roman"/>
          <w:lang w:eastAsia="en-US"/>
        </w:rPr>
      </w:pPr>
      <w:r w:rsidRPr="00CB13F7">
        <w:rPr>
          <w:rFonts w:eastAsia="Times New Roman"/>
          <w:lang w:eastAsia="en-US"/>
        </w:rPr>
        <w:t>Gjatë periudhës 2021</w:t>
      </w:r>
      <w:r w:rsidR="008776DC" w:rsidRPr="00CB13F7">
        <w:rPr>
          <w:rFonts w:eastAsia="Times New Roman"/>
          <w:lang w:eastAsia="en-US"/>
        </w:rPr>
        <w:t>-</w:t>
      </w:r>
      <w:r w:rsidRPr="00CB13F7">
        <w:rPr>
          <w:rFonts w:eastAsia="Times New Roman"/>
          <w:lang w:eastAsia="en-US"/>
        </w:rPr>
        <w:t>2025 Shqipëria ka marrë pjesë në procese rajonale dhe ndërkombëtare për zbatimin e Konventës së OKB-së, ka shkëmbyer praktika me organizata ndërkombëtare. Janë organizuar aktivitete kombëtare, përfshirë konferencën e parë për pajisjet ndihmëse dhe pjesëmarrje në raportimet pranë institucioneve evropiane. Megjithatë, bashkëpunimi rajonal mbetet sporadik dhe nuk ka qenë i strukturuar në programe të rregullta shkëmbimi eksperiencash ose projekte të përbashkëta</w:t>
      </w:r>
      <w:r w:rsidR="00B50124" w:rsidRPr="00CB13F7">
        <w:rPr>
          <w:rFonts w:eastAsia="Times New Roman"/>
          <w:lang w:eastAsia="en-US"/>
        </w:rPr>
        <w:t>.</w:t>
      </w:r>
      <w:r w:rsidRPr="00CB13F7">
        <w:rPr>
          <w:rFonts w:eastAsia="Times New Roman"/>
          <w:lang w:eastAsia="en-US"/>
        </w:rPr>
        <w:t xml:space="preserve"> </w:t>
      </w:r>
    </w:p>
    <w:p w14:paraId="5CFCA2D5" w14:textId="379E8D17" w:rsidR="00E90A3B" w:rsidRPr="00CB13F7" w:rsidRDefault="71A05BE9" w:rsidP="004E4604">
      <w:pPr>
        <w:spacing w:before="120" w:after="120" w:line="276" w:lineRule="auto"/>
        <w:jc w:val="both"/>
        <w:rPr>
          <w:rFonts w:eastAsia="Times New Roman"/>
          <w:b/>
          <w:bCs/>
          <w:lang w:eastAsia="en-US"/>
        </w:rPr>
      </w:pPr>
      <w:r w:rsidRPr="00CB13F7">
        <w:rPr>
          <w:rFonts w:eastAsia="Times New Roman"/>
          <w:lang w:eastAsia="en-US"/>
        </w:rPr>
        <w:t>Në tërësi, periudha 2021</w:t>
      </w:r>
      <w:r w:rsidR="55CDF3BD" w:rsidRPr="00CB13F7">
        <w:rPr>
          <w:rFonts w:eastAsia="Times New Roman"/>
          <w:lang w:eastAsia="en-US"/>
        </w:rPr>
        <w:t>-</w:t>
      </w:r>
      <w:r w:rsidRPr="00CB13F7">
        <w:rPr>
          <w:rFonts w:eastAsia="Times New Roman"/>
          <w:lang w:eastAsia="en-US"/>
        </w:rPr>
        <w:t xml:space="preserve">2025 ka vendosur bazat e koordinimit institucional, por sistemi mbetet ende i fragmentuar dhe i varur nga iniciativa individuale të institucioneve. Sfida kryesore për </w:t>
      </w:r>
      <w:r w:rsidR="55CDF3BD" w:rsidRPr="00CB13F7">
        <w:rPr>
          <w:rFonts w:eastAsia="Times New Roman"/>
          <w:lang w:eastAsia="en-US"/>
        </w:rPr>
        <w:t xml:space="preserve">Planin </w:t>
      </w:r>
      <w:r w:rsidRPr="00CB13F7">
        <w:rPr>
          <w:rFonts w:eastAsia="Times New Roman"/>
          <w:lang w:eastAsia="en-US"/>
        </w:rPr>
        <w:t xml:space="preserve"> është ndërtimi i një sistemi të qëndrueshëm qeverisës për politikat e aftësisë së kufizuar, të dhëna të matshme dhe përgjegjësi të qarta institucionale. </w:t>
      </w:r>
    </w:p>
    <w:p w14:paraId="62FFA835" w14:textId="663C36E6" w:rsidR="00E90A3B"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3.9</w:t>
      </w:r>
      <w:r w:rsidR="00B50124" w:rsidRPr="00CB13F7">
        <w:rPr>
          <w:rFonts w:eastAsia="Times New Roman"/>
          <w:b/>
          <w:bCs/>
          <w:lang w:eastAsia="en-US"/>
        </w:rPr>
        <w:t xml:space="preserve"> </w:t>
      </w:r>
      <w:r w:rsidRPr="00CB13F7">
        <w:rPr>
          <w:rFonts w:eastAsia="Times New Roman"/>
          <w:b/>
          <w:bCs/>
          <w:lang w:eastAsia="en-US"/>
        </w:rPr>
        <w:t>Perceptimi</w:t>
      </w:r>
      <w:r w:rsidR="00E90A3B" w:rsidRPr="00CB13F7">
        <w:rPr>
          <w:rFonts w:eastAsia="Times New Roman"/>
          <w:b/>
          <w:bCs/>
          <w:lang w:eastAsia="en-US"/>
        </w:rPr>
        <w:t xml:space="preserve"> i grupeve të interesit </w:t>
      </w:r>
    </w:p>
    <w:p w14:paraId="04E4E980" w14:textId="72C0DA5F" w:rsidR="00E90A3B" w:rsidRPr="00CB13F7" w:rsidRDefault="71A05BE9" w:rsidP="004E4604">
      <w:pPr>
        <w:spacing w:before="120" w:after="120" w:line="276" w:lineRule="auto"/>
        <w:jc w:val="both"/>
        <w:rPr>
          <w:rFonts w:eastAsia="Times New Roman"/>
          <w:lang w:eastAsia="en-US"/>
        </w:rPr>
      </w:pPr>
      <w:r w:rsidRPr="00CB13F7">
        <w:rPr>
          <w:rFonts w:eastAsia="Times New Roman"/>
          <w:lang w:eastAsia="en-US"/>
        </w:rPr>
        <w:t>Procesi i monitorimit të Planit Kombëtar të Veprimit</w:t>
      </w:r>
      <w:r w:rsidR="2519F8C0" w:rsidRPr="00CB13F7">
        <w:rPr>
          <w:rFonts w:eastAsia="Times New Roman"/>
          <w:lang w:eastAsia="en-US"/>
        </w:rPr>
        <w:t xml:space="preserve"> për Personat me Aftësi të kufizuara</w:t>
      </w:r>
      <w:r w:rsidRPr="00CB13F7">
        <w:rPr>
          <w:rFonts w:eastAsia="Times New Roman"/>
          <w:lang w:eastAsia="en-US"/>
        </w:rPr>
        <w:t xml:space="preserve"> 2021</w:t>
      </w:r>
      <w:r w:rsidR="55CDF3BD" w:rsidRPr="00CB13F7">
        <w:rPr>
          <w:rFonts w:eastAsia="Times New Roman"/>
          <w:lang w:eastAsia="en-US"/>
        </w:rPr>
        <w:t>-</w:t>
      </w:r>
      <w:r w:rsidRPr="00CB13F7">
        <w:rPr>
          <w:rFonts w:eastAsia="Times New Roman"/>
          <w:lang w:eastAsia="en-US"/>
        </w:rPr>
        <w:t>2025 u shoqërua me konsultime dhe fokus-grupe me persona me aftësi të kufizuara, prindër dhe organizata përfaqësuese në disa qarqe të vendit, të cilat ofruan një pasqyrë të drejtpërdrejtë mbi ndikimin e politikave në jetën e përditshme</w:t>
      </w:r>
      <w:r w:rsidR="00587BB1" w:rsidRPr="00CB13F7">
        <w:rPr>
          <w:rFonts w:eastAsia="Times New Roman"/>
          <w:lang w:eastAsia="en-US"/>
        </w:rPr>
        <w:t>.</w:t>
      </w:r>
    </w:p>
    <w:p w14:paraId="5CDE8AB9" w14:textId="47A14F04" w:rsidR="00E90A3B" w:rsidRPr="00CB13F7" w:rsidRDefault="71A05BE9" w:rsidP="661F9D2E">
      <w:pPr>
        <w:spacing w:before="120" w:after="120" w:line="276" w:lineRule="auto"/>
        <w:jc w:val="both"/>
        <w:rPr>
          <w:rFonts w:eastAsia="Times New Roman"/>
          <w:lang w:eastAsia="en-US"/>
        </w:rPr>
      </w:pPr>
      <w:r w:rsidRPr="00CB13F7">
        <w:rPr>
          <w:rFonts w:eastAsia="Times New Roman"/>
          <w:lang w:eastAsia="en-US"/>
        </w:rPr>
        <w:t xml:space="preserve">Në përgjithësi, pjesëmarrësit vlerësuan se gjatë viteve të fundit janë ndërmarrë hapa pozitivë, veçanërisht në zgjerimin e disa shërbimeve sociale, informimin për ndihmën juridike falas dhe përmirësime të pjesshme të aksesueshmërisë në disa institucione publike. Megjithatë, perceptimi i përgjithshëm mbetet se ndërhyrjet janë të fragmentuara dhe jo gjithmonë krijojnë një zinxhir të plotë shërbimesh që </w:t>
      </w:r>
      <w:r w:rsidR="55CDF3BD" w:rsidRPr="00CB13F7">
        <w:rPr>
          <w:rFonts w:eastAsia="Times New Roman"/>
          <w:lang w:eastAsia="en-US"/>
        </w:rPr>
        <w:t xml:space="preserve">garantojnë </w:t>
      </w:r>
      <w:r w:rsidRPr="00CB13F7">
        <w:rPr>
          <w:rFonts w:eastAsia="Times New Roman"/>
          <w:lang w:eastAsia="en-US"/>
        </w:rPr>
        <w:t>jetesë të pavarur dhe pjesëmarrje të barabartë në shoqëri. Grupet e interesit theksuan veçanërisht vështirësitë në aksesin praktik në shërbime, pabarazitë territoriale, mungesën e informacionit të aksesueshëm dhe zbatimin jo të njëtrajtshëm të legjislacionit. Për këtë arsye, Plani</w:t>
      </w:r>
      <w:r w:rsidR="0CC36E97" w:rsidRPr="00CB13F7">
        <w:rPr>
          <w:rFonts w:eastAsia="Times New Roman"/>
          <w:lang w:eastAsia="en-US"/>
        </w:rPr>
        <w:t xml:space="preserve"> </w:t>
      </w:r>
      <w:r w:rsidR="22BD8D1E" w:rsidRPr="00CB13F7">
        <w:rPr>
          <w:rFonts w:eastAsia="Times New Roman"/>
          <w:lang w:eastAsia="en-US"/>
        </w:rPr>
        <w:t xml:space="preserve">Kombëtar </w:t>
      </w:r>
      <w:r w:rsidR="6BA458C0" w:rsidRPr="00CB13F7">
        <w:rPr>
          <w:rFonts w:eastAsia="Times New Roman"/>
          <w:lang w:eastAsia="en-US"/>
        </w:rPr>
        <w:t>i</w:t>
      </w:r>
      <w:r w:rsidR="22BD8D1E" w:rsidRPr="00CB13F7">
        <w:rPr>
          <w:rFonts w:eastAsia="Times New Roman"/>
          <w:lang w:eastAsia="en-US"/>
        </w:rPr>
        <w:t xml:space="preserve"> Veprimit</w:t>
      </w:r>
      <w:r w:rsidRPr="00CB13F7">
        <w:rPr>
          <w:rFonts w:eastAsia="Times New Roman"/>
          <w:lang w:eastAsia="en-US"/>
        </w:rPr>
        <w:t xml:space="preserve"> </w:t>
      </w:r>
      <w:r w:rsidR="7E4DFCA6" w:rsidRPr="00CB13F7">
        <w:rPr>
          <w:rFonts w:eastAsia="Times New Roman"/>
          <w:lang w:eastAsia="en-US"/>
        </w:rPr>
        <w:t xml:space="preserve">për Personat me Aftësi të kufizuara </w:t>
      </w:r>
      <w:r w:rsidRPr="00CB13F7">
        <w:rPr>
          <w:rFonts w:eastAsia="Times New Roman"/>
          <w:lang w:eastAsia="en-US"/>
        </w:rPr>
        <w:t>2026</w:t>
      </w:r>
      <w:r w:rsidR="55CDF3BD" w:rsidRPr="00CB13F7">
        <w:rPr>
          <w:rFonts w:eastAsia="Times New Roman"/>
          <w:lang w:eastAsia="en-US"/>
        </w:rPr>
        <w:t>-</w:t>
      </w:r>
      <w:r w:rsidRPr="00CB13F7">
        <w:rPr>
          <w:rFonts w:eastAsia="Times New Roman"/>
          <w:lang w:eastAsia="en-US"/>
        </w:rPr>
        <w:t>2030 duhet të mbështetet më fort në konsultimin e vazhdueshëm me organizatat përfaqësuese, të forcojë mekanizmat e dialogut institucional dhe të parashikojë monitorim të rregullt të politikave bazuar në përvojën reale të përfituesve, me qëllim kalimin nga masa të pjesshme në politika të qëndrueshme dhe të zbatueshme në praktikë.</w:t>
      </w:r>
    </w:p>
    <w:p w14:paraId="1B4482FE" w14:textId="77777777" w:rsidR="00587BB1" w:rsidRPr="00CB13F7" w:rsidRDefault="00587BB1" w:rsidP="661F9D2E">
      <w:pPr>
        <w:spacing w:before="120" w:after="120" w:line="276" w:lineRule="auto"/>
        <w:jc w:val="both"/>
        <w:rPr>
          <w:rFonts w:eastAsia="Times New Roman"/>
          <w:lang w:eastAsia="en-US"/>
        </w:rPr>
      </w:pPr>
    </w:p>
    <w:p w14:paraId="0113F7A2" w14:textId="77777777" w:rsidR="00587BB1" w:rsidRPr="00CB13F7" w:rsidRDefault="00587BB1" w:rsidP="661F9D2E">
      <w:pPr>
        <w:spacing w:before="120" w:after="120" w:line="276" w:lineRule="auto"/>
        <w:jc w:val="both"/>
        <w:rPr>
          <w:rFonts w:eastAsia="Times New Roman"/>
          <w:lang w:eastAsia="en-US"/>
        </w:rPr>
      </w:pPr>
    </w:p>
    <w:p w14:paraId="51DA7E23" w14:textId="77777777" w:rsidR="00587BB1" w:rsidRPr="00CB13F7" w:rsidRDefault="00587BB1" w:rsidP="661F9D2E">
      <w:pPr>
        <w:spacing w:before="120" w:after="120" w:line="276" w:lineRule="auto"/>
        <w:jc w:val="both"/>
        <w:rPr>
          <w:rFonts w:eastAsia="Times New Roman"/>
          <w:lang w:eastAsia="en-US"/>
        </w:rPr>
      </w:pPr>
    </w:p>
    <w:p w14:paraId="11F92741" w14:textId="77777777" w:rsidR="00A9182C" w:rsidRPr="00CB13F7" w:rsidRDefault="00513644" w:rsidP="009810CC">
      <w:pPr>
        <w:pStyle w:val="ListParagraph"/>
        <w:numPr>
          <w:ilvl w:val="0"/>
          <w:numId w:val="8"/>
        </w:numPr>
        <w:tabs>
          <w:tab w:val="left" w:pos="360"/>
        </w:tabs>
        <w:spacing w:before="120" w:after="120" w:line="276" w:lineRule="auto"/>
        <w:ind w:left="0" w:firstLine="0"/>
        <w:contextualSpacing w:val="0"/>
        <w:jc w:val="both"/>
        <w:rPr>
          <w:rFonts w:eastAsia="Times New Roman"/>
          <w:b/>
          <w:bCs/>
        </w:rPr>
      </w:pPr>
      <w:r w:rsidRPr="00CB13F7">
        <w:rPr>
          <w:rFonts w:eastAsia="Times New Roman"/>
          <w:b/>
          <w:bCs/>
        </w:rPr>
        <w:lastRenderedPageBreak/>
        <w:t>Q</w:t>
      </w:r>
      <w:r w:rsidR="003443E2" w:rsidRPr="00CB13F7">
        <w:rPr>
          <w:rFonts w:eastAsia="Times New Roman"/>
          <w:b/>
          <w:bCs/>
        </w:rPr>
        <w:t>Ë</w:t>
      </w:r>
      <w:r w:rsidRPr="00CB13F7">
        <w:rPr>
          <w:rFonts w:eastAsia="Times New Roman"/>
          <w:b/>
          <w:bCs/>
        </w:rPr>
        <w:t>LLIMI I POLITIKAVE DHE OBJEKTIVAT SPE</w:t>
      </w:r>
      <w:r w:rsidR="00102372" w:rsidRPr="00CB13F7">
        <w:rPr>
          <w:rFonts w:eastAsia="Times New Roman"/>
          <w:b/>
          <w:bCs/>
        </w:rPr>
        <w:t>C</w:t>
      </w:r>
      <w:r w:rsidRPr="00CB13F7">
        <w:rPr>
          <w:rFonts w:eastAsia="Times New Roman"/>
          <w:b/>
          <w:bCs/>
        </w:rPr>
        <w:t>I</w:t>
      </w:r>
      <w:r w:rsidR="00102372" w:rsidRPr="00CB13F7">
        <w:rPr>
          <w:rFonts w:eastAsia="Times New Roman"/>
          <w:b/>
          <w:bCs/>
        </w:rPr>
        <w:t>FI</w:t>
      </w:r>
      <w:r w:rsidRPr="00CB13F7">
        <w:rPr>
          <w:rFonts w:eastAsia="Times New Roman"/>
          <w:b/>
          <w:bCs/>
        </w:rPr>
        <w:t>K</w:t>
      </w:r>
      <w:r w:rsidR="003443E2" w:rsidRPr="00CB13F7">
        <w:rPr>
          <w:rFonts w:eastAsia="Times New Roman"/>
          <w:b/>
          <w:bCs/>
        </w:rPr>
        <w:t>Ë</w:t>
      </w:r>
      <w:r w:rsidRPr="00CB13F7">
        <w:rPr>
          <w:rFonts w:eastAsia="Times New Roman"/>
          <w:b/>
          <w:bCs/>
        </w:rPr>
        <w:t xml:space="preserve"> T</w:t>
      </w:r>
      <w:r w:rsidR="003443E2" w:rsidRPr="00CB13F7">
        <w:rPr>
          <w:rFonts w:eastAsia="Times New Roman"/>
          <w:b/>
          <w:bCs/>
        </w:rPr>
        <w:t>Ë</w:t>
      </w:r>
      <w:r w:rsidRPr="00CB13F7">
        <w:rPr>
          <w:rFonts w:eastAsia="Times New Roman"/>
          <w:b/>
          <w:bCs/>
        </w:rPr>
        <w:t xml:space="preserve"> PKVPAK 2026-2030</w:t>
      </w:r>
    </w:p>
    <w:p w14:paraId="7786369B" w14:textId="1FBEAF89" w:rsidR="009810CC" w:rsidRPr="00CB13F7" w:rsidRDefault="009810CC" w:rsidP="009810CC">
      <w:pPr>
        <w:pStyle w:val="NormalWeb"/>
        <w:spacing w:before="120" w:beforeAutospacing="0" w:after="120" w:afterAutospacing="0" w:line="276" w:lineRule="auto"/>
        <w:jc w:val="both"/>
        <w:rPr>
          <w:i/>
          <w:iCs/>
          <w:lang w:val="sq-AL"/>
        </w:rPr>
      </w:pPr>
      <w:r w:rsidRPr="00CB13F7">
        <w:rPr>
          <w:b/>
          <w:bCs/>
          <w:i/>
          <w:iCs/>
          <w:lang w:val="sq-AL"/>
        </w:rPr>
        <w:t>Vizioni:</w:t>
      </w:r>
      <w:r w:rsidRPr="00CB13F7">
        <w:rPr>
          <w:i/>
          <w:iCs/>
          <w:lang w:val="sq-AL"/>
        </w:rPr>
        <w:t xml:space="preserve"> </w:t>
      </w:r>
      <w:r w:rsidR="00587BB1" w:rsidRPr="00CB13F7">
        <w:rPr>
          <w:i/>
          <w:iCs/>
          <w:lang w:val="sq-AL"/>
        </w:rPr>
        <w:t>N</w:t>
      </w:r>
      <w:r w:rsidRPr="00CB13F7">
        <w:rPr>
          <w:i/>
          <w:iCs/>
          <w:lang w:val="sq-AL"/>
        </w:rPr>
        <w:t>jë Shqipëri gjithëpërfshirëse dhe e aksesueshme, ku personat me aftësi të kufizuara jetojnë të pavarur, ushtrojnë plotësisht të drejtat e tyre dhe marrin pjesë në mënyrë të barabartë në çdo aspekt të jetës shoqërore dhe ekonomike.</w:t>
      </w:r>
    </w:p>
    <w:p w14:paraId="2484B57D" w14:textId="2D22328A" w:rsidR="009810CC" w:rsidRPr="00CB13F7" w:rsidRDefault="009810CC" w:rsidP="009810CC">
      <w:pPr>
        <w:spacing w:before="120" w:after="120" w:line="276" w:lineRule="auto"/>
        <w:jc w:val="both"/>
        <w:rPr>
          <w:rFonts w:eastAsia="Times New Roman"/>
          <w:b/>
          <w:bCs/>
        </w:rPr>
      </w:pPr>
      <w:r w:rsidRPr="00CB13F7">
        <w:rPr>
          <w:rFonts w:eastAsia="Times New Roman"/>
          <w:b/>
          <w:bCs/>
          <w:i/>
          <w:iCs/>
          <w:lang w:eastAsia="en-US"/>
        </w:rPr>
        <w:t>Misioni:</w:t>
      </w:r>
      <w:r w:rsidRPr="00CB13F7">
        <w:rPr>
          <w:rFonts w:eastAsia="Times New Roman"/>
          <w:i/>
          <w:iCs/>
          <w:lang w:eastAsia="en-US"/>
        </w:rPr>
        <w:t xml:space="preserve"> </w:t>
      </w:r>
      <w:r w:rsidR="00587BB1" w:rsidRPr="00CB13F7">
        <w:rPr>
          <w:rFonts w:eastAsia="Times New Roman"/>
          <w:lang w:eastAsia="en-US"/>
        </w:rPr>
        <w:t>Z</w:t>
      </w:r>
      <w:r w:rsidRPr="00CB13F7">
        <w:rPr>
          <w:rFonts w:eastAsia="Times New Roman"/>
          <w:lang w:eastAsia="en-US"/>
        </w:rPr>
        <w:t>hvillimi dhe zbatimi i politikave të integruara, të bazuara në të drejtat e njeriut, për të garantuar përfshirjen reale, autonominë, mirëqenien dhe barazinë e personave me aftësi të kufizuara, në përputhje me standardet ndërkombëtare dhe evropiane.</w:t>
      </w:r>
    </w:p>
    <w:p w14:paraId="1E6393C6" w14:textId="4CBDB2E4" w:rsidR="00CA57DB" w:rsidRPr="00CB13F7" w:rsidRDefault="00570186" w:rsidP="009810CC">
      <w:pPr>
        <w:spacing w:before="120" w:after="120" w:line="276" w:lineRule="auto"/>
        <w:jc w:val="both"/>
        <w:rPr>
          <w:rFonts w:eastAsia="Times New Roman"/>
          <w:b/>
          <w:bCs/>
        </w:rPr>
      </w:pPr>
      <w:r w:rsidRPr="00CB13F7">
        <w:rPr>
          <w:rFonts w:eastAsia="Times New Roman"/>
          <w:b/>
          <w:bCs/>
        </w:rPr>
        <w:t>4.1</w:t>
      </w:r>
      <w:r w:rsidR="00B50124" w:rsidRPr="00CB13F7">
        <w:rPr>
          <w:rFonts w:eastAsia="Times New Roman"/>
          <w:b/>
          <w:bCs/>
        </w:rPr>
        <w:t xml:space="preserve"> </w:t>
      </w:r>
      <w:r w:rsidRPr="00CB13F7">
        <w:rPr>
          <w:rFonts w:eastAsia="Times New Roman"/>
          <w:b/>
          <w:bCs/>
        </w:rPr>
        <w:t>Aksesueshmëria</w:t>
      </w:r>
    </w:p>
    <w:p w14:paraId="6D28DE61" w14:textId="2FE68253" w:rsidR="00CA57DB" w:rsidRPr="00CB13F7" w:rsidRDefault="00513644" w:rsidP="004E4604">
      <w:pPr>
        <w:spacing w:before="120" w:after="120" w:line="276" w:lineRule="auto"/>
        <w:jc w:val="both"/>
        <w:rPr>
          <w:rFonts w:eastAsia="Times New Roman"/>
          <w:b/>
          <w:bCs/>
        </w:rPr>
      </w:pPr>
      <w:r w:rsidRPr="00CB13F7">
        <w:rPr>
          <w:rFonts w:eastAsia="Times New Roman"/>
          <w:b/>
          <w:bCs/>
        </w:rPr>
        <w:t>4.1.</w:t>
      </w:r>
      <w:r w:rsidR="00CA57DB" w:rsidRPr="00CB13F7">
        <w:rPr>
          <w:rFonts w:eastAsia="Times New Roman"/>
          <w:b/>
          <w:bCs/>
        </w:rPr>
        <w:t>1</w:t>
      </w:r>
      <w:r w:rsidR="00B50124" w:rsidRPr="00CB13F7">
        <w:rPr>
          <w:rFonts w:eastAsia="Times New Roman"/>
          <w:b/>
          <w:bCs/>
        </w:rPr>
        <w:t xml:space="preserve"> </w:t>
      </w:r>
      <w:r w:rsidR="00CA57DB" w:rsidRPr="00CB13F7">
        <w:rPr>
          <w:rFonts w:eastAsia="Times New Roman"/>
          <w:b/>
          <w:bCs/>
        </w:rPr>
        <w:t xml:space="preserve">Konteksti strategjik </w:t>
      </w:r>
    </w:p>
    <w:p w14:paraId="53E82C11" w14:textId="0CF22B10" w:rsidR="00CA57DB" w:rsidRPr="00CB13F7" w:rsidRDefault="00CA57DB" w:rsidP="004E4604">
      <w:pPr>
        <w:spacing w:before="120" w:after="120" w:line="276" w:lineRule="auto"/>
        <w:jc w:val="both"/>
        <w:rPr>
          <w:rFonts w:eastAsia="Times New Roman"/>
        </w:rPr>
      </w:pPr>
      <w:r w:rsidRPr="00CB13F7">
        <w:rPr>
          <w:rFonts w:eastAsia="Times New Roman"/>
        </w:rPr>
        <w:t>Fusha e aksesueshmërisë në Planin e Veprimit për Personat me Aftësi të Kufizuara 2026</w:t>
      </w:r>
      <w:r w:rsidR="00B50124" w:rsidRPr="00CB13F7">
        <w:rPr>
          <w:rFonts w:eastAsia="Times New Roman"/>
        </w:rPr>
        <w:t>-</w:t>
      </w:r>
      <w:r w:rsidRPr="00CB13F7">
        <w:rPr>
          <w:rFonts w:eastAsia="Times New Roman"/>
        </w:rPr>
        <w:t>2030 mbështetet në një kuadër të konsoliduar dokumentesh ndërkombëtare, evropiane dhe kombëtare, të cilat përcaktojnë standardet, parimet dhe drejtimin politik për garantimin e pjesëmarrjes së barabartë të personave me aftësi të kufizuara në shoqëri. Për këtë arsye, planifikimi në këtë fushë nuk paraqet një ndërhyrje të veçuar, por një vijimësi të angazhimeve të ndërmarra nga Republika e Shqipërisë në nivel ndërkombëtar dhe në procesin e integrimit evropian.</w:t>
      </w:r>
    </w:p>
    <w:p w14:paraId="0CEF798C" w14:textId="126127A5" w:rsidR="00CA57DB" w:rsidRPr="00CB13F7" w:rsidRDefault="1420E9A4" w:rsidP="004E4604">
      <w:pPr>
        <w:spacing w:before="120" w:after="120" w:line="276" w:lineRule="auto"/>
        <w:jc w:val="both"/>
        <w:rPr>
          <w:rFonts w:eastAsia="Times New Roman"/>
        </w:rPr>
      </w:pPr>
      <w:r w:rsidRPr="00CB13F7">
        <w:rPr>
          <w:rFonts w:eastAsia="Times New Roman"/>
        </w:rPr>
        <w:t>Në nivel ndërkombëtar, referenca themelore është Konventa e Kombeve të Bashkuara për të Drejtat e Personave me Aftësi të Kufizuara (</w:t>
      </w:r>
      <w:r w:rsidR="718C7E22" w:rsidRPr="00CB13F7">
        <w:rPr>
          <w:rFonts w:eastAsia="Times New Roman"/>
        </w:rPr>
        <w:t>KDPAK</w:t>
      </w:r>
      <w:r w:rsidR="33D10A16" w:rsidRPr="00CB13F7">
        <w:rPr>
          <w:rFonts w:eastAsia="Times New Roman"/>
        </w:rPr>
        <w:t>)</w:t>
      </w:r>
      <w:r w:rsidR="55CDF3BD" w:rsidRPr="00CB13F7">
        <w:rPr>
          <w:rFonts w:eastAsia="Times New Roman"/>
        </w:rPr>
        <w:t>.</w:t>
      </w:r>
      <w:r w:rsidR="00B50124" w:rsidRPr="00CB13F7">
        <w:rPr>
          <w:rStyle w:val="FootnoteReference"/>
          <w:rFonts w:eastAsia="Times New Roman"/>
        </w:rPr>
        <w:footnoteReference w:id="22"/>
      </w:r>
      <w:r w:rsidRPr="00CB13F7">
        <w:rPr>
          <w:rFonts w:eastAsia="Times New Roman"/>
        </w:rPr>
        <w:t xml:space="preserve"> Konventa e trajton aksesueshmërinë si një nga kushtet bazë për ushtrimin e të drejtave të njeriut dhe për</w:t>
      </w:r>
      <w:r w:rsidR="33D10A16" w:rsidRPr="00CB13F7">
        <w:rPr>
          <w:rFonts w:eastAsia="Times New Roman"/>
        </w:rPr>
        <w:t xml:space="preserve"> një</w:t>
      </w:r>
      <w:r w:rsidRPr="00CB13F7">
        <w:rPr>
          <w:rFonts w:eastAsia="Times New Roman"/>
        </w:rPr>
        <w:t xml:space="preserve"> jetesë të pavarur, duke kërkuar nga shtetet të sigurojnë akses në mjedisin fizik, transport, informacion dhe komunikim, si dhe në shërbime të hapura për publikun, në baza të barabarta. </w:t>
      </w:r>
    </w:p>
    <w:p w14:paraId="5A169C84" w14:textId="47E38042" w:rsidR="00CA57DB" w:rsidRPr="00CB13F7" w:rsidRDefault="00CA57DB" w:rsidP="004E4604">
      <w:pPr>
        <w:spacing w:before="120" w:after="120" w:line="276" w:lineRule="auto"/>
        <w:jc w:val="both"/>
        <w:rPr>
          <w:rFonts w:eastAsia="Times New Roman"/>
        </w:rPr>
      </w:pPr>
      <w:r w:rsidRPr="00CB13F7">
        <w:rPr>
          <w:rFonts w:eastAsia="Times New Roman"/>
        </w:rPr>
        <w:t>Në nivel evropian, politikat e Bashkimit Evropian e zhvillojnë më tej këtë qasje. Strategjia</w:t>
      </w:r>
      <w:r w:rsidR="00B50124" w:rsidRPr="00CB13F7">
        <w:rPr>
          <w:rFonts w:eastAsia="Times New Roman"/>
        </w:rPr>
        <w:t xml:space="preserve"> </w:t>
      </w:r>
      <w:r w:rsidRPr="00CB13F7">
        <w:rPr>
          <w:rFonts w:eastAsia="Times New Roman"/>
        </w:rPr>
        <w:t>e BE-së për të Drejtat e Personave me Aftësi të Kufizuara 2021</w:t>
      </w:r>
      <w:r w:rsidR="00B50124" w:rsidRPr="00CB13F7">
        <w:rPr>
          <w:rFonts w:eastAsia="Times New Roman"/>
        </w:rPr>
        <w:t>-</w:t>
      </w:r>
      <w:r w:rsidRPr="00CB13F7">
        <w:rPr>
          <w:rFonts w:eastAsia="Times New Roman"/>
        </w:rPr>
        <w:t>2030</w:t>
      </w:r>
      <w:r w:rsidR="00B50124" w:rsidRPr="00CB13F7">
        <w:rPr>
          <w:rStyle w:val="FootnoteReference"/>
          <w:rFonts w:eastAsia="Times New Roman"/>
        </w:rPr>
        <w:footnoteReference w:id="23"/>
      </w:r>
      <w:r w:rsidR="00332042" w:rsidRPr="00CB13F7">
        <w:rPr>
          <w:rFonts w:eastAsia="Times New Roman"/>
        </w:rPr>
        <w:t>,</w:t>
      </w:r>
      <w:r w:rsidRPr="00CB13F7">
        <w:rPr>
          <w:rFonts w:eastAsia="Times New Roman"/>
        </w:rPr>
        <w:t xml:space="preserve"> e konsideron aksesueshmërinë një prioritet ndërsektorial dhe kërkon integrimin e saj në të gjitha politikat publike, me qëllim që personat me aftësi të kufizuara të jetojnë në mënyrë të pavarur dhe të përdorin shërbimet publike në kushte të barabarta. Kjo qasje konkretizohet në instrumente ligjore të posaçme të Bashkimit Evropian, si Direktiva</w:t>
      </w:r>
      <w:r w:rsidR="00B50124" w:rsidRPr="00CB13F7">
        <w:rPr>
          <w:rFonts w:eastAsia="Times New Roman"/>
        </w:rPr>
        <w:t xml:space="preserve"> (BE) 2019/882</w:t>
      </w:r>
      <w:r w:rsidR="00435B05" w:rsidRPr="00CB13F7">
        <w:rPr>
          <w:rStyle w:val="FootnoteReference"/>
          <w:rFonts w:eastAsia="Times New Roman"/>
        </w:rPr>
        <w:footnoteReference w:id="24"/>
      </w:r>
      <w:r w:rsidRPr="00CB13F7">
        <w:rPr>
          <w:rFonts w:eastAsia="Times New Roman"/>
        </w:rPr>
        <w:t>, e cila vendos kërkesa të përbashkëta të aksesueshmërisë për produkte dhe shërbime, si dhe Direktiva</w:t>
      </w:r>
      <w:r w:rsidR="00B50124" w:rsidRPr="00CB13F7">
        <w:rPr>
          <w:rFonts w:eastAsia="Times New Roman"/>
        </w:rPr>
        <w:t xml:space="preserve"> (BE) 2016/2102</w:t>
      </w:r>
      <w:r w:rsidR="00B86C7D" w:rsidRPr="00CB13F7">
        <w:rPr>
          <w:rStyle w:val="FootnoteReference"/>
          <w:rFonts w:eastAsia="Times New Roman"/>
        </w:rPr>
        <w:footnoteReference w:id="25"/>
      </w:r>
      <w:r w:rsidRPr="00CB13F7">
        <w:rPr>
          <w:rFonts w:eastAsia="Times New Roman"/>
        </w:rPr>
        <w:t xml:space="preserve"> për aksesueshmërinë e faqeve të internetit dhe aplikacioneve mobile të institucioneve publike. Këto standarde përbëjnë bazën e aksesueshmërisë në tregun e brendshëm evropian dhe në ofrimin e shërbimeve publike digjitale.</w:t>
      </w:r>
    </w:p>
    <w:p w14:paraId="307F57AF" w14:textId="3327434D" w:rsidR="00CA57DB" w:rsidRPr="00CB13F7" w:rsidRDefault="00CA57DB" w:rsidP="004E4604">
      <w:pPr>
        <w:spacing w:before="120" w:after="120" w:line="276" w:lineRule="auto"/>
        <w:jc w:val="both"/>
        <w:rPr>
          <w:rFonts w:eastAsia="Times New Roman"/>
        </w:rPr>
      </w:pPr>
      <w:r w:rsidRPr="00CB13F7">
        <w:rPr>
          <w:rFonts w:eastAsia="Times New Roman"/>
        </w:rPr>
        <w:t>Në nivel kombëtar, kuadri i aksesueshmërisë mbështetet në dokumentet strategjike</w:t>
      </w:r>
      <w:r w:rsidR="00B86C7D" w:rsidRPr="00CB13F7">
        <w:rPr>
          <w:rStyle w:val="FootnoteReference"/>
          <w:rFonts w:eastAsia="Times New Roman"/>
        </w:rPr>
        <w:footnoteReference w:id="26"/>
      </w:r>
      <w:r w:rsidRPr="00CB13F7">
        <w:rPr>
          <w:rFonts w:eastAsia="Times New Roman"/>
        </w:rPr>
        <w:t xml:space="preserve"> të politikave sociale dhe të të drejtave të personave me aftësi të kufizuara, të cilat e konsiderojnë aksesueshmërinë kusht për ushtrimin e të drejtave në arsim, punësim, shërbime publike dhe jetesë të pavarur. Dokumentet sektoriale të zhvillimit, përfshirë ato në fushën e shërbimeve dhe </w:t>
      </w:r>
      <w:r w:rsidRPr="00CB13F7">
        <w:rPr>
          <w:rFonts w:eastAsia="Times New Roman"/>
        </w:rPr>
        <w:lastRenderedPageBreak/>
        <w:t>turizmit</w:t>
      </w:r>
      <w:r w:rsidR="006D19E4" w:rsidRPr="00CB13F7">
        <w:rPr>
          <w:rStyle w:val="FootnoteReference"/>
          <w:rFonts w:eastAsia="Times New Roman"/>
        </w:rPr>
        <w:footnoteReference w:id="27"/>
      </w:r>
      <w:r w:rsidRPr="00CB13F7">
        <w:rPr>
          <w:rFonts w:eastAsia="Times New Roman"/>
        </w:rPr>
        <w:t>, theksojnë nevojën për standarde gjithëpërfshirëse dhe përdorim të barabartë të hapësirave dhe shërbimeve publike.</w:t>
      </w:r>
    </w:p>
    <w:p w14:paraId="43FB19D4" w14:textId="11A57DD6" w:rsidR="00CA57DB" w:rsidRPr="00CB13F7" w:rsidRDefault="00CA57DB" w:rsidP="004E4604">
      <w:pPr>
        <w:spacing w:before="120" w:after="120" w:line="276" w:lineRule="auto"/>
        <w:jc w:val="both"/>
        <w:rPr>
          <w:rFonts w:eastAsia="Times New Roman"/>
        </w:rPr>
      </w:pPr>
      <w:r w:rsidRPr="00CB13F7">
        <w:rPr>
          <w:rFonts w:eastAsia="Times New Roman"/>
        </w:rPr>
        <w:t>Në tërësi, ky kuadër politikash e vendos aksesueshmërinë si detyrim ligjor, social dhe zhvillimor, të lidhur ngushtë me respektimin e të drejtave të njeriut, përfshirjen sociale dhe procesin e integrimit evropian.</w:t>
      </w:r>
    </w:p>
    <w:p w14:paraId="131AB355" w14:textId="274C9303" w:rsidR="00CA57DB" w:rsidRPr="00CB13F7" w:rsidRDefault="00513644" w:rsidP="004E4604">
      <w:pPr>
        <w:spacing w:before="120" w:after="120" w:line="276" w:lineRule="auto"/>
        <w:jc w:val="both"/>
        <w:rPr>
          <w:rFonts w:eastAsia="Times New Roman"/>
          <w:b/>
          <w:bCs/>
        </w:rPr>
      </w:pPr>
      <w:r w:rsidRPr="00CB13F7">
        <w:rPr>
          <w:rFonts w:eastAsia="Times New Roman"/>
          <w:b/>
          <w:bCs/>
        </w:rPr>
        <w:t>4.1.</w:t>
      </w:r>
      <w:r w:rsidR="00CA57DB" w:rsidRPr="00CB13F7">
        <w:rPr>
          <w:rFonts w:eastAsia="Times New Roman"/>
          <w:b/>
          <w:bCs/>
        </w:rPr>
        <w:t>2</w:t>
      </w:r>
      <w:r w:rsidR="00B50124" w:rsidRPr="00CB13F7">
        <w:rPr>
          <w:rFonts w:eastAsia="Times New Roman"/>
          <w:b/>
          <w:bCs/>
        </w:rPr>
        <w:t xml:space="preserve"> </w:t>
      </w:r>
      <w:r w:rsidR="00CA57DB" w:rsidRPr="00CB13F7">
        <w:rPr>
          <w:rFonts w:eastAsia="Times New Roman"/>
          <w:b/>
          <w:bCs/>
        </w:rPr>
        <w:t xml:space="preserve">Qëllimi, objektivat dhe </w:t>
      </w:r>
      <w:r w:rsidR="006D216B" w:rsidRPr="00CB13F7">
        <w:rPr>
          <w:rFonts w:eastAsia="Times New Roman"/>
          <w:b/>
          <w:bCs/>
        </w:rPr>
        <w:t xml:space="preserve">masat prioritare </w:t>
      </w:r>
    </w:p>
    <w:p w14:paraId="025E8B24" w14:textId="4CC8F2A8" w:rsidR="00A03364" w:rsidRPr="00CB13F7" w:rsidRDefault="10C789E5" w:rsidP="661F9D2E">
      <w:pPr>
        <w:spacing w:before="120" w:after="120" w:line="276" w:lineRule="auto"/>
        <w:jc w:val="both"/>
        <w:rPr>
          <w:rFonts w:eastAsia="Times New Roman"/>
          <w:i/>
          <w:iCs/>
        </w:rPr>
      </w:pPr>
      <w:r w:rsidRPr="00CB13F7">
        <w:rPr>
          <w:rFonts w:eastAsia="Times New Roman"/>
          <w:b/>
          <w:bCs/>
          <w:i/>
          <w:iCs/>
        </w:rPr>
        <w:t>Qëllimi i Politikës 1</w:t>
      </w:r>
      <w:r w:rsidR="4CB5F2DC" w:rsidRPr="00CB13F7">
        <w:rPr>
          <w:rFonts w:eastAsia="Times New Roman"/>
          <w:b/>
          <w:bCs/>
          <w:i/>
          <w:iCs/>
        </w:rPr>
        <w:t>:</w:t>
      </w:r>
      <w:r w:rsidR="4CB5F2DC" w:rsidRPr="00CB13F7">
        <w:rPr>
          <w:rFonts w:eastAsia="Times New Roman"/>
          <w:i/>
          <w:iCs/>
        </w:rPr>
        <w:t xml:space="preserve"> </w:t>
      </w:r>
      <w:r w:rsidR="2232F65B" w:rsidRPr="00CB13F7">
        <w:rPr>
          <w:rFonts w:eastAsia="Times New Roman"/>
          <w:i/>
          <w:iCs/>
        </w:rPr>
        <w:t>R</w:t>
      </w:r>
      <w:r w:rsidR="4CB5F2DC" w:rsidRPr="00CB13F7">
        <w:rPr>
          <w:rFonts w:eastAsia="Times New Roman"/>
          <w:i/>
          <w:iCs/>
        </w:rPr>
        <w:t xml:space="preserve">ealizimi </w:t>
      </w:r>
      <w:r w:rsidRPr="00CB13F7">
        <w:rPr>
          <w:rFonts w:eastAsia="Times New Roman"/>
          <w:i/>
          <w:iCs/>
        </w:rPr>
        <w:t>i aksesueshmërisë në mjedise, shërbime, transport dhe informacion për personat me aftësi të kufizuara.</w:t>
      </w:r>
    </w:p>
    <w:p w14:paraId="000C8D98" w14:textId="7FD4191D" w:rsidR="00CA57DB" w:rsidRPr="00CB13F7" w:rsidRDefault="00CA57DB" w:rsidP="004E4604">
      <w:pPr>
        <w:spacing w:before="120" w:after="120" w:line="276" w:lineRule="auto"/>
        <w:jc w:val="both"/>
        <w:rPr>
          <w:rFonts w:eastAsia="Times New Roman"/>
        </w:rPr>
      </w:pPr>
      <w:r w:rsidRPr="00CB13F7">
        <w:rPr>
          <w:rFonts w:eastAsia="Times New Roman"/>
        </w:rPr>
        <w:t>Plani i Veprimit për Aksesueshmërinë 2026</w:t>
      </w:r>
      <w:r w:rsidR="00B50124" w:rsidRPr="00CB13F7">
        <w:rPr>
          <w:rFonts w:eastAsia="Times New Roman"/>
        </w:rPr>
        <w:t>-</w:t>
      </w:r>
      <w:r w:rsidRPr="00CB13F7">
        <w:rPr>
          <w:rFonts w:eastAsia="Times New Roman"/>
        </w:rPr>
        <w:t>2030</w:t>
      </w:r>
      <w:r w:rsidR="00332042" w:rsidRPr="00CB13F7">
        <w:rPr>
          <w:rFonts w:eastAsia="Times New Roman"/>
        </w:rPr>
        <w:t>,</w:t>
      </w:r>
      <w:r w:rsidRPr="00CB13F7">
        <w:rPr>
          <w:rFonts w:eastAsia="Times New Roman"/>
        </w:rPr>
        <w:t xml:space="preserve"> ka për qëllim realizimin gradual dhe të qëndrueshëm të aksesueshmërisë për personat me aftësi të kufizuara në mjedise, shërbime, transport dhe informacion. </w:t>
      </w:r>
    </w:p>
    <w:p w14:paraId="7CA0A575" w14:textId="77777777" w:rsidR="00CA57DB" w:rsidRPr="00CB13F7" w:rsidRDefault="00CA57DB" w:rsidP="004E4604">
      <w:pPr>
        <w:spacing w:before="120" w:after="120" w:line="276" w:lineRule="auto"/>
        <w:jc w:val="both"/>
        <w:rPr>
          <w:rFonts w:eastAsia="Times New Roman"/>
        </w:rPr>
      </w:pPr>
      <w:r w:rsidRPr="00CB13F7">
        <w:rPr>
          <w:rFonts w:eastAsia="Times New Roman"/>
        </w:rPr>
        <w:t>Aksesueshmëria konsiderohet një parakusht për përfshirje sociale, pavarësi dhe pjesëmarrje të plotë në të gjitha fushat e jetës.</w:t>
      </w:r>
    </w:p>
    <w:p w14:paraId="39F874E8" w14:textId="294F1C47" w:rsidR="00CA57DB" w:rsidRPr="00CB13F7" w:rsidRDefault="00CA57DB" w:rsidP="004E4604">
      <w:pPr>
        <w:spacing w:before="120" w:after="120" w:line="276" w:lineRule="auto"/>
        <w:jc w:val="both"/>
        <w:rPr>
          <w:rFonts w:eastAsia="Times New Roman"/>
        </w:rPr>
      </w:pPr>
      <w:r w:rsidRPr="00CB13F7">
        <w:rPr>
          <w:rFonts w:eastAsia="Times New Roman"/>
        </w:rPr>
        <w:t xml:space="preserve">Plani strukturohet mbi katër objektiva specifike që mbulojnë dimensionet kryesore të aksesueshmërisë: (i) mjedisin e ndërtuar, infrastrukturën dhe shërbimet; (ii) transportin dhe lëvizshmërinë; (iii) informacionin, komunikimin dhe </w:t>
      </w:r>
      <w:r w:rsidR="00570186" w:rsidRPr="00CB13F7">
        <w:rPr>
          <w:rFonts w:eastAsia="Times New Roman"/>
        </w:rPr>
        <w:t>mediet</w:t>
      </w:r>
      <w:r w:rsidRPr="00CB13F7">
        <w:rPr>
          <w:rFonts w:eastAsia="Times New Roman"/>
        </w:rPr>
        <w:t>; (iv)</w:t>
      </w:r>
      <w:r w:rsidR="00B50124" w:rsidRPr="00CB13F7">
        <w:rPr>
          <w:rFonts w:eastAsia="Times New Roman"/>
        </w:rPr>
        <w:t xml:space="preserve"> </w:t>
      </w:r>
      <w:r w:rsidRPr="00CB13F7">
        <w:rPr>
          <w:rFonts w:eastAsia="Times New Roman"/>
        </w:rPr>
        <w:t>turizmin dhe trashëgiminë kulturore.</w:t>
      </w:r>
    </w:p>
    <w:p w14:paraId="0BA9B756" w14:textId="044DBE43" w:rsidR="00CA57DB" w:rsidRPr="00CB13F7" w:rsidRDefault="00570186" w:rsidP="004E4604">
      <w:pPr>
        <w:spacing w:before="120" w:after="120" w:line="276" w:lineRule="auto"/>
        <w:jc w:val="both"/>
        <w:rPr>
          <w:rFonts w:eastAsia="Times New Roman"/>
        </w:rPr>
      </w:pPr>
      <w:r w:rsidRPr="00CB13F7">
        <w:rPr>
          <w:rFonts w:eastAsia="Times New Roman"/>
        </w:rPr>
        <w:t>Për realizimin e këtyre objektivave janë parashikuar gjashtë masa prioritare, të shoqëruara me 31 ndërhyrje konkrete, të cilat synojnë eliminimin e barrierave ekzistuese dhe parandalimin e krijimit të barrierave të reja.</w:t>
      </w:r>
    </w:p>
    <w:p w14:paraId="08EB038F" w14:textId="5411F60A" w:rsidR="00794191" w:rsidRPr="00CB13F7" w:rsidRDefault="62D9AECD" w:rsidP="004E4604">
      <w:pPr>
        <w:spacing w:before="120" w:after="120" w:line="276" w:lineRule="auto"/>
        <w:jc w:val="both"/>
        <w:rPr>
          <w:b/>
          <w:bCs/>
          <w:lang w:eastAsia="en-US"/>
        </w:rPr>
      </w:pPr>
      <w:r w:rsidRPr="00CB13F7">
        <w:rPr>
          <w:rFonts w:eastAsia="Times New Roman"/>
          <w:b/>
          <w:bCs/>
          <w:i/>
          <w:iCs/>
        </w:rPr>
        <w:t>Objektivi Specifik 1</w:t>
      </w:r>
      <w:r w:rsidR="4CB5F2DC" w:rsidRPr="00CB13F7">
        <w:rPr>
          <w:rFonts w:eastAsia="Times New Roman"/>
          <w:b/>
          <w:bCs/>
          <w:i/>
          <w:iCs/>
        </w:rPr>
        <w:t>:</w:t>
      </w:r>
      <w:r w:rsidR="4CB5F2DC" w:rsidRPr="00CB13F7">
        <w:rPr>
          <w:rFonts w:eastAsia="Times New Roman"/>
          <w:b/>
          <w:bCs/>
        </w:rPr>
        <w:t xml:space="preserve"> </w:t>
      </w:r>
      <w:r w:rsidR="7FC7C45C" w:rsidRPr="00CB13F7">
        <w:rPr>
          <w:i/>
          <w:iCs/>
          <w:lang w:eastAsia="en-US"/>
        </w:rPr>
        <w:t>R</w:t>
      </w:r>
      <w:r w:rsidR="4CB5F2DC" w:rsidRPr="00CB13F7">
        <w:rPr>
          <w:i/>
          <w:iCs/>
          <w:lang w:eastAsia="en-US"/>
        </w:rPr>
        <w:t xml:space="preserve">ealizimi </w:t>
      </w:r>
      <w:r w:rsidR="1A08CEAF" w:rsidRPr="00CB13F7">
        <w:rPr>
          <w:i/>
          <w:iCs/>
          <w:lang w:eastAsia="en-US"/>
        </w:rPr>
        <w:t xml:space="preserve">i aksesueshmërisë në </w:t>
      </w:r>
      <w:r w:rsidR="1A08CEAF" w:rsidRPr="00CB13F7">
        <w:rPr>
          <w:rFonts w:eastAsia="Times New Roman"/>
          <w:i/>
          <w:iCs/>
        </w:rPr>
        <w:t>mjedisin e ndërtuar, infrastrukturën dhe shërbimet</w:t>
      </w:r>
      <w:r w:rsidR="1A08CEAF" w:rsidRPr="00CB13F7">
        <w:rPr>
          <w:i/>
          <w:iCs/>
          <w:lang w:eastAsia="en-US"/>
        </w:rPr>
        <w:t xml:space="preserve"> për </w:t>
      </w:r>
      <w:r w:rsidR="4CB5F2DC" w:rsidRPr="00CB13F7">
        <w:rPr>
          <w:i/>
          <w:iCs/>
          <w:lang w:eastAsia="en-US"/>
        </w:rPr>
        <w:t xml:space="preserve">personat </w:t>
      </w:r>
      <w:r w:rsidR="1A08CEAF" w:rsidRPr="00CB13F7">
        <w:rPr>
          <w:i/>
          <w:iCs/>
          <w:lang w:eastAsia="en-US"/>
        </w:rPr>
        <w:t xml:space="preserve">me </w:t>
      </w:r>
      <w:r w:rsidR="4CB5F2DC" w:rsidRPr="00CB13F7">
        <w:rPr>
          <w:i/>
          <w:iCs/>
          <w:lang w:eastAsia="en-US"/>
        </w:rPr>
        <w:t xml:space="preserve">aftësi </w:t>
      </w:r>
      <w:r w:rsidR="1A08CEAF" w:rsidRPr="00CB13F7">
        <w:rPr>
          <w:i/>
          <w:iCs/>
          <w:lang w:eastAsia="en-US"/>
        </w:rPr>
        <w:t xml:space="preserve">të </w:t>
      </w:r>
      <w:r w:rsidR="4CB5F2DC" w:rsidRPr="00CB13F7">
        <w:rPr>
          <w:i/>
          <w:iCs/>
          <w:lang w:eastAsia="en-US"/>
        </w:rPr>
        <w:t>kufizuara</w:t>
      </w:r>
      <w:r w:rsidR="1A08CEAF" w:rsidRPr="00CB13F7">
        <w:rPr>
          <w:i/>
          <w:iCs/>
          <w:lang w:eastAsia="en-US"/>
        </w:rPr>
        <w:t>.</w:t>
      </w:r>
    </w:p>
    <w:p w14:paraId="3AF449F5" w14:textId="77777777" w:rsidR="00C16801" w:rsidRPr="00CB13F7" w:rsidRDefault="006D216B" w:rsidP="004E4604">
      <w:pPr>
        <w:spacing w:before="120" w:after="120" w:line="276" w:lineRule="auto"/>
        <w:jc w:val="both"/>
        <w:rPr>
          <w:rFonts w:eastAsia="Times New Roman"/>
          <w:b/>
          <w:bCs/>
          <w:i/>
          <w:iCs/>
        </w:rPr>
      </w:pPr>
      <w:r w:rsidRPr="00CB13F7">
        <w:rPr>
          <w:rFonts w:eastAsia="Times New Roman"/>
          <w:b/>
          <w:bCs/>
          <w:i/>
          <w:iCs/>
        </w:rPr>
        <w:t xml:space="preserve">Masa Prioritare </w:t>
      </w:r>
    </w:p>
    <w:p w14:paraId="48C62102" w14:textId="665160C3" w:rsidR="006D216B" w:rsidRPr="00CB13F7" w:rsidRDefault="00570186" w:rsidP="004E4604">
      <w:pPr>
        <w:spacing w:before="120" w:after="120" w:line="276" w:lineRule="auto"/>
        <w:jc w:val="both"/>
        <w:rPr>
          <w:rFonts w:eastAsia="Times New Roman"/>
        </w:rPr>
      </w:pPr>
      <w:r w:rsidRPr="00CB13F7">
        <w:rPr>
          <w:rFonts w:eastAsia="Times New Roman"/>
        </w:rPr>
        <w:t>1.1</w:t>
      </w:r>
      <w:r w:rsidR="00EF4F94" w:rsidRPr="00CB13F7">
        <w:rPr>
          <w:rFonts w:eastAsia="Times New Roman"/>
        </w:rPr>
        <w:t xml:space="preserve"> </w:t>
      </w:r>
      <w:r w:rsidRPr="00CB13F7">
        <w:rPr>
          <w:rFonts w:eastAsia="Times New Roman"/>
        </w:rPr>
        <w:t>Rishikimi</w:t>
      </w:r>
      <w:r w:rsidR="006D216B" w:rsidRPr="00CB13F7">
        <w:rPr>
          <w:rFonts w:eastAsia="Times New Roman"/>
        </w:rPr>
        <w:t xml:space="preserve"> i bazës ligjore për aksesueshmërinë dhe fuqizimi i monitorimit të zbatimit të saj.</w:t>
      </w:r>
      <w:r w:rsidR="001771D3" w:rsidRPr="00CB13F7">
        <w:rPr>
          <w:rFonts w:eastAsia="Times New Roman"/>
        </w:rPr>
        <w:t xml:space="preserve"> </w:t>
      </w:r>
      <w:r w:rsidR="006D216B" w:rsidRPr="00CB13F7">
        <w:rPr>
          <w:rFonts w:eastAsia="Times New Roman"/>
        </w:rPr>
        <w:t xml:space="preserve">Ngritja dhe funksionimi i </w:t>
      </w:r>
      <w:r w:rsidR="00EF4F94" w:rsidRPr="00CB13F7">
        <w:rPr>
          <w:rFonts w:eastAsia="Times New Roman"/>
        </w:rPr>
        <w:t xml:space="preserve">strukturës </w:t>
      </w:r>
      <w:r w:rsidR="006D216B" w:rsidRPr="00CB13F7">
        <w:rPr>
          <w:rFonts w:eastAsia="Times New Roman"/>
        </w:rPr>
        <w:t>monitoruese/</w:t>
      </w:r>
      <w:r w:rsidR="00EF4F94" w:rsidRPr="00CB13F7">
        <w:rPr>
          <w:rFonts w:eastAsia="Times New Roman"/>
        </w:rPr>
        <w:t>autoritetit</w:t>
      </w:r>
      <w:r w:rsidR="006D216B" w:rsidRPr="00CB13F7">
        <w:rPr>
          <w:rFonts w:eastAsia="Times New Roman"/>
        </w:rPr>
        <w:t>, në varësi të Këshillit të Ministrave, për monitorim në nivel kombëtar</w:t>
      </w:r>
      <w:r w:rsidR="00EF4F94" w:rsidRPr="00CB13F7">
        <w:rPr>
          <w:rFonts w:eastAsia="Times New Roman"/>
        </w:rPr>
        <w:t>.</w:t>
      </w:r>
    </w:p>
    <w:p w14:paraId="73ED1DDE" w14:textId="1D1EECA1" w:rsidR="006D216B" w:rsidRPr="00CB13F7" w:rsidRDefault="00570186" w:rsidP="004E4604">
      <w:pPr>
        <w:spacing w:before="120" w:after="120" w:line="276" w:lineRule="auto"/>
        <w:jc w:val="both"/>
        <w:rPr>
          <w:rFonts w:eastAsia="Times New Roman"/>
        </w:rPr>
      </w:pPr>
      <w:r w:rsidRPr="00CB13F7">
        <w:rPr>
          <w:rFonts w:eastAsia="Times New Roman"/>
        </w:rPr>
        <w:t>1.2</w:t>
      </w:r>
      <w:r w:rsidR="00EF4F94" w:rsidRPr="00CB13F7">
        <w:rPr>
          <w:rFonts w:eastAsia="Times New Roman"/>
        </w:rPr>
        <w:t xml:space="preserve"> Vlerësimi i nivelit të aksesueshmërisë së aseteve publike (ndërtesa dhe infrastrukturë), përgatitja e një plani veprimi të strukturuar me masa prioritare për garantimin e standardeve të aksesueshmërisë dhe ngritja e një regjistri përkatës për ndjekjen dhe raportimin e progresit.</w:t>
      </w:r>
    </w:p>
    <w:p w14:paraId="6A9FCD2D" w14:textId="77777777" w:rsidR="00794191" w:rsidRPr="00CB13F7" w:rsidRDefault="00794191" w:rsidP="004E4604">
      <w:pPr>
        <w:spacing w:before="120" w:after="120" w:line="276" w:lineRule="auto"/>
        <w:jc w:val="both"/>
        <w:rPr>
          <w:rFonts w:eastAsia="Times New Roman"/>
        </w:rPr>
      </w:pPr>
      <w:r w:rsidRPr="00CB13F7">
        <w:rPr>
          <w:rFonts w:eastAsia="Times New Roman"/>
        </w:rPr>
        <w:t xml:space="preserve">Objektivi i parë i fushës së aksesueshmërisë synon të sigurojë që mjedisi i ndërtuar të jetë i përdorshëm dhe i arritshëm për personat me aftësi të kufizuara, si një parakusht për integrimin e tyre dhe për pjesëmarrje të barabartë në të gjitha fushat e jetës shoqërore. Qasja e këtij objektivi nuk kufizohet vetëm në përshtatjen e ndërtesave, por përfshin në mënyrë të integruar </w:t>
      </w:r>
      <w:r w:rsidRPr="00CB13F7">
        <w:rPr>
          <w:rFonts w:eastAsia="Times New Roman"/>
        </w:rPr>
        <w:lastRenderedPageBreak/>
        <w:t xml:space="preserve">infrastrukturën, produktet dhe shërbimet e ofruara për publikun, duke synuar njëkohësisht eliminimin e barrierave ekzistuese dhe parandalimin e krijimit të barrierave të reja. </w:t>
      </w:r>
    </w:p>
    <w:p w14:paraId="0F8F1709" w14:textId="360B7586" w:rsidR="00794191" w:rsidRPr="00CB13F7" w:rsidRDefault="00794191" w:rsidP="004E4604">
      <w:pPr>
        <w:spacing w:before="120" w:after="120" w:line="276" w:lineRule="auto"/>
        <w:jc w:val="both"/>
        <w:rPr>
          <w:rFonts w:eastAsia="Times New Roman"/>
        </w:rPr>
      </w:pPr>
      <w:r w:rsidRPr="00CB13F7">
        <w:rPr>
          <w:rFonts w:eastAsia="Times New Roman"/>
        </w:rPr>
        <w:t xml:space="preserve">Në thelb të këtij objektivi qëndron forcimi i kuadrit ligjor dhe institucional që rregullon aksesueshmërinë. Parashikohet rishikimi i legjislacionit përkatës përmes miratimit të </w:t>
      </w:r>
      <w:r w:rsidR="00EF4F94" w:rsidRPr="00CB13F7">
        <w:rPr>
          <w:rFonts w:eastAsia="Times New Roman"/>
        </w:rPr>
        <w:t xml:space="preserve">Ligjit </w:t>
      </w:r>
      <w:r w:rsidRPr="00CB13F7">
        <w:rPr>
          <w:rFonts w:eastAsia="Times New Roman"/>
        </w:rPr>
        <w:t xml:space="preserve">të rishikuar </w:t>
      </w:r>
      <w:r w:rsidR="00EF4F94" w:rsidRPr="00CB13F7">
        <w:rPr>
          <w:rFonts w:eastAsia="Times New Roman"/>
        </w:rPr>
        <w:t>“P</w:t>
      </w:r>
      <w:r w:rsidRPr="00CB13F7">
        <w:rPr>
          <w:rFonts w:eastAsia="Times New Roman"/>
        </w:rPr>
        <w:t>ër përfshirjen dhe aksesueshmërinë e personave me aftësi të kufizuara</w:t>
      </w:r>
      <w:r w:rsidR="00EF4F94" w:rsidRPr="00CB13F7">
        <w:rPr>
          <w:rFonts w:eastAsia="Times New Roman"/>
        </w:rPr>
        <w:t>”</w:t>
      </w:r>
      <w:r w:rsidRPr="00CB13F7">
        <w:rPr>
          <w:rFonts w:eastAsia="Times New Roman"/>
        </w:rPr>
        <w:t xml:space="preserve"> dhe harmonizimi i tij me standardet evropiane për produktet dhe shërbimet. Ky proces shoqërohet me rishikimin e akteve ekzistuese nënligjore dhe plotësimin e tyre me instrumente të reja zbatimi, në mënyrë që kërkesat për aksesueshmëri të jenë të qarta, të detyrueshme dhe të zbatueshme në praktikë. Përveç përmirësimit të kuadrit normativ, parashikohet edhe informimi publik mbi ndryshimet ligjore dhe të drejtat që burojnë prej tyre, me qëllim rritjen e ndërgjegjësimit të institucioneve, profesionistëve dhe qytetarëve.</w:t>
      </w:r>
    </w:p>
    <w:p w14:paraId="7F736605" w14:textId="15AF1C79" w:rsidR="00794191" w:rsidRPr="00CB13F7" w:rsidRDefault="62D9AECD" w:rsidP="004E4604">
      <w:pPr>
        <w:spacing w:before="120" w:after="120" w:line="276" w:lineRule="auto"/>
        <w:jc w:val="both"/>
        <w:rPr>
          <w:rFonts w:eastAsia="Times New Roman"/>
        </w:rPr>
      </w:pPr>
      <w:r w:rsidRPr="00CB13F7">
        <w:rPr>
          <w:rFonts w:eastAsia="Times New Roman"/>
        </w:rPr>
        <w:t xml:space="preserve">Një element qendror i këtij objektivi është ngritja dhe funksionimi i një strukture monitoruese në nivel kombëtar, pranë Këshillit të Ministrave, e cila do të mbikëqyrë zbatimin e kërkesave të aksesueshmërisë në mjedise, shërbime dhe produkte. Kjo strukturë do të ketë rol koordinues dhe kontrollues, duke përcaktuar standardet, duke ndjekur zbatimin e tyre dhe duke bashkëpunuar me institucionet përgjegjëse. Për të garantuar funksionimin efektiv të sistemit, parashikohet </w:t>
      </w:r>
      <w:r w:rsidR="4CB5F2DC" w:rsidRPr="00CB13F7">
        <w:rPr>
          <w:rFonts w:eastAsia="Times New Roman"/>
        </w:rPr>
        <w:t xml:space="preserve">edhe </w:t>
      </w:r>
      <w:r w:rsidRPr="00CB13F7">
        <w:rPr>
          <w:rFonts w:eastAsia="Times New Roman"/>
        </w:rPr>
        <w:t xml:space="preserve">caktimi i nëpunësve përgjegjës për çështjet e aftësisë së kufizuar në institucionet qendrore dhe në njësitë e </w:t>
      </w:r>
      <w:r w:rsidR="0B0B9203" w:rsidRPr="00CB13F7">
        <w:rPr>
          <w:rFonts w:eastAsia="Times New Roman"/>
        </w:rPr>
        <w:t>vetë</w:t>
      </w:r>
      <w:r w:rsidRPr="00CB13F7">
        <w:rPr>
          <w:rFonts w:eastAsia="Times New Roman"/>
        </w:rPr>
        <w:t>qeverisjes vendore, duke krijuar një rrjet institucional që siguron integrimin e aksesueshmërisë në proceset e përditshme administrative.</w:t>
      </w:r>
    </w:p>
    <w:p w14:paraId="091DBF09" w14:textId="77777777" w:rsidR="00794191" w:rsidRPr="00CB13F7" w:rsidRDefault="00794191" w:rsidP="004E4604">
      <w:pPr>
        <w:spacing w:before="120" w:after="120" w:line="276" w:lineRule="auto"/>
        <w:jc w:val="both"/>
        <w:rPr>
          <w:rFonts w:eastAsia="Times New Roman"/>
        </w:rPr>
      </w:pPr>
      <w:r w:rsidRPr="00CB13F7">
        <w:rPr>
          <w:rFonts w:eastAsia="Times New Roman"/>
        </w:rPr>
        <w:t>Objektivi parashikon edhe zhvillimin e kapaciteteve profesionale dhe institucionale. Do të organizohen programe trajnimi për stafet e institucioneve publike, për strukturat e monitorimit, për profesionistët e projektimit dhe ndërtimit, për operatorët ekonomikë dhe për institucionet arsimore. Trajnimet synojnë jo vetëm njohjen e standardeve teknike të aksesueshmërisë, por edhe përmirësimin e komunikimit dhe të sjelljes profesionale ndaj personave me aftësi të kufizuara. Paralelisht, do të zhvillohen fushata ndërgjegjësimi për personat me aftësi të kufizuara dhe familjet e tyre, me qëllim njohjen e të drejtave dhe mundësive që ofron legjislacioni në këtë fushë.</w:t>
      </w:r>
    </w:p>
    <w:p w14:paraId="5536816D" w14:textId="6B482D91" w:rsidR="00794191" w:rsidRPr="00CB13F7" w:rsidRDefault="00794191" w:rsidP="004E4604">
      <w:pPr>
        <w:spacing w:before="120" w:after="120" w:line="276" w:lineRule="auto"/>
        <w:jc w:val="both"/>
        <w:rPr>
          <w:rFonts w:eastAsia="Times New Roman"/>
        </w:rPr>
      </w:pPr>
      <w:r w:rsidRPr="00CB13F7">
        <w:rPr>
          <w:rFonts w:eastAsia="Times New Roman"/>
        </w:rPr>
        <w:t>Një tjetër komponent i rëndësishëm është vlerësimi sistematik i nivelit të aksesueshmërisë së aseteve publike. Institucionet do të kryejnë vlerësime teknike të ndërtesave dhe infrastrukturës në përdorim, duke identifikuar pengesat ekzistuese dhe duke përcaktuar prioritetet e ndërhyrjes. Rezultatet do të regjistrohen në një regjistër të posaçëm të aksesueshmërisë dhe do të shoqërohen me planifikim financiar vjetor për eliminimin e barrierave. Në këtë kuadër, do të hartohet çdo vit një raport kombëtar mbi realizimin e aksesueshmërisë, i cili do të shërbejë si instrument monitorimi, planifikimi dhe transpar</w:t>
      </w:r>
      <w:r w:rsidR="00587BB1" w:rsidRPr="00CB13F7">
        <w:rPr>
          <w:rFonts w:eastAsia="Times New Roman"/>
        </w:rPr>
        <w:t>e</w:t>
      </w:r>
      <w:r w:rsidRPr="00CB13F7">
        <w:rPr>
          <w:rFonts w:eastAsia="Times New Roman"/>
        </w:rPr>
        <w:t>nce, si dhe do të organizohet një konferencë kombëtare vjetore për prezantimin e progresit dhe përcaktimin e prioriteteve të mëtejshme.</w:t>
      </w:r>
    </w:p>
    <w:p w14:paraId="2710258A" w14:textId="77777777" w:rsidR="00794191" w:rsidRPr="00CB13F7" w:rsidRDefault="00794191" w:rsidP="004E4604">
      <w:pPr>
        <w:spacing w:before="120" w:after="120" w:line="276" w:lineRule="auto"/>
        <w:jc w:val="both"/>
        <w:rPr>
          <w:rFonts w:eastAsia="Times New Roman"/>
        </w:rPr>
      </w:pPr>
      <w:r w:rsidRPr="00CB13F7">
        <w:rPr>
          <w:rFonts w:eastAsia="Times New Roman"/>
        </w:rPr>
        <w:t xml:space="preserve">Përveç planifikimit dhe vlerësimit, objektivi përfshin monitorimin e vazhdueshëm të zbatimit të standardeve. Parashikohet forcimi i mekanizmave të kontrollit për projektet e reja të ndërtimit dhe për investimet publike, në mënyrë që kërkesat e aksesueshmërisë të respektohen që në fazën e projektimit dhe të mos trajtohen vetëm si masa korrigjuese pas ndërtimit. Kontrollet do të shoqërohen me përgjegjësi administrative dhe masa ndëshkuese në rast moszbatimi, ndërsa </w:t>
      </w:r>
      <w:r w:rsidRPr="00CB13F7">
        <w:rPr>
          <w:rFonts w:eastAsia="Times New Roman"/>
        </w:rPr>
        <w:lastRenderedPageBreak/>
        <w:t>monitorimet do të shtrihen edhe mbi ndërtesat e sektorëve të arsimit, shëndetësisë, kujdesit social, drejtësisë dhe tregut të punës. Krahas kësaj, do të promovohen praktikat e mira përmes fushatave të komunikimit publik dhe shkëmbimit të përvojave pozitive.</w:t>
      </w:r>
    </w:p>
    <w:p w14:paraId="317CEB09" w14:textId="0CAD132C" w:rsidR="00794191" w:rsidRPr="00CB13F7" w:rsidRDefault="0014426B" w:rsidP="004E4604">
      <w:pPr>
        <w:spacing w:before="120" w:after="120" w:line="276" w:lineRule="auto"/>
        <w:jc w:val="both"/>
        <w:rPr>
          <w:rFonts w:eastAsia="Times New Roman"/>
        </w:rPr>
      </w:pPr>
      <w:r w:rsidRPr="00CB13F7">
        <w:rPr>
          <w:rFonts w:eastAsia="Times New Roman"/>
        </w:rPr>
        <w:t>O</w:t>
      </w:r>
      <w:r w:rsidR="00794191" w:rsidRPr="00CB13F7">
        <w:rPr>
          <w:rFonts w:eastAsia="Times New Roman"/>
        </w:rPr>
        <w:t>bjektivi i parë</w:t>
      </w:r>
      <w:r w:rsidR="00C140EA" w:rsidRPr="00CB13F7">
        <w:rPr>
          <w:rFonts w:eastAsia="Times New Roman"/>
        </w:rPr>
        <w:t>,</w:t>
      </w:r>
      <w:r w:rsidR="00794191" w:rsidRPr="00CB13F7">
        <w:rPr>
          <w:rFonts w:eastAsia="Times New Roman"/>
        </w:rPr>
        <w:t xml:space="preserve"> synon të vendosë një sistem funksional të aksesueshmërisë që fillon nga legjislacioni dhe standardet, vijon me planifikimin dhe financimin e ndërhyrjeve dhe përfundon me monitorimin dhe ndërgjegjësimin shoqëror. Në këtë mënyrë, aksesueshmëria bëhet pjesë e detyrueshme e projektimit, ndërtimit dhe ofrimit të çdo shërbimi publik, duke kaluar nga një qasje korrigjuese në një qasje parandaluese dhe të integruar në politikat publike.</w:t>
      </w:r>
    </w:p>
    <w:p w14:paraId="20519230" w14:textId="5018D225" w:rsidR="00766587" w:rsidRPr="00CB13F7" w:rsidRDefault="7D77F513" w:rsidP="661F9D2E">
      <w:pPr>
        <w:spacing w:before="120" w:after="120" w:line="276" w:lineRule="auto"/>
        <w:jc w:val="both"/>
        <w:rPr>
          <w:i/>
          <w:iCs/>
          <w:lang w:eastAsia="en-US"/>
        </w:rPr>
      </w:pPr>
      <w:r w:rsidRPr="00CB13F7">
        <w:rPr>
          <w:rFonts w:eastAsia="Times New Roman"/>
          <w:b/>
          <w:bCs/>
          <w:i/>
          <w:iCs/>
        </w:rPr>
        <w:t xml:space="preserve">Objektivi Specifik </w:t>
      </w:r>
      <w:r w:rsidR="0C5B1CB2" w:rsidRPr="00CB13F7">
        <w:rPr>
          <w:rFonts w:eastAsia="Times New Roman"/>
          <w:b/>
          <w:bCs/>
          <w:i/>
          <w:iCs/>
        </w:rPr>
        <w:t>2</w:t>
      </w:r>
      <w:r w:rsidR="4CFF8395" w:rsidRPr="00CB13F7">
        <w:rPr>
          <w:rFonts w:eastAsia="Times New Roman"/>
          <w:b/>
          <w:bCs/>
          <w:i/>
          <w:iCs/>
        </w:rPr>
        <w:t xml:space="preserve">: </w:t>
      </w:r>
      <w:r w:rsidR="49B7FBB1" w:rsidRPr="00CB13F7">
        <w:rPr>
          <w:rFonts w:eastAsia="Times New Roman"/>
          <w:i/>
          <w:iCs/>
        </w:rPr>
        <w:t>R</w:t>
      </w:r>
      <w:r w:rsidR="4CFF8395" w:rsidRPr="00CB13F7">
        <w:rPr>
          <w:i/>
          <w:iCs/>
          <w:lang w:eastAsia="en-US"/>
        </w:rPr>
        <w:t xml:space="preserve">ealizimi </w:t>
      </w:r>
      <w:r w:rsidR="1A08CEAF" w:rsidRPr="00CB13F7">
        <w:rPr>
          <w:i/>
          <w:iCs/>
          <w:lang w:eastAsia="en-US"/>
        </w:rPr>
        <w:t xml:space="preserve">i </w:t>
      </w:r>
      <w:r w:rsidR="4CFF8395" w:rsidRPr="00CB13F7">
        <w:rPr>
          <w:i/>
          <w:iCs/>
          <w:lang w:eastAsia="en-US"/>
        </w:rPr>
        <w:t xml:space="preserve">aksesueshmërisë </w:t>
      </w:r>
      <w:r w:rsidR="1A08CEAF" w:rsidRPr="00CB13F7">
        <w:rPr>
          <w:i/>
          <w:iCs/>
          <w:lang w:eastAsia="en-US"/>
        </w:rPr>
        <w:t xml:space="preserve">në </w:t>
      </w:r>
      <w:r w:rsidR="1A08CEAF" w:rsidRPr="00CB13F7">
        <w:rPr>
          <w:rFonts w:eastAsia="Times New Roman"/>
          <w:i/>
          <w:iCs/>
        </w:rPr>
        <w:t>transportin dhe lëvizshmërinë</w:t>
      </w:r>
      <w:r w:rsidR="1A08CEAF" w:rsidRPr="00CB13F7">
        <w:rPr>
          <w:i/>
          <w:iCs/>
          <w:lang w:eastAsia="en-US"/>
        </w:rPr>
        <w:t xml:space="preserve"> për </w:t>
      </w:r>
      <w:r w:rsidR="4CFF8395" w:rsidRPr="00CB13F7">
        <w:rPr>
          <w:i/>
          <w:iCs/>
          <w:lang w:eastAsia="en-US"/>
        </w:rPr>
        <w:t xml:space="preserve">personat </w:t>
      </w:r>
      <w:r w:rsidR="1A08CEAF" w:rsidRPr="00CB13F7">
        <w:rPr>
          <w:i/>
          <w:iCs/>
          <w:lang w:eastAsia="en-US"/>
        </w:rPr>
        <w:t xml:space="preserve">me </w:t>
      </w:r>
      <w:r w:rsidR="4CFF8395" w:rsidRPr="00CB13F7">
        <w:rPr>
          <w:i/>
          <w:iCs/>
          <w:lang w:eastAsia="en-US"/>
        </w:rPr>
        <w:t xml:space="preserve">aftësi </w:t>
      </w:r>
      <w:r w:rsidR="1A08CEAF" w:rsidRPr="00CB13F7">
        <w:rPr>
          <w:i/>
          <w:iCs/>
          <w:lang w:eastAsia="en-US"/>
        </w:rPr>
        <w:t>të</w:t>
      </w:r>
      <w:r w:rsidR="6309BE2C" w:rsidRPr="00CB13F7">
        <w:rPr>
          <w:i/>
          <w:iCs/>
          <w:lang w:eastAsia="en-US"/>
        </w:rPr>
        <w:t xml:space="preserve"> </w:t>
      </w:r>
      <w:r w:rsidR="4CFF8395" w:rsidRPr="00CB13F7">
        <w:rPr>
          <w:i/>
          <w:iCs/>
          <w:lang w:eastAsia="en-US"/>
        </w:rPr>
        <w:t>kufizuara</w:t>
      </w:r>
      <w:r w:rsidR="1A08CEAF" w:rsidRPr="00CB13F7">
        <w:rPr>
          <w:i/>
          <w:iCs/>
          <w:lang w:eastAsia="en-US"/>
        </w:rPr>
        <w:t>.</w:t>
      </w:r>
    </w:p>
    <w:p w14:paraId="7461EDB6" w14:textId="77777777" w:rsidR="00C16801" w:rsidRPr="00CB13F7" w:rsidRDefault="006D216B" w:rsidP="004E4604">
      <w:pPr>
        <w:spacing w:before="120" w:after="120" w:line="276" w:lineRule="auto"/>
        <w:jc w:val="both"/>
        <w:rPr>
          <w:rFonts w:eastAsia="Times New Roman"/>
          <w:b/>
          <w:bCs/>
          <w:i/>
          <w:iCs/>
        </w:rPr>
      </w:pPr>
      <w:r w:rsidRPr="00CB13F7">
        <w:rPr>
          <w:rFonts w:eastAsia="Times New Roman"/>
          <w:b/>
          <w:bCs/>
          <w:i/>
          <w:iCs/>
        </w:rPr>
        <w:t xml:space="preserve">Masa prioritare </w:t>
      </w:r>
    </w:p>
    <w:p w14:paraId="6BE95ABF" w14:textId="04CBC108" w:rsidR="006D216B" w:rsidRPr="00CB13F7" w:rsidRDefault="00570186" w:rsidP="004E4604">
      <w:pPr>
        <w:spacing w:before="120" w:after="120" w:line="276" w:lineRule="auto"/>
        <w:jc w:val="both"/>
        <w:rPr>
          <w:rFonts w:eastAsia="Times New Roman"/>
        </w:rPr>
      </w:pPr>
      <w:r w:rsidRPr="00CB13F7">
        <w:rPr>
          <w:rFonts w:eastAsia="Times New Roman"/>
        </w:rPr>
        <w:t>2.1</w:t>
      </w:r>
      <w:r w:rsidR="00C140EA" w:rsidRPr="00CB13F7">
        <w:rPr>
          <w:rFonts w:eastAsia="Times New Roman"/>
        </w:rPr>
        <w:t xml:space="preserve"> </w:t>
      </w:r>
      <w:r w:rsidRPr="00CB13F7">
        <w:rPr>
          <w:rFonts w:eastAsia="Times New Roman"/>
        </w:rPr>
        <w:t>Të aplikohen standardet e BE-së dhe të përafrohet kuadri ligjor për të mundësuar realizimin e të drejtave të pasagjerëve me aftësi të kufizuara në udhëtimet me</w:t>
      </w:r>
      <w:r w:rsidR="001771D3" w:rsidRPr="00CB13F7">
        <w:rPr>
          <w:rFonts w:eastAsia="Times New Roman"/>
        </w:rPr>
        <w:t xml:space="preserve"> </w:t>
      </w:r>
      <w:r w:rsidRPr="00CB13F7">
        <w:rPr>
          <w:rFonts w:eastAsia="Times New Roman"/>
        </w:rPr>
        <w:t>autobusë (brenda qyteteve dhe ndërqytete</w:t>
      </w:r>
      <w:r w:rsidR="00C140EA" w:rsidRPr="00CB13F7">
        <w:rPr>
          <w:rFonts w:eastAsia="Times New Roman"/>
        </w:rPr>
        <w:t xml:space="preserve">) </w:t>
      </w:r>
      <w:r w:rsidRPr="00CB13F7">
        <w:rPr>
          <w:rFonts w:eastAsia="Times New Roman"/>
        </w:rPr>
        <w:t>dhe të gjitha mjetet e tjera të transportit hekurudhor</w:t>
      </w:r>
      <w:r w:rsidR="00C140EA" w:rsidRPr="00CB13F7">
        <w:rPr>
          <w:rFonts w:eastAsia="Times New Roman"/>
        </w:rPr>
        <w:t>,</w:t>
      </w:r>
      <w:r w:rsidRPr="00CB13F7">
        <w:rPr>
          <w:rFonts w:eastAsia="Times New Roman"/>
        </w:rPr>
        <w:t xml:space="preserve"> ujor</w:t>
      </w:r>
      <w:r w:rsidR="00C140EA" w:rsidRPr="00CB13F7">
        <w:rPr>
          <w:rFonts w:eastAsia="Times New Roman"/>
        </w:rPr>
        <w:t xml:space="preserve"> dhe ajror</w:t>
      </w:r>
      <w:r w:rsidRPr="00CB13F7">
        <w:rPr>
          <w:rFonts w:eastAsia="Times New Roman"/>
        </w:rPr>
        <w:t xml:space="preserve">. </w:t>
      </w:r>
      <w:r w:rsidR="006D216B" w:rsidRPr="00CB13F7">
        <w:rPr>
          <w:rFonts w:eastAsia="Times New Roman"/>
        </w:rPr>
        <w:t>Përmirësimi i qëndrimeve dhe sjelljeve ndaj udhëtarëve me aftësi të kufizuara.</w:t>
      </w:r>
    </w:p>
    <w:p w14:paraId="7DD3547E" w14:textId="2A8AD152" w:rsidR="00C140EA" w:rsidRPr="00CB13F7" w:rsidRDefault="00C140EA" w:rsidP="004E4604">
      <w:pPr>
        <w:spacing w:before="120" w:after="120" w:line="276" w:lineRule="auto"/>
        <w:jc w:val="both"/>
        <w:rPr>
          <w:rFonts w:eastAsia="Times New Roman"/>
        </w:rPr>
      </w:pPr>
      <w:r w:rsidRPr="00CB13F7">
        <w:rPr>
          <w:rFonts w:eastAsia="Times New Roman"/>
        </w:rPr>
        <w:t>Objektivi i dytë synon të rrisë nivelin e aksesueshmërisë në transportin publik, duke përfshirë mjetet e transportit dhe shërbimet për udhëtarët me aftësi të kufizuara, si dhe duke mundësuar udhëtimin falas për ta. Ky objektiv bazohet në parimin se lëvizshmëria është thelbësore për pjesëmarrjen në arsim, punësim, shërbime publike dhe jetën sociale, dhe se mungesa e transportit të aksesueshëm është një pengesë kryesore për përfshirjen shoqërore.</w:t>
      </w:r>
    </w:p>
    <w:p w14:paraId="4CD6B300" w14:textId="2A8CFA73" w:rsidR="00766587" w:rsidRPr="00CB13F7" w:rsidRDefault="7D77F513" w:rsidP="004E4604">
      <w:pPr>
        <w:spacing w:before="120" w:after="120" w:line="276" w:lineRule="auto"/>
        <w:jc w:val="both"/>
        <w:rPr>
          <w:rFonts w:eastAsia="Times New Roman"/>
        </w:rPr>
      </w:pPr>
      <w:r w:rsidRPr="00CB13F7">
        <w:rPr>
          <w:rFonts w:eastAsia="Times New Roman"/>
        </w:rPr>
        <w:t>Në këtë kuadër, parashikohet përafrimi i kuadrit ligjor dhe praktikave me standardet e Bashkimit Evropian</w:t>
      </w:r>
      <w:r w:rsidR="00B71EFF" w:rsidRPr="00CB13F7">
        <w:rPr>
          <w:rStyle w:val="FootnoteReference"/>
          <w:rFonts w:eastAsia="Times New Roman"/>
        </w:rPr>
        <w:footnoteReference w:id="28"/>
      </w:r>
      <w:r w:rsidRPr="00CB13F7">
        <w:rPr>
          <w:rFonts w:eastAsia="Times New Roman"/>
        </w:rPr>
        <w:t xml:space="preserve"> për të drejtat e pasagjerëve me aftësi të kufizuara në të gjitha mënyrat e transportit, përfshirë </w:t>
      </w:r>
      <w:r w:rsidR="7A17AC74" w:rsidRPr="00CB13F7">
        <w:rPr>
          <w:rFonts w:eastAsia="Times New Roman"/>
        </w:rPr>
        <w:t xml:space="preserve">atë </w:t>
      </w:r>
      <w:r w:rsidRPr="00CB13F7">
        <w:rPr>
          <w:rFonts w:eastAsia="Times New Roman"/>
        </w:rPr>
        <w:t>rrugor, hekurudhor, detar dhe ajror. Synimi është që personat me aftësi të kufizuara të kenë të drejtë dhe mundësi reale për të përdorur shërbimet e transportit në mënyrë të pavarur dhe të sigurt, në kushte të barabarta me qytetarët e tjerë.</w:t>
      </w:r>
    </w:p>
    <w:p w14:paraId="639DEBC7" w14:textId="77777777" w:rsidR="00766587" w:rsidRPr="00CB13F7" w:rsidRDefault="00766587" w:rsidP="004E4604">
      <w:pPr>
        <w:spacing w:before="120" w:after="120" w:line="276" w:lineRule="auto"/>
        <w:jc w:val="both"/>
        <w:rPr>
          <w:rFonts w:eastAsia="Times New Roman"/>
        </w:rPr>
      </w:pPr>
      <w:r w:rsidRPr="00CB13F7">
        <w:rPr>
          <w:rFonts w:eastAsia="Times New Roman"/>
        </w:rPr>
        <w:t>Një nga drejtimet kryesore të këtij objektivi</w:t>
      </w:r>
      <w:r w:rsidR="004A3881" w:rsidRPr="00CB13F7">
        <w:rPr>
          <w:rFonts w:eastAsia="Times New Roman"/>
        </w:rPr>
        <w:t>,</w:t>
      </w:r>
      <w:r w:rsidRPr="00CB13F7">
        <w:rPr>
          <w:rFonts w:eastAsia="Times New Roman"/>
        </w:rPr>
        <w:t xml:space="preserve"> është përmirësimi i aksesueshmërisë fizike të mjeteve dhe infrastrukturës së transportit. Parashikohet rritja graduale e numrit të autobusëve të përshtatur me platforma dhe pajisje ndihmëse për përdoruesit e karrigeve me rrota, si dhe përmbushja e standardeve të aksesueshmërisë në terminalet e autobusëve, stacionet hekurudhore, portet dhe aeroportet. Krahas përshtatjeve fizike, transporti publik do të pajiset edhe me sisteme informacioni audio-vizuale për orientimin e pasagjerëve, duke përmirësuar aksesin për personat me dëmtime në shikim dhe dëgjim.</w:t>
      </w:r>
    </w:p>
    <w:p w14:paraId="3C6B16E5" w14:textId="6F9208A5" w:rsidR="00766587" w:rsidRPr="00CB13F7" w:rsidRDefault="00766587" w:rsidP="004E4604">
      <w:pPr>
        <w:spacing w:before="120" w:after="120" w:line="276" w:lineRule="auto"/>
        <w:jc w:val="both"/>
        <w:rPr>
          <w:rFonts w:eastAsia="Times New Roman"/>
        </w:rPr>
      </w:pPr>
      <w:r w:rsidRPr="00CB13F7">
        <w:rPr>
          <w:rFonts w:eastAsia="Times New Roman"/>
        </w:rPr>
        <w:t xml:space="preserve">Plani parashikon gjithashtu </w:t>
      </w:r>
      <w:r w:rsidR="005E1AF7" w:rsidRPr="00CB13F7">
        <w:rPr>
          <w:rFonts w:eastAsia="Times New Roman"/>
        </w:rPr>
        <w:t xml:space="preserve">ofrimin </w:t>
      </w:r>
      <w:r w:rsidRPr="00CB13F7">
        <w:rPr>
          <w:rFonts w:eastAsia="Times New Roman"/>
        </w:rPr>
        <w:t xml:space="preserve">e shërbimeve mbështetëse, </w:t>
      </w:r>
      <w:r w:rsidR="005E1AF7" w:rsidRPr="00CB13F7">
        <w:rPr>
          <w:rFonts w:eastAsia="Times New Roman"/>
        </w:rPr>
        <w:t xml:space="preserve">duke </w:t>
      </w:r>
      <w:r w:rsidRPr="00CB13F7">
        <w:rPr>
          <w:rFonts w:eastAsia="Times New Roman"/>
        </w:rPr>
        <w:t xml:space="preserve">përfshirë transportin “derë më derë” për personat me aftësi të kufizuara </w:t>
      </w:r>
      <w:r w:rsidR="005E1AF7" w:rsidRPr="00CB13F7">
        <w:rPr>
          <w:rFonts w:eastAsia="Times New Roman"/>
        </w:rPr>
        <w:t xml:space="preserve">që kanë </w:t>
      </w:r>
      <w:r w:rsidRPr="00CB13F7">
        <w:rPr>
          <w:rFonts w:eastAsia="Times New Roman"/>
        </w:rPr>
        <w:t xml:space="preserve">kufizime të rënda lëvizjeje. Në të njëjtën kohë </w:t>
      </w:r>
      <w:r w:rsidRPr="00CB13F7">
        <w:rPr>
          <w:rFonts w:eastAsia="Times New Roman"/>
        </w:rPr>
        <w:lastRenderedPageBreak/>
        <w:t>do të forcohet monitorimi i zbatimit të kuadrit ligjor nga operatorët e transportit përmes strukturave inspektuese dhe task-forcave të dedikuara në nivel qendror dhe vendor.</w:t>
      </w:r>
    </w:p>
    <w:p w14:paraId="735A34B7" w14:textId="50629ACD" w:rsidR="00766587" w:rsidRPr="00CB13F7" w:rsidRDefault="00766587" w:rsidP="004E4604">
      <w:pPr>
        <w:spacing w:before="120" w:after="120" w:line="276" w:lineRule="auto"/>
        <w:jc w:val="both"/>
        <w:rPr>
          <w:rFonts w:eastAsia="Times New Roman"/>
        </w:rPr>
      </w:pPr>
      <w:r w:rsidRPr="00CB13F7">
        <w:rPr>
          <w:rFonts w:eastAsia="Times New Roman"/>
        </w:rPr>
        <w:t xml:space="preserve">Një komponent i rëndësishëm i objektivit është përmirësimi i cilësisë së shërbimit dhe i komunikimit me udhëtarët me aftësi të kufizuara. Do të organizohen trajnime për stafin e transportit publik, përfshirë drejtuesit e mjeteve dhe personelin </w:t>
      </w:r>
      <w:r w:rsidR="005E1AF7" w:rsidRPr="00CB13F7">
        <w:rPr>
          <w:rFonts w:eastAsia="Times New Roman"/>
        </w:rPr>
        <w:t>e shërbimit</w:t>
      </w:r>
      <w:r w:rsidRPr="00CB13F7">
        <w:rPr>
          <w:rFonts w:eastAsia="Times New Roman"/>
        </w:rPr>
        <w:t>, për mënyrën e trajtimit dhe komunikimit të duhur me këtë kategori udhëtarësh. Gjithashtu</w:t>
      </w:r>
      <w:r w:rsidR="005E1AF7" w:rsidRPr="00CB13F7">
        <w:rPr>
          <w:rFonts w:eastAsia="Times New Roman"/>
        </w:rPr>
        <w:t>,</w:t>
      </w:r>
      <w:r w:rsidRPr="00CB13F7">
        <w:rPr>
          <w:rFonts w:eastAsia="Times New Roman"/>
        </w:rPr>
        <w:t xml:space="preserve"> parashikohet hartimi i një kodi etike për ndërveprimin me pasagjerët me aftësi të kufizuara, si dhe zhvillimi i fushatave ndërgjegjësuese dhe materialeve informuese për të drejtat në transport dhe mënyrat e përdorimit të shërbimeve të aksesueshme.</w:t>
      </w:r>
    </w:p>
    <w:p w14:paraId="66A55567" w14:textId="12E330F5" w:rsidR="00766587" w:rsidRPr="00CB13F7" w:rsidRDefault="7D77F513" w:rsidP="004E4604">
      <w:pPr>
        <w:spacing w:before="120" w:after="120" w:line="276" w:lineRule="auto"/>
        <w:jc w:val="both"/>
        <w:rPr>
          <w:rFonts w:eastAsia="Times New Roman"/>
        </w:rPr>
      </w:pPr>
      <w:r w:rsidRPr="00CB13F7">
        <w:rPr>
          <w:rFonts w:eastAsia="Times New Roman"/>
        </w:rPr>
        <w:t>Objektivi përfshin edhe masat për sigurimin e transportit falas për personat me aftësi të kufizuara. Për këtë qëllim</w:t>
      </w:r>
      <w:r w:rsidR="6AAF8D9D" w:rsidRPr="00CB13F7">
        <w:rPr>
          <w:rFonts w:eastAsia="Times New Roman"/>
        </w:rPr>
        <w:t>,</w:t>
      </w:r>
      <w:r w:rsidRPr="00CB13F7">
        <w:rPr>
          <w:rFonts w:eastAsia="Times New Roman"/>
        </w:rPr>
        <w:t xml:space="preserve"> do të rishikohet legjislacioni për rimbursimin e shërbimeve të transportit dhe do të krijohen mekanizma financimi që mbulojnë kategoritë përfituese, përfshirë edhe kujdestarët kur është e nevojshme. Parashikohet </w:t>
      </w:r>
      <w:r w:rsidR="33D10A16" w:rsidRPr="00CB13F7">
        <w:rPr>
          <w:rFonts w:eastAsia="Times New Roman"/>
        </w:rPr>
        <w:t>,</w:t>
      </w:r>
      <w:r w:rsidRPr="00CB13F7">
        <w:rPr>
          <w:rFonts w:eastAsia="Times New Roman"/>
        </w:rPr>
        <w:t xml:space="preserve"> krijimi i kartës së posaçme të aftësisë së kufizuar për transportin, e cila do të shërbejë si </w:t>
      </w:r>
      <w:r w:rsidR="7A17AC74" w:rsidRPr="00CB13F7">
        <w:rPr>
          <w:rFonts w:eastAsia="Times New Roman"/>
        </w:rPr>
        <w:t xml:space="preserve">mjet </w:t>
      </w:r>
      <w:r w:rsidRPr="00CB13F7">
        <w:rPr>
          <w:rFonts w:eastAsia="Times New Roman"/>
        </w:rPr>
        <w:t xml:space="preserve">identifikimi dhe përfitimi nga shërbimet e subvencionuara, si dhe përshtatja e sistemeve </w:t>
      </w:r>
      <w:r w:rsidR="4DE0F936" w:rsidRPr="00CB13F7">
        <w:rPr>
          <w:rFonts w:eastAsia="Times New Roman"/>
        </w:rPr>
        <w:t xml:space="preserve">për bileta </w:t>
      </w:r>
      <w:r w:rsidRPr="00CB13F7">
        <w:rPr>
          <w:rFonts w:eastAsia="Times New Roman"/>
        </w:rPr>
        <w:t>elektronike  për të garantuar aksesueshmërinë e tyre.</w:t>
      </w:r>
    </w:p>
    <w:p w14:paraId="6FCA3319" w14:textId="77777777" w:rsidR="00766587" w:rsidRPr="00CB13F7" w:rsidRDefault="0014426B" w:rsidP="004E4604">
      <w:pPr>
        <w:spacing w:before="120" w:after="120" w:line="276" w:lineRule="auto"/>
        <w:jc w:val="both"/>
        <w:rPr>
          <w:rFonts w:eastAsia="Times New Roman"/>
        </w:rPr>
      </w:pPr>
      <w:r w:rsidRPr="00CB13F7">
        <w:rPr>
          <w:rFonts w:eastAsia="Times New Roman"/>
        </w:rPr>
        <w:t>O</w:t>
      </w:r>
      <w:r w:rsidR="00766587" w:rsidRPr="00CB13F7">
        <w:rPr>
          <w:rFonts w:eastAsia="Times New Roman"/>
        </w:rPr>
        <w:t>bjektivi i dytë synon të kalojë nga një sistem transporti që ofron shërbime të përgjithshme, por jo gjithmonë të përdorshme për të gjithë, drejt një sistemi transporti gjithëpërfshirës. Ai kombinon përshtatjet infrastrukturore, përmirësimin e shërbimit, mbështetjen financiare dhe rritjen e ndërgjegjësimit, me qëllim që transporti të mos përbëjë më pengesë për pjesëmarrjen e personave me aftësi të kufizuara në jetën shoqërore dhe ekonomike.</w:t>
      </w:r>
    </w:p>
    <w:p w14:paraId="3B172863" w14:textId="27D537CC" w:rsidR="00766587" w:rsidRPr="00CB13F7" w:rsidRDefault="7D77F513" w:rsidP="661F9D2E">
      <w:pPr>
        <w:spacing w:before="120" w:after="120" w:line="276" w:lineRule="auto"/>
        <w:jc w:val="both"/>
        <w:rPr>
          <w:rFonts w:eastAsia="Times New Roman"/>
          <w:b/>
          <w:bCs/>
          <w:i/>
          <w:iCs/>
        </w:rPr>
      </w:pPr>
      <w:r w:rsidRPr="00CB13F7">
        <w:rPr>
          <w:rFonts w:eastAsia="Times New Roman"/>
          <w:b/>
          <w:bCs/>
          <w:i/>
          <w:iCs/>
        </w:rPr>
        <w:t xml:space="preserve">Objektivi Specifik </w:t>
      </w:r>
      <w:r w:rsidR="0C5B1CB2" w:rsidRPr="00CB13F7">
        <w:rPr>
          <w:rFonts w:eastAsia="Times New Roman"/>
          <w:b/>
          <w:bCs/>
          <w:i/>
          <w:iCs/>
        </w:rPr>
        <w:t xml:space="preserve">3. </w:t>
      </w:r>
      <w:r w:rsidR="2EB71654" w:rsidRPr="00CB13F7">
        <w:rPr>
          <w:rFonts w:eastAsia="Times New Roman"/>
          <w:i/>
          <w:iCs/>
        </w:rPr>
        <w:t>R</w:t>
      </w:r>
      <w:r w:rsidR="4DE0F936" w:rsidRPr="00CB13F7">
        <w:rPr>
          <w:rFonts w:eastAsia="Times New Roman"/>
          <w:i/>
          <w:iCs/>
        </w:rPr>
        <w:t xml:space="preserve">ealizimi </w:t>
      </w:r>
      <w:r w:rsidR="1A08CEAF" w:rsidRPr="00CB13F7">
        <w:rPr>
          <w:rFonts w:eastAsia="Times New Roman"/>
          <w:i/>
          <w:iCs/>
        </w:rPr>
        <w:t>i</w:t>
      </w:r>
      <w:r w:rsidR="6309BE2C" w:rsidRPr="00CB13F7">
        <w:rPr>
          <w:rFonts w:eastAsia="Times New Roman"/>
          <w:i/>
          <w:iCs/>
        </w:rPr>
        <w:t xml:space="preserve"> </w:t>
      </w:r>
      <w:r w:rsidR="4DE0F936" w:rsidRPr="00CB13F7">
        <w:rPr>
          <w:rFonts w:eastAsia="Times New Roman"/>
          <w:i/>
          <w:iCs/>
        </w:rPr>
        <w:t xml:space="preserve">aksesueshmërisë </w:t>
      </w:r>
      <w:r w:rsidR="1A08CEAF" w:rsidRPr="00CB13F7">
        <w:rPr>
          <w:rFonts w:eastAsia="Times New Roman"/>
          <w:i/>
          <w:iCs/>
        </w:rPr>
        <w:t xml:space="preserve">në informacion, </w:t>
      </w:r>
      <w:r w:rsidR="4DE0F936" w:rsidRPr="00CB13F7">
        <w:rPr>
          <w:rFonts w:eastAsia="Times New Roman"/>
          <w:i/>
          <w:iCs/>
        </w:rPr>
        <w:t xml:space="preserve">komunikim </w:t>
      </w:r>
      <w:r w:rsidR="1A08CEAF" w:rsidRPr="00CB13F7">
        <w:rPr>
          <w:rFonts w:eastAsia="Times New Roman"/>
          <w:i/>
          <w:iCs/>
        </w:rPr>
        <w:t xml:space="preserve">dhe </w:t>
      </w:r>
      <w:r w:rsidR="0C5B1CB2" w:rsidRPr="00CB13F7">
        <w:rPr>
          <w:rFonts w:eastAsia="Times New Roman"/>
          <w:i/>
          <w:iCs/>
        </w:rPr>
        <w:t>medi</w:t>
      </w:r>
      <w:r w:rsidR="007345E8" w:rsidRPr="00CB13F7">
        <w:rPr>
          <w:rFonts w:eastAsia="Times New Roman"/>
          <w:i/>
          <w:iCs/>
        </w:rPr>
        <w:t>a</w:t>
      </w:r>
      <w:r w:rsidR="0C5B1CB2" w:rsidRPr="00CB13F7">
        <w:rPr>
          <w:rFonts w:eastAsia="Times New Roman"/>
          <w:i/>
          <w:iCs/>
        </w:rPr>
        <w:t>t</w:t>
      </w:r>
      <w:r w:rsidR="1A08CEAF" w:rsidRPr="00CB13F7">
        <w:rPr>
          <w:rFonts w:eastAsia="Times New Roman"/>
          <w:i/>
          <w:iCs/>
        </w:rPr>
        <w:t xml:space="preserve"> për</w:t>
      </w:r>
      <w:r w:rsidR="6309BE2C" w:rsidRPr="00CB13F7">
        <w:rPr>
          <w:rFonts w:eastAsia="Times New Roman"/>
          <w:i/>
          <w:iCs/>
        </w:rPr>
        <w:t xml:space="preserve"> </w:t>
      </w:r>
      <w:r w:rsidR="4DE0F936" w:rsidRPr="00CB13F7">
        <w:rPr>
          <w:rFonts w:eastAsia="Times New Roman"/>
          <w:i/>
          <w:iCs/>
        </w:rPr>
        <w:t xml:space="preserve">personat </w:t>
      </w:r>
      <w:r w:rsidR="1A08CEAF" w:rsidRPr="00CB13F7">
        <w:rPr>
          <w:rFonts w:eastAsia="Times New Roman"/>
          <w:i/>
          <w:iCs/>
        </w:rPr>
        <w:t xml:space="preserve">me </w:t>
      </w:r>
      <w:r w:rsidR="4DE0F936" w:rsidRPr="00CB13F7">
        <w:rPr>
          <w:rFonts w:eastAsia="Times New Roman"/>
          <w:i/>
          <w:iCs/>
        </w:rPr>
        <w:t xml:space="preserve">aftësi </w:t>
      </w:r>
      <w:r w:rsidR="1A08CEAF" w:rsidRPr="00CB13F7">
        <w:rPr>
          <w:rFonts w:eastAsia="Times New Roman"/>
          <w:i/>
          <w:iCs/>
        </w:rPr>
        <w:t xml:space="preserve">të </w:t>
      </w:r>
      <w:r w:rsidR="4DE0F936" w:rsidRPr="00CB13F7">
        <w:rPr>
          <w:rFonts w:eastAsia="Times New Roman"/>
          <w:i/>
          <w:iCs/>
        </w:rPr>
        <w:t>kufizuara.</w:t>
      </w:r>
    </w:p>
    <w:p w14:paraId="027543CC" w14:textId="77777777" w:rsidR="00C16801" w:rsidRPr="00CB13F7" w:rsidRDefault="006D216B" w:rsidP="004E4604">
      <w:pPr>
        <w:spacing w:before="120" w:after="120" w:line="276" w:lineRule="auto"/>
        <w:jc w:val="both"/>
        <w:rPr>
          <w:rFonts w:eastAsia="Times New Roman"/>
          <w:b/>
          <w:bCs/>
          <w:i/>
          <w:iCs/>
        </w:rPr>
      </w:pPr>
      <w:r w:rsidRPr="00CB13F7">
        <w:rPr>
          <w:rFonts w:eastAsia="Times New Roman"/>
          <w:b/>
          <w:bCs/>
          <w:i/>
          <w:iCs/>
        </w:rPr>
        <w:t xml:space="preserve">Masa Prioritare </w:t>
      </w:r>
    </w:p>
    <w:p w14:paraId="67B696D0" w14:textId="0CE0B8A3" w:rsidR="006D216B" w:rsidRPr="00CB13F7" w:rsidRDefault="00570186" w:rsidP="004E4604">
      <w:pPr>
        <w:spacing w:before="120" w:after="120" w:line="276" w:lineRule="auto"/>
        <w:jc w:val="both"/>
        <w:rPr>
          <w:rFonts w:eastAsia="Times New Roman"/>
        </w:rPr>
      </w:pPr>
      <w:r w:rsidRPr="00CB13F7">
        <w:rPr>
          <w:rFonts w:eastAsia="Times New Roman"/>
        </w:rPr>
        <w:t>3.1</w:t>
      </w:r>
      <w:r w:rsidR="00CF5828" w:rsidRPr="00CB13F7">
        <w:rPr>
          <w:rFonts w:eastAsia="Times New Roman"/>
        </w:rPr>
        <w:t xml:space="preserve"> </w:t>
      </w:r>
      <w:r w:rsidRPr="00CB13F7">
        <w:rPr>
          <w:rFonts w:eastAsia="Times New Roman"/>
        </w:rPr>
        <w:t>Përmirësime</w:t>
      </w:r>
      <w:r w:rsidR="006D216B" w:rsidRPr="00CB13F7">
        <w:rPr>
          <w:rFonts w:eastAsia="Times New Roman"/>
        </w:rPr>
        <w:t xml:space="preserve"> ligjore dhe </w:t>
      </w:r>
      <w:r w:rsidR="00CF5828" w:rsidRPr="00CB13F7">
        <w:rPr>
          <w:rFonts w:eastAsia="Times New Roman"/>
        </w:rPr>
        <w:t xml:space="preserve">përshtatja e </w:t>
      </w:r>
      <w:r w:rsidR="006D216B" w:rsidRPr="00CB13F7">
        <w:rPr>
          <w:rFonts w:eastAsia="Times New Roman"/>
        </w:rPr>
        <w:t>standardeve ndërkombëtare të sigurimit të aksesueshmërisë në TIK. Strukturat për monitorimin dhe inspektimin e zbatimit të kuadrit ligjor</w:t>
      </w:r>
      <w:r w:rsidR="00CF5828" w:rsidRPr="00CB13F7">
        <w:rPr>
          <w:rFonts w:eastAsia="Times New Roman"/>
        </w:rPr>
        <w:t>.</w:t>
      </w:r>
    </w:p>
    <w:p w14:paraId="62C4A21F" w14:textId="01E2595D" w:rsidR="00766587" w:rsidRPr="00CB13F7" w:rsidRDefault="00570186" w:rsidP="004E4604">
      <w:pPr>
        <w:spacing w:before="120" w:after="120" w:line="276" w:lineRule="auto"/>
        <w:jc w:val="both"/>
        <w:rPr>
          <w:rFonts w:eastAsia="Times New Roman"/>
        </w:rPr>
      </w:pPr>
      <w:r w:rsidRPr="00CB13F7">
        <w:rPr>
          <w:rFonts w:eastAsia="Times New Roman"/>
        </w:rPr>
        <w:t>3.2</w:t>
      </w:r>
      <w:r w:rsidR="00CF5828" w:rsidRPr="00CB13F7">
        <w:rPr>
          <w:rFonts w:eastAsia="Times New Roman"/>
        </w:rPr>
        <w:t xml:space="preserve"> </w:t>
      </w:r>
      <w:r w:rsidRPr="00CB13F7">
        <w:rPr>
          <w:rFonts w:eastAsia="Times New Roman"/>
        </w:rPr>
        <w:t>Sigurimi</w:t>
      </w:r>
      <w:r w:rsidR="006D216B" w:rsidRPr="00CB13F7">
        <w:rPr>
          <w:rFonts w:eastAsia="Times New Roman"/>
        </w:rPr>
        <w:t xml:space="preserve"> i produkteve dhe shërbimeve të aksesueshme për informacion dhe komunikim </w:t>
      </w:r>
      <w:r w:rsidRPr="00CB13F7">
        <w:rPr>
          <w:rFonts w:eastAsia="Times New Roman"/>
        </w:rPr>
        <w:t>për</w:t>
      </w:r>
      <w:r w:rsidR="006D216B" w:rsidRPr="00CB13F7">
        <w:rPr>
          <w:rFonts w:eastAsia="Times New Roman"/>
        </w:rPr>
        <w:t xml:space="preserve"> personat me aft</w:t>
      </w:r>
      <w:r w:rsidR="00753C46" w:rsidRPr="00CB13F7">
        <w:rPr>
          <w:rFonts w:eastAsia="Times New Roman"/>
        </w:rPr>
        <w:t>ë</w:t>
      </w:r>
      <w:r w:rsidR="006D216B" w:rsidRPr="00CB13F7">
        <w:rPr>
          <w:rFonts w:eastAsia="Times New Roman"/>
        </w:rPr>
        <w:t>si t</w:t>
      </w:r>
      <w:r w:rsidR="00753C46" w:rsidRPr="00CB13F7">
        <w:rPr>
          <w:rFonts w:eastAsia="Times New Roman"/>
        </w:rPr>
        <w:t>ë</w:t>
      </w:r>
      <w:r w:rsidR="006D216B" w:rsidRPr="00CB13F7">
        <w:rPr>
          <w:rFonts w:eastAsia="Times New Roman"/>
        </w:rPr>
        <w:t xml:space="preserve"> kufizuara.</w:t>
      </w:r>
    </w:p>
    <w:p w14:paraId="2C8C7A12" w14:textId="46C7372A" w:rsidR="00766587" w:rsidRPr="00CB13F7" w:rsidRDefault="00766587" w:rsidP="004E4604">
      <w:pPr>
        <w:spacing w:before="120" w:after="120" w:line="276" w:lineRule="auto"/>
        <w:jc w:val="both"/>
        <w:rPr>
          <w:rFonts w:eastAsia="Times New Roman"/>
        </w:rPr>
      </w:pPr>
      <w:r w:rsidRPr="00CB13F7">
        <w:rPr>
          <w:rFonts w:eastAsia="Times New Roman"/>
        </w:rPr>
        <w:t>Objektivi i tretë synon të sigurojë akses të barabartë dhe gjithëpërfshirës në informacion, komunikim dhe media për të gjitha kategoritë e personave me aftësi të kufizuara në çdo shërbim dhe platformë të ofruar për publikun, duke përfshirë sportelet fizike, portalet dhe faqet e internetit, pajisjet dhe shërbimet celulare, transmetimet televizive, publikimet, si edhe takimet dhe aktivitetet publike. Ky objektiv</w:t>
      </w:r>
      <w:r w:rsidR="00CF5828" w:rsidRPr="00CB13F7">
        <w:rPr>
          <w:rFonts w:eastAsia="Times New Roman"/>
        </w:rPr>
        <w:t>,</w:t>
      </w:r>
      <w:r w:rsidRPr="00CB13F7">
        <w:rPr>
          <w:rFonts w:eastAsia="Times New Roman"/>
        </w:rPr>
        <w:t xml:space="preserve"> mbështetet në parimin se qasja në informacion dhe komunikim është kusht thelbësor për ushtrimin e të drejtave, për pjesëmarrjen qytetare dhe për përdorimin efektiv të shërbimeve publike në kushte të barabarta me të tjerët.</w:t>
      </w:r>
    </w:p>
    <w:p w14:paraId="2433D337" w14:textId="0B766C65" w:rsidR="00766587" w:rsidRPr="00CB13F7" w:rsidRDefault="7D77F513" w:rsidP="004E4604">
      <w:pPr>
        <w:spacing w:before="120" w:after="120" w:line="276" w:lineRule="auto"/>
        <w:jc w:val="both"/>
        <w:rPr>
          <w:rFonts w:eastAsia="Times New Roman"/>
        </w:rPr>
      </w:pPr>
      <w:r w:rsidRPr="00CB13F7">
        <w:rPr>
          <w:rFonts w:eastAsia="Times New Roman"/>
        </w:rPr>
        <w:t xml:space="preserve">Një drejtim i parë i rëndësishëm është përmirësimi i kuadrit ligjor dhe përafrimi i tij me standardet ndërkombëtare të aksesueshmërisë në teknologjinë e informacionit dhe komunikimit (TIK). Parashikohet rishikimi i legjislacionit që rregullon ofrimin e shërbimeve publike në sportel dhe i </w:t>
      </w:r>
      <w:r w:rsidRPr="00CB13F7">
        <w:rPr>
          <w:rFonts w:eastAsia="Times New Roman"/>
        </w:rPr>
        <w:lastRenderedPageBreak/>
        <w:t xml:space="preserve">akteve nënligjore përkatëse, me qëllim përfshirjen e kërkesave të aksesueshmërisë për personat me aftësi të kufizuara, në përputhje me standardet evropiane për faqet e internetit dhe aplikacionet mobile të institucioneve publike. Në këtë kuadër do të </w:t>
      </w:r>
      <w:r w:rsidR="007345E8" w:rsidRPr="00CB13F7">
        <w:rPr>
          <w:rFonts w:eastAsia="Times New Roman"/>
        </w:rPr>
        <w:t>përshtaten</w:t>
      </w:r>
      <w:r w:rsidRPr="00CB13F7">
        <w:rPr>
          <w:rFonts w:eastAsia="Times New Roman"/>
        </w:rPr>
        <w:t xml:space="preserve"> standarde ndërkombëtare për aksesueshmërinë në portalet</w:t>
      </w:r>
      <w:r w:rsidR="00B71EFF" w:rsidRPr="00CB13F7">
        <w:rPr>
          <w:rStyle w:val="FootnoteReference"/>
          <w:rFonts w:eastAsia="Times New Roman"/>
        </w:rPr>
        <w:footnoteReference w:id="29"/>
      </w:r>
      <w:r w:rsidR="007345E8" w:rsidRPr="00CB13F7">
        <w:rPr>
          <w:rFonts w:eastAsia="Times New Roman"/>
        </w:rPr>
        <w:t xml:space="preserve"> </w:t>
      </w:r>
      <w:r w:rsidRPr="00CB13F7">
        <w:rPr>
          <w:rFonts w:eastAsia="Times New Roman"/>
        </w:rPr>
        <w:t>qeveritare, në komunikimin institucional, në publikime dhe në organizimin e aktiviteteve publike. Gjithashtu</w:t>
      </w:r>
      <w:r w:rsidR="4DE0F936" w:rsidRPr="00CB13F7">
        <w:rPr>
          <w:rFonts w:eastAsia="Times New Roman"/>
        </w:rPr>
        <w:t>,</w:t>
      </w:r>
      <w:r w:rsidRPr="00CB13F7">
        <w:rPr>
          <w:rFonts w:eastAsia="Times New Roman"/>
        </w:rPr>
        <w:t xml:space="preserve"> do të vendosen standarde që sigurojnë bashkërendimin e shërbimeve televizive me pajisjet teknologjike që mundësojnë përdorimin e tyre nga personat me aftësi të kufizuara.</w:t>
      </w:r>
    </w:p>
    <w:p w14:paraId="733AB42D" w14:textId="44AFA6DD" w:rsidR="00766587" w:rsidRPr="00CB13F7" w:rsidRDefault="00766587" w:rsidP="004E4604">
      <w:pPr>
        <w:spacing w:before="120" w:after="120" w:line="276" w:lineRule="auto"/>
        <w:jc w:val="both"/>
        <w:rPr>
          <w:rFonts w:eastAsia="Times New Roman"/>
        </w:rPr>
      </w:pPr>
      <w:r w:rsidRPr="00CB13F7">
        <w:rPr>
          <w:rFonts w:eastAsia="Times New Roman"/>
        </w:rPr>
        <w:t>Në praktikë, kjo do të përfshijë zbatimin e kërkesave të aksesueshmërisë në portalin e-Albania dhe në të gjitha platformat e tjera ndërvepruese me publikun, si dhe zhvillimin e programeve teknologjike mbështetëse, përfshirë apl</w:t>
      </w:r>
      <w:r w:rsidR="00EC0960" w:rsidRPr="00CB13F7">
        <w:rPr>
          <w:rFonts w:eastAsia="Times New Roman"/>
        </w:rPr>
        <w:t xml:space="preserve">ikacione </w:t>
      </w:r>
      <w:r w:rsidR="00CF5828" w:rsidRPr="00CB13F7">
        <w:rPr>
          <w:rFonts w:eastAsia="Times New Roman"/>
        </w:rPr>
        <w:t>për leximin e tekstit (</w:t>
      </w:r>
      <w:r w:rsidR="00EC0960" w:rsidRPr="00CB13F7">
        <w:rPr>
          <w:rFonts w:eastAsia="Times New Roman"/>
        </w:rPr>
        <w:t>text-to-speech</w:t>
      </w:r>
      <w:r w:rsidR="00CF5828" w:rsidRPr="00CB13F7">
        <w:rPr>
          <w:rFonts w:eastAsia="Times New Roman"/>
        </w:rPr>
        <w:t xml:space="preserve">) </w:t>
      </w:r>
      <w:r w:rsidR="00EC0960" w:rsidRPr="00CB13F7">
        <w:rPr>
          <w:rFonts w:eastAsia="Times New Roman"/>
        </w:rPr>
        <w:t>për pe</w:t>
      </w:r>
      <w:r w:rsidRPr="00CB13F7">
        <w:rPr>
          <w:rFonts w:eastAsia="Times New Roman"/>
        </w:rPr>
        <w:t>rsonat me dëmtime në shikim. Paralelisht, do të rishikohen dhe forcohen strukturat përgjegjëse për monitorimin dhe inspektimin e zbatimit të kërkesave të aksesueshmërisë në informacion dhe komunikim, me qëllim garantimin e respektimit të standardeve në mënyrë të vazhdueshme.</w:t>
      </w:r>
    </w:p>
    <w:p w14:paraId="2E1F2254" w14:textId="59290CFF" w:rsidR="00766587" w:rsidRPr="00CB13F7" w:rsidRDefault="00766587" w:rsidP="004E4604">
      <w:pPr>
        <w:spacing w:before="120" w:after="120" w:line="276" w:lineRule="auto"/>
        <w:jc w:val="both"/>
        <w:rPr>
          <w:rFonts w:eastAsia="Times New Roman"/>
        </w:rPr>
      </w:pPr>
      <w:r w:rsidRPr="00CB13F7">
        <w:rPr>
          <w:rFonts w:eastAsia="Times New Roman"/>
        </w:rPr>
        <w:t xml:space="preserve">Objektivi përfshin </w:t>
      </w:r>
      <w:r w:rsidR="00CF5828" w:rsidRPr="00CB13F7">
        <w:rPr>
          <w:rFonts w:eastAsia="Times New Roman"/>
        </w:rPr>
        <w:t xml:space="preserve">edhe </w:t>
      </w:r>
      <w:r w:rsidRPr="00CB13F7">
        <w:rPr>
          <w:rFonts w:eastAsia="Times New Roman"/>
        </w:rPr>
        <w:t>rritjen e kapaciteteve institucionale dhe profesionale. Do të organizohen trajnime për stafet e institucioneve publike mbi mënyrën e ofrimit të shërbimit ndaj personave me aftësi të kufizuara dhe mbi përdorimin e informacionit të aksesueshëm në sportele dhe portale publike. Njëkohësisht</w:t>
      </w:r>
      <w:r w:rsidR="007345E8" w:rsidRPr="00CB13F7">
        <w:rPr>
          <w:rFonts w:eastAsia="Times New Roman"/>
        </w:rPr>
        <w:t>,</w:t>
      </w:r>
      <w:r w:rsidRPr="00CB13F7">
        <w:rPr>
          <w:rFonts w:eastAsia="Times New Roman"/>
        </w:rPr>
        <w:t xml:space="preserve"> do të krijohen grupe trajnerësh të specializuar brenda institucioneve për të garantuar përhapjen e njohurive dhe praktikave të aksesueshmërisë. Personat me aftësi të kufizuara dhe organizatat e tyre do të informohen dhe trajnohen për përdorimin e shërbimeve të aksesueshme dhe të teknologjive të komunikimit, përfshirë telefoninë e lëvizshme dhe platformat digjitale.</w:t>
      </w:r>
    </w:p>
    <w:p w14:paraId="7B74AD47" w14:textId="4757F3CA" w:rsidR="00766587" w:rsidRPr="00CB13F7" w:rsidRDefault="00766587" w:rsidP="004E4604">
      <w:pPr>
        <w:spacing w:before="120" w:after="120" w:line="276" w:lineRule="auto"/>
        <w:jc w:val="both"/>
        <w:rPr>
          <w:rFonts w:eastAsia="Times New Roman"/>
        </w:rPr>
      </w:pPr>
      <w:r w:rsidRPr="00CB13F7">
        <w:rPr>
          <w:rFonts w:eastAsia="Times New Roman"/>
        </w:rPr>
        <w:t xml:space="preserve">Përmirësimi i cilësisë së shërbimit do të shoqërohet me trajnime për personelin që ndërvepron drejtpërdrejt me qytetarët dhe me ndërgjegjësimin e ofruesve të </w:t>
      </w:r>
      <w:r w:rsidR="00570186" w:rsidRPr="00CB13F7">
        <w:rPr>
          <w:rFonts w:eastAsia="Times New Roman"/>
        </w:rPr>
        <w:t>medi</w:t>
      </w:r>
      <w:r w:rsidR="007345E8" w:rsidRPr="00CB13F7">
        <w:rPr>
          <w:rFonts w:eastAsia="Times New Roman"/>
        </w:rPr>
        <w:t>a</w:t>
      </w:r>
      <w:r w:rsidR="00570186" w:rsidRPr="00CB13F7">
        <w:rPr>
          <w:rFonts w:eastAsia="Times New Roman"/>
        </w:rPr>
        <w:t>ve</w:t>
      </w:r>
      <w:r w:rsidRPr="00CB13F7">
        <w:rPr>
          <w:rFonts w:eastAsia="Times New Roman"/>
        </w:rPr>
        <w:t xml:space="preserve"> dhe komunikimeve elektronike. Institucionet arsimore të larta dhe ato të formimit profesional do të inkurajohen të zhvillojnë programe mësimore për aksesueshmërinë e faqeve të internetit, duke kontribuar në krijimin e kapaciteteve profesionale në këtë fushë. Po ashtu, do të zhvillohen fushata informimi për të drejtat e personave me aftësi të kufizuara në lidhje me transmetimet televizive të aksesueshme.</w:t>
      </w:r>
    </w:p>
    <w:p w14:paraId="462888E9" w14:textId="2E60A5E4" w:rsidR="00766587" w:rsidRPr="00CB13F7" w:rsidRDefault="00766587" w:rsidP="004E4604">
      <w:pPr>
        <w:spacing w:before="120" w:after="120" w:line="276" w:lineRule="auto"/>
        <w:jc w:val="both"/>
        <w:rPr>
          <w:rFonts w:eastAsia="Times New Roman"/>
        </w:rPr>
      </w:pPr>
      <w:r w:rsidRPr="00CB13F7">
        <w:rPr>
          <w:rFonts w:eastAsia="Times New Roman"/>
        </w:rPr>
        <w:t>Një komponent tjetër thelbësor është sigurimi i produkteve dhe shërbimeve të aksesueshme në praktikë. Institucionet publike do të marrin masa që pajisjet dhe shërbimet e tyre të</w:t>
      </w:r>
      <w:r w:rsidR="00CF5828" w:rsidRPr="00CB13F7">
        <w:rPr>
          <w:rFonts w:eastAsia="Times New Roman"/>
        </w:rPr>
        <w:t xml:space="preserve"> jenë të</w:t>
      </w:r>
      <w:r w:rsidRPr="00CB13F7">
        <w:rPr>
          <w:rFonts w:eastAsia="Times New Roman"/>
        </w:rPr>
        <w:t xml:space="preserve"> </w:t>
      </w:r>
      <w:r w:rsidR="00CF5828" w:rsidRPr="00CB13F7">
        <w:rPr>
          <w:rFonts w:eastAsia="Times New Roman"/>
        </w:rPr>
        <w:t xml:space="preserve">përdorueshme edhe </w:t>
      </w:r>
      <w:r w:rsidRPr="00CB13F7">
        <w:rPr>
          <w:rFonts w:eastAsia="Times New Roman"/>
        </w:rPr>
        <w:t>nga persona me dëmtime në shikim, dëgjim, lëvizje apo me aftësi të kufizuara intelektuale, përmes përdorimit të ikonave universale, programeve të leximit të ekranit, pajisjeve audio, mundësisë për zmadhimin e tekstit dhe përdorimit të Braille. Informacioni zyrtar, përfshirë ligje, vendime, strategji dhe plane veprimi, do të ofrohet në formate alternative dhe të kuptueshme, ndërsa komunikimet publike dhe aktivitetet institucionale do të organizohen në mënyrë të aksesueshme për të gjithë.</w:t>
      </w:r>
    </w:p>
    <w:p w14:paraId="1C191FC0" w14:textId="77777777" w:rsidR="00766587" w:rsidRPr="00CB13F7" w:rsidRDefault="00766587" w:rsidP="004E4604">
      <w:pPr>
        <w:spacing w:before="120" w:after="120" w:line="276" w:lineRule="auto"/>
        <w:jc w:val="both"/>
        <w:rPr>
          <w:rFonts w:eastAsia="Times New Roman"/>
        </w:rPr>
      </w:pPr>
      <w:r w:rsidRPr="00CB13F7">
        <w:rPr>
          <w:rFonts w:eastAsia="Times New Roman"/>
        </w:rPr>
        <w:lastRenderedPageBreak/>
        <w:t xml:space="preserve">Në fushën e </w:t>
      </w:r>
      <w:r w:rsidR="00570186" w:rsidRPr="00CB13F7">
        <w:rPr>
          <w:rFonts w:eastAsia="Times New Roman"/>
        </w:rPr>
        <w:t>medies</w:t>
      </w:r>
      <w:r w:rsidRPr="00CB13F7">
        <w:rPr>
          <w:rFonts w:eastAsia="Times New Roman"/>
        </w:rPr>
        <w:t xml:space="preserve"> do të sigurohet përdorimi i titrave, përshkrimeve audio dhe gjuhës së shenjave në programe të caktuara, si dhe monitorimi i zbatimit të këtyre kërkesave nga ofruesit e licencuar. Po ashtu, do të promovohet shkëmbimi i përvojave me vende të tjera për të përmirësuar praktikat e aksesueshmërisë.</w:t>
      </w:r>
    </w:p>
    <w:p w14:paraId="0AE3B8B5" w14:textId="466DB6B8" w:rsidR="00766587" w:rsidRPr="00CB13F7" w:rsidRDefault="3F2ABB71" w:rsidP="004E4604">
      <w:pPr>
        <w:spacing w:before="120" w:after="120" w:line="276" w:lineRule="auto"/>
        <w:jc w:val="both"/>
        <w:rPr>
          <w:rFonts w:eastAsia="Times New Roman"/>
        </w:rPr>
      </w:pPr>
      <w:r w:rsidRPr="00CB13F7">
        <w:rPr>
          <w:rFonts w:eastAsia="Times New Roman"/>
        </w:rPr>
        <w:t>O</w:t>
      </w:r>
      <w:r w:rsidR="7D77F513" w:rsidRPr="00CB13F7">
        <w:rPr>
          <w:rFonts w:eastAsia="Times New Roman"/>
        </w:rPr>
        <w:t xml:space="preserve">bjektivi i tretë synon të garantojë që askush të mos përjashtohet nga informacioni, komunikimi dhe jeta publike për shkak të barrierave komunikative ose teknologjike. </w:t>
      </w:r>
      <w:r w:rsidR="7AB48E9D" w:rsidRPr="00CB13F7">
        <w:rPr>
          <w:rFonts w:eastAsia="Times New Roman"/>
        </w:rPr>
        <w:t xml:space="preserve"> Ai e zhvendos fokusin nga thjesht disponueshmëria e informacionit drejt shfrytëzimit të tij në praktikë, duke e bërë aksesueshmërinë digjitale dhe mediatike pjesë integrale të ofrimit të shërbimeve publike dhe të komunikimit institucional.</w:t>
      </w:r>
    </w:p>
    <w:p w14:paraId="5D31B4D2" w14:textId="7A077A0C" w:rsidR="00766587" w:rsidRPr="00CB13F7" w:rsidRDefault="7D77F513" w:rsidP="661F9D2E">
      <w:pPr>
        <w:spacing w:before="120" w:after="120" w:line="276" w:lineRule="auto"/>
        <w:jc w:val="both"/>
        <w:rPr>
          <w:rFonts w:eastAsia="Times New Roman"/>
          <w:b/>
          <w:bCs/>
          <w:i/>
          <w:iCs/>
        </w:rPr>
      </w:pPr>
      <w:r w:rsidRPr="00CB13F7">
        <w:rPr>
          <w:rFonts w:eastAsia="Times New Roman"/>
          <w:b/>
          <w:bCs/>
          <w:i/>
          <w:iCs/>
        </w:rPr>
        <w:t>Objektivi Specifik 4</w:t>
      </w:r>
      <w:r w:rsidR="7AB48E9D" w:rsidRPr="00CB13F7">
        <w:rPr>
          <w:rFonts w:eastAsia="Times New Roman"/>
          <w:b/>
          <w:bCs/>
          <w:i/>
          <w:iCs/>
        </w:rPr>
        <w:t xml:space="preserve">: </w:t>
      </w:r>
      <w:r w:rsidR="12DCC32B" w:rsidRPr="00CB13F7">
        <w:rPr>
          <w:rFonts w:eastAsia="Times New Roman"/>
          <w:i/>
          <w:iCs/>
        </w:rPr>
        <w:t>R</w:t>
      </w:r>
      <w:r w:rsidR="7AB48E9D" w:rsidRPr="00CB13F7">
        <w:rPr>
          <w:rFonts w:eastAsia="Times New Roman"/>
          <w:i/>
          <w:iCs/>
        </w:rPr>
        <w:t xml:space="preserve">ealizimi </w:t>
      </w:r>
      <w:r w:rsidR="1A08CEAF" w:rsidRPr="00CB13F7">
        <w:rPr>
          <w:rFonts w:eastAsia="Times New Roman"/>
          <w:i/>
          <w:iCs/>
        </w:rPr>
        <w:t>i a</w:t>
      </w:r>
      <w:r w:rsidRPr="00CB13F7">
        <w:rPr>
          <w:rFonts w:eastAsia="Times New Roman"/>
          <w:i/>
          <w:iCs/>
        </w:rPr>
        <w:t>ksesueshmëri</w:t>
      </w:r>
      <w:r w:rsidR="1A08CEAF" w:rsidRPr="00CB13F7">
        <w:rPr>
          <w:rFonts w:eastAsia="Times New Roman"/>
          <w:i/>
          <w:iCs/>
        </w:rPr>
        <w:t>s</w:t>
      </w:r>
      <w:r w:rsidR="1D9C28A1" w:rsidRPr="00CB13F7">
        <w:rPr>
          <w:rFonts w:eastAsia="Times New Roman"/>
          <w:i/>
          <w:iCs/>
        </w:rPr>
        <w:t>ë</w:t>
      </w:r>
      <w:r w:rsidRPr="00CB13F7">
        <w:rPr>
          <w:rFonts w:eastAsia="Times New Roman"/>
          <w:i/>
          <w:iCs/>
        </w:rPr>
        <w:t xml:space="preserve"> në objektet dhe shërbimet turistike dhe të trashëgimisë kulturore</w:t>
      </w:r>
      <w:r w:rsidR="1A08CEAF" w:rsidRPr="00CB13F7">
        <w:rPr>
          <w:rFonts w:eastAsia="Times New Roman"/>
          <w:i/>
          <w:iCs/>
        </w:rPr>
        <w:t>.</w:t>
      </w:r>
    </w:p>
    <w:p w14:paraId="56F2B78D" w14:textId="77777777" w:rsidR="00C16801" w:rsidRPr="00CB13F7" w:rsidRDefault="006D216B" w:rsidP="004E4604">
      <w:pPr>
        <w:spacing w:before="120" w:after="120" w:line="276" w:lineRule="auto"/>
        <w:jc w:val="both"/>
        <w:rPr>
          <w:b/>
          <w:bCs/>
          <w:i/>
          <w:iCs/>
        </w:rPr>
      </w:pPr>
      <w:r w:rsidRPr="00CB13F7">
        <w:rPr>
          <w:b/>
          <w:bCs/>
          <w:i/>
          <w:iCs/>
        </w:rPr>
        <w:t>Masa Prioritare</w:t>
      </w:r>
    </w:p>
    <w:p w14:paraId="38787F34" w14:textId="1430543E" w:rsidR="006D216B" w:rsidRPr="00CB13F7" w:rsidRDefault="00570186" w:rsidP="004E4604">
      <w:pPr>
        <w:spacing w:before="120" w:after="120" w:line="276" w:lineRule="auto"/>
        <w:jc w:val="both"/>
        <w:rPr>
          <w:rFonts w:eastAsia="Times New Roman"/>
          <w:b/>
          <w:bCs/>
        </w:rPr>
      </w:pPr>
      <w:r w:rsidRPr="00CB13F7">
        <w:t>4.1</w:t>
      </w:r>
      <w:r w:rsidR="006D3832" w:rsidRPr="00CB13F7">
        <w:t xml:space="preserve"> </w:t>
      </w:r>
      <w:r w:rsidRPr="00CB13F7">
        <w:t>Të</w:t>
      </w:r>
      <w:r w:rsidR="006D216B" w:rsidRPr="00CB13F7">
        <w:t xml:space="preserve"> realizohet aksesueshmëria fizike dhe e shërbimeve në objekte turistike</w:t>
      </w:r>
      <w:r w:rsidR="006D3832" w:rsidRPr="00CB13F7">
        <w:t xml:space="preserve"> dhe</w:t>
      </w:r>
      <w:r w:rsidR="006D216B" w:rsidRPr="00CB13F7">
        <w:t xml:space="preserve"> të trashëgimisë kulturore, në parqe kombëtare dhe plazhe, në </w:t>
      </w:r>
      <w:r w:rsidRPr="00CB13F7">
        <w:t>ambientet</w:t>
      </w:r>
      <w:r w:rsidR="006D216B" w:rsidRPr="00CB13F7">
        <w:t xml:space="preserve"> sportive dhe shërbimet e guidave turistike.</w:t>
      </w:r>
    </w:p>
    <w:p w14:paraId="01B4C5B6" w14:textId="4DAAD3FB" w:rsidR="00766587" w:rsidRPr="00CB13F7" w:rsidRDefault="00766587" w:rsidP="004E4604">
      <w:pPr>
        <w:spacing w:before="120" w:after="120" w:line="276" w:lineRule="auto"/>
        <w:jc w:val="both"/>
        <w:rPr>
          <w:rFonts w:eastAsia="Times New Roman"/>
        </w:rPr>
      </w:pPr>
      <w:r w:rsidRPr="00CB13F7">
        <w:rPr>
          <w:rFonts w:eastAsia="Times New Roman"/>
        </w:rPr>
        <w:t xml:space="preserve">Objektivi i katërt synon të sigurojë që personat me aftësi të kufizuara të kenë mundësi reale për të përdorur dhe përfituar nga objektet </w:t>
      </w:r>
      <w:r w:rsidR="006D3832" w:rsidRPr="00CB13F7">
        <w:rPr>
          <w:rFonts w:eastAsia="Times New Roman"/>
        </w:rPr>
        <w:t>dhe</w:t>
      </w:r>
      <w:r w:rsidRPr="00CB13F7">
        <w:rPr>
          <w:rFonts w:eastAsia="Times New Roman"/>
        </w:rPr>
        <w:t xml:space="preserve"> shërbimet turistike</w:t>
      </w:r>
      <w:r w:rsidR="006D3832" w:rsidRPr="00CB13F7">
        <w:rPr>
          <w:rFonts w:eastAsia="Times New Roman"/>
        </w:rPr>
        <w:t>, si</w:t>
      </w:r>
      <w:r w:rsidRPr="00CB13F7">
        <w:rPr>
          <w:rFonts w:eastAsia="Times New Roman"/>
        </w:rPr>
        <w:t xml:space="preserve"> dhe pasuritë e trashëgimisë kulturore, në mënyrë të barabartë me qytetarët e tjerë. Ky objektiv mbështetet në parimin se pjesëmarrja në jetën kulturore, rekreative dhe turistike është pjesë e mirëqenies sociale dhe e integrimit shoqëror dhe nuk duhet të kufizohet nga barrierat fizike, informuese apo organizative.</w:t>
      </w:r>
    </w:p>
    <w:p w14:paraId="0F11861A" w14:textId="7605D71E" w:rsidR="00766587" w:rsidRPr="00CB13F7" w:rsidRDefault="00766587" w:rsidP="004E4604">
      <w:pPr>
        <w:spacing w:before="120" w:after="120" w:line="276" w:lineRule="auto"/>
        <w:jc w:val="both"/>
        <w:rPr>
          <w:rFonts w:eastAsia="Times New Roman"/>
        </w:rPr>
      </w:pPr>
      <w:r w:rsidRPr="00CB13F7">
        <w:rPr>
          <w:rFonts w:eastAsia="Times New Roman"/>
        </w:rPr>
        <w:t>Një drejtim i parë i rëndësishëm është përfshirja e kërkesave të aksesueshmërisë në kuadrin rregullator të turizmit dhe trashëgimisë kulturore. Parashikohen ndryshime ligjore</w:t>
      </w:r>
      <w:r w:rsidR="00D506B9" w:rsidRPr="00CB13F7">
        <w:rPr>
          <w:rFonts w:eastAsia="Times New Roman"/>
        </w:rPr>
        <w:t xml:space="preserve"> </w:t>
      </w:r>
      <w:r w:rsidRPr="00CB13F7">
        <w:rPr>
          <w:rFonts w:eastAsia="Times New Roman"/>
        </w:rPr>
        <w:t xml:space="preserve">dhe nënligjore që standardet e aksesueshmërisë të bëhen pjesë e kritereve të vlerësimit për licencimin e strukturave akomoduese, të objekteve të turizmit kulturor dhe të shërbimeve përkatëse. </w:t>
      </w:r>
      <w:r w:rsidR="00EC6D6E" w:rsidRPr="00CB13F7">
        <w:rPr>
          <w:rFonts w:eastAsia="Times New Roman"/>
        </w:rPr>
        <w:t xml:space="preserve"> Në këtë mënyrë, aksesueshmëria nuk konsiderohet më thjesht si një zgjedhje, por bëhet një kusht i domosdoshëm për funksionimin e strukturave turistike dhe për ofrimin e shërbimeve ndaj publikut.</w:t>
      </w:r>
    </w:p>
    <w:p w14:paraId="2E5242A7" w14:textId="591A9262" w:rsidR="00766587" w:rsidRPr="00CB13F7" w:rsidRDefault="00766587" w:rsidP="004E4604">
      <w:pPr>
        <w:spacing w:before="120" w:after="120" w:line="276" w:lineRule="auto"/>
        <w:jc w:val="both"/>
        <w:rPr>
          <w:rFonts w:eastAsia="Times New Roman"/>
        </w:rPr>
      </w:pPr>
      <w:r w:rsidRPr="00CB13F7">
        <w:rPr>
          <w:rFonts w:eastAsia="Times New Roman"/>
        </w:rPr>
        <w:t xml:space="preserve">Për të siguruar zbatimin efektiv, do të realizohet një vlerësim sistematik i nivelit të aksesueshmërisë në objektet turistike dhe </w:t>
      </w:r>
      <w:r w:rsidR="00EC6D6E" w:rsidRPr="00CB13F7">
        <w:rPr>
          <w:rFonts w:eastAsia="Times New Roman"/>
        </w:rPr>
        <w:t>të</w:t>
      </w:r>
      <w:r w:rsidRPr="00CB13F7">
        <w:rPr>
          <w:rFonts w:eastAsia="Times New Roman"/>
        </w:rPr>
        <w:t xml:space="preserve"> trashëgimisë kulturore, i shoqëruar me rekomandime konkrete për përmirësime. Rezultatet e këtij procesi do të përfshihen në një regjistër të posaçëm të aksesueshmërisë, i cili do të shërbejë si instrument informimi dhe planifikimi për institucionet dhe operatorët. Në të njëjtën kohë, parashikohet përshtatja e mjediseve të hapura, si parqet natyrore, plazhet dhe hapësirat rekreative, sipas standardeve të aksesueshmërisë, me qëllim që përdorimi i tyre të jetë i mundur nga të gjithë.</w:t>
      </w:r>
    </w:p>
    <w:p w14:paraId="24D3DBC8" w14:textId="77777777" w:rsidR="00766587" w:rsidRPr="00CB13F7" w:rsidRDefault="00766587" w:rsidP="004E4604">
      <w:pPr>
        <w:spacing w:before="120" w:after="120" w:line="276" w:lineRule="auto"/>
        <w:jc w:val="both"/>
        <w:rPr>
          <w:rFonts w:eastAsia="Times New Roman"/>
        </w:rPr>
      </w:pPr>
      <w:r w:rsidRPr="00CB13F7">
        <w:rPr>
          <w:rFonts w:eastAsia="Times New Roman"/>
        </w:rPr>
        <w:t xml:space="preserve">Përveç infrastrukturës, objektivi adreson edhe përmbajtjen dhe mënyrën e ofrimit të shërbimeve turistike. Parashikohet përfshirja e standardeve të aksesueshmërisë në paketat turistike, duke përfshirë transport të përshtatur, guida audio, materiale informuese në Braille ose në gjuhë të thjeshtuar dhe interpretim në gjuhën e shenjave. Operatorët turistikë do të ndërgjegjësohen për </w:t>
      </w:r>
      <w:r w:rsidRPr="00CB13F7">
        <w:rPr>
          <w:rFonts w:eastAsia="Times New Roman"/>
        </w:rPr>
        <w:lastRenderedPageBreak/>
        <w:t>rëndësinë e turizmit gjithëpërfshirës dhe për nevojën e përshtatjes së shërbimeve për kategori të ndryshme përdoruesish.</w:t>
      </w:r>
    </w:p>
    <w:p w14:paraId="6EA35CB3" w14:textId="284958EF" w:rsidR="00766587" w:rsidRPr="00CB13F7" w:rsidRDefault="00766587" w:rsidP="004E4604">
      <w:pPr>
        <w:spacing w:before="120" w:after="120" w:line="276" w:lineRule="auto"/>
        <w:jc w:val="both"/>
        <w:rPr>
          <w:rFonts w:eastAsia="Times New Roman"/>
        </w:rPr>
      </w:pPr>
      <w:r w:rsidRPr="00CB13F7">
        <w:rPr>
          <w:rFonts w:eastAsia="Times New Roman"/>
        </w:rPr>
        <w:t xml:space="preserve">Një </w:t>
      </w:r>
      <w:r w:rsidR="00EC6D6E" w:rsidRPr="00CB13F7">
        <w:rPr>
          <w:rFonts w:eastAsia="Times New Roman"/>
        </w:rPr>
        <w:t xml:space="preserve">element </w:t>
      </w:r>
      <w:r w:rsidRPr="00CB13F7">
        <w:rPr>
          <w:rFonts w:eastAsia="Times New Roman"/>
        </w:rPr>
        <w:t xml:space="preserve">tjetër i rëndësishëm është sigurimi i informacionit të aksesueshëm për vizitorët. </w:t>
      </w:r>
      <w:r w:rsidR="00EC6D6E" w:rsidRPr="00CB13F7">
        <w:rPr>
          <w:rFonts w:eastAsia="Times New Roman"/>
        </w:rPr>
        <w:t xml:space="preserve"> Faqet e internetit dhe aplikacionet turistike duhet të jenë të aksesueshme për personat me aftësi të kufizuara dhe informacioni për destinacionet, shërbimet dhe pikat turistike të ofrohet në mënyrë të përshtatshme dhe të kuptueshme. </w:t>
      </w:r>
      <w:r w:rsidRPr="00CB13F7">
        <w:rPr>
          <w:rFonts w:eastAsia="Times New Roman"/>
        </w:rPr>
        <w:t xml:space="preserve">Do të përgatiten </w:t>
      </w:r>
      <w:r w:rsidR="00EC6D6E" w:rsidRPr="00CB13F7">
        <w:rPr>
          <w:rFonts w:eastAsia="Times New Roman"/>
        </w:rPr>
        <w:t xml:space="preserve">edhe </w:t>
      </w:r>
      <w:r w:rsidRPr="00CB13F7">
        <w:rPr>
          <w:rFonts w:eastAsia="Times New Roman"/>
        </w:rPr>
        <w:t>broshura dhe materiale informuese të aksesueshme, në mënyrë që planifikimi dhe realizimi i vizitave turistike të jetë i mundur në mënyrë të pavarur.</w:t>
      </w:r>
    </w:p>
    <w:p w14:paraId="0C281F17" w14:textId="77777777" w:rsidR="00766587" w:rsidRPr="00CB13F7" w:rsidRDefault="0014426B" w:rsidP="004E4604">
      <w:pPr>
        <w:spacing w:before="120" w:after="120" w:line="276" w:lineRule="auto"/>
        <w:jc w:val="both"/>
        <w:rPr>
          <w:rFonts w:eastAsia="Times New Roman"/>
        </w:rPr>
      </w:pPr>
      <w:r w:rsidRPr="00CB13F7">
        <w:rPr>
          <w:rFonts w:eastAsia="Times New Roman"/>
        </w:rPr>
        <w:t>O</w:t>
      </w:r>
      <w:r w:rsidR="00766587" w:rsidRPr="00CB13F7">
        <w:rPr>
          <w:rFonts w:eastAsia="Times New Roman"/>
        </w:rPr>
        <w:t>bjektivi i katërt synon të zhvillojë një model turizmi gjithëpërfshirës, ku personat me aftësi të kufizuara të mos jenë vetëm përfitues pasivë, por pjesëmarrës aktivë në jetën kulturore dhe turistike. Duke kombinuar përshtatjen e infrastrukturës, përmirësimin e shërbimeve dhe ofrimin e informacionit të aksesueshëm, ky objektiv kontribuon jo vetëm në respektimin e të drejtave, por edhe në zhvillimin e një oferte turistike më të hapur, cilësore dhe të qëndrueshme për të gjithë.</w:t>
      </w:r>
    </w:p>
    <w:p w14:paraId="2FF7C191" w14:textId="77777777" w:rsidR="00FE56A2" w:rsidRPr="00CB13F7" w:rsidRDefault="00513644" w:rsidP="004E4604">
      <w:pPr>
        <w:spacing w:before="120" w:after="120" w:line="276" w:lineRule="auto"/>
        <w:jc w:val="both"/>
        <w:rPr>
          <w:rFonts w:eastAsia="Times New Roman"/>
          <w:b/>
          <w:bCs/>
          <w:lang w:eastAsia="en-US"/>
        </w:rPr>
      </w:pPr>
      <w:r w:rsidRPr="00CB13F7">
        <w:rPr>
          <w:rFonts w:eastAsia="Times New Roman"/>
          <w:b/>
          <w:bCs/>
          <w:lang w:eastAsia="en-US"/>
        </w:rPr>
        <w:t>4.2</w:t>
      </w:r>
      <w:r w:rsidR="00FE56A2" w:rsidRPr="00CB13F7">
        <w:rPr>
          <w:rFonts w:eastAsia="Times New Roman"/>
          <w:b/>
          <w:bCs/>
          <w:lang w:eastAsia="en-US"/>
        </w:rPr>
        <w:t xml:space="preserve">. </w:t>
      </w:r>
      <w:r w:rsidR="003B43D4" w:rsidRPr="00CB13F7">
        <w:rPr>
          <w:rFonts w:eastAsia="Times New Roman"/>
          <w:b/>
          <w:bCs/>
          <w:lang w:eastAsia="en-US"/>
        </w:rPr>
        <w:t>Aksesi n</w:t>
      </w:r>
      <w:r w:rsidR="00753C46" w:rsidRPr="00CB13F7">
        <w:rPr>
          <w:rFonts w:eastAsia="Times New Roman"/>
          <w:b/>
          <w:bCs/>
          <w:lang w:eastAsia="en-US"/>
        </w:rPr>
        <w:t>ë</w:t>
      </w:r>
      <w:r w:rsidR="003B43D4" w:rsidRPr="00CB13F7">
        <w:rPr>
          <w:rFonts w:eastAsia="Times New Roman"/>
          <w:b/>
          <w:bCs/>
          <w:lang w:eastAsia="en-US"/>
        </w:rPr>
        <w:t xml:space="preserve"> </w:t>
      </w:r>
      <w:r w:rsidR="00C16801" w:rsidRPr="00CB13F7">
        <w:rPr>
          <w:rFonts w:eastAsia="Times New Roman"/>
          <w:b/>
          <w:bCs/>
          <w:lang w:eastAsia="en-US"/>
        </w:rPr>
        <w:t>D</w:t>
      </w:r>
      <w:r w:rsidR="003B43D4" w:rsidRPr="00CB13F7">
        <w:rPr>
          <w:rFonts w:eastAsia="Times New Roman"/>
          <w:b/>
          <w:bCs/>
          <w:lang w:eastAsia="en-US"/>
        </w:rPr>
        <w:t>rejt</w:t>
      </w:r>
      <w:r w:rsidR="00753C46" w:rsidRPr="00CB13F7">
        <w:rPr>
          <w:rFonts w:eastAsia="Times New Roman"/>
          <w:b/>
          <w:bCs/>
          <w:lang w:eastAsia="en-US"/>
        </w:rPr>
        <w:t>ë</w:t>
      </w:r>
      <w:r w:rsidR="003B43D4" w:rsidRPr="00CB13F7">
        <w:rPr>
          <w:rFonts w:eastAsia="Times New Roman"/>
          <w:b/>
          <w:bCs/>
          <w:lang w:eastAsia="en-US"/>
        </w:rPr>
        <w:t xml:space="preserve">si dhe Barazia para Ligjit </w:t>
      </w:r>
    </w:p>
    <w:p w14:paraId="4EC9B3C3" w14:textId="77777777" w:rsidR="003B43D4" w:rsidRPr="00CB13F7" w:rsidRDefault="00570186" w:rsidP="004E4604">
      <w:pPr>
        <w:spacing w:before="120" w:after="120" w:line="276" w:lineRule="auto"/>
        <w:jc w:val="both"/>
        <w:rPr>
          <w:rFonts w:eastAsia="Times New Roman"/>
          <w:b/>
          <w:bCs/>
          <w:lang w:eastAsia="en-US"/>
        </w:rPr>
      </w:pPr>
      <w:r w:rsidRPr="00CB13F7">
        <w:rPr>
          <w:rFonts w:eastAsia="Times New Roman"/>
          <w:b/>
          <w:bCs/>
          <w:lang w:eastAsia="en-US"/>
        </w:rPr>
        <w:t>4.2.1. Konteksti</w:t>
      </w:r>
      <w:r w:rsidR="003B43D4" w:rsidRPr="00CB13F7">
        <w:rPr>
          <w:rFonts w:eastAsia="Times New Roman"/>
          <w:b/>
          <w:bCs/>
          <w:lang w:eastAsia="en-US"/>
        </w:rPr>
        <w:t xml:space="preserve"> strategjik </w:t>
      </w:r>
    </w:p>
    <w:p w14:paraId="2B0222BF" w14:textId="20E59780" w:rsidR="003B43D4" w:rsidRPr="00CB13F7" w:rsidRDefault="003B43D4" w:rsidP="004E4604">
      <w:pPr>
        <w:spacing w:before="120" w:after="120" w:line="276" w:lineRule="auto"/>
        <w:jc w:val="both"/>
        <w:rPr>
          <w:rFonts w:eastAsia="Times New Roman"/>
          <w:lang w:eastAsia="en-US"/>
        </w:rPr>
      </w:pPr>
      <w:r w:rsidRPr="00CB13F7">
        <w:rPr>
          <w:rFonts w:eastAsia="Times New Roman"/>
          <w:lang w:eastAsia="en-US"/>
        </w:rPr>
        <w:t>Fusha e drejtësisë në Planin e Veprimit për Personat me Aftësi të Kufizuara 2026</w:t>
      </w:r>
      <w:r w:rsidR="00582B12" w:rsidRPr="00CB13F7">
        <w:rPr>
          <w:rFonts w:eastAsia="Times New Roman"/>
          <w:lang w:eastAsia="en-US"/>
        </w:rPr>
        <w:t>-</w:t>
      </w:r>
      <w:r w:rsidRPr="00CB13F7">
        <w:rPr>
          <w:rFonts w:eastAsia="Times New Roman"/>
          <w:lang w:eastAsia="en-US"/>
        </w:rPr>
        <w:t>2030, mbështetet në një kuadër të gjerë standardesh ndërkombëtare të të drejtave të njeriut, instrumentesh evropiane dhe dokumentesh strategjike kombëtare. Qasja e këtij kapitulli bazohet në parimin se aksesimi i sistemit të drejtësisë nuk është vetëm një shërbim publik, por një e drejtë themelore, e lidhur drejtpërdrejt me barazinë para ligjit, me mbrojtjen nga diskriminimi dhe me garantimin e dinjitetit njerëzor. Në këtë kuptim, ndërhyrjet në fushën e drejtësisë nuk ndërtohen si politika të veçuara sociale, por si pjesë e detyrimeve shtetërore për respektimin e të drejtave themelore dhe për përmbushjen e standardeve të integrimit evropian.</w:t>
      </w:r>
    </w:p>
    <w:p w14:paraId="0BFBCA3D" w14:textId="0BE209F6" w:rsidR="003B43D4" w:rsidRPr="00CB13F7" w:rsidRDefault="7150E16E" w:rsidP="661F9D2E">
      <w:pPr>
        <w:spacing w:before="120" w:after="120" w:line="276" w:lineRule="auto"/>
        <w:jc w:val="both"/>
        <w:rPr>
          <w:rFonts w:eastAsia="Times New Roman"/>
          <w:lang w:eastAsia="en-US"/>
        </w:rPr>
      </w:pPr>
      <w:r w:rsidRPr="00CB13F7">
        <w:rPr>
          <w:rFonts w:eastAsia="Times New Roman"/>
          <w:lang w:eastAsia="en-US"/>
        </w:rPr>
        <w:t>Në nivel ndërkombëtar, referenca kryesore është Konventa e Kombeve të Bashkuara për të Drejtat e Personave me Aftësi të Kufizuara</w:t>
      </w:r>
      <w:r w:rsidR="003B43D4" w:rsidRPr="00CB13F7">
        <w:rPr>
          <w:rFonts w:eastAsia="Times New Roman"/>
          <w:vertAlign w:val="superscript"/>
          <w:lang w:eastAsia="en-US"/>
        </w:rPr>
        <w:footnoteReference w:id="30"/>
      </w:r>
      <w:r w:rsidRPr="00CB13F7">
        <w:rPr>
          <w:rFonts w:eastAsia="Times New Roman"/>
          <w:lang w:eastAsia="en-US"/>
        </w:rPr>
        <w:t>. Konventa njeh të drejtën e personave me aftësi të kufizuara për njohje të barabartë para ligjit dhe për ushtrimin e plotë të zotësisë juridike (neni 12), si dhe detyrimin e shtetit për të siguruar akses efektiv në drejtësi në të gjitha fazat e procedurave ligjore (neni 13).</w:t>
      </w:r>
      <w:r w:rsidR="25DBD638" w:rsidRPr="00CB13F7">
        <w:rPr>
          <w:rFonts w:eastAsia="Times New Roman"/>
          <w:lang w:eastAsia="en-US"/>
        </w:rPr>
        <w:t xml:space="preserve"> </w:t>
      </w:r>
      <w:r w:rsidRPr="00CB13F7">
        <w:rPr>
          <w:rFonts w:eastAsia="Times New Roman"/>
          <w:lang w:eastAsia="en-US"/>
        </w:rPr>
        <w:t xml:space="preserve">Ajo kërkon që shtetet të ofrojnë akomodime procedurale dhe mbështetje të përshtatshme, në mënyrë që personat me aftësi të kufizuara të mund të marrin pjesë në procedurat gjyqësore si palë, dëshmitarë apo viktima. Komenti i Përgjithshëm nr. 1 i Komitetit të </w:t>
      </w:r>
      <w:r w:rsidR="5E56D18F" w:rsidRPr="00CB13F7">
        <w:rPr>
          <w:rFonts w:eastAsia="Times New Roman"/>
        </w:rPr>
        <w:t xml:space="preserve"> KDPAK</w:t>
      </w:r>
      <w:r w:rsidR="003B43D4" w:rsidRPr="00CB13F7">
        <w:rPr>
          <w:rFonts w:eastAsia="Times New Roman"/>
          <w:vertAlign w:val="superscript"/>
          <w:lang w:eastAsia="en-US"/>
        </w:rPr>
        <w:footnoteReference w:id="31"/>
      </w:r>
      <w:r w:rsidRPr="00CB13F7">
        <w:rPr>
          <w:rFonts w:eastAsia="Times New Roman"/>
          <w:lang w:eastAsia="en-US"/>
        </w:rPr>
        <w:t>-së e thekson më tej këtë parim, duke kërkuar kalimin nga sistemet e kujdestarisë</w:t>
      </w:r>
      <w:r w:rsidR="423FA45A" w:rsidRPr="00CB13F7">
        <w:rPr>
          <w:rFonts w:eastAsia="Times New Roman"/>
          <w:lang w:eastAsia="en-US"/>
        </w:rPr>
        <w:t xml:space="preserve"> ligjore</w:t>
      </w:r>
      <w:r w:rsidRPr="00CB13F7">
        <w:rPr>
          <w:rFonts w:eastAsia="Times New Roman"/>
          <w:lang w:eastAsia="en-US"/>
        </w:rPr>
        <w:t xml:space="preserve"> drejt mekanizmave të vendimmarrjes së mbështetur, për të garantuar autonominë dhe vetëvendosjen e individit </w:t>
      </w:r>
    </w:p>
    <w:p w14:paraId="558A3943" w14:textId="77777777" w:rsidR="003B43D4" w:rsidRPr="00CB13F7" w:rsidRDefault="003B43D4" w:rsidP="004E4604">
      <w:pPr>
        <w:spacing w:before="120" w:after="120" w:line="276" w:lineRule="auto"/>
        <w:jc w:val="both"/>
        <w:rPr>
          <w:rFonts w:eastAsia="Times New Roman"/>
          <w:lang w:eastAsia="en-US"/>
        </w:rPr>
      </w:pPr>
      <w:r w:rsidRPr="00CB13F7">
        <w:rPr>
          <w:rFonts w:eastAsia="Times New Roman"/>
          <w:lang w:eastAsia="en-US"/>
        </w:rPr>
        <w:t xml:space="preserve">Po ashtu, Konventa lidhet me të drejtën për liri dhe siguri personale dhe me trajtimin dinjitoz (nenet 14 dhe 15), duke kërkuar që personat me aftësi të kufizuara, përfshirë ata në paraburgim apo në institucionet e vuajtjes së dënimit, të trajtohen në mënyrë të barabartë dhe të kenë akses në </w:t>
      </w:r>
      <w:r w:rsidRPr="00CB13F7">
        <w:rPr>
          <w:rFonts w:eastAsia="Times New Roman"/>
          <w:lang w:eastAsia="en-US"/>
        </w:rPr>
        <w:lastRenderedPageBreak/>
        <w:t>shërbime mbështetëse dhe shëndetësore. Në këtë mënyrë, drejtësia nuk kufizohet vetëm në gjykata, por përfshin policinë, prokurorinë, institucionet penitenciare dhe shërbimet ligjore mbështetëse.</w:t>
      </w:r>
    </w:p>
    <w:p w14:paraId="32C39489" w14:textId="765B5C93" w:rsidR="003B43D4" w:rsidRPr="00CB13F7" w:rsidRDefault="7150E16E" w:rsidP="004E4604">
      <w:pPr>
        <w:spacing w:before="120" w:after="120" w:line="276" w:lineRule="auto"/>
        <w:jc w:val="both"/>
        <w:rPr>
          <w:rFonts w:eastAsia="Times New Roman"/>
          <w:lang w:eastAsia="en-US"/>
        </w:rPr>
      </w:pPr>
      <w:r w:rsidRPr="00CB13F7">
        <w:rPr>
          <w:rFonts w:eastAsia="Times New Roman"/>
          <w:lang w:eastAsia="en-US"/>
        </w:rPr>
        <w:t>Në nivel evropian, këto parime reflektohen në politikat dhe instrumentet e Bashkimit Evropian për të drejtat themelore. Strategjia e BE-së për të Drejtat e Personave me Aftësi të Kufizuara 2021</w:t>
      </w:r>
      <w:r w:rsidR="77B74F3F" w:rsidRPr="00CB13F7">
        <w:rPr>
          <w:rFonts w:eastAsia="Times New Roman"/>
          <w:lang w:eastAsia="en-US"/>
        </w:rPr>
        <w:t>-</w:t>
      </w:r>
      <w:r w:rsidRPr="00CB13F7">
        <w:rPr>
          <w:rFonts w:eastAsia="Times New Roman"/>
          <w:lang w:eastAsia="en-US"/>
        </w:rPr>
        <w:t>2030</w:t>
      </w:r>
      <w:r w:rsidR="003B43D4" w:rsidRPr="00CB13F7">
        <w:rPr>
          <w:rFonts w:eastAsia="Times New Roman"/>
          <w:vertAlign w:val="superscript"/>
          <w:lang w:eastAsia="en-US"/>
        </w:rPr>
        <w:footnoteReference w:id="32"/>
      </w:r>
      <w:r w:rsidRPr="00CB13F7">
        <w:rPr>
          <w:rFonts w:eastAsia="Times New Roman"/>
          <w:lang w:eastAsia="en-US"/>
        </w:rPr>
        <w:t xml:space="preserve"> thekson nevojën për akses efektiv në drejtësi dhe për eliminimin e pengesave procedurale dhe institucionale. Shtylla Evropiane e të Drejtave Sociale</w:t>
      </w:r>
      <w:r w:rsidR="003B43D4" w:rsidRPr="00CB13F7">
        <w:rPr>
          <w:rFonts w:eastAsia="Times New Roman"/>
          <w:vertAlign w:val="superscript"/>
          <w:lang w:eastAsia="en-US"/>
        </w:rPr>
        <w:footnoteReference w:id="33"/>
      </w:r>
      <w:r w:rsidRPr="00CB13F7">
        <w:rPr>
          <w:rFonts w:eastAsia="Times New Roman"/>
          <w:lang w:eastAsia="en-US"/>
        </w:rPr>
        <w:t>, në parimin për përfshirjen e personave me aftësi të kufizuara, kërkon pjesëmarrje të plotë në jetën shoqërore dhe mbrojtje ligjore efektive. Në mënyrë plotësuese, direktivat evropiane mbi ndihmën juridike falas dhe të drejtat e viktimave vendosin standarde minimale për përfaqësim ligjor, mbështetje dhe informim të personave që përfshihen në procedura gjyqësore.</w:t>
      </w:r>
    </w:p>
    <w:p w14:paraId="14261367" w14:textId="77777777" w:rsidR="003B43D4" w:rsidRPr="00CB13F7" w:rsidRDefault="003B43D4" w:rsidP="004E4604">
      <w:pPr>
        <w:spacing w:before="120" w:after="120" w:line="276" w:lineRule="auto"/>
        <w:jc w:val="both"/>
        <w:rPr>
          <w:rFonts w:eastAsia="Times New Roman"/>
          <w:lang w:eastAsia="en-US"/>
        </w:rPr>
      </w:pPr>
      <w:r w:rsidRPr="00CB13F7">
        <w:rPr>
          <w:rFonts w:eastAsia="Times New Roman"/>
          <w:lang w:eastAsia="en-US"/>
        </w:rPr>
        <w:t xml:space="preserve">Këto standarde lidhen drejtpërdrejt me procesin e integrimit evropian të Shqipërisë. Raportet e progresit të Komisionit Evropian për Shqipërinë, veçanërisht në Kapitullin 23 “Gjyqësori dhe të Drejtat Themelore”, theksojnë rëndësinë e aksesit në drejtësi dhe të mbrojtjes efektive të të drejtave themelore si element i shtetit të së drejtës. </w:t>
      </w:r>
    </w:p>
    <w:p w14:paraId="13C322C6" w14:textId="4072AE0D" w:rsidR="003B43D4" w:rsidRPr="00CB13F7" w:rsidRDefault="7150E16E" w:rsidP="004E4604">
      <w:pPr>
        <w:spacing w:before="120" w:after="120" w:line="276" w:lineRule="auto"/>
        <w:jc w:val="both"/>
        <w:rPr>
          <w:rFonts w:eastAsia="Times New Roman"/>
          <w:lang w:eastAsia="en-US"/>
        </w:rPr>
      </w:pPr>
      <w:r w:rsidRPr="00CB13F7">
        <w:rPr>
          <w:rFonts w:eastAsia="Times New Roman"/>
          <w:lang w:eastAsia="en-US"/>
        </w:rPr>
        <w:t>Në të njëjtën linjë, Strategjia Kombëtare për Zhvillim dhe Integrim</w:t>
      </w:r>
      <w:r w:rsidR="7DAC581C" w:rsidRPr="00CB13F7">
        <w:rPr>
          <w:rFonts w:eastAsia="Times New Roman"/>
          <w:lang w:eastAsia="en-US"/>
        </w:rPr>
        <w:t xml:space="preserve"> 2022-2030</w:t>
      </w:r>
      <w:r w:rsidR="003B43D4" w:rsidRPr="00CB13F7">
        <w:rPr>
          <w:rFonts w:eastAsia="Times New Roman"/>
          <w:vertAlign w:val="superscript"/>
          <w:lang w:eastAsia="en-US"/>
        </w:rPr>
        <w:footnoteReference w:id="34"/>
      </w:r>
      <w:r w:rsidRPr="00CB13F7">
        <w:rPr>
          <w:rFonts w:eastAsia="Times New Roman"/>
          <w:lang w:eastAsia="en-US"/>
        </w:rPr>
        <w:t xml:space="preserve"> e lidh qeverisjen e mirë dhe barazinë para ligjit me funksionimin efektiv të institucioneve të drejtësisë dhe me mbrojtjen e grupeve të cenueshme. </w:t>
      </w:r>
    </w:p>
    <w:p w14:paraId="4019BCED" w14:textId="79A4CF8C" w:rsidR="003B43D4" w:rsidRPr="00CB13F7" w:rsidRDefault="7150E16E" w:rsidP="004E4604">
      <w:pPr>
        <w:spacing w:before="120" w:after="120" w:line="276" w:lineRule="auto"/>
        <w:jc w:val="both"/>
        <w:rPr>
          <w:rFonts w:eastAsia="Times New Roman"/>
          <w:lang w:eastAsia="en-US"/>
        </w:rPr>
      </w:pPr>
      <w:r w:rsidRPr="00CB13F7">
        <w:rPr>
          <w:rFonts w:eastAsia="Times New Roman"/>
          <w:lang w:eastAsia="en-US"/>
        </w:rPr>
        <w:t xml:space="preserve">Në nivel kombëtar, fusha e drejtësisë mbështetet gjithashtu në dokumentet sektoriale të reformës në drejtësi dhe të mbrojtjes sociale. </w:t>
      </w:r>
      <w:r w:rsidR="0C5B1CB2" w:rsidRPr="00CB13F7">
        <w:rPr>
          <w:rFonts w:eastAsia="Times New Roman"/>
          <w:lang w:eastAsia="en-US"/>
        </w:rPr>
        <w:t>Strategjia Ndërsektoriale e Drejtësisë</w:t>
      </w:r>
      <w:r w:rsidR="451C2BEF" w:rsidRPr="00CB13F7">
        <w:rPr>
          <w:rFonts w:eastAsia="Times New Roman"/>
          <w:lang w:eastAsia="en-US"/>
        </w:rPr>
        <w:t xml:space="preserve"> 2024-2030</w:t>
      </w:r>
      <w:r w:rsidR="00570186" w:rsidRPr="00CB13F7">
        <w:rPr>
          <w:rFonts w:eastAsia="Times New Roman"/>
          <w:vertAlign w:val="superscript"/>
          <w:lang w:eastAsia="en-US"/>
        </w:rPr>
        <w:footnoteReference w:id="35"/>
      </w:r>
      <w:r w:rsidR="0C5B1CB2" w:rsidRPr="00CB13F7">
        <w:rPr>
          <w:rFonts w:eastAsia="Times New Roman"/>
          <w:lang w:eastAsia="en-US"/>
        </w:rPr>
        <w:t xml:space="preserve"> dhe politikat për të drejtat e fëmijëve adresojnë aksesin në drejtësi për grupet vulnerabël, ndërsa Plani Kombëtar i </w:t>
      </w:r>
      <w:r w:rsidR="4FA7991F" w:rsidRPr="00CB13F7">
        <w:rPr>
          <w:rFonts w:eastAsia="Times New Roman"/>
          <w:lang w:eastAsia="en-US"/>
        </w:rPr>
        <w:t xml:space="preserve">Veprimit për </w:t>
      </w:r>
      <w:r w:rsidR="0C5B1CB2" w:rsidRPr="00CB13F7">
        <w:rPr>
          <w:rFonts w:eastAsia="Times New Roman"/>
          <w:lang w:eastAsia="en-US"/>
        </w:rPr>
        <w:t>Shëndeti</w:t>
      </w:r>
      <w:r w:rsidR="207C8566" w:rsidRPr="00CB13F7">
        <w:rPr>
          <w:rFonts w:eastAsia="Times New Roman"/>
          <w:lang w:eastAsia="en-US"/>
        </w:rPr>
        <w:t>n</w:t>
      </w:r>
      <w:r w:rsidR="0C5B1CB2" w:rsidRPr="00CB13F7">
        <w:rPr>
          <w:rFonts w:eastAsia="Times New Roman"/>
          <w:lang w:eastAsia="en-US"/>
        </w:rPr>
        <w:t xml:space="preserve"> Mendor</w:t>
      </w:r>
      <w:r w:rsidR="74EF9698" w:rsidRPr="00CB13F7">
        <w:rPr>
          <w:rFonts w:eastAsia="Times New Roman"/>
          <w:lang w:eastAsia="en-US"/>
        </w:rPr>
        <w:t xml:space="preserve"> 2023-2026</w:t>
      </w:r>
      <w:r w:rsidR="00570186" w:rsidRPr="00CB13F7">
        <w:rPr>
          <w:rFonts w:eastAsia="Times New Roman"/>
          <w:vertAlign w:val="superscript"/>
          <w:lang w:eastAsia="en-US"/>
        </w:rPr>
        <w:footnoteReference w:id="36"/>
      </w:r>
      <w:r w:rsidR="0C5B1CB2" w:rsidRPr="00CB13F7">
        <w:rPr>
          <w:rFonts w:eastAsia="Times New Roman"/>
          <w:lang w:eastAsia="en-US"/>
        </w:rPr>
        <w:t xml:space="preserve"> lidhet me trajtimin e personave me aftësi të kufizuara psiko-sociale në sistemin ligjor.</w:t>
      </w:r>
      <w:r w:rsidR="6309BE2C" w:rsidRPr="00CB13F7">
        <w:rPr>
          <w:rFonts w:eastAsia="Times New Roman"/>
          <w:lang w:eastAsia="en-US"/>
        </w:rPr>
        <w:t xml:space="preserve"> </w:t>
      </w:r>
      <w:r w:rsidRPr="00CB13F7">
        <w:rPr>
          <w:rFonts w:eastAsia="Times New Roman"/>
          <w:lang w:eastAsia="en-US"/>
        </w:rPr>
        <w:t>Në këtë kuadër, politika e drejtësisë synon që personat me aftësi të kufizuara të ushtrojnë plotësisht zotësinë juridike, të kenë akses të barabartë dhe efektiv në gjykata, prokurori, polici dhe shërbime ligjore, si dhe të mbrohen nga dhuna dhe abuzimi</w:t>
      </w:r>
      <w:r w:rsidR="445D0D23" w:rsidRPr="00CB13F7">
        <w:rPr>
          <w:rFonts w:eastAsia="Times New Roman"/>
          <w:lang w:eastAsia="en-US"/>
        </w:rPr>
        <w:t>.</w:t>
      </w:r>
      <w:r w:rsidRPr="00CB13F7">
        <w:rPr>
          <w:rFonts w:eastAsia="Times New Roman"/>
          <w:lang w:eastAsia="en-US"/>
        </w:rPr>
        <w:t xml:space="preserve"> </w:t>
      </w:r>
    </w:p>
    <w:p w14:paraId="3671B660" w14:textId="77777777" w:rsidR="00FE56A2" w:rsidRPr="00CB13F7" w:rsidRDefault="00FE56A2" w:rsidP="004E4604">
      <w:pPr>
        <w:spacing w:before="120" w:after="120" w:line="276" w:lineRule="auto"/>
        <w:jc w:val="both"/>
        <w:rPr>
          <w:rFonts w:eastAsia="Times New Roman"/>
          <w:lang w:eastAsia="en-US"/>
        </w:rPr>
      </w:pPr>
    </w:p>
    <w:p w14:paraId="436E5864" w14:textId="77777777" w:rsidR="00FE56A2" w:rsidRPr="00CB13F7" w:rsidRDefault="00FE56A2" w:rsidP="004E4604">
      <w:pPr>
        <w:spacing w:before="120" w:after="120" w:line="276" w:lineRule="auto"/>
        <w:jc w:val="both"/>
        <w:rPr>
          <w:rFonts w:eastAsia="Times New Roman"/>
          <w:b/>
          <w:bCs/>
        </w:rPr>
      </w:pPr>
      <w:r w:rsidRPr="00CB13F7">
        <w:rPr>
          <w:rFonts w:eastAsia="Times New Roman"/>
          <w:b/>
          <w:bCs/>
        </w:rPr>
        <w:t xml:space="preserve"> </w:t>
      </w:r>
      <w:r w:rsidR="00513644" w:rsidRPr="00CB13F7">
        <w:rPr>
          <w:rFonts w:eastAsia="Times New Roman"/>
          <w:b/>
          <w:bCs/>
        </w:rPr>
        <w:t>4.</w:t>
      </w:r>
      <w:r w:rsidR="003D2B7A" w:rsidRPr="00CB13F7">
        <w:rPr>
          <w:rFonts w:eastAsia="Times New Roman"/>
          <w:b/>
          <w:bCs/>
        </w:rPr>
        <w:t>2</w:t>
      </w:r>
      <w:r w:rsidR="00513644" w:rsidRPr="00CB13F7">
        <w:rPr>
          <w:rFonts w:eastAsia="Times New Roman"/>
          <w:b/>
          <w:bCs/>
        </w:rPr>
        <w:t>.</w:t>
      </w:r>
      <w:r w:rsidRPr="00CB13F7">
        <w:rPr>
          <w:rFonts w:eastAsia="Times New Roman"/>
          <w:b/>
          <w:bCs/>
        </w:rPr>
        <w:t xml:space="preserve">2. Qëllimi, objektivat dhe masat prioritare </w:t>
      </w:r>
    </w:p>
    <w:p w14:paraId="7B41D428" w14:textId="0B4ED757" w:rsidR="00FE56A2" w:rsidRPr="00CB13F7" w:rsidRDefault="1E9AF249" w:rsidP="004E4604">
      <w:pPr>
        <w:spacing w:before="120" w:after="120" w:line="276" w:lineRule="auto"/>
        <w:jc w:val="both"/>
        <w:rPr>
          <w:rFonts w:eastAsia="Times New Roman"/>
          <w:lang w:eastAsia="en-US"/>
        </w:rPr>
      </w:pPr>
      <w:r w:rsidRPr="00CB13F7">
        <w:rPr>
          <w:rFonts w:eastAsia="Times New Roman"/>
          <w:b/>
          <w:bCs/>
          <w:lang w:eastAsia="en-US"/>
        </w:rPr>
        <w:t xml:space="preserve">Qëllimi i Politikës II: </w:t>
      </w:r>
      <w:r w:rsidR="798DBDEB" w:rsidRPr="00CB13F7">
        <w:rPr>
          <w:rFonts w:eastAsia="Times New Roman"/>
          <w:lang w:eastAsia="en-US"/>
        </w:rPr>
        <w:t>T</w:t>
      </w:r>
      <w:r w:rsidR="3802ECB9" w:rsidRPr="00CB13F7">
        <w:rPr>
          <w:rFonts w:eastAsia="Times New Roman"/>
          <w:lang w:eastAsia="en-US"/>
        </w:rPr>
        <w:t xml:space="preserve">ë </w:t>
      </w:r>
      <w:r w:rsidRPr="00CB13F7">
        <w:rPr>
          <w:rFonts w:eastAsia="Times New Roman"/>
          <w:lang w:eastAsia="en-US"/>
        </w:rPr>
        <w:t>garantohet që personat me aftësi të kufizuara të ushtrojnë plotësisht zotësinë juridike</w:t>
      </w:r>
      <w:r w:rsidR="09957C21" w:rsidRPr="00CB13F7">
        <w:rPr>
          <w:rFonts w:eastAsia="Times New Roman"/>
          <w:lang w:eastAsia="en-US"/>
        </w:rPr>
        <w:t xml:space="preserve"> p</w:t>
      </w:r>
      <w:r w:rsidR="004B03EF" w:rsidRPr="00CB13F7">
        <w:rPr>
          <w:rFonts w:eastAsia="Times New Roman"/>
          <w:lang w:eastAsia="en-US"/>
        </w:rPr>
        <w:t>ë</w:t>
      </w:r>
      <w:r w:rsidR="09957C21" w:rsidRPr="00CB13F7">
        <w:rPr>
          <w:rFonts w:eastAsia="Times New Roman"/>
          <w:lang w:eastAsia="en-US"/>
        </w:rPr>
        <w:t>r t</w:t>
      </w:r>
      <w:r w:rsidR="004B03EF" w:rsidRPr="00CB13F7">
        <w:rPr>
          <w:rFonts w:eastAsia="Times New Roman"/>
          <w:lang w:eastAsia="en-US"/>
        </w:rPr>
        <w:t>ë</w:t>
      </w:r>
      <w:r w:rsidR="09957C21" w:rsidRPr="00CB13F7">
        <w:rPr>
          <w:rFonts w:eastAsia="Times New Roman"/>
          <w:lang w:eastAsia="en-US"/>
        </w:rPr>
        <w:t xml:space="preserve"> vepruar</w:t>
      </w:r>
      <w:r w:rsidRPr="00CB13F7">
        <w:rPr>
          <w:rFonts w:eastAsia="Times New Roman"/>
          <w:lang w:eastAsia="en-US"/>
        </w:rPr>
        <w:t xml:space="preserve">, të kenë akses të barabartë dhe efektiv në sistemin e drejtësisë dhe </w:t>
      </w:r>
      <w:r w:rsidRPr="00CB13F7">
        <w:rPr>
          <w:rFonts w:eastAsia="Times New Roman"/>
          <w:lang w:eastAsia="en-US"/>
        </w:rPr>
        <w:lastRenderedPageBreak/>
        <w:t>të mbrohen nga dhuna, abuzimi dhe shkeljet e të drejtave, përmes vendimmarrjes së mbështetur dhe akomodimit të arsyeshëm.</w:t>
      </w:r>
    </w:p>
    <w:p w14:paraId="27750EF3" w14:textId="20851614" w:rsidR="003B43D4" w:rsidRPr="00CB13F7" w:rsidRDefault="7150E16E" w:rsidP="004E4604">
      <w:pPr>
        <w:spacing w:before="120" w:after="120" w:line="276" w:lineRule="auto"/>
        <w:jc w:val="both"/>
        <w:rPr>
          <w:rFonts w:eastAsia="Times New Roman"/>
          <w:lang w:eastAsia="en-US"/>
        </w:rPr>
      </w:pPr>
      <w:r w:rsidRPr="00CB13F7">
        <w:rPr>
          <w:rFonts w:eastAsia="Times New Roman"/>
          <w:lang w:eastAsia="en-US"/>
        </w:rPr>
        <w:t xml:space="preserve">Plani strukturohet mbi </w:t>
      </w:r>
      <w:r w:rsidR="7B9939C1" w:rsidRPr="00CB13F7">
        <w:rPr>
          <w:rFonts w:eastAsia="Times New Roman"/>
          <w:lang w:eastAsia="en-US"/>
        </w:rPr>
        <w:t>3</w:t>
      </w:r>
      <w:r w:rsidRPr="00CB13F7">
        <w:rPr>
          <w:rFonts w:eastAsia="Times New Roman"/>
          <w:lang w:eastAsia="en-US"/>
        </w:rPr>
        <w:t xml:space="preserve"> objektiva specifike që mbulojnë dimensionet kryesore të politikës së </w:t>
      </w:r>
      <w:r w:rsidR="1E9AF249" w:rsidRPr="00CB13F7">
        <w:rPr>
          <w:rFonts w:eastAsia="Times New Roman"/>
          <w:lang w:eastAsia="en-US"/>
        </w:rPr>
        <w:t>aksesit n</w:t>
      </w:r>
      <w:r w:rsidR="1D9C28A1" w:rsidRPr="00CB13F7">
        <w:rPr>
          <w:rFonts w:eastAsia="Times New Roman"/>
          <w:lang w:eastAsia="en-US"/>
        </w:rPr>
        <w:t>ë</w:t>
      </w:r>
      <w:r w:rsidR="1E9AF249" w:rsidRPr="00CB13F7">
        <w:rPr>
          <w:rFonts w:eastAsia="Times New Roman"/>
          <w:lang w:eastAsia="en-US"/>
        </w:rPr>
        <w:t xml:space="preserve"> drejt</w:t>
      </w:r>
      <w:r w:rsidR="1D9C28A1" w:rsidRPr="00CB13F7">
        <w:rPr>
          <w:rFonts w:eastAsia="Times New Roman"/>
          <w:lang w:eastAsia="en-US"/>
        </w:rPr>
        <w:t>ë</w:t>
      </w:r>
      <w:r w:rsidR="1E9AF249" w:rsidRPr="00CB13F7">
        <w:rPr>
          <w:rFonts w:eastAsia="Times New Roman"/>
          <w:lang w:eastAsia="en-US"/>
        </w:rPr>
        <w:t>si dhe barazis</w:t>
      </w:r>
      <w:r w:rsidR="1D9C28A1" w:rsidRPr="00CB13F7">
        <w:rPr>
          <w:rFonts w:eastAsia="Times New Roman"/>
          <w:lang w:eastAsia="en-US"/>
        </w:rPr>
        <w:t>ë</w:t>
      </w:r>
      <w:r w:rsidR="1E9AF249" w:rsidRPr="00CB13F7">
        <w:rPr>
          <w:rFonts w:eastAsia="Times New Roman"/>
          <w:lang w:eastAsia="en-US"/>
        </w:rPr>
        <w:t xml:space="preserve"> para ligjit</w:t>
      </w:r>
      <w:r w:rsidR="7B9939C1" w:rsidRPr="00CB13F7">
        <w:rPr>
          <w:rFonts w:eastAsia="Times New Roman"/>
          <w:lang w:eastAsia="en-US"/>
        </w:rPr>
        <w:t>, t</w:t>
      </w:r>
      <w:r w:rsidR="69D559B9" w:rsidRPr="00CB13F7">
        <w:rPr>
          <w:rFonts w:eastAsia="Times New Roman"/>
          <w:lang w:eastAsia="en-US"/>
        </w:rPr>
        <w:t>ë</w:t>
      </w:r>
      <w:r w:rsidR="7B9939C1" w:rsidRPr="00CB13F7">
        <w:rPr>
          <w:rFonts w:eastAsia="Times New Roman"/>
          <w:lang w:eastAsia="en-US"/>
        </w:rPr>
        <w:t xml:space="preserve"> detajuara m</w:t>
      </w:r>
      <w:r w:rsidR="69D559B9" w:rsidRPr="00CB13F7">
        <w:rPr>
          <w:rFonts w:eastAsia="Times New Roman"/>
          <w:lang w:eastAsia="en-US"/>
        </w:rPr>
        <w:t>ë</w:t>
      </w:r>
      <w:r w:rsidR="7B9939C1" w:rsidRPr="00CB13F7">
        <w:rPr>
          <w:rFonts w:eastAsia="Times New Roman"/>
          <w:lang w:eastAsia="en-US"/>
        </w:rPr>
        <w:t xml:space="preserve"> tej n</w:t>
      </w:r>
      <w:r w:rsidR="69D559B9" w:rsidRPr="00CB13F7">
        <w:rPr>
          <w:rFonts w:eastAsia="Times New Roman"/>
          <w:lang w:eastAsia="en-US"/>
        </w:rPr>
        <w:t>ë</w:t>
      </w:r>
      <w:r w:rsidR="7B9939C1" w:rsidRPr="00CB13F7">
        <w:rPr>
          <w:rFonts w:eastAsia="Times New Roman"/>
          <w:lang w:eastAsia="en-US"/>
        </w:rPr>
        <w:t xml:space="preserve"> 8 masa prioritare dhe 35 nd</w:t>
      </w:r>
      <w:r w:rsidR="69D559B9" w:rsidRPr="00CB13F7">
        <w:rPr>
          <w:rFonts w:eastAsia="Times New Roman"/>
          <w:lang w:eastAsia="en-US"/>
        </w:rPr>
        <w:t>ë</w:t>
      </w:r>
      <w:r w:rsidR="7B9939C1" w:rsidRPr="00CB13F7">
        <w:rPr>
          <w:rFonts w:eastAsia="Times New Roman"/>
          <w:lang w:eastAsia="en-US"/>
        </w:rPr>
        <w:t>rhyrje p</w:t>
      </w:r>
      <w:r w:rsidR="69D559B9" w:rsidRPr="00CB13F7">
        <w:rPr>
          <w:rFonts w:eastAsia="Times New Roman"/>
          <w:lang w:eastAsia="en-US"/>
        </w:rPr>
        <w:t>ë</w:t>
      </w:r>
      <w:r w:rsidR="7B9939C1" w:rsidRPr="00CB13F7">
        <w:rPr>
          <w:rFonts w:eastAsia="Times New Roman"/>
          <w:lang w:eastAsia="en-US"/>
        </w:rPr>
        <w:t>r realizimin e tyre</w:t>
      </w:r>
      <w:r w:rsidR="2BEEA0D9" w:rsidRPr="00CB13F7">
        <w:rPr>
          <w:rFonts w:eastAsia="Times New Roman"/>
          <w:lang w:eastAsia="en-US"/>
        </w:rPr>
        <w:t>.</w:t>
      </w:r>
    </w:p>
    <w:p w14:paraId="50CB42E3" w14:textId="1F2E2CCE" w:rsidR="00FE56A2" w:rsidRPr="00CB13F7" w:rsidRDefault="1E9AF249" w:rsidP="004E4604">
      <w:pPr>
        <w:spacing w:before="120" w:after="120" w:line="276" w:lineRule="auto"/>
        <w:jc w:val="both"/>
        <w:rPr>
          <w:rFonts w:eastAsia="Times New Roman"/>
          <w:b/>
          <w:bCs/>
          <w:lang w:eastAsia="en-US"/>
        </w:rPr>
      </w:pPr>
      <w:r w:rsidRPr="00CB13F7">
        <w:rPr>
          <w:rFonts w:eastAsia="Times New Roman"/>
          <w:b/>
          <w:bCs/>
          <w:lang w:eastAsia="en-US"/>
        </w:rPr>
        <w:t>Objektivi specifik 1</w:t>
      </w:r>
      <w:r w:rsidR="3802ECB9" w:rsidRPr="00CB13F7">
        <w:rPr>
          <w:rFonts w:eastAsia="Times New Roman"/>
          <w:b/>
          <w:bCs/>
          <w:i/>
          <w:iCs/>
          <w:lang w:eastAsia="en-US"/>
        </w:rPr>
        <w:t>:</w:t>
      </w:r>
      <w:r w:rsidR="3802ECB9" w:rsidRPr="00CB13F7">
        <w:rPr>
          <w:rFonts w:eastAsia="Times New Roman"/>
          <w:i/>
          <w:iCs/>
          <w:lang w:eastAsia="en-US"/>
        </w:rPr>
        <w:t xml:space="preserve"> </w:t>
      </w:r>
      <w:r w:rsidR="1E26360C" w:rsidRPr="00CB13F7">
        <w:rPr>
          <w:rFonts w:eastAsia="Times New Roman"/>
          <w:i/>
          <w:iCs/>
          <w:lang w:eastAsia="en-US"/>
        </w:rPr>
        <w:t>T</w:t>
      </w:r>
      <w:r w:rsidR="3802ECB9" w:rsidRPr="00CB13F7">
        <w:rPr>
          <w:rFonts w:eastAsia="Times New Roman"/>
          <w:i/>
          <w:iCs/>
          <w:lang w:eastAsia="en-US"/>
        </w:rPr>
        <w:t xml:space="preserve">ë </w:t>
      </w:r>
      <w:r w:rsidRPr="00CB13F7">
        <w:rPr>
          <w:rFonts w:eastAsia="Times New Roman"/>
          <w:i/>
          <w:iCs/>
          <w:lang w:eastAsia="en-US"/>
        </w:rPr>
        <w:t>sigurohet që të gjithë personat me aftësi të kufizuara të kenë akses fizik, procedural, informativ dhe digjital në gjykata, prokurori, polici dhe shërbime ligjore, si pjesëmarrës të drejtpërdrejtë apo jo të drejtpërdrejtë në të gjitha nivelet që nga hetimi, gjykimi etj.</w:t>
      </w:r>
    </w:p>
    <w:p w14:paraId="20D1EAAA" w14:textId="77777777" w:rsidR="00FE56A2" w:rsidRPr="00CB13F7" w:rsidRDefault="00FE56A2"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 prioritare </w:t>
      </w:r>
    </w:p>
    <w:p w14:paraId="30243A53" w14:textId="77777777" w:rsidR="00FE56A2" w:rsidRPr="00CB13F7" w:rsidRDefault="00570186" w:rsidP="00BA2B1D">
      <w:pPr>
        <w:spacing w:before="120" w:after="120" w:line="276" w:lineRule="auto"/>
        <w:jc w:val="both"/>
        <w:rPr>
          <w:rFonts w:eastAsia="Times New Roman"/>
          <w:lang w:eastAsia="en-US"/>
        </w:rPr>
      </w:pPr>
      <w:r w:rsidRPr="00CB13F7">
        <w:rPr>
          <w:rFonts w:eastAsia="Times New Roman"/>
          <w:lang w:eastAsia="en-US"/>
        </w:rPr>
        <w:t>1.1. Rishikimi</w:t>
      </w:r>
      <w:r w:rsidR="00FE56A2" w:rsidRPr="00CB13F7">
        <w:rPr>
          <w:rFonts w:eastAsia="Times New Roman"/>
          <w:lang w:eastAsia="en-US"/>
        </w:rPr>
        <w:t xml:space="preserve"> i kuadrit ligjor për të mundësuar akses të barabartë në drejtësi për personat me aftësi të kufizuara.</w:t>
      </w:r>
    </w:p>
    <w:p w14:paraId="78DE4F53" w14:textId="77777777" w:rsidR="00FE56A2" w:rsidRPr="00CB13F7" w:rsidRDefault="00570186" w:rsidP="00BA2B1D">
      <w:pPr>
        <w:spacing w:before="120" w:after="120" w:line="276" w:lineRule="auto"/>
        <w:jc w:val="both"/>
        <w:rPr>
          <w:rFonts w:eastAsia="Times New Roman"/>
          <w:lang w:eastAsia="en-US"/>
        </w:rPr>
      </w:pPr>
      <w:r w:rsidRPr="00CB13F7">
        <w:rPr>
          <w:rFonts w:eastAsia="Times New Roman"/>
          <w:lang w:eastAsia="en-US"/>
        </w:rPr>
        <w:t>1.2. Ofrimi</w:t>
      </w:r>
      <w:r w:rsidR="00FE56A2" w:rsidRPr="00CB13F7">
        <w:rPr>
          <w:rFonts w:eastAsia="Times New Roman"/>
          <w:lang w:eastAsia="en-US"/>
        </w:rPr>
        <w:t xml:space="preserve"> i shërbimeve të aksesueshme të ndihmës juridike falas për personat me aftësi të kufizuara.</w:t>
      </w:r>
    </w:p>
    <w:p w14:paraId="039626CE" w14:textId="77777777" w:rsidR="00FE56A2" w:rsidRPr="00CB13F7" w:rsidRDefault="00570186" w:rsidP="00BA2B1D">
      <w:pPr>
        <w:spacing w:before="120" w:after="120" w:line="276" w:lineRule="auto"/>
        <w:jc w:val="both"/>
        <w:rPr>
          <w:rFonts w:eastAsia="Times New Roman"/>
          <w:lang w:eastAsia="en-US"/>
        </w:rPr>
      </w:pPr>
      <w:r w:rsidRPr="00CB13F7">
        <w:rPr>
          <w:rFonts w:eastAsia="Times New Roman"/>
          <w:lang w:eastAsia="en-US"/>
        </w:rPr>
        <w:t>1.3. Ndërgjegjësimi</w:t>
      </w:r>
      <w:r w:rsidR="00FE56A2" w:rsidRPr="00CB13F7">
        <w:rPr>
          <w:rFonts w:eastAsia="Times New Roman"/>
          <w:lang w:eastAsia="en-US"/>
        </w:rPr>
        <w:t xml:space="preserve"> i profesionistëve të sistemit të drejtësisë mbi të drejtën për të </w:t>
      </w:r>
      <w:r w:rsidRPr="00CB13F7">
        <w:rPr>
          <w:rFonts w:eastAsia="Times New Roman"/>
          <w:lang w:eastAsia="en-US"/>
        </w:rPr>
        <w:t>pasur</w:t>
      </w:r>
      <w:r w:rsidR="00FE56A2" w:rsidRPr="00CB13F7">
        <w:rPr>
          <w:rFonts w:eastAsia="Times New Roman"/>
          <w:lang w:eastAsia="en-US"/>
        </w:rPr>
        <w:t xml:space="preserve"> akses në drejtësi të personave me aftësi të kufizuara, bazuar në praktikat dhe </w:t>
      </w:r>
      <w:r w:rsidRPr="00CB13F7">
        <w:rPr>
          <w:rFonts w:eastAsia="Times New Roman"/>
          <w:lang w:eastAsia="en-US"/>
        </w:rPr>
        <w:t>standardet</w:t>
      </w:r>
      <w:r w:rsidR="00FE56A2" w:rsidRPr="00CB13F7">
        <w:rPr>
          <w:rFonts w:eastAsia="Times New Roman"/>
          <w:lang w:eastAsia="en-US"/>
        </w:rPr>
        <w:t xml:space="preserve"> më të mira ndërkombëtare.</w:t>
      </w:r>
    </w:p>
    <w:p w14:paraId="325B65DC" w14:textId="77777777" w:rsidR="00FE56A2" w:rsidRPr="00CB13F7" w:rsidRDefault="00570186" w:rsidP="00BA2B1D">
      <w:pPr>
        <w:spacing w:before="120" w:after="120" w:line="276" w:lineRule="auto"/>
        <w:jc w:val="both"/>
        <w:rPr>
          <w:rFonts w:eastAsia="Times New Roman"/>
          <w:lang w:eastAsia="en-US"/>
        </w:rPr>
      </w:pPr>
      <w:r w:rsidRPr="00CB13F7">
        <w:rPr>
          <w:rFonts w:eastAsia="Times New Roman"/>
          <w:lang w:eastAsia="en-US"/>
        </w:rPr>
        <w:t>1.4. Garantimi</w:t>
      </w:r>
      <w:r w:rsidR="00FE56A2" w:rsidRPr="00CB13F7">
        <w:rPr>
          <w:rFonts w:eastAsia="Times New Roman"/>
          <w:lang w:eastAsia="en-US"/>
        </w:rPr>
        <w:t xml:space="preserve"> i aksesueshmërisë në mjedise, informacion e komunikim për personat me aftësi të kufizuara në institucione të sistemit të drejtësisë, apo të lidhura me të.</w:t>
      </w:r>
    </w:p>
    <w:p w14:paraId="775F6529" w14:textId="49799787"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Objektivi i parë në fushën e drejtësisë synon që gjatë periudhës 2026</w:t>
      </w:r>
      <w:r w:rsidR="77B74F3F" w:rsidRPr="00CB13F7">
        <w:rPr>
          <w:rFonts w:eastAsia="Times New Roman"/>
          <w:lang w:eastAsia="en-US"/>
        </w:rPr>
        <w:t>-</w:t>
      </w:r>
      <w:r w:rsidRPr="00CB13F7">
        <w:rPr>
          <w:rFonts w:eastAsia="Times New Roman"/>
          <w:lang w:eastAsia="en-US"/>
        </w:rPr>
        <w:t>2030</w:t>
      </w:r>
      <w:r w:rsidR="299B544B" w:rsidRPr="00CB13F7">
        <w:rPr>
          <w:rFonts w:eastAsia="Times New Roman"/>
          <w:lang w:eastAsia="en-US"/>
        </w:rPr>
        <w:t>,</w:t>
      </w:r>
      <w:r w:rsidRPr="00CB13F7">
        <w:rPr>
          <w:rFonts w:eastAsia="Times New Roman"/>
          <w:lang w:eastAsia="en-US"/>
        </w:rPr>
        <w:t xml:space="preserve"> personat me aftësi të kufizuara të kenë akses real dhe efektiv në sistemin e drejtësisë në të gjitha fazat e tij</w:t>
      </w:r>
      <w:r w:rsidR="2FABEEB7" w:rsidRPr="00CB13F7">
        <w:rPr>
          <w:rFonts w:eastAsia="Times New Roman"/>
          <w:lang w:eastAsia="en-US"/>
        </w:rPr>
        <w:t>,</w:t>
      </w:r>
      <w:r w:rsidRPr="00CB13F7">
        <w:rPr>
          <w:rFonts w:eastAsia="Times New Roman"/>
          <w:lang w:eastAsia="en-US"/>
        </w:rPr>
        <w:t xml:space="preserve">  nga hetimi dhe kontaktet me policinë, te procedurat në prokurori dhe gjykatë, si dhe në shërbimet ligjore mbështetëse. Qasja e planit nuk kufizohet vetëm në hyrjen fizike në institucionet e drejtësisë, por përfshin në mënyrë të integruar aksesin fizik, procedural, informativ dhe digjital, në mënyrë që personat me aftësi të kufizuara të mund të marrin pjesë në proceset ligjore si palë, dëshmitarë, viktima ose përfitues shërbimesh, në kushte të barabarta me të tjerët.</w:t>
      </w:r>
    </w:p>
    <w:p w14:paraId="21B8D799" w14:textId="7657CB65"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pesë vitet e ardhshme, një drejtim kryesor do të jetë përmirësimi i kuadrit ligjor. Do të realizohet një analizë e plotë e legjislacionit ekzistues, duke shqyrtuar kodet dhe ligjet kryesore për të identifikuar boshllëqet që kufizojnë aksesin në drejtësi për personat me aftësi të kufizuara. Në vijim, do të rishikohen dispozitat e Kodit Civil, Kodit të Procedurës Civile dhe Kodit të Familjes, si dhe ato të Kodit Penal dhe Kodit të Procedurës Penale, me qëllim garantimin e aksesit efektiv në organet e drejtësisë dhe parashikimin e akomodimeve procedurale të përshtatshme sipas moshës dhe llojit të aftësisë së kufizuar. Këto ndryshime synojnë që personat me aftësi të kufizuara të mund të marrin pjesë realisht në procedurat ligjore, përfshirë edhe në rolin e dëshmitarit, dhe të mos përballen me pengesa procedurale apo komunik</w:t>
      </w:r>
      <w:r w:rsidR="007345E8" w:rsidRPr="00CB13F7">
        <w:rPr>
          <w:rFonts w:eastAsia="Times New Roman"/>
          <w:lang w:eastAsia="en-US"/>
        </w:rPr>
        <w:t>imi</w:t>
      </w:r>
      <w:r w:rsidRPr="00CB13F7">
        <w:rPr>
          <w:rFonts w:eastAsia="Times New Roman"/>
          <w:lang w:eastAsia="en-US"/>
        </w:rPr>
        <w:t>.</w:t>
      </w:r>
    </w:p>
    <w:p w14:paraId="4B33CC3E" w14:textId="7DDB3A3C" w:rsidR="004602D5" w:rsidRPr="00CB13F7" w:rsidRDefault="25D0E37A" w:rsidP="661F9D2E">
      <w:pPr>
        <w:spacing w:before="120" w:after="120" w:line="276" w:lineRule="auto"/>
        <w:jc w:val="both"/>
        <w:rPr>
          <w:rFonts w:eastAsia="Times New Roman"/>
          <w:lang w:eastAsia="en-US"/>
        </w:rPr>
      </w:pPr>
      <w:r w:rsidRPr="00CB13F7">
        <w:rPr>
          <w:rFonts w:eastAsia="Times New Roman"/>
          <w:lang w:eastAsia="en-US"/>
        </w:rPr>
        <w:t>Nj</w:t>
      </w:r>
      <w:r w:rsidR="4E7036E6" w:rsidRPr="00CB13F7">
        <w:rPr>
          <w:rFonts w:eastAsia="Times New Roman"/>
          <w:lang w:eastAsia="en-US"/>
        </w:rPr>
        <w:t>ë</w:t>
      </w:r>
      <w:r w:rsidRPr="00CB13F7">
        <w:rPr>
          <w:rFonts w:eastAsia="Times New Roman"/>
          <w:lang w:eastAsia="en-US"/>
        </w:rPr>
        <w:t xml:space="preserve"> nga premtimet m</w:t>
      </w:r>
      <w:r w:rsidR="4E7036E6" w:rsidRPr="00CB13F7">
        <w:rPr>
          <w:rFonts w:eastAsia="Times New Roman"/>
          <w:lang w:eastAsia="en-US"/>
        </w:rPr>
        <w:t>ë</w:t>
      </w:r>
      <w:r w:rsidRPr="00CB13F7">
        <w:rPr>
          <w:rFonts w:eastAsia="Times New Roman"/>
          <w:lang w:eastAsia="en-US"/>
        </w:rPr>
        <w:t xml:space="preserve"> t</w:t>
      </w:r>
      <w:r w:rsidR="4E7036E6" w:rsidRPr="00CB13F7">
        <w:rPr>
          <w:rFonts w:eastAsia="Times New Roman"/>
          <w:lang w:eastAsia="en-US"/>
        </w:rPr>
        <w:t>ë</w:t>
      </w:r>
      <w:r w:rsidRPr="00CB13F7">
        <w:rPr>
          <w:rFonts w:eastAsia="Times New Roman"/>
          <w:lang w:eastAsia="en-US"/>
        </w:rPr>
        <w:t xml:space="preserve"> r</w:t>
      </w:r>
      <w:r w:rsidR="4E7036E6" w:rsidRPr="00CB13F7">
        <w:rPr>
          <w:rFonts w:eastAsia="Times New Roman"/>
          <w:lang w:eastAsia="en-US"/>
        </w:rPr>
        <w:t>ë</w:t>
      </w:r>
      <w:r w:rsidRPr="00CB13F7">
        <w:rPr>
          <w:rFonts w:eastAsia="Times New Roman"/>
          <w:lang w:eastAsia="en-US"/>
        </w:rPr>
        <w:t>nd</w:t>
      </w:r>
      <w:r w:rsidR="4E7036E6" w:rsidRPr="00CB13F7">
        <w:rPr>
          <w:rFonts w:eastAsia="Times New Roman"/>
          <w:lang w:eastAsia="en-US"/>
        </w:rPr>
        <w:t>ë</w:t>
      </w:r>
      <w:r w:rsidRPr="00CB13F7">
        <w:rPr>
          <w:rFonts w:eastAsia="Times New Roman"/>
          <w:lang w:eastAsia="en-US"/>
        </w:rPr>
        <w:t>sishme n</w:t>
      </w:r>
      <w:r w:rsidR="4E7036E6" w:rsidRPr="00CB13F7">
        <w:rPr>
          <w:rFonts w:eastAsia="Times New Roman"/>
          <w:lang w:eastAsia="en-US"/>
        </w:rPr>
        <w:t>ë</w:t>
      </w:r>
      <w:r w:rsidRPr="00CB13F7">
        <w:rPr>
          <w:rFonts w:eastAsia="Times New Roman"/>
          <w:lang w:eastAsia="en-US"/>
        </w:rPr>
        <w:t xml:space="preserve"> fush</w:t>
      </w:r>
      <w:r w:rsidR="4E7036E6" w:rsidRPr="00CB13F7">
        <w:rPr>
          <w:rFonts w:eastAsia="Times New Roman"/>
          <w:lang w:eastAsia="en-US"/>
        </w:rPr>
        <w:t>ë</w:t>
      </w:r>
      <w:r w:rsidRPr="00CB13F7">
        <w:rPr>
          <w:rFonts w:eastAsia="Times New Roman"/>
          <w:lang w:eastAsia="en-US"/>
        </w:rPr>
        <w:t>n e realizimit t</w:t>
      </w:r>
      <w:r w:rsidR="4E7036E6" w:rsidRPr="00CB13F7">
        <w:rPr>
          <w:rFonts w:eastAsia="Times New Roman"/>
          <w:lang w:eastAsia="en-US"/>
        </w:rPr>
        <w:t>ë</w:t>
      </w:r>
      <w:r w:rsidRPr="00CB13F7">
        <w:rPr>
          <w:rFonts w:eastAsia="Times New Roman"/>
          <w:lang w:eastAsia="en-US"/>
        </w:rPr>
        <w:t xml:space="preserve"> t</w:t>
      </w:r>
      <w:r w:rsidR="4E7036E6" w:rsidRPr="00CB13F7">
        <w:rPr>
          <w:rFonts w:eastAsia="Times New Roman"/>
          <w:lang w:eastAsia="en-US"/>
        </w:rPr>
        <w:t>ë</w:t>
      </w:r>
      <w:r w:rsidRPr="00CB13F7">
        <w:rPr>
          <w:rFonts w:eastAsia="Times New Roman"/>
          <w:lang w:eastAsia="en-US"/>
        </w:rPr>
        <w:t xml:space="preserve"> drejtave t</w:t>
      </w:r>
      <w:r w:rsidR="4E7036E6" w:rsidRPr="00CB13F7">
        <w:rPr>
          <w:rFonts w:eastAsia="Times New Roman"/>
          <w:lang w:eastAsia="en-US"/>
        </w:rPr>
        <w:t>ë</w:t>
      </w:r>
      <w:r w:rsidRPr="00CB13F7">
        <w:rPr>
          <w:rFonts w:eastAsia="Times New Roman"/>
          <w:lang w:eastAsia="en-US"/>
        </w:rPr>
        <w:t xml:space="preserve"> personave me aft</w:t>
      </w:r>
      <w:r w:rsidR="4E7036E6" w:rsidRPr="00CB13F7">
        <w:rPr>
          <w:rFonts w:eastAsia="Times New Roman"/>
          <w:lang w:eastAsia="en-US"/>
        </w:rPr>
        <w:t>ë</w:t>
      </w:r>
      <w:r w:rsidRPr="00CB13F7">
        <w:rPr>
          <w:rFonts w:eastAsia="Times New Roman"/>
          <w:lang w:eastAsia="en-US"/>
        </w:rPr>
        <w:t>si t</w:t>
      </w:r>
      <w:r w:rsidR="4E7036E6" w:rsidRPr="00CB13F7">
        <w:rPr>
          <w:rFonts w:eastAsia="Times New Roman"/>
          <w:lang w:eastAsia="en-US"/>
        </w:rPr>
        <w:t>ë</w:t>
      </w:r>
      <w:r w:rsidRPr="00CB13F7">
        <w:rPr>
          <w:rFonts w:eastAsia="Times New Roman"/>
          <w:lang w:eastAsia="en-US"/>
        </w:rPr>
        <w:t xml:space="preserve"> kufizuara</w:t>
      </w:r>
      <w:r w:rsidR="4E7036E6" w:rsidRPr="00CB13F7">
        <w:rPr>
          <w:rFonts w:eastAsia="Times New Roman"/>
          <w:lang w:eastAsia="en-US"/>
        </w:rPr>
        <w:t xml:space="preserve"> gjatë periudhës 2026-2030</w:t>
      </w:r>
      <w:r w:rsidRPr="00CB13F7">
        <w:rPr>
          <w:rFonts w:eastAsia="Times New Roman"/>
          <w:lang w:eastAsia="en-US"/>
        </w:rPr>
        <w:t xml:space="preserve"> </w:t>
      </w:r>
      <w:r w:rsidR="4E7036E6" w:rsidRPr="00CB13F7">
        <w:rPr>
          <w:rFonts w:eastAsia="Times New Roman"/>
          <w:lang w:eastAsia="en-US"/>
        </w:rPr>
        <w:t>ë</w:t>
      </w:r>
      <w:r w:rsidRPr="00CB13F7">
        <w:rPr>
          <w:rFonts w:eastAsia="Times New Roman"/>
          <w:lang w:eastAsia="en-US"/>
        </w:rPr>
        <w:t>sht</w:t>
      </w:r>
      <w:r w:rsidR="4E7036E6" w:rsidRPr="00CB13F7">
        <w:rPr>
          <w:rFonts w:eastAsia="Times New Roman"/>
          <w:lang w:eastAsia="en-US"/>
        </w:rPr>
        <w:t>ë</w:t>
      </w:r>
      <w:r w:rsidRPr="00CB13F7">
        <w:rPr>
          <w:rFonts w:eastAsia="Times New Roman"/>
          <w:lang w:eastAsia="en-US"/>
        </w:rPr>
        <w:t xml:space="preserve"> </w:t>
      </w:r>
      <w:r w:rsidR="4E7036E6" w:rsidRPr="00CB13F7">
        <w:rPr>
          <w:rFonts w:eastAsia="Times New Roman"/>
          <w:lang w:eastAsia="en-US"/>
        </w:rPr>
        <w:t>edhe</w:t>
      </w:r>
      <w:r w:rsidRPr="00CB13F7">
        <w:rPr>
          <w:rFonts w:eastAsia="Times New Roman"/>
          <w:lang w:eastAsia="en-US"/>
        </w:rPr>
        <w:t xml:space="preserve"> ratifikimi i Protokollit Opsional t</w:t>
      </w:r>
      <w:r w:rsidR="4E7036E6" w:rsidRPr="00CB13F7">
        <w:rPr>
          <w:rFonts w:eastAsia="Times New Roman"/>
          <w:lang w:eastAsia="en-US"/>
        </w:rPr>
        <w:t>ë</w:t>
      </w:r>
      <w:r w:rsidRPr="00CB13F7">
        <w:rPr>
          <w:rFonts w:eastAsia="Times New Roman"/>
          <w:lang w:eastAsia="en-US"/>
        </w:rPr>
        <w:t xml:space="preserve"> </w:t>
      </w:r>
      <w:r w:rsidR="657E5211" w:rsidRPr="00CB13F7">
        <w:rPr>
          <w:rFonts w:eastAsia="Times New Roman"/>
        </w:rPr>
        <w:t xml:space="preserve"> KDPAK</w:t>
      </w:r>
      <w:r w:rsidRPr="00CB13F7">
        <w:rPr>
          <w:rFonts w:eastAsia="Times New Roman"/>
          <w:lang w:eastAsia="en-US"/>
        </w:rPr>
        <w:t>.</w:t>
      </w:r>
    </w:p>
    <w:p w14:paraId="1D2F4130" w14:textId="5E560C1A"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lastRenderedPageBreak/>
        <w:t xml:space="preserve">Një komponent tjetër thelbësor është zgjerimi dhe përmirësimi i ndihmës juridike falas. Plani parashikon që shërbimet e ndihmës juridike të jenë të arritshme dhe efektive për personat me aftësi të kufizuara, përfshirë ata në zonat rurale, në institucione rezidenciale, si dhe për gratë dhe fëmijët. Do të zhvillohen sesione informuese në të gjitha bashkitë, do të përgatiten manuale dhe udhëzues praktikë në gjuhë të thjeshtë dhe në formate të kuptueshme dhe do të përdoren kanale komunikimi si linja telefonike dhe platformat </w:t>
      </w:r>
      <w:r w:rsidR="5A271DE3" w:rsidRPr="00CB13F7">
        <w:rPr>
          <w:rFonts w:eastAsia="Times New Roman"/>
          <w:lang w:eastAsia="en-US"/>
        </w:rPr>
        <w:t>digjitale</w:t>
      </w:r>
      <w:r w:rsidRPr="00CB13F7">
        <w:rPr>
          <w:rFonts w:eastAsia="Times New Roman"/>
          <w:lang w:eastAsia="en-US"/>
        </w:rPr>
        <w:t xml:space="preserve"> për informim dhe aplikim për ndihmë juridike. Parashikohet gjithashtu ofrimi i ndihmës juridike përmes ekipeve lëvizëse në terren dhe përfaqësimi ligjor në proceset administrative, civile dhe penale. Për të rritur cilësinë e shërbimit, do të trajnohen punonjësit e qendrave të ndihmës juridike, studentët e klinikave të ligjit dhe organizatat që ofrojnë shërbime ligjore, si dhe do të hartohet një listë e përditësuar e avokatëve të specializuar për këtë kategori.</w:t>
      </w:r>
    </w:p>
    <w:p w14:paraId="38E4A009"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Plani parashikon gjithashtu ndërgjegjësimin dhe fuqizimin profesional të aktorëve të sistemit të drejtësisë. Gjatë kësaj periudhe do të zhvillohen konferenca, aktivitete dhe programe trajnimi për gjyqtarë, prokurorë, avokatë dhe noterë mbi të drejtën e njohjes së barabartë para ligjit dhe mbi aksesin efektiv në drejtësi për personat me aftësi të kufizuara. Do të miratohen dhe zbatohen programe të rregullta trajnimi dhe certifikimi, duke synuar aplikimin e ligjit pa qasje paternaliste dhe në përputhje me standardet ndërkombëtare. Njëkohësisht, do të inkurajohet përfshirja e personave me aftësi të kufizuara në pozicione pune brenda sistemit të drejtësisë dhe do të analizohet nevoja për </w:t>
      </w:r>
      <w:r w:rsidR="00570186" w:rsidRPr="00CB13F7">
        <w:rPr>
          <w:rFonts w:eastAsia="Times New Roman"/>
          <w:lang w:eastAsia="en-US"/>
        </w:rPr>
        <w:t>interpret</w:t>
      </w:r>
      <w:r w:rsidRPr="00CB13F7">
        <w:rPr>
          <w:rFonts w:eastAsia="Times New Roman"/>
          <w:lang w:eastAsia="en-US"/>
        </w:rPr>
        <w:t xml:space="preserve"> të gjuhës së shenjave në procedurat gjyqësore.</w:t>
      </w:r>
    </w:p>
    <w:p w14:paraId="35DC4BB1"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Një drejtim i rëndësishëm i këtij objektivi është garantimi i aksesueshmërisë në mjediset dhe komunikimin e institucioneve të drejtësisë. Do të kryhen vlerësime të detajuara të nevojave për aksesueshmëri fizike, informuese dhe komunikative në gjykata, prokurori, polici dhe institucionet e tjera të lidhura me drejtësinë. Rezultatet e këtyre vlerësimeve do të përfshihen gradualisht në planifikimin buxhetor të institucioneve, me qëllim eliminimin e barrierave fizike dhe organizative. Në vijim do të hartohen protokolle dhe procedura që përcaktojnë mënyrën e ofrimit të informacionit dhe komunikimit të aksesueshëm, si dhe udhëzime të qarta mbi akomodimin e arsyeshëm në çdo fazë të procesit gjyqësor.</w:t>
      </w:r>
    </w:p>
    <w:p w14:paraId="5F5097A5" w14:textId="77777777" w:rsidR="003B43D4" w:rsidRPr="00CB13F7" w:rsidRDefault="007C28D2" w:rsidP="00BA2B1D">
      <w:pPr>
        <w:spacing w:before="120" w:after="120" w:line="276" w:lineRule="auto"/>
        <w:jc w:val="both"/>
        <w:rPr>
          <w:rFonts w:eastAsia="Times New Roman"/>
          <w:lang w:eastAsia="en-US"/>
        </w:rPr>
      </w:pPr>
      <w:r w:rsidRPr="00CB13F7">
        <w:rPr>
          <w:rFonts w:eastAsia="Times New Roman"/>
          <w:lang w:eastAsia="en-US"/>
        </w:rPr>
        <w:t>K</w:t>
      </w:r>
      <w:r w:rsidR="003B43D4" w:rsidRPr="00CB13F7">
        <w:rPr>
          <w:rFonts w:eastAsia="Times New Roman"/>
          <w:lang w:eastAsia="en-US"/>
        </w:rPr>
        <w:t xml:space="preserve">y objektiv synon </w:t>
      </w:r>
      <w:r w:rsidRPr="00CB13F7">
        <w:rPr>
          <w:rFonts w:eastAsia="Times New Roman"/>
          <w:lang w:eastAsia="en-US"/>
        </w:rPr>
        <w:t xml:space="preserve">kalimin </w:t>
      </w:r>
      <w:r w:rsidR="003B43D4" w:rsidRPr="00CB13F7">
        <w:rPr>
          <w:rFonts w:eastAsia="Times New Roman"/>
          <w:lang w:eastAsia="en-US"/>
        </w:rPr>
        <w:t>nga një sistem drejtësie formal, ku e drejta ekziston në ligj, drejt një sistemi drejtësie të përdorshëm në praktikë, ku personat me aftësi të kufizuara mund të kuptojnë procedurat, të komunikojnë me institucionet, të mbrojnë të drejtat e tyre dhe të marrin shërbime ligjore pa pengesa. Përmes përmirësimit të legjislacionit, ofrimit të ndihmës juridike, rritjes së kapaciteteve profesionale dhe përshtatjes së mjediseve dhe procedurave, plani synon që drejtësia të jetë realisht e aksesueshme për të gjithë.</w:t>
      </w:r>
    </w:p>
    <w:p w14:paraId="31D686AF" w14:textId="261B2879" w:rsidR="003B43D4" w:rsidRPr="00CB13F7" w:rsidRDefault="1E9AF249" w:rsidP="00BA2B1D">
      <w:pPr>
        <w:spacing w:before="120" w:after="120" w:line="276" w:lineRule="auto"/>
        <w:jc w:val="both"/>
        <w:rPr>
          <w:rFonts w:eastAsia="Times New Roman"/>
          <w:b/>
          <w:bCs/>
          <w:lang w:eastAsia="en-US"/>
        </w:rPr>
      </w:pPr>
      <w:r w:rsidRPr="00CB13F7">
        <w:rPr>
          <w:rFonts w:eastAsia="Times New Roman"/>
          <w:b/>
          <w:bCs/>
          <w:lang w:eastAsia="en-US"/>
        </w:rPr>
        <w:t>Objektivi Specifik 2</w:t>
      </w:r>
      <w:r w:rsidR="3802ECB9" w:rsidRPr="00CB13F7">
        <w:rPr>
          <w:rFonts w:eastAsia="Times New Roman"/>
          <w:b/>
          <w:bCs/>
          <w:i/>
          <w:iCs/>
          <w:lang w:eastAsia="en-US"/>
        </w:rPr>
        <w:t>:</w:t>
      </w:r>
      <w:r w:rsidR="3802ECB9" w:rsidRPr="00CB13F7">
        <w:rPr>
          <w:rFonts w:eastAsia="Times New Roman"/>
          <w:i/>
          <w:iCs/>
          <w:lang w:eastAsia="en-US"/>
        </w:rPr>
        <w:t xml:space="preserve"> </w:t>
      </w:r>
      <w:r w:rsidR="2E8ED997" w:rsidRPr="00CB13F7">
        <w:rPr>
          <w:rFonts w:eastAsia="Times New Roman"/>
          <w:i/>
          <w:iCs/>
          <w:lang w:eastAsia="en-US"/>
        </w:rPr>
        <w:t>T</w:t>
      </w:r>
      <w:r w:rsidR="3802ECB9" w:rsidRPr="00CB13F7">
        <w:rPr>
          <w:rFonts w:eastAsia="Times New Roman"/>
          <w:i/>
          <w:iCs/>
          <w:lang w:eastAsia="en-US"/>
        </w:rPr>
        <w:t xml:space="preserve">ë </w:t>
      </w:r>
      <w:r w:rsidRPr="00CB13F7">
        <w:rPr>
          <w:rFonts w:eastAsia="Times New Roman"/>
          <w:i/>
          <w:iCs/>
          <w:lang w:eastAsia="en-US"/>
        </w:rPr>
        <w:t>garantohet njohja e barabartë para ligjit dhe ushtrimi i plotë i zotësisë për të vepruar për personat me aftësi të kufizuara, duke zëvendësuar kujdestarinë</w:t>
      </w:r>
      <w:r w:rsidR="71E2BDAE" w:rsidRPr="00CB13F7">
        <w:rPr>
          <w:rFonts w:eastAsia="Times New Roman"/>
          <w:i/>
          <w:iCs/>
          <w:lang w:eastAsia="en-US"/>
        </w:rPr>
        <w:t xml:space="preserve"> ligjore</w:t>
      </w:r>
      <w:r w:rsidRPr="00CB13F7">
        <w:rPr>
          <w:rFonts w:eastAsia="Times New Roman"/>
          <w:i/>
          <w:iCs/>
          <w:lang w:eastAsia="en-US"/>
        </w:rPr>
        <w:t xml:space="preserve"> me mekanizma të vendimmarrjes së mbështetur.</w:t>
      </w:r>
    </w:p>
    <w:p w14:paraId="0DF9B714" w14:textId="77777777" w:rsidR="00FE56A2" w:rsidRPr="00CB13F7" w:rsidRDefault="00FE56A2"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 prioritare </w:t>
      </w:r>
    </w:p>
    <w:p w14:paraId="3FF12307" w14:textId="77777777" w:rsidR="00FE56A2" w:rsidRPr="00CB13F7" w:rsidRDefault="00570186" w:rsidP="00BA2B1D">
      <w:pPr>
        <w:spacing w:before="120" w:after="120" w:line="276" w:lineRule="auto"/>
        <w:jc w:val="both"/>
        <w:rPr>
          <w:rFonts w:eastAsia="Times New Roman"/>
          <w:lang w:eastAsia="en-US"/>
        </w:rPr>
      </w:pPr>
      <w:r w:rsidRPr="00CB13F7">
        <w:rPr>
          <w:rFonts w:eastAsia="Times New Roman"/>
          <w:lang w:eastAsia="en-US"/>
        </w:rPr>
        <w:lastRenderedPageBreak/>
        <w:t>2.1. Përgatitja</w:t>
      </w:r>
      <w:r w:rsidR="00FE56A2" w:rsidRPr="00CB13F7">
        <w:rPr>
          <w:rFonts w:eastAsia="Times New Roman"/>
          <w:lang w:eastAsia="en-US"/>
        </w:rPr>
        <w:t xml:space="preserve"> e kuadrit ligjor dhe fuqizimi i kapaciteteve për të mundësuar vendimmarrjen e mbështetur</w:t>
      </w:r>
    </w:p>
    <w:p w14:paraId="20D99631" w14:textId="67D1646F"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Objektivi i dytë synon të garantojë që personat me aftësi të kufizuara të gëzojnë njohje të barabartë para ligjit dhe të ushtrojnë plotësisht zotësinë për të vepruar, duke kaluar gradualisht nga sistemi tradicional i kujdestarisë</w:t>
      </w:r>
      <w:r w:rsidR="4B2A50D5" w:rsidRPr="00CB13F7">
        <w:rPr>
          <w:rFonts w:eastAsia="Times New Roman"/>
          <w:lang w:eastAsia="en-US"/>
        </w:rPr>
        <w:t xml:space="preserve"> ligjore</w:t>
      </w:r>
      <w:r w:rsidRPr="00CB13F7">
        <w:rPr>
          <w:rFonts w:eastAsia="Times New Roman"/>
          <w:lang w:eastAsia="en-US"/>
        </w:rPr>
        <w:t xml:space="preserve"> drejt mekanizmave të vendimmarrjes së mbështetur. Ky objektiv lidhet drejtpërdrejt me të drejtën për autonomi personale dhe vetëvendosje dhe synon që personat me aftësi të kufizuara të marrin vendime për jetën e tyre në mënyrë të pavarur, me mbështetje të përshtatshme kur është e nevojshme, dhe jo përmes zëvendësimit të vullnetit të tyre nga persona të tjerë.</w:t>
      </w:r>
    </w:p>
    <w:p w14:paraId="566396B0" w14:textId="391AAC77"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Në periudhën 2026</w:t>
      </w:r>
      <w:r w:rsidR="77B74F3F" w:rsidRPr="00CB13F7">
        <w:rPr>
          <w:rFonts w:eastAsia="Times New Roman"/>
          <w:lang w:eastAsia="en-US"/>
        </w:rPr>
        <w:t>-</w:t>
      </w:r>
      <w:r w:rsidRPr="00CB13F7">
        <w:rPr>
          <w:rFonts w:eastAsia="Times New Roman"/>
          <w:lang w:eastAsia="en-US"/>
        </w:rPr>
        <w:t xml:space="preserve">2030, një hap i parë do të jetë rishikimi i kuadrit ligjor ekzistues. Do të realizohet një analizë e thelluar për të identifikuar dispozitat ligjore dhe praktikat që pengojnë ushtrimin e plotë të zotësisë </w:t>
      </w:r>
      <w:r w:rsidR="2E58006B" w:rsidRPr="00CB13F7">
        <w:rPr>
          <w:rFonts w:eastAsia="Times New Roman"/>
          <w:lang w:eastAsia="en-US"/>
        </w:rPr>
        <w:t>p</w:t>
      </w:r>
      <w:r w:rsidR="004B03EF" w:rsidRPr="00CB13F7">
        <w:rPr>
          <w:rFonts w:eastAsia="Times New Roman"/>
          <w:lang w:eastAsia="en-US"/>
        </w:rPr>
        <w:t>ë</w:t>
      </w:r>
      <w:r w:rsidR="2E58006B" w:rsidRPr="00CB13F7">
        <w:rPr>
          <w:rFonts w:eastAsia="Times New Roman"/>
          <w:lang w:eastAsia="en-US"/>
        </w:rPr>
        <w:t>r t</w:t>
      </w:r>
      <w:r w:rsidR="004B03EF" w:rsidRPr="00CB13F7">
        <w:rPr>
          <w:rFonts w:eastAsia="Times New Roman"/>
          <w:lang w:eastAsia="en-US"/>
        </w:rPr>
        <w:t>ë</w:t>
      </w:r>
      <w:r w:rsidR="2E58006B" w:rsidRPr="00CB13F7">
        <w:rPr>
          <w:rFonts w:eastAsia="Times New Roman"/>
          <w:lang w:eastAsia="en-US"/>
        </w:rPr>
        <w:t xml:space="preserve"> vepruar</w:t>
      </w:r>
      <w:r w:rsidRPr="00CB13F7">
        <w:rPr>
          <w:rFonts w:eastAsia="Times New Roman"/>
          <w:lang w:eastAsia="en-US"/>
        </w:rPr>
        <w:t xml:space="preserve"> nga personat me aftësi të kufizuara. Mbi këtë bazë, do të ndërmerren ndryshime në legjislacionin përkatës</w:t>
      </w:r>
      <w:r w:rsidR="70C1244A" w:rsidRPr="00CB13F7">
        <w:rPr>
          <w:rFonts w:eastAsia="Times New Roman"/>
          <w:lang w:eastAsia="en-US"/>
        </w:rPr>
        <w:t xml:space="preserve">, </w:t>
      </w:r>
      <w:r w:rsidRPr="00CB13F7">
        <w:rPr>
          <w:rFonts w:eastAsia="Times New Roman"/>
          <w:lang w:eastAsia="en-US"/>
        </w:rPr>
        <w:t>përfshirë Kodin Civil, Kodin e Procedurës Civile, Kodin e Familjes, Kodin Penal, Kodin e Procedurës Penale dhe ligjin për shëndetin mendor</w:t>
      </w:r>
      <w:r w:rsidR="60B34A86" w:rsidRPr="00CB13F7">
        <w:rPr>
          <w:rFonts w:eastAsia="Times New Roman"/>
          <w:lang w:eastAsia="en-US"/>
        </w:rPr>
        <w:t xml:space="preserve">, </w:t>
      </w:r>
      <w:r w:rsidRPr="00CB13F7">
        <w:rPr>
          <w:rFonts w:eastAsia="Times New Roman"/>
          <w:lang w:eastAsia="en-US"/>
        </w:rPr>
        <w:t xml:space="preserve">me qëllim garantimin e ushtrimit të të drejtave </w:t>
      </w:r>
      <w:r w:rsidR="1A183857" w:rsidRPr="00CB13F7">
        <w:rPr>
          <w:rFonts w:eastAsia="Times New Roman"/>
          <w:lang w:eastAsia="en-US"/>
        </w:rPr>
        <w:t>ligjore</w:t>
      </w:r>
      <w:r w:rsidRPr="00CB13F7">
        <w:rPr>
          <w:rFonts w:eastAsia="Times New Roman"/>
          <w:lang w:eastAsia="en-US"/>
        </w:rPr>
        <w:t xml:space="preserve"> në të gjitha aspektet e jetës. Vëmendje e veçantë do t’u kushtohet personave me aftësi të kufizuara </w:t>
      </w:r>
      <w:r w:rsidR="0C5B1CB2" w:rsidRPr="00CB13F7">
        <w:rPr>
          <w:rFonts w:eastAsia="Times New Roman"/>
          <w:lang w:eastAsia="en-US"/>
        </w:rPr>
        <w:t>psiko-sociale</w:t>
      </w:r>
      <w:r w:rsidRPr="00CB13F7">
        <w:rPr>
          <w:rFonts w:eastAsia="Times New Roman"/>
          <w:lang w:eastAsia="en-US"/>
        </w:rPr>
        <w:t xml:space="preserve"> dhe intelektuale, të cilët historikisht janë prekur më shumë nga kufizimi ose heqja e zotësisë </w:t>
      </w:r>
      <w:r w:rsidR="2A3072CB" w:rsidRPr="00CB13F7">
        <w:rPr>
          <w:rFonts w:eastAsia="Times New Roman"/>
          <w:lang w:eastAsia="en-US"/>
        </w:rPr>
        <w:t>p</w:t>
      </w:r>
      <w:r w:rsidR="004B03EF" w:rsidRPr="00CB13F7">
        <w:rPr>
          <w:rFonts w:eastAsia="Times New Roman"/>
          <w:lang w:eastAsia="en-US"/>
        </w:rPr>
        <w:t>ë</w:t>
      </w:r>
      <w:r w:rsidR="2A3072CB" w:rsidRPr="00CB13F7">
        <w:rPr>
          <w:rFonts w:eastAsia="Times New Roman"/>
          <w:lang w:eastAsia="en-US"/>
        </w:rPr>
        <w:t>r t</w:t>
      </w:r>
      <w:r w:rsidR="004B03EF" w:rsidRPr="00CB13F7">
        <w:rPr>
          <w:rFonts w:eastAsia="Times New Roman"/>
          <w:lang w:eastAsia="en-US"/>
        </w:rPr>
        <w:t>ë</w:t>
      </w:r>
      <w:r w:rsidR="2A3072CB" w:rsidRPr="00CB13F7">
        <w:rPr>
          <w:rFonts w:eastAsia="Times New Roman"/>
          <w:lang w:eastAsia="en-US"/>
        </w:rPr>
        <w:t xml:space="preserve"> vepruar</w:t>
      </w:r>
      <w:r w:rsidRPr="00CB13F7">
        <w:rPr>
          <w:rFonts w:eastAsia="Times New Roman"/>
          <w:lang w:eastAsia="en-US"/>
        </w:rPr>
        <w:t>.</w:t>
      </w:r>
    </w:p>
    <w:p w14:paraId="4598C351"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Paralelisht, plani parashikon ngritjen e mekanizmave të vendimmarrjes së mbështetur. Këta mekanizma do të krijojnë mundësi që individët të marrin vendime vetë, duke përdorur forma të ndryshme mbështetjeje, si asistenca në komunikim, interpretimi i informacionit, këshillimi ose përfaqësimi i mbështetur, pa i hequr të drejtën për të vendosur. Për këtë qëllim do të përgatitet dhe miratohet kuadri ligjor përkatës, i cili do të përcaktojë mënyrën e funksionimit të këtyre mekanizmave dhe rolet e institucioneve dhe personave mbështetës.</w:t>
      </w:r>
    </w:p>
    <w:p w14:paraId="1089CB0D"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Një element thelbësor i zbatimit do të jetë fuqizimi i kapaciteteve profesionale. Do të zhvillohen programe trajnimi për profesionistët që ndërveprojnë me personat me aftësi të kufizuara, përfshirë stafin e shëndetësisë, policisë, prokurorisë, gjyqësorit, noterët dhe avokatët, me qëllim që ata të kuptojnë dhe të zbatojnë në praktikë konceptin e vendimmarrjes së mbështetur. Këto programe do të ndihmojnë kalimin nga qasja tradicionale mbrojtëse dhe zëvendësuese drejt një qasjeje që respekton vullnetin dhe preferencat e individit.</w:t>
      </w:r>
    </w:p>
    <w:p w14:paraId="113F7649"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Plani parashikon gjithashtu njohjen e praktikave ndërkombëtare dhe përshtatjen e tyre në kontekstin shqiptar përmes vizitave studimore në vende ku vendimmarrja e mbështetur është zbatuar me sukses. Për të siguruar kuptim të gjerë dhe përdorim praktik, do të përgatiten materiale udhëzuese në formate të aksesueshme dhe do të zhvillohen fushata informimi për personat me aftësi të kufizuara dhe familjarët e tyre, me qëllim që ata të njohin të drejtat dhe mënyrat e përdorimit të këtyre mekanizmave.</w:t>
      </w:r>
    </w:p>
    <w:p w14:paraId="4AA989B6" w14:textId="77777777" w:rsidR="003B43D4" w:rsidRPr="00CB13F7" w:rsidRDefault="0014426B" w:rsidP="00BA2B1D">
      <w:pPr>
        <w:spacing w:before="120" w:after="120" w:line="276" w:lineRule="auto"/>
        <w:jc w:val="both"/>
        <w:rPr>
          <w:rFonts w:eastAsia="Times New Roman"/>
          <w:lang w:eastAsia="en-US"/>
        </w:rPr>
      </w:pPr>
      <w:r w:rsidRPr="00CB13F7">
        <w:rPr>
          <w:rFonts w:eastAsia="Times New Roman"/>
          <w:lang w:eastAsia="en-US"/>
        </w:rPr>
        <w:t>K</w:t>
      </w:r>
      <w:r w:rsidR="003B43D4" w:rsidRPr="00CB13F7">
        <w:rPr>
          <w:rFonts w:eastAsia="Times New Roman"/>
          <w:lang w:eastAsia="en-US"/>
        </w:rPr>
        <w:t xml:space="preserve">y objektiv synon një ndryshim thelbësor në mënyrën se si sistemi juridik trajton personat me aftësi të kufizuara: nga një model i mbrojtjes përmes zëvendësimit të vendimmarrjes, drejt një modeli që mbështet autonominë personale dhe respektimin e vullnetit individual. Përmes </w:t>
      </w:r>
      <w:r w:rsidR="003B43D4" w:rsidRPr="00CB13F7">
        <w:rPr>
          <w:rFonts w:eastAsia="Times New Roman"/>
          <w:lang w:eastAsia="en-US"/>
        </w:rPr>
        <w:lastRenderedPageBreak/>
        <w:t>reformimit të legjislacionit, ngritjes së mekanizmave mbështetës dhe rritjes së kapaciteteve profesionale, plani synon të sigurojë që personat me aftësi të kufizuara të jenë subjekt i plotë i të drejtave dhe detyrimeve juridike, në kushte të barabarta me të gjithë qytetarët.</w:t>
      </w:r>
    </w:p>
    <w:p w14:paraId="6514F7FC" w14:textId="4E7CAB3B" w:rsidR="003B43D4" w:rsidRPr="00CB13F7" w:rsidRDefault="1E9AF249" w:rsidP="00BA2B1D">
      <w:pPr>
        <w:spacing w:before="120" w:after="120" w:line="276" w:lineRule="auto"/>
        <w:jc w:val="both"/>
        <w:rPr>
          <w:rFonts w:eastAsia="Times New Roman"/>
          <w:b/>
          <w:bCs/>
          <w:lang w:eastAsia="en-US"/>
        </w:rPr>
      </w:pPr>
      <w:r w:rsidRPr="00CB13F7">
        <w:rPr>
          <w:rFonts w:eastAsia="Times New Roman"/>
          <w:b/>
          <w:bCs/>
          <w:lang w:eastAsia="en-US"/>
        </w:rPr>
        <w:t>Objektivi Specifik 3</w:t>
      </w:r>
      <w:r w:rsidR="3802ECB9" w:rsidRPr="00CB13F7">
        <w:rPr>
          <w:rFonts w:eastAsia="Times New Roman"/>
          <w:b/>
          <w:bCs/>
          <w:lang w:eastAsia="en-US"/>
        </w:rPr>
        <w:t xml:space="preserve">: </w:t>
      </w:r>
      <w:r w:rsidR="54F39196" w:rsidRPr="00CB13F7">
        <w:rPr>
          <w:rFonts w:eastAsia="Times New Roman"/>
          <w:i/>
          <w:iCs/>
          <w:lang w:eastAsia="en-US"/>
        </w:rPr>
        <w:t>T</w:t>
      </w:r>
      <w:r w:rsidR="3802ECB9" w:rsidRPr="00CB13F7">
        <w:rPr>
          <w:rFonts w:eastAsia="Times New Roman"/>
          <w:i/>
          <w:iCs/>
          <w:lang w:eastAsia="en-US"/>
        </w:rPr>
        <w:t xml:space="preserve">ë </w:t>
      </w:r>
      <w:r w:rsidRPr="00CB13F7">
        <w:rPr>
          <w:rFonts w:eastAsia="Times New Roman"/>
          <w:i/>
          <w:iCs/>
          <w:lang w:eastAsia="en-US"/>
        </w:rPr>
        <w:t xml:space="preserve">sigurohet që personat me aftësi të kufizuara në paraburgim dhe në institucionet e vuajtjes së dënimit të kenë ambiente të aksesueshme, shërbime shëndetësore e </w:t>
      </w:r>
      <w:r w:rsidR="0C5B1CB2" w:rsidRPr="00CB13F7">
        <w:rPr>
          <w:rFonts w:eastAsia="Times New Roman"/>
          <w:i/>
          <w:iCs/>
          <w:lang w:eastAsia="en-US"/>
        </w:rPr>
        <w:t>psiko-sociale</w:t>
      </w:r>
      <w:r w:rsidRPr="00CB13F7">
        <w:rPr>
          <w:rFonts w:eastAsia="Times New Roman"/>
          <w:i/>
          <w:iCs/>
          <w:lang w:eastAsia="en-US"/>
        </w:rPr>
        <w:t xml:space="preserve"> dhe plane individuale mbështetjeje, për të garantuar trajtim dinjitoz dhe të barabartë.</w:t>
      </w:r>
    </w:p>
    <w:p w14:paraId="707A7BD3" w14:textId="77777777" w:rsidR="00FE56A2" w:rsidRPr="00CB13F7" w:rsidRDefault="00FE56A2" w:rsidP="00BA2B1D">
      <w:pPr>
        <w:spacing w:before="120" w:after="120" w:line="276" w:lineRule="auto"/>
        <w:jc w:val="both"/>
        <w:rPr>
          <w:rFonts w:eastAsia="Times New Roman"/>
          <w:b/>
          <w:bCs/>
          <w:lang w:eastAsia="en-US"/>
        </w:rPr>
      </w:pPr>
      <w:r w:rsidRPr="00CB13F7">
        <w:rPr>
          <w:rFonts w:eastAsia="Times New Roman"/>
          <w:b/>
          <w:bCs/>
          <w:i/>
          <w:iCs/>
          <w:lang w:eastAsia="en-US"/>
        </w:rPr>
        <w:t>Masa prioritare</w:t>
      </w:r>
    </w:p>
    <w:p w14:paraId="25ED4278" w14:textId="77777777" w:rsidR="00FE56A2" w:rsidRPr="00CB13F7" w:rsidRDefault="00FE56A2" w:rsidP="00BA2B1D">
      <w:pPr>
        <w:spacing w:before="120" w:after="120" w:line="276" w:lineRule="auto"/>
        <w:jc w:val="both"/>
        <w:rPr>
          <w:rFonts w:eastAsia="Times New Roman"/>
          <w:lang w:eastAsia="en-US"/>
        </w:rPr>
      </w:pPr>
      <w:r w:rsidRPr="00CB13F7">
        <w:rPr>
          <w:rFonts w:eastAsia="Times New Roman"/>
          <w:lang w:eastAsia="en-US"/>
        </w:rPr>
        <w:t>3.1. Realizimi i aksesueshmërisë fizike dhe aksesueshmërisë në informacion e komunikim për të gjitha kategoritë e personave me aftësi të kufizuara në të gjitha institucionet e vuajtjes së dënimeve.</w:t>
      </w:r>
    </w:p>
    <w:p w14:paraId="1A1BAFF7" w14:textId="77777777" w:rsidR="003B43D4" w:rsidRPr="00CB13F7" w:rsidRDefault="00570186" w:rsidP="00BA2B1D">
      <w:pPr>
        <w:spacing w:before="120" w:after="120" w:line="276" w:lineRule="auto"/>
        <w:jc w:val="both"/>
        <w:rPr>
          <w:rFonts w:eastAsia="Times New Roman"/>
          <w:lang w:eastAsia="en-US"/>
        </w:rPr>
      </w:pPr>
      <w:r w:rsidRPr="00CB13F7">
        <w:rPr>
          <w:rFonts w:eastAsia="Times New Roman"/>
          <w:lang w:eastAsia="en-US"/>
        </w:rPr>
        <w:t>3.2. Fuqizimi</w:t>
      </w:r>
      <w:r w:rsidR="00FE56A2" w:rsidRPr="00CB13F7">
        <w:rPr>
          <w:rFonts w:eastAsia="Times New Roman"/>
          <w:lang w:eastAsia="en-US"/>
        </w:rPr>
        <w:t xml:space="preserve"> i kapaciteteve në institucionet e paraburgimit dhe ato të vuajtjes së dënimit, duke mundësuar mbështetjen bazuar në nevojat e personave me aftësi të kufizuara.</w:t>
      </w:r>
    </w:p>
    <w:p w14:paraId="333A5D50"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Objektivi i tretë synon të garantojë që personat me aftësi të kufizuara të vendosur në paraburgim apo në institucionet e vuajtjes së dënimit të trajtohen në mënyrë dinjitoze dhe të barabartë, duke pasur kushte të përshtatshme jetese, akses në shërbime dhe mbështetje sipas nevojave individuale. Ky objektiv e shtrin konceptin e aksesit në drejtësi edhe në fazën e ekzekutimit të vendimit penal, duke e konsideruar respektimin e të drejtave të personit jo vetëm gjatë procesit gjyqësor, por edhe gjatë qëndrimit në institucionet e mbyllura.</w:t>
      </w:r>
    </w:p>
    <w:p w14:paraId="611AA3F2"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periudhën 2026</w:t>
      </w:r>
      <w:r w:rsidR="0014426B" w:rsidRPr="00CB13F7">
        <w:rPr>
          <w:rFonts w:eastAsia="Times New Roman"/>
          <w:lang w:eastAsia="en-US"/>
        </w:rPr>
        <w:t>-</w:t>
      </w:r>
      <w:r w:rsidRPr="00CB13F7">
        <w:rPr>
          <w:rFonts w:eastAsia="Times New Roman"/>
          <w:lang w:eastAsia="en-US"/>
        </w:rPr>
        <w:t>2030, një hap fillestar do të jetë vlerësimi i plotë i kushteve ekzistuese në institucionet e vuajtjes së dënimit. Do të realizohet një analizë për të identifikuar nevojat për aksesueshmëri fizike, informuese dhe komunikative për të gjitha kategoritë e personave me aftësi të kufizuara. Kjo analizë do të shërbejë si bazë për përcaktimin e prioriteteve dhe përfshirjen graduale të ndërhyrjeve në buxhetet institucionale, me qëllim përshtatjen e mjediseve dhe eliminimin e barrierave që pengojnë përdorimin e hapësirave dhe shërbimeve brenda institucioneve.</w:t>
      </w:r>
    </w:p>
    <w:p w14:paraId="56106B9B"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Paralelisht, plani parashikon krijimin e mekanizmave për identifikimin e hershëm të personave me aftësi të kufizuara që në momentin e pranimit në institucion. Do të hartohen procedura dhe formularë standardë për evidentimin e nevojave, në mënyrë që çdo i paraburgosur apo i dënuar të përfitojë akomodimin e arsyeshëm dhe mbështetjen e nevojshme. Në vijim, për secilin person do të përgatitet një plan individual mbështetjeje, bazuar në vlerësimin e nevojave të tij, i cili do të orientojë ofrimin e shërbimeve dhe trajtimin gjatë qëndrimit në institucion.</w:t>
      </w:r>
    </w:p>
    <w:p w14:paraId="4EFCFA57"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Një komponent thelbësor është garantimi i shërbimeve shëndetësore dhe </w:t>
      </w:r>
      <w:r w:rsidR="00570186" w:rsidRPr="00CB13F7">
        <w:rPr>
          <w:rFonts w:eastAsia="Times New Roman"/>
          <w:lang w:eastAsia="en-US"/>
        </w:rPr>
        <w:t>psiko-sociale</w:t>
      </w:r>
      <w:r w:rsidRPr="00CB13F7">
        <w:rPr>
          <w:rFonts w:eastAsia="Times New Roman"/>
          <w:lang w:eastAsia="en-US"/>
        </w:rPr>
        <w:t>. Personat me aftësi të kufizuara do të kenë akses në mjekë, psikologë dhe terapi të vazhdueshme, përmes sistemeve të referimit dhe bashkëpunimit me shërbimet komunitare. Kjo qasje synon të parandalojë përkeqësimin e gjendjes shëndetësore dhe të mbështesë riintegrimin social, duke e konsideruar shërbimin shëndetësor si pjesë të trajtimit human dhe jo vetëm si ndërhyrje emergjente.</w:t>
      </w:r>
    </w:p>
    <w:p w14:paraId="5A1CBE0F"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lastRenderedPageBreak/>
        <w:t>Plani parashikon gjithashtu rritjen e ndërgjegjësimit dhe të kapaciteteve profesionale të personelit të policisë dhe të institucioneve të vuajtjes së dënimit. Do të zhvillohen programe trajnimi dhe kurrikula të posaçme mbi të drejtat e personave me aftësi të kufizuara, mbi aksesin në drejtësi dhe mbi mënyrën e trajtimit të përshtatshëm të tyre në mjedise të mbyllura. Trajnimet synojnë të sigurojnë që stafi të njohë standardet ndërkombëtare dhe të zbatojë praktika që respektojnë dinjitetin, integritetin dhe nevojat individuale të personave.</w:t>
      </w:r>
    </w:p>
    <w:p w14:paraId="6C03BECE" w14:textId="1D08713E" w:rsidR="00FE56A2" w:rsidRPr="00CB13F7" w:rsidRDefault="0014426B" w:rsidP="00BA2B1D">
      <w:pPr>
        <w:spacing w:before="120" w:after="120" w:line="276" w:lineRule="auto"/>
        <w:jc w:val="both"/>
        <w:rPr>
          <w:rFonts w:eastAsia="Times New Roman"/>
          <w:b/>
          <w:bCs/>
        </w:rPr>
      </w:pPr>
      <w:r w:rsidRPr="00CB13F7">
        <w:rPr>
          <w:rFonts w:eastAsia="Times New Roman"/>
          <w:lang w:eastAsia="en-US"/>
        </w:rPr>
        <w:t>O</w:t>
      </w:r>
      <w:r w:rsidR="003B43D4" w:rsidRPr="00CB13F7">
        <w:rPr>
          <w:rFonts w:eastAsia="Times New Roman"/>
          <w:lang w:eastAsia="en-US"/>
        </w:rPr>
        <w:t>bjektiv</w:t>
      </w:r>
      <w:r w:rsidR="00B53D41" w:rsidRPr="00CB13F7">
        <w:rPr>
          <w:rFonts w:eastAsia="Times New Roman"/>
          <w:lang w:eastAsia="en-US"/>
        </w:rPr>
        <w:t>i</w:t>
      </w:r>
      <w:r w:rsidR="003B43D4" w:rsidRPr="00CB13F7">
        <w:rPr>
          <w:rFonts w:eastAsia="Times New Roman"/>
          <w:lang w:eastAsia="en-US"/>
        </w:rPr>
        <w:t xml:space="preserve"> synon që institucionet e paraburgimit dhe të vuajtjes së dënimit të mos përbëjnë një mjedis përjashtues për personat me aftësi të kufizuara. Përmes përshtatjes së mjediseve, ofrimit të shërbimeve të specializuara, hartimit të planeve individuale të mbështetjes dhe rritjes së kapaciteteve profesionale, plani synon të garantojë trajtim të barabartë dhe human, duke respektuar të drejtat themelore të personit edhe gjatë kufizimit të lirisë.</w:t>
      </w:r>
    </w:p>
    <w:p w14:paraId="66BBDE25" w14:textId="2057E528" w:rsidR="00FE56A2" w:rsidRPr="00CB13F7" w:rsidRDefault="00DC01C0" w:rsidP="00BA2B1D">
      <w:pPr>
        <w:spacing w:before="120" w:after="120" w:line="276" w:lineRule="auto"/>
        <w:jc w:val="both"/>
        <w:rPr>
          <w:rFonts w:eastAsia="Times New Roman"/>
          <w:b/>
          <w:bCs/>
        </w:rPr>
      </w:pPr>
      <w:r w:rsidRPr="00CB13F7">
        <w:rPr>
          <w:rFonts w:eastAsia="Times New Roman"/>
          <w:b/>
          <w:bCs/>
        </w:rPr>
        <w:t>4.3</w:t>
      </w:r>
      <w:r w:rsidR="008F5958" w:rsidRPr="00CB13F7">
        <w:rPr>
          <w:rFonts w:eastAsia="Times New Roman"/>
          <w:b/>
          <w:bCs/>
        </w:rPr>
        <w:t xml:space="preserve"> </w:t>
      </w:r>
      <w:r w:rsidR="003B43D4" w:rsidRPr="00CB13F7">
        <w:rPr>
          <w:rFonts w:eastAsia="Times New Roman"/>
          <w:b/>
          <w:bCs/>
        </w:rPr>
        <w:t xml:space="preserve">Punësimi dhe </w:t>
      </w:r>
      <w:r w:rsidR="00C16801" w:rsidRPr="00CB13F7">
        <w:rPr>
          <w:rFonts w:eastAsia="Times New Roman"/>
          <w:b/>
          <w:bCs/>
        </w:rPr>
        <w:t>Aft</w:t>
      </w:r>
      <w:r w:rsidR="00753C46" w:rsidRPr="00CB13F7">
        <w:rPr>
          <w:rFonts w:eastAsia="Times New Roman"/>
          <w:b/>
          <w:bCs/>
        </w:rPr>
        <w:t>ë</w:t>
      </w:r>
      <w:r w:rsidR="00C16801" w:rsidRPr="00CB13F7">
        <w:rPr>
          <w:rFonts w:eastAsia="Times New Roman"/>
          <w:b/>
          <w:bCs/>
        </w:rPr>
        <w:t>simi</w:t>
      </w:r>
    </w:p>
    <w:p w14:paraId="50460E47" w14:textId="77A20F69" w:rsidR="003B43D4" w:rsidRPr="00CB13F7" w:rsidRDefault="00570186" w:rsidP="00BA2B1D">
      <w:pPr>
        <w:spacing w:before="120" w:after="120" w:line="276" w:lineRule="auto"/>
        <w:jc w:val="both"/>
        <w:rPr>
          <w:rFonts w:eastAsia="Times New Roman"/>
          <w:b/>
          <w:bCs/>
          <w:lang w:eastAsia="en-US"/>
        </w:rPr>
      </w:pPr>
      <w:r w:rsidRPr="00CB13F7">
        <w:rPr>
          <w:rFonts w:eastAsia="Times New Roman"/>
          <w:b/>
          <w:bCs/>
        </w:rPr>
        <w:t>4.3.1</w:t>
      </w:r>
      <w:r w:rsidR="008F5958" w:rsidRPr="00CB13F7">
        <w:rPr>
          <w:rFonts w:eastAsia="Times New Roman"/>
          <w:b/>
          <w:bCs/>
        </w:rPr>
        <w:t xml:space="preserve"> </w:t>
      </w:r>
      <w:r w:rsidRPr="00CB13F7">
        <w:rPr>
          <w:rFonts w:eastAsia="Times New Roman"/>
          <w:b/>
          <w:bCs/>
        </w:rPr>
        <w:t>Konteksti</w:t>
      </w:r>
      <w:r w:rsidR="003B43D4" w:rsidRPr="00CB13F7">
        <w:rPr>
          <w:rFonts w:eastAsia="Times New Roman"/>
          <w:b/>
          <w:bCs/>
        </w:rPr>
        <w:t xml:space="preserve"> strategjik </w:t>
      </w:r>
    </w:p>
    <w:p w14:paraId="2A9E95A8" w14:textId="1521612D" w:rsidR="003B43D4" w:rsidRPr="00CB13F7" w:rsidRDefault="7150E16E" w:rsidP="00BA2B1D">
      <w:pPr>
        <w:spacing w:before="120" w:after="120" w:line="276" w:lineRule="auto"/>
        <w:jc w:val="both"/>
        <w:rPr>
          <w:rFonts w:eastAsia="Times New Roman"/>
        </w:rPr>
      </w:pPr>
      <w:r w:rsidRPr="00CB13F7">
        <w:rPr>
          <w:rFonts w:eastAsia="Times New Roman"/>
        </w:rPr>
        <w:t>Fusha e punësimit dhe aftësimit në Planin e Veprimit për Personat me Aftësi të Kufizuara 2026</w:t>
      </w:r>
      <w:r w:rsidR="086BE428" w:rsidRPr="00CB13F7">
        <w:rPr>
          <w:rFonts w:eastAsia="Times New Roman"/>
        </w:rPr>
        <w:t>-</w:t>
      </w:r>
      <w:r w:rsidRPr="00CB13F7">
        <w:rPr>
          <w:rFonts w:eastAsia="Times New Roman"/>
        </w:rPr>
        <w:t xml:space="preserve">2030 mbështetet në një kuadër të gjerë dokumentesh ndërkombëtare, evropiane dhe kombëtare, të cilat e trajtojnë punësimin jo vetëm si politikë ekonomike, por si një e drejtë themelore </w:t>
      </w:r>
      <w:r w:rsidR="4B5D45B3" w:rsidRPr="00CB13F7">
        <w:rPr>
          <w:rFonts w:eastAsia="Times New Roman"/>
        </w:rPr>
        <w:t>e</w:t>
      </w:r>
      <w:r w:rsidRPr="00CB13F7">
        <w:rPr>
          <w:rFonts w:eastAsia="Times New Roman"/>
        </w:rPr>
        <w:t xml:space="preserve"> njeriut dhe si kusht për jetesë të pavarur, përfshirje sociale dhe pjesëmarrje të barabartë në shoqëri. Në këtë </w:t>
      </w:r>
      <w:r w:rsidR="0146F117" w:rsidRPr="00CB13F7">
        <w:rPr>
          <w:rFonts w:eastAsia="Times New Roman"/>
        </w:rPr>
        <w:t>kuadër</w:t>
      </w:r>
      <w:r w:rsidRPr="00CB13F7">
        <w:rPr>
          <w:rFonts w:eastAsia="Times New Roman"/>
        </w:rPr>
        <w:t xml:space="preserve">, ndërhyrjet  </w:t>
      </w:r>
      <w:r w:rsidR="0146F117" w:rsidRPr="00CB13F7">
        <w:rPr>
          <w:rFonts w:eastAsia="Times New Roman"/>
        </w:rPr>
        <w:t xml:space="preserve"> </w:t>
      </w:r>
      <w:r w:rsidRPr="00CB13F7">
        <w:rPr>
          <w:rFonts w:eastAsia="Times New Roman"/>
        </w:rPr>
        <w:t xml:space="preserve"> nuk konsiderohen </w:t>
      </w:r>
      <w:r w:rsidR="37E4E3A3" w:rsidRPr="00CB13F7">
        <w:rPr>
          <w:rFonts w:eastAsia="Times New Roman"/>
        </w:rPr>
        <w:t xml:space="preserve">si </w:t>
      </w:r>
      <w:r w:rsidRPr="00CB13F7">
        <w:rPr>
          <w:rFonts w:eastAsia="Times New Roman"/>
        </w:rPr>
        <w:t xml:space="preserve">masa të </w:t>
      </w:r>
      <w:r w:rsidR="37E4E3A3" w:rsidRPr="00CB13F7">
        <w:rPr>
          <w:rFonts w:eastAsia="Times New Roman"/>
        </w:rPr>
        <w:t xml:space="preserve">izoluara </w:t>
      </w:r>
      <w:r w:rsidRPr="00CB13F7">
        <w:rPr>
          <w:rFonts w:eastAsia="Times New Roman"/>
        </w:rPr>
        <w:t xml:space="preserve">të tregut të punës, por </w:t>
      </w:r>
      <w:r w:rsidR="37E4E3A3" w:rsidRPr="00CB13F7">
        <w:rPr>
          <w:rFonts w:eastAsia="Times New Roman"/>
        </w:rPr>
        <w:t xml:space="preserve">si </w:t>
      </w:r>
      <w:r w:rsidRPr="00CB13F7">
        <w:rPr>
          <w:rFonts w:eastAsia="Times New Roman"/>
        </w:rPr>
        <w:t xml:space="preserve">pjesë e një </w:t>
      </w:r>
      <w:r w:rsidR="36BC2BD0" w:rsidRPr="00CB13F7">
        <w:rPr>
          <w:rFonts w:eastAsia="Times New Roman"/>
        </w:rPr>
        <w:t xml:space="preserve">qasje të integruar </w:t>
      </w:r>
      <w:r w:rsidR="120EA36A" w:rsidRPr="00CB13F7">
        <w:rPr>
          <w:rFonts w:eastAsia="Times New Roman"/>
        </w:rPr>
        <w:t>politika</w:t>
      </w:r>
      <w:r w:rsidR="65921173" w:rsidRPr="00CB13F7">
        <w:rPr>
          <w:rFonts w:eastAsia="Times New Roman"/>
        </w:rPr>
        <w:t>v</w:t>
      </w:r>
      <w:r w:rsidR="120EA36A" w:rsidRPr="00CB13F7">
        <w:rPr>
          <w:rFonts w:eastAsia="Times New Roman"/>
        </w:rPr>
        <w:t xml:space="preserve">e, e cila nis </w:t>
      </w:r>
      <w:r w:rsidRPr="00CB13F7">
        <w:rPr>
          <w:rFonts w:eastAsia="Times New Roman"/>
        </w:rPr>
        <w:t xml:space="preserve">me arsimin gjithëpërfshirës, vijon me zhvillimin </w:t>
      </w:r>
      <w:r w:rsidR="3BE6FF25" w:rsidRPr="00CB13F7">
        <w:rPr>
          <w:rFonts w:eastAsia="Times New Roman"/>
        </w:rPr>
        <w:t xml:space="preserve">dhe fuqizimin </w:t>
      </w:r>
      <w:r w:rsidRPr="00CB13F7">
        <w:rPr>
          <w:rFonts w:eastAsia="Times New Roman"/>
        </w:rPr>
        <w:t>e aftësive</w:t>
      </w:r>
      <w:r w:rsidR="3BE6FF25" w:rsidRPr="00CB13F7">
        <w:rPr>
          <w:rFonts w:eastAsia="Times New Roman"/>
        </w:rPr>
        <w:t>,</w:t>
      </w:r>
      <w:r w:rsidRPr="00CB13F7">
        <w:rPr>
          <w:rFonts w:eastAsia="Times New Roman"/>
        </w:rPr>
        <w:t xml:space="preserve"> dhe </w:t>
      </w:r>
      <w:r w:rsidR="61DB5600" w:rsidRPr="00CB13F7">
        <w:rPr>
          <w:rFonts w:eastAsia="Times New Roman"/>
        </w:rPr>
        <w:t xml:space="preserve">përmbyllet me sigurimin e një </w:t>
      </w:r>
      <w:r w:rsidRPr="00CB13F7">
        <w:rPr>
          <w:rFonts w:eastAsia="Times New Roman"/>
        </w:rPr>
        <w:t xml:space="preserve"> punësim të denjë dhe të qëndrueshëm. </w:t>
      </w:r>
    </w:p>
    <w:p w14:paraId="20E01C09" w14:textId="03D6AED7" w:rsidR="003B43D4" w:rsidRPr="00CB13F7" w:rsidRDefault="003B43D4" w:rsidP="00BA2B1D">
      <w:pPr>
        <w:spacing w:before="120" w:after="120" w:line="276" w:lineRule="auto"/>
        <w:jc w:val="both"/>
        <w:rPr>
          <w:rFonts w:eastAsia="Times New Roman"/>
        </w:rPr>
      </w:pPr>
      <w:r w:rsidRPr="00CB13F7">
        <w:rPr>
          <w:rFonts w:eastAsia="Times New Roman"/>
        </w:rPr>
        <w:t>Në nivel ndërkombëtar, baza normative përcaktohet nga Konventa e Kombeve të Bashkuara për të Drejtat e Personave me Aftësi të Kufizuara</w:t>
      </w:r>
      <w:r w:rsidRPr="00CB13F7">
        <w:rPr>
          <w:rStyle w:val="FootnoteReference"/>
          <w:rFonts w:eastAsia="Times New Roman"/>
        </w:rPr>
        <w:footnoteReference w:id="37"/>
      </w:r>
      <w:r w:rsidR="00AB071B" w:rsidRPr="00CB13F7">
        <w:rPr>
          <w:rFonts w:eastAsia="Times New Roman"/>
        </w:rPr>
        <w:t>, e cila</w:t>
      </w:r>
      <w:r w:rsidRPr="00CB13F7">
        <w:rPr>
          <w:rFonts w:eastAsia="Times New Roman"/>
        </w:rPr>
        <w:t xml:space="preserve"> garanton të drejtën për arsim gjithëpërfshirës dhe të barabartë (neni 24), duke kërkuar që sistemet arsimore dhe të formimit profesional të jenë të aksesueshme dhe të përshtatura për nevojat individuale të nxënësve dhe kursantëve me aftësi të kufizuara. </w:t>
      </w:r>
    </w:p>
    <w:p w14:paraId="50A03C1E" w14:textId="5918BACC" w:rsidR="003B43D4" w:rsidRPr="00CB13F7" w:rsidRDefault="003B43D4" w:rsidP="00BA2B1D">
      <w:pPr>
        <w:spacing w:before="120" w:after="120" w:line="276" w:lineRule="auto"/>
        <w:jc w:val="both"/>
        <w:rPr>
          <w:rFonts w:eastAsia="Times New Roman"/>
        </w:rPr>
      </w:pPr>
      <w:r w:rsidRPr="00CB13F7">
        <w:rPr>
          <w:rFonts w:eastAsia="Times New Roman"/>
        </w:rPr>
        <w:t>Ajo njeh gjithashtu të drejtën për punë dhe punësim në një treg të hapur dhe gjithëpërfshirës, si dhe nevojën për aksesueshmëri dhe mbledhje të dhënash për të orientuar politikat publike (nenet 9 dhe 31). Kjo qasje</w:t>
      </w:r>
      <w:r w:rsidR="00AB071B" w:rsidRPr="00CB13F7">
        <w:rPr>
          <w:rFonts w:eastAsia="Times New Roman"/>
        </w:rPr>
        <w:t>,</w:t>
      </w:r>
      <w:r w:rsidRPr="00CB13F7">
        <w:rPr>
          <w:rFonts w:eastAsia="Times New Roman"/>
        </w:rPr>
        <w:t xml:space="preserve"> vendos detyrimin që shteti të garantojë jo vetëm mundësinë për të punuar, por edhe kushtet reale që e bëjnë punësimin të arritshëm.</w:t>
      </w:r>
    </w:p>
    <w:p w14:paraId="2E2F233E" w14:textId="77777777" w:rsidR="003B43D4" w:rsidRPr="00CB13F7" w:rsidRDefault="003B43D4" w:rsidP="00BA2B1D">
      <w:pPr>
        <w:spacing w:before="120" w:after="120" w:line="276" w:lineRule="auto"/>
        <w:jc w:val="both"/>
        <w:rPr>
          <w:rFonts w:eastAsia="Times New Roman"/>
        </w:rPr>
      </w:pPr>
      <w:r w:rsidRPr="00CB13F7">
        <w:rPr>
          <w:rFonts w:eastAsia="Times New Roman"/>
        </w:rPr>
        <w:t>Parimet e Konventës plotësohen nga standardet ndërkombëtare të arsimit gjithëpërfshirës, përfshirë udhëzimet e UNESCO-s, të cilat kërkojnë që sistemet arsimore dhe të formimit profesional të funksionojnë mbi parimet e aksesueshmërisë, përshtatjes së arsyeshme dhe dizajnit universal për të nxënit. Kjo e lidh drejtpërdrejt aftësimin profesional me pjesëmarrjen e mëvonshme në tregun e punës.</w:t>
      </w:r>
    </w:p>
    <w:p w14:paraId="6167BAEB" w14:textId="7587D601" w:rsidR="003B43D4" w:rsidRPr="00CB13F7" w:rsidRDefault="7150E16E" w:rsidP="00BA2B1D">
      <w:pPr>
        <w:spacing w:before="120" w:after="120" w:line="276" w:lineRule="auto"/>
        <w:jc w:val="both"/>
        <w:rPr>
          <w:rFonts w:eastAsia="Times New Roman"/>
        </w:rPr>
      </w:pPr>
      <w:r w:rsidRPr="00CB13F7">
        <w:rPr>
          <w:rFonts w:eastAsia="Times New Roman"/>
        </w:rPr>
        <w:lastRenderedPageBreak/>
        <w:t>Në nivel evropian, këto parime reflektohen në Strategjinë e BE-së për të Drejtat e Personave me Aftësi të Kufizuara 2021</w:t>
      </w:r>
      <w:r w:rsidR="379B40C5" w:rsidRPr="00CB13F7">
        <w:rPr>
          <w:rFonts w:eastAsia="Times New Roman"/>
        </w:rPr>
        <w:t>-</w:t>
      </w:r>
      <w:r w:rsidRPr="00CB13F7">
        <w:rPr>
          <w:rFonts w:eastAsia="Times New Roman"/>
        </w:rPr>
        <w:t>2030</w:t>
      </w:r>
      <w:r w:rsidR="003B43D4" w:rsidRPr="00CB13F7">
        <w:rPr>
          <w:rStyle w:val="FootnoteReference"/>
          <w:rFonts w:eastAsia="Times New Roman"/>
        </w:rPr>
        <w:footnoteReference w:id="38"/>
      </w:r>
      <w:r w:rsidRPr="00CB13F7">
        <w:rPr>
          <w:rFonts w:eastAsia="Times New Roman"/>
        </w:rPr>
        <w:t xml:space="preserve">, e cila synon rritjen e pjesëmarrjes në tregun e punës dhe eliminimin e barrierave strukturore që përjashtojnë personat me aftësi të kufizuara nga punësimi. </w:t>
      </w:r>
    </w:p>
    <w:p w14:paraId="637AA874" w14:textId="456A66C2" w:rsidR="003B43D4" w:rsidRPr="00CB13F7" w:rsidRDefault="003B43D4" w:rsidP="00BA2B1D">
      <w:pPr>
        <w:spacing w:before="120" w:after="120" w:line="276" w:lineRule="auto"/>
        <w:jc w:val="both"/>
        <w:rPr>
          <w:rFonts w:eastAsia="Times New Roman"/>
        </w:rPr>
      </w:pPr>
      <w:r w:rsidRPr="00CB13F7">
        <w:rPr>
          <w:rFonts w:eastAsia="Times New Roman"/>
        </w:rPr>
        <w:t>Shtylla Evropiane e të Drejtave Sociale</w:t>
      </w:r>
      <w:r w:rsidRPr="00CB13F7">
        <w:rPr>
          <w:rStyle w:val="FootnoteReference"/>
          <w:rFonts w:eastAsia="Times New Roman"/>
        </w:rPr>
        <w:footnoteReference w:id="39"/>
      </w:r>
      <w:r w:rsidRPr="00CB13F7">
        <w:rPr>
          <w:rFonts w:eastAsia="Times New Roman"/>
        </w:rPr>
        <w:t xml:space="preserve"> përcakton se personat me aftësi të kufizuara kanë të drejtë për mbështetje që u mundëson pjesëmarrjen në tregun e punës dhe një mjedis pune të përshtatur sipas nevojave të tyre. </w:t>
      </w:r>
    </w:p>
    <w:p w14:paraId="739D573C" w14:textId="77777777" w:rsidR="003B43D4" w:rsidRPr="00CB13F7" w:rsidRDefault="003B43D4" w:rsidP="00BA2B1D">
      <w:pPr>
        <w:spacing w:before="120" w:after="120" w:line="276" w:lineRule="auto"/>
        <w:jc w:val="both"/>
        <w:rPr>
          <w:rFonts w:eastAsia="Times New Roman"/>
        </w:rPr>
      </w:pPr>
      <w:r w:rsidRPr="00CB13F7">
        <w:rPr>
          <w:rFonts w:eastAsia="Times New Roman"/>
        </w:rPr>
        <w:t>Po në këtë linjë, paketa evropiane për punësimin e personave me aftësi të kufizuara (Disability Employment Package)</w:t>
      </w:r>
      <w:r w:rsidRPr="00CB13F7">
        <w:rPr>
          <w:rStyle w:val="FootnoteReference"/>
          <w:rFonts w:eastAsia="Times New Roman"/>
        </w:rPr>
        <w:footnoteReference w:id="40"/>
      </w:r>
      <w:r w:rsidRPr="00CB13F7">
        <w:rPr>
          <w:rFonts w:eastAsia="Times New Roman"/>
        </w:rPr>
        <w:t xml:space="preserve"> orienton shtetet drejt shërbimeve të personalizuara të punësimit, përshtatjes së arsyeshme dhe mbështetjes aktive për punëdhënësit.</w:t>
      </w:r>
    </w:p>
    <w:p w14:paraId="7628849E" w14:textId="7B270E1B" w:rsidR="003B43D4" w:rsidRPr="00CB13F7" w:rsidRDefault="7150E16E" w:rsidP="00BA2B1D">
      <w:pPr>
        <w:spacing w:before="120" w:after="120" w:line="276" w:lineRule="auto"/>
        <w:jc w:val="both"/>
        <w:rPr>
          <w:rFonts w:eastAsia="Times New Roman"/>
        </w:rPr>
      </w:pPr>
      <w:r w:rsidRPr="00CB13F7">
        <w:rPr>
          <w:rFonts w:eastAsia="Times New Roman"/>
        </w:rPr>
        <w:t xml:space="preserve">Këto politika lidhen </w:t>
      </w:r>
      <w:r w:rsidR="42BD63F0" w:rsidRPr="00CB13F7">
        <w:rPr>
          <w:rFonts w:eastAsia="Times New Roman"/>
        </w:rPr>
        <w:t xml:space="preserve">edhe </w:t>
      </w:r>
      <w:r w:rsidRPr="00CB13F7">
        <w:rPr>
          <w:rFonts w:eastAsia="Times New Roman"/>
        </w:rPr>
        <w:t>me Objektivat e Zhvillimit të Qëndrueshëm</w:t>
      </w:r>
      <w:r w:rsidR="003B43D4" w:rsidRPr="00CB13F7">
        <w:rPr>
          <w:rStyle w:val="FootnoteReference"/>
          <w:rFonts w:eastAsia="Times New Roman"/>
        </w:rPr>
        <w:footnoteReference w:id="41"/>
      </w:r>
      <w:r w:rsidRPr="00CB13F7">
        <w:rPr>
          <w:rFonts w:eastAsia="Times New Roman"/>
        </w:rPr>
        <w:t xml:space="preserve">, veçanërisht Objektivin 8 për punë të denjë dhe rritje ekonomike gjithëpërfshirëse, që kërkon rritjen e punësimit, mbrojtjen e të drejtave në punë dhe përfshirjen e të rinjve dhe grupeve vulnerabël në ekonomi. Për rrjedhojë, punësimi i personave me aftësi të kufizuara trajtohet njëkohësisht si çështje e të drejtave të njeriut dhe si </w:t>
      </w:r>
      <w:r w:rsidR="42BD63F0" w:rsidRPr="00CB13F7">
        <w:rPr>
          <w:rFonts w:eastAsia="Times New Roman"/>
        </w:rPr>
        <w:t xml:space="preserve">element i rëndësishëm </w:t>
      </w:r>
      <w:r w:rsidRPr="00CB13F7">
        <w:rPr>
          <w:rFonts w:eastAsia="Times New Roman"/>
        </w:rPr>
        <w:t>i zhvillimit ekonomik.</w:t>
      </w:r>
    </w:p>
    <w:p w14:paraId="0B7489ED" w14:textId="5A4F57AB" w:rsidR="003B43D4" w:rsidRPr="00CB13F7" w:rsidRDefault="003B43D4" w:rsidP="00BA2B1D">
      <w:pPr>
        <w:spacing w:before="120" w:after="120" w:line="276" w:lineRule="auto"/>
        <w:jc w:val="both"/>
        <w:rPr>
          <w:rFonts w:eastAsia="Times New Roman"/>
        </w:rPr>
      </w:pPr>
      <w:r w:rsidRPr="00CB13F7">
        <w:rPr>
          <w:rFonts w:eastAsia="Times New Roman"/>
        </w:rPr>
        <w:t>Në nivel kombëtar, ky kapitull harmonizohet me Strategjinë Kombëtare të Punësimit dhe Aftësive 2023</w:t>
      </w:r>
      <w:r w:rsidR="00B1341D" w:rsidRPr="00CB13F7">
        <w:rPr>
          <w:rFonts w:eastAsia="Times New Roman"/>
        </w:rPr>
        <w:t>-</w:t>
      </w:r>
      <w:r w:rsidRPr="00CB13F7">
        <w:rPr>
          <w:rFonts w:eastAsia="Times New Roman"/>
        </w:rPr>
        <w:t>2030</w:t>
      </w:r>
      <w:r w:rsidRPr="00CB13F7">
        <w:rPr>
          <w:rStyle w:val="FootnoteReference"/>
          <w:rFonts w:eastAsia="Times New Roman"/>
        </w:rPr>
        <w:footnoteReference w:id="42"/>
      </w:r>
      <w:r w:rsidRPr="00CB13F7">
        <w:rPr>
          <w:rFonts w:eastAsia="Times New Roman"/>
        </w:rPr>
        <w:t>, Strategjinë Kombëtare për Mbrojtjen Sociale 2024</w:t>
      </w:r>
      <w:r w:rsidR="00B1341D" w:rsidRPr="00CB13F7">
        <w:rPr>
          <w:rFonts w:eastAsia="Times New Roman"/>
        </w:rPr>
        <w:t>-</w:t>
      </w:r>
      <w:r w:rsidRPr="00CB13F7">
        <w:rPr>
          <w:rFonts w:eastAsia="Times New Roman"/>
        </w:rPr>
        <w:t>2030</w:t>
      </w:r>
      <w:r w:rsidRPr="00CB13F7">
        <w:rPr>
          <w:rStyle w:val="FootnoteReference"/>
          <w:rFonts w:eastAsia="Times New Roman"/>
        </w:rPr>
        <w:footnoteReference w:id="43"/>
      </w:r>
      <w:r w:rsidRPr="00CB13F7">
        <w:rPr>
          <w:rFonts w:eastAsia="Times New Roman"/>
        </w:rPr>
        <w:t xml:space="preserve"> dhe Planin e Zbatimit të Garancisë Rinore</w:t>
      </w:r>
      <w:r w:rsidRPr="00CB13F7">
        <w:rPr>
          <w:rStyle w:val="FootnoteReference"/>
          <w:rFonts w:eastAsia="Times New Roman"/>
        </w:rPr>
        <w:footnoteReference w:id="44"/>
      </w:r>
      <w:r w:rsidRPr="00CB13F7">
        <w:rPr>
          <w:rFonts w:eastAsia="Times New Roman"/>
        </w:rPr>
        <w:t xml:space="preserve">, të cilat synojnë rritjen e pjesëmarrjes në tregun e punës dhe zhvillimin e aftësive sipas nevojave të ekonomisë. </w:t>
      </w:r>
    </w:p>
    <w:p w14:paraId="10DC0B90" w14:textId="3C99AFF3" w:rsidR="003B43D4" w:rsidRPr="00CB13F7" w:rsidRDefault="7150E16E" w:rsidP="00BA2B1D">
      <w:pPr>
        <w:spacing w:before="120" w:after="120" w:line="276" w:lineRule="auto"/>
        <w:jc w:val="both"/>
        <w:rPr>
          <w:rFonts w:eastAsia="Times New Roman"/>
        </w:rPr>
      </w:pPr>
      <w:r w:rsidRPr="00CB13F7">
        <w:rPr>
          <w:rFonts w:eastAsia="Times New Roman"/>
        </w:rPr>
        <w:t>Po ashtu, Strategjia Kombëtare për Zhvillim dhe Integrim 2022</w:t>
      </w:r>
      <w:r w:rsidR="42BD63F0" w:rsidRPr="00CB13F7">
        <w:rPr>
          <w:rFonts w:eastAsia="Times New Roman"/>
        </w:rPr>
        <w:t>-</w:t>
      </w:r>
      <w:r w:rsidRPr="00CB13F7">
        <w:rPr>
          <w:rFonts w:eastAsia="Times New Roman"/>
        </w:rPr>
        <w:t>2030</w:t>
      </w:r>
      <w:r w:rsidR="303AF31A" w:rsidRPr="00CB13F7">
        <w:rPr>
          <w:rFonts w:eastAsia="Times New Roman"/>
        </w:rPr>
        <w:t>,</w:t>
      </w:r>
      <w:r w:rsidR="003B43D4" w:rsidRPr="00CB13F7">
        <w:rPr>
          <w:rStyle w:val="FootnoteReference"/>
          <w:rFonts w:eastAsia="Times New Roman"/>
        </w:rPr>
        <w:footnoteReference w:id="45"/>
      </w:r>
      <w:r w:rsidRPr="00CB13F7">
        <w:rPr>
          <w:rFonts w:eastAsia="Times New Roman"/>
        </w:rPr>
        <w:t xml:space="preserve"> e lidh kapitalin njerëzor dhe mirëqenien sociale me fuqinë punëtore dhe përfshirjen në tregun e punës. </w:t>
      </w:r>
    </w:p>
    <w:p w14:paraId="64B44B35" w14:textId="6EFFC462" w:rsidR="003B43D4" w:rsidRPr="00CB13F7" w:rsidRDefault="7150E16E" w:rsidP="00BA2B1D">
      <w:pPr>
        <w:spacing w:before="120" w:after="120" w:line="276" w:lineRule="auto"/>
        <w:jc w:val="both"/>
        <w:rPr>
          <w:rFonts w:eastAsia="Times New Roman"/>
        </w:rPr>
      </w:pPr>
      <w:r w:rsidRPr="00CB13F7">
        <w:rPr>
          <w:rFonts w:eastAsia="Times New Roman"/>
        </w:rPr>
        <w:t>Politikat digjitale, sipërmarrja inovative dhe zhvillimi i aftësive të gjelbra konsiderohen gjithashtu elemente të rëndësishme për përfshirjen në ekonominë moderne.</w:t>
      </w:r>
    </w:p>
    <w:p w14:paraId="73B61D6C" w14:textId="54D4FFC4" w:rsidR="003B43D4" w:rsidRPr="00CB13F7" w:rsidRDefault="003B43D4" w:rsidP="00BA2B1D">
      <w:pPr>
        <w:spacing w:before="120" w:after="120" w:line="276" w:lineRule="auto"/>
        <w:jc w:val="both"/>
        <w:rPr>
          <w:rFonts w:eastAsia="Times New Roman"/>
        </w:rPr>
      </w:pPr>
      <w:r w:rsidRPr="00CB13F7">
        <w:rPr>
          <w:rFonts w:eastAsia="Times New Roman"/>
        </w:rPr>
        <w:t>Në këtë kuadër, Plani i Veprimit e trajton punësimin e personave me aftësi të kufizuara si rezultat të një procesi të integruar politikash: arsimi</w:t>
      </w:r>
      <w:r w:rsidR="001771D3" w:rsidRPr="00CB13F7">
        <w:rPr>
          <w:rFonts w:eastAsia="Times New Roman"/>
        </w:rPr>
        <w:t xml:space="preserve"> </w:t>
      </w:r>
      <w:r w:rsidR="00C16801" w:rsidRPr="00CB13F7">
        <w:rPr>
          <w:rFonts w:eastAsia="Times New Roman"/>
        </w:rPr>
        <w:t xml:space="preserve">dhe formimi profesional </w:t>
      </w:r>
      <w:r w:rsidRPr="00CB13F7">
        <w:rPr>
          <w:rFonts w:eastAsia="Times New Roman"/>
        </w:rPr>
        <w:t>gjithëpërfshirës</w:t>
      </w:r>
      <w:r w:rsidR="0038204A" w:rsidRPr="00CB13F7">
        <w:rPr>
          <w:rFonts w:eastAsia="Times New Roman"/>
        </w:rPr>
        <w:t>,</w:t>
      </w:r>
      <w:r w:rsidRPr="00CB13F7">
        <w:rPr>
          <w:rFonts w:eastAsia="Times New Roman"/>
        </w:rPr>
        <w:t xml:space="preserve"> ndërmjetësimi i punësimit dhe mbështetja </w:t>
      </w:r>
      <w:r w:rsidR="00C16801" w:rsidRPr="00CB13F7">
        <w:rPr>
          <w:rFonts w:eastAsia="Times New Roman"/>
        </w:rPr>
        <w:t>me programe t</w:t>
      </w:r>
      <w:r w:rsidR="00753C46" w:rsidRPr="00CB13F7">
        <w:rPr>
          <w:rFonts w:eastAsia="Times New Roman"/>
        </w:rPr>
        <w:t>ë</w:t>
      </w:r>
      <w:r w:rsidR="00C16801" w:rsidRPr="00CB13F7">
        <w:rPr>
          <w:rFonts w:eastAsia="Times New Roman"/>
        </w:rPr>
        <w:t xml:space="preserve"> nxitjes </w:t>
      </w:r>
      <w:r w:rsidRPr="00CB13F7">
        <w:rPr>
          <w:rFonts w:eastAsia="Times New Roman"/>
        </w:rPr>
        <w:t>funksionojnë si instrumente plotësuese që sigurojnë pjesëmarrje reale në tregun e punës.</w:t>
      </w:r>
    </w:p>
    <w:p w14:paraId="2C93AB07" w14:textId="3641BA28" w:rsidR="003B43D4" w:rsidRPr="00CB13F7" w:rsidRDefault="003B43D4" w:rsidP="00BA2B1D">
      <w:pPr>
        <w:spacing w:before="120" w:after="120" w:line="276" w:lineRule="auto"/>
        <w:jc w:val="both"/>
        <w:rPr>
          <w:rFonts w:eastAsia="Times New Roman"/>
        </w:rPr>
      </w:pPr>
      <w:r w:rsidRPr="00CB13F7">
        <w:rPr>
          <w:rFonts w:eastAsia="Times New Roman"/>
        </w:rPr>
        <w:t xml:space="preserve">Kjo qasje e lidh drejtpërdrejt politikën e punësimit me procesin e integrimit evropian, duke synuar përafrimin gradual me </w:t>
      </w:r>
      <w:r w:rsidRPr="00CB13F7">
        <w:rPr>
          <w:rFonts w:eastAsia="Times New Roman"/>
          <w:i/>
          <w:iCs/>
        </w:rPr>
        <w:t>acquis</w:t>
      </w:r>
      <w:r w:rsidRPr="00CB13F7">
        <w:rPr>
          <w:rFonts w:eastAsia="Times New Roman"/>
        </w:rPr>
        <w:t xml:space="preserve"> të BE-së dhe me standardet evropiane të tregut të punës dhe të përfshirjes sociale.</w:t>
      </w:r>
    </w:p>
    <w:p w14:paraId="3814E982" w14:textId="77777777" w:rsidR="003B43D4" w:rsidRPr="00CB13F7" w:rsidRDefault="00B53D41" w:rsidP="00BA2B1D">
      <w:pPr>
        <w:spacing w:before="120" w:after="120" w:line="276" w:lineRule="auto"/>
        <w:jc w:val="both"/>
        <w:rPr>
          <w:rFonts w:eastAsia="Times New Roman"/>
        </w:rPr>
      </w:pPr>
      <w:r w:rsidRPr="00CB13F7">
        <w:rPr>
          <w:rFonts w:eastAsia="Times New Roman"/>
        </w:rPr>
        <w:lastRenderedPageBreak/>
        <w:t>D</w:t>
      </w:r>
      <w:r w:rsidR="003B43D4" w:rsidRPr="00CB13F7">
        <w:rPr>
          <w:rFonts w:eastAsia="Times New Roman"/>
        </w:rPr>
        <w:t>okumentet ndërkombëtare dhe kombëtare vendosin një parim të përbashkët</w:t>
      </w:r>
      <w:r w:rsidRPr="00CB13F7">
        <w:rPr>
          <w:rFonts w:eastAsia="Times New Roman"/>
        </w:rPr>
        <w:t>, i cili thekson se</w:t>
      </w:r>
      <w:r w:rsidR="003B43D4" w:rsidRPr="00CB13F7">
        <w:rPr>
          <w:rFonts w:eastAsia="Times New Roman"/>
        </w:rPr>
        <w:t xml:space="preserve"> punësimi i personave me aftësi të kufizuara nuk është një politikë kompensuese, por një e drejtë dhe një detyrim shtetëror. Ai kërkon ndërhyrje të koordinuara në arsim, aftësim, tregun e punës dhe mbrojtje sociale, në mënyrë që personat me aftësi të kufizuara të kenë jo vetëm mundësi teorike, por edhe mundësi reale për punë të denjë dhe pjesëmarrje ekonomike.</w:t>
      </w:r>
    </w:p>
    <w:p w14:paraId="131B417F" w14:textId="074267C7" w:rsidR="00FE56A2" w:rsidRPr="00CB13F7" w:rsidRDefault="00570186" w:rsidP="00BA2B1D">
      <w:pPr>
        <w:spacing w:before="120" w:after="120" w:line="276" w:lineRule="auto"/>
        <w:jc w:val="both"/>
        <w:rPr>
          <w:rFonts w:eastAsia="Times New Roman"/>
          <w:b/>
          <w:bCs/>
        </w:rPr>
      </w:pPr>
      <w:r w:rsidRPr="00CB13F7">
        <w:rPr>
          <w:rFonts w:eastAsia="Times New Roman"/>
          <w:b/>
          <w:bCs/>
        </w:rPr>
        <w:t>4.3.2</w:t>
      </w:r>
      <w:r w:rsidR="0020771A" w:rsidRPr="00CB13F7">
        <w:rPr>
          <w:rFonts w:eastAsia="Times New Roman"/>
          <w:b/>
          <w:bCs/>
        </w:rPr>
        <w:t xml:space="preserve"> </w:t>
      </w:r>
      <w:r w:rsidRPr="00CB13F7">
        <w:rPr>
          <w:rFonts w:eastAsia="Times New Roman"/>
          <w:b/>
          <w:bCs/>
        </w:rPr>
        <w:t>Qëllimi</w:t>
      </w:r>
      <w:r w:rsidR="00B535B6" w:rsidRPr="00CB13F7">
        <w:rPr>
          <w:rFonts w:eastAsia="Times New Roman"/>
          <w:b/>
          <w:bCs/>
        </w:rPr>
        <w:t xml:space="preserve">, objektivat dhe masat prioritare </w:t>
      </w:r>
    </w:p>
    <w:p w14:paraId="17AC5B16" w14:textId="00D44231" w:rsidR="00FE56A2" w:rsidRPr="00CB13F7" w:rsidRDefault="00FE56A2" w:rsidP="00BA2B1D">
      <w:pPr>
        <w:spacing w:before="120" w:after="120" w:line="276" w:lineRule="auto"/>
        <w:jc w:val="both"/>
        <w:rPr>
          <w:rFonts w:eastAsia="Times New Roman"/>
        </w:rPr>
      </w:pPr>
      <w:r w:rsidRPr="00CB13F7">
        <w:rPr>
          <w:rFonts w:eastAsia="Times New Roman"/>
          <w:b/>
          <w:bCs/>
        </w:rPr>
        <w:t xml:space="preserve">Qëllimi i politikës: </w:t>
      </w:r>
      <w:r w:rsidR="00385385" w:rsidRPr="00CB13F7">
        <w:rPr>
          <w:rFonts w:eastAsia="Times New Roman"/>
        </w:rPr>
        <w:t>P</w:t>
      </w:r>
      <w:r w:rsidR="0020771A" w:rsidRPr="00CB13F7">
        <w:rPr>
          <w:rFonts w:eastAsia="Times New Roman"/>
        </w:rPr>
        <w:t xml:space="preserve">ërfshirja </w:t>
      </w:r>
      <w:r w:rsidRPr="00CB13F7">
        <w:rPr>
          <w:rFonts w:eastAsia="Times New Roman"/>
        </w:rPr>
        <w:t xml:space="preserve">e personave me aftësi të kufizuara në baza të barabarta me të tjerët, në një treg dhe mjedis pune të hapur, gjithëpërfshirës dhe të aksesueshëm. </w:t>
      </w:r>
    </w:p>
    <w:p w14:paraId="4A2F2C70" w14:textId="77777777" w:rsidR="00617482" w:rsidRPr="00CB13F7" w:rsidRDefault="00617482" w:rsidP="00BA2B1D">
      <w:pPr>
        <w:spacing w:before="120" w:after="120" w:line="276" w:lineRule="auto"/>
        <w:jc w:val="both"/>
        <w:rPr>
          <w:rFonts w:eastAsia="Times New Roman"/>
        </w:rPr>
      </w:pPr>
      <w:r w:rsidRPr="00CB13F7">
        <w:rPr>
          <w:rFonts w:eastAsia="Times New Roman"/>
        </w:rPr>
        <w:t>P</w:t>
      </w:r>
      <w:r w:rsidR="000D7236" w:rsidRPr="00CB13F7">
        <w:rPr>
          <w:rFonts w:eastAsia="Times New Roman"/>
        </w:rPr>
        <w:t>ë</w:t>
      </w:r>
      <w:r w:rsidRPr="00CB13F7">
        <w:rPr>
          <w:rFonts w:eastAsia="Times New Roman"/>
        </w:rPr>
        <w:t>r t</w:t>
      </w:r>
      <w:r w:rsidR="000D7236" w:rsidRPr="00CB13F7">
        <w:rPr>
          <w:rFonts w:eastAsia="Times New Roman"/>
        </w:rPr>
        <w:t>ë</w:t>
      </w:r>
      <w:r w:rsidRPr="00CB13F7">
        <w:rPr>
          <w:rFonts w:eastAsia="Times New Roman"/>
        </w:rPr>
        <w:t xml:space="preserve"> realizuar q</w:t>
      </w:r>
      <w:r w:rsidR="000D7236" w:rsidRPr="00CB13F7">
        <w:rPr>
          <w:rFonts w:eastAsia="Times New Roman"/>
        </w:rPr>
        <w:t>ë</w:t>
      </w:r>
      <w:r w:rsidRPr="00CB13F7">
        <w:rPr>
          <w:rFonts w:eastAsia="Times New Roman"/>
        </w:rPr>
        <w:t>llimin, plani strukturohet n</w:t>
      </w:r>
      <w:r w:rsidR="000D7236" w:rsidRPr="00CB13F7">
        <w:rPr>
          <w:rFonts w:eastAsia="Times New Roman"/>
        </w:rPr>
        <w:t>ë</w:t>
      </w:r>
      <w:r w:rsidRPr="00CB13F7">
        <w:rPr>
          <w:rFonts w:eastAsia="Times New Roman"/>
        </w:rPr>
        <w:t xml:space="preserve"> 2 objektiva specifik</w:t>
      </w:r>
      <w:r w:rsidR="000D7236" w:rsidRPr="00CB13F7">
        <w:rPr>
          <w:rFonts w:eastAsia="Times New Roman"/>
        </w:rPr>
        <w:t>ë</w:t>
      </w:r>
      <w:r w:rsidRPr="00CB13F7">
        <w:rPr>
          <w:rFonts w:eastAsia="Times New Roman"/>
        </w:rPr>
        <w:t>, 11 masa prioritare dhe 48 nd</w:t>
      </w:r>
      <w:r w:rsidR="000D7236" w:rsidRPr="00CB13F7">
        <w:rPr>
          <w:rFonts w:eastAsia="Times New Roman"/>
        </w:rPr>
        <w:t>ë</w:t>
      </w:r>
      <w:r w:rsidRPr="00CB13F7">
        <w:rPr>
          <w:rFonts w:eastAsia="Times New Roman"/>
        </w:rPr>
        <w:t>rhyrje konkrete t</w:t>
      </w:r>
      <w:r w:rsidR="000D7236" w:rsidRPr="00CB13F7">
        <w:rPr>
          <w:rFonts w:eastAsia="Times New Roman"/>
        </w:rPr>
        <w:t>ë</w:t>
      </w:r>
      <w:r w:rsidRPr="00CB13F7">
        <w:rPr>
          <w:rFonts w:eastAsia="Times New Roman"/>
        </w:rPr>
        <w:t xml:space="preserve"> buxhetuara.</w:t>
      </w:r>
    </w:p>
    <w:p w14:paraId="0EC8AF8A" w14:textId="69FC007B" w:rsidR="003B43D4" w:rsidRPr="00CB13F7" w:rsidRDefault="0C5B1CB2" w:rsidP="661F9D2E">
      <w:pPr>
        <w:spacing w:before="120" w:after="120" w:line="276" w:lineRule="auto"/>
        <w:jc w:val="both"/>
        <w:rPr>
          <w:rFonts w:eastAsia="Times New Roman"/>
          <w:i/>
          <w:iCs/>
        </w:rPr>
      </w:pPr>
      <w:r w:rsidRPr="00CB13F7">
        <w:rPr>
          <w:rFonts w:eastAsia="Times New Roman"/>
          <w:b/>
          <w:bCs/>
          <w:i/>
          <w:iCs/>
        </w:rPr>
        <w:t>Objektivi specifik 1</w:t>
      </w:r>
      <w:r w:rsidR="623CB71B" w:rsidRPr="00CB13F7">
        <w:rPr>
          <w:rFonts w:eastAsia="Times New Roman"/>
          <w:b/>
          <w:bCs/>
          <w:i/>
          <w:iCs/>
        </w:rPr>
        <w:t>:</w:t>
      </w:r>
      <w:r w:rsidR="623CB71B" w:rsidRPr="00CB13F7">
        <w:rPr>
          <w:rFonts w:eastAsia="Times New Roman"/>
          <w:i/>
          <w:iCs/>
        </w:rPr>
        <w:t xml:space="preserve"> </w:t>
      </w:r>
      <w:r w:rsidR="2593B9D3" w:rsidRPr="00CB13F7">
        <w:rPr>
          <w:rFonts w:eastAsia="Times New Roman"/>
          <w:i/>
          <w:iCs/>
        </w:rPr>
        <w:t>N</w:t>
      </w:r>
      <w:r w:rsidR="623CB71B" w:rsidRPr="00CB13F7">
        <w:rPr>
          <w:rFonts w:eastAsia="Times New Roman"/>
          <w:i/>
          <w:iCs/>
        </w:rPr>
        <w:t xml:space="preserve">xitja </w:t>
      </w:r>
      <w:r w:rsidRPr="00CB13F7">
        <w:rPr>
          <w:rFonts w:eastAsia="Times New Roman"/>
          <w:i/>
          <w:iCs/>
        </w:rPr>
        <w:t>e pjesëmarrjes, zgjerimi i aksesit dhe përfitimit të nxënësve dhe kursantëve me aftësi të kufizuara nga programet e arsimit dhe formimit profesional, në përputhje me nevojat e tregut të punës dhe parimet e arsimit gjithëpërfshirës</w:t>
      </w:r>
      <w:r w:rsidR="00385385" w:rsidRPr="00CB13F7">
        <w:rPr>
          <w:rFonts w:eastAsia="Times New Roman"/>
          <w:i/>
          <w:iCs/>
        </w:rPr>
        <w:t>.</w:t>
      </w:r>
      <w:r w:rsidRPr="00CB13F7">
        <w:rPr>
          <w:rFonts w:eastAsia="Times New Roman"/>
          <w:i/>
          <w:iCs/>
        </w:rPr>
        <w:t xml:space="preserve"> </w:t>
      </w:r>
    </w:p>
    <w:p w14:paraId="45E1EA44" w14:textId="77777777" w:rsidR="003B43D4" w:rsidRPr="00CB13F7" w:rsidRDefault="003B43D4" w:rsidP="00BA2B1D">
      <w:pPr>
        <w:spacing w:before="120" w:after="120" w:line="276" w:lineRule="auto"/>
        <w:jc w:val="both"/>
        <w:rPr>
          <w:rFonts w:eastAsia="Times New Roman"/>
          <w:b/>
          <w:bCs/>
          <w:i/>
          <w:iCs/>
        </w:rPr>
      </w:pPr>
      <w:r w:rsidRPr="00CB13F7">
        <w:rPr>
          <w:rFonts w:eastAsia="Times New Roman"/>
          <w:b/>
          <w:bCs/>
          <w:i/>
          <w:iCs/>
        </w:rPr>
        <w:t>Masat prioritare</w:t>
      </w:r>
    </w:p>
    <w:p w14:paraId="06E504AE" w14:textId="3712A2E9" w:rsidR="003B43D4" w:rsidRPr="00CB13F7" w:rsidRDefault="003B43D4" w:rsidP="0041401A">
      <w:pPr>
        <w:pStyle w:val="ListParagraph"/>
        <w:numPr>
          <w:ilvl w:val="1"/>
          <w:numId w:val="26"/>
        </w:numPr>
        <w:spacing w:before="120" w:after="120" w:line="276" w:lineRule="auto"/>
        <w:ind w:left="810" w:hanging="450"/>
        <w:jc w:val="both"/>
        <w:rPr>
          <w:rFonts w:eastAsia="Times New Roman"/>
        </w:rPr>
      </w:pPr>
      <w:r w:rsidRPr="00CB13F7">
        <w:rPr>
          <w:rFonts w:eastAsia="Times New Roman"/>
        </w:rPr>
        <w:t>Përmirësimi i kornizës politike, ligjore dhe institucionale për arsim e formim profesional gjithëpërfshirës</w:t>
      </w:r>
      <w:r w:rsidR="0041401A" w:rsidRPr="00CB13F7">
        <w:rPr>
          <w:rFonts w:eastAsia="Times New Roman"/>
        </w:rPr>
        <w:t>;</w:t>
      </w:r>
    </w:p>
    <w:p w14:paraId="1AF12FC0" w14:textId="77F4B047" w:rsidR="003B43D4" w:rsidRPr="00CB13F7" w:rsidRDefault="003B43D4" w:rsidP="0041401A">
      <w:pPr>
        <w:pStyle w:val="ListParagraph"/>
        <w:numPr>
          <w:ilvl w:val="1"/>
          <w:numId w:val="26"/>
        </w:numPr>
        <w:spacing w:before="120" w:after="120" w:line="276" w:lineRule="auto"/>
        <w:ind w:left="810" w:hanging="450"/>
        <w:jc w:val="both"/>
        <w:rPr>
          <w:rFonts w:eastAsia="Times New Roman"/>
        </w:rPr>
      </w:pPr>
      <w:r w:rsidRPr="00CB13F7">
        <w:rPr>
          <w:rFonts w:eastAsia="Times New Roman"/>
        </w:rPr>
        <w:t>Përmirësimi i infrastrukturës dhe teknologjisë asistive</w:t>
      </w:r>
      <w:r w:rsidR="0041401A" w:rsidRPr="00CB13F7">
        <w:rPr>
          <w:rFonts w:eastAsia="Times New Roman"/>
        </w:rPr>
        <w:t>;</w:t>
      </w:r>
    </w:p>
    <w:p w14:paraId="31C1967E" w14:textId="596F473C" w:rsidR="003B43D4" w:rsidRPr="00CB13F7" w:rsidRDefault="003B43D4" w:rsidP="0041401A">
      <w:pPr>
        <w:pStyle w:val="ListParagraph"/>
        <w:numPr>
          <w:ilvl w:val="1"/>
          <w:numId w:val="26"/>
        </w:numPr>
        <w:spacing w:before="120" w:after="120" w:line="276" w:lineRule="auto"/>
        <w:ind w:left="810" w:hanging="450"/>
        <w:jc w:val="both"/>
        <w:rPr>
          <w:rFonts w:eastAsia="Times New Roman"/>
        </w:rPr>
      </w:pPr>
      <w:r w:rsidRPr="00CB13F7">
        <w:rPr>
          <w:rFonts w:eastAsia="Times New Roman"/>
        </w:rPr>
        <w:t>Përshtatja e kurrikulave dhe programeve mësimore</w:t>
      </w:r>
      <w:r w:rsidR="0041401A" w:rsidRPr="00CB13F7">
        <w:rPr>
          <w:rFonts w:eastAsia="Times New Roman"/>
        </w:rPr>
        <w:t>;</w:t>
      </w:r>
    </w:p>
    <w:p w14:paraId="6AB72D06" w14:textId="43663022" w:rsidR="003B43D4" w:rsidRPr="00CB13F7" w:rsidRDefault="003B43D4" w:rsidP="0041401A">
      <w:pPr>
        <w:pStyle w:val="ListParagraph"/>
        <w:numPr>
          <w:ilvl w:val="1"/>
          <w:numId w:val="26"/>
        </w:numPr>
        <w:spacing w:before="120" w:after="120" w:line="276" w:lineRule="auto"/>
        <w:ind w:left="810" w:hanging="450"/>
        <w:jc w:val="both"/>
        <w:rPr>
          <w:rFonts w:eastAsia="Times New Roman"/>
        </w:rPr>
      </w:pPr>
      <w:r w:rsidRPr="00CB13F7">
        <w:rPr>
          <w:rFonts w:eastAsia="Times New Roman"/>
        </w:rPr>
        <w:t>Mbështetja e nxënësve dhe kursantëve me aftësi të kufizuara</w:t>
      </w:r>
      <w:r w:rsidR="0041401A" w:rsidRPr="00CB13F7">
        <w:rPr>
          <w:rFonts w:eastAsia="Times New Roman"/>
        </w:rPr>
        <w:t>;</w:t>
      </w:r>
    </w:p>
    <w:p w14:paraId="10472370" w14:textId="6B264A1B" w:rsidR="003B43D4" w:rsidRPr="00CB13F7" w:rsidRDefault="003B43D4" w:rsidP="0041401A">
      <w:pPr>
        <w:pStyle w:val="ListParagraph"/>
        <w:numPr>
          <w:ilvl w:val="1"/>
          <w:numId w:val="26"/>
        </w:numPr>
        <w:spacing w:before="120" w:after="120" w:line="276" w:lineRule="auto"/>
        <w:ind w:left="810" w:hanging="450"/>
        <w:jc w:val="both"/>
        <w:rPr>
          <w:rFonts w:eastAsia="Times New Roman"/>
        </w:rPr>
      </w:pPr>
      <w:r w:rsidRPr="00CB13F7">
        <w:rPr>
          <w:rFonts w:eastAsia="Times New Roman"/>
        </w:rPr>
        <w:t>Bashkëpunimi me sektorin privat dhe tregun e punës</w:t>
      </w:r>
      <w:r w:rsidR="0041401A" w:rsidRPr="00CB13F7">
        <w:rPr>
          <w:rFonts w:eastAsia="Times New Roman"/>
        </w:rPr>
        <w:t>;</w:t>
      </w:r>
    </w:p>
    <w:p w14:paraId="14273484" w14:textId="0CCFAB41" w:rsidR="003B43D4" w:rsidRPr="00CB13F7" w:rsidRDefault="003B43D4" w:rsidP="0041401A">
      <w:pPr>
        <w:pStyle w:val="ListParagraph"/>
        <w:numPr>
          <w:ilvl w:val="1"/>
          <w:numId w:val="26"/>
        </w:numPr>
        <w:spacing w:before="120" w:after="120" w:line="276" w:lineRule="auto"/>
        <w:ind w:left="810" w:hanging="450"/>
        <w:jc w:val="both"/>
        <w:rPr>
          <w:rFonts w:eastAsia="Times New Roman"/>
        </w:rPr>
      </w:pPr>
      <w:r w:rsidRPr="00CB13F7">
        <w:rPr>
          <w:rFonts w:eastAsia="Times New Roman"/>
        </w:rPr>
        <w:t>Monitorimi, vlerësimi dhe administrimi i të dhënave</w:t>
      </w:r>
      <w:r w:rsidR="0041401A" w:rsidRPr="00CB13F7">
        <w:rPr>
          <w:rFonts w:eastAsia="Times New Roman"/>
        </w:rPr>
        <w:t>.</w:t>
      </w:r>
    </w:p>
    <w:p w14:paraId="3F16619A" w14:textId="4C127DAA" w:rsidR="003B43D4" w:rsidRPr="00CB13F7" w:rsidRDefault="7150E16E" w:rsidP="00BA2B1D">
      <w:pPr>
        <w:spacing w:before="120" w:after="120" w:line="276" w:lineRule="auto"/>
        <w:jc w:val="both"/>
        <w:rPr>
          <w:rFonts w:eastAsia="Times New Roman"/>
        </w:rPr>
      </w:pPr>
      <w:r w:rsidRPr="00CB13F7">
        <w:rPr>
          <w:rFonts w:eastAsia="Times New Roman"/>
        </w:rPr>
        <w:t>Gjatë periudhës 2026</w:t>
      </w:r>
      <w:r w:rsidR="623CB71B" w:rsidRPr="00CB13F7">
        <w:rPr>
          <w:rFonts w:eastAsia="Times New Roman"/>
        </w:rPr>
        <w:t>-</w:t>
      </w:r>
      <w:r w:rsidRPr="00CB13F7">
        <w:rPr>
          <w:rFonts w:eastAsia="Times New Roman"/>
        </w:rPr>
        <w:t xml:space="preserve">2030, </w:t>
      </w:r>
      <w:r w:rsidR="623CB71B" w:rsidRPr="00CB13F7">
        <w:rPr>
          <w:rFonts w:eastAsia="Times New Roman"/>
        </w:rPr>
        <w:t xml:space="preserve">Plani </w:t>
      </w:r>
      <w:r w:rsidRPr="00CB13F7">
        <w:rPr>
          <w:rFonts w:eastAsia="Times New Roman"/>
        </w:rPr>
        <w:t xml:space="preserve">i </w:t>
      </w:r>
      <w:r w:rsidR="623CB71B" w:rsidRPr="00CB13F7">
        <w:rPr>
          <w:rFonts w:eastAsia="Times New Roman"/>
        </w:rPr>
        <w:t xml:space="preserve">Veprimit </w:t>
      </w:r>
      <w:r w:rsidRPr="00CB13F7">
        <w:rPr>
          <w:rFonts w:eastAsia="Times New Roman"/>
        </w:rPr>
        <w:t xml:space="preserve">synon </w:t>
      </w:r>
      <w:r w:rsidR="3FB6A13A" w:rsidRPr="00CB13F7">
        <w:rPr>
          <w:rFonts w:eastAsia="Times New Roman"/>
        </w:rPr>
        <w:t>ngritjen</w:t>
      </w:r>
      <w:r w:rsidRPr="00CB13F7">
        <w:rPr>
          <w:rFonts w:eastAsia="Times New Roman"/>
        </w:rPr>
        <w:t xml:space="preserve"> një sistem të arsimit dhe formimit profesional (AFP) </w:t>
      </w:r>
      <w:r w:rsidR="3FB6A13A" w:rsidRPr="00CB13F7">
        <w:rPr>
          <w:rFonts w:eastAsia="Times New Roman"/>
        </w:rPr>
        <w:t>funksional dhe gjithëpërfshirës, i cili garanton përfshirjen efektive të personave me aftësi të kufizuara dhe krijon ura konkrete drejt punësimit.</w:t>
      </w:r>
      <w:r w:rsidR="3DD41B1E" w:rsidRPr="00CB13F7">
        <w:rPr>
          <w:rFonts w:eastAsia="Times New Roman"/>
        </w:rPr>
        <w:t xml:space="preserve"> </w:t>
      </w:r>
      <w:r w:rsidRPr="00CB13F7">
        <w:rPr>
          <w:rFonts w:eastAsia="Times New Roman"/>
        </w:rPr>
        <w:t>Qasja nuk kufizohet në regjistrimin formal në një shkollë profesionale apo qendër formimi, por synon të krijojë një zinxhir të plotë përfshirjeje: nga hyrja në sistem, cilësia e formimit, mbështetja individuale gjatë studimit dhe deri te lidhja me tregun e punës.</w:t>
      </w:r>
    </w:p>
    <w:p w14:paraId="58AB2CE2" w14:textId="564F1954" w:rsidR="003B43D4" w:rsidRPr="00CB13F7" w:rsidRDefault="003B43D4" w:rsidP="00BA2B1D">
      <w:pPr>
        <w:spacing w:before="120" w:after="120" w:line="276" w:lineRule="auto"/>
        <w:jc w:val="both"/>
        <w:rPr>
          <w:rFonts w:eastAsia="Times New Roman"/>
        </w:rPr>
      </w:pPr>
      <w:r w:rsidRPr="00CB13F7">
        <w:rPr>
          <w:rFonts w:eastAsia="Times New Roman"/>
        </w:rPr>
        <w:t xml:space="preserve">Së pari, </w:t>
      </w:r>
      <w:r w:rsidR="00A25F94" w:rsidRPr="00CB13F7">
        <w:rPr>
          <w:rFonts w:eastAsia="Times New Roman"/>
        </w:rPr>
        <w:t xml:space="preserve">Plani </w:t>
      </w:r>
      <w:r w:rsidRPr="00CB13F7">
        <w:rPr>
          <w:rFonts w:eastAsia="Times New Roman"/>
        </w:rPr>
        <w:t xml:space="preserve">ndërhyn në nivel strukturor dhe ligjor. Do të rishikohen </w:t>
      </w:r>
      <w:r w:rsidR="00A25F94" w:rsidRPr="00CB13F7">
        <w:rPr>
          <w:rFonts w:eastAsia="Times New Roman"/>
        </w:rPr>
        <w:t xml:space="preserve">Ligji </w:t>
      </w:r>
      <w:r w:rsidRPr="00CB13F7">
        <w:rPr>
          <w:rFonts w:eastAsia="Times New Roman"/>
        </w:rPr>
        <w:t xml:space="preserve">për </w:t>
      </w:r>
      <w:r w:rsidR="00A25F94" w:rsidRPr="00CB13F7">
        <w:rPr>
          <w:rFonts w:eastAsia="Times New Roman"/>
        </w:rPr>
        <w:t xml:space="preserve">Arsimin </w:t>
      </w:r>
      <w:r w:rsidRPr="00CB13F7">
        <w:rPr>
          <w:rFonts w:eastAsia="Times New Roman"/>
        </w:rPr>
        <w:t xml:space="preserve">dhe </w:t>
      </w:r>
      <w:r w:rsidR="00A25F94" w:rsidRPr="00CB13F7">
        <w:rPr>
          <w:rFonts w:eastAsia="Times New Roman"/>
        </w:rPr>
        <w:t xml:space="preserve">Formimin Profesional </w:t>
      </w:r>
      <w:r w:rsidRPr="00CB13F7">
        <w:rPr>
          <w:rFonts w:eastAsia="Times New Roman"/>
        </w:rPr>
        <w:t xml:space="preserve">dhe ai për </w:t>
      </w:r>
      <w:r w:rsidR="00A25F94" w:rsidRPr="00CB13F7">
        <w:rPr>
          <w:rFonts w:eastAsia="Times New Roman"/>
        </w:rPr>
        <w:t xml:space="preserve">Arsimin Parauniversitar </w:t>
      </w:r>
      <w:r w:rsidRPr="00CB13F7">
        <w:rPr>
          <w:rFonts w:eastAsia="Times New Roman"/>
        </w:rPr>
        <w:t>për të garantuar një sistem gjithëpërfshirës</w:t>
      </w:r>
      <w:r w:rsidR="00A25F94" w:rsidRPr="00CB13F7">
        <w:rPr>
          <w:rFonts w:eastAsia="Times New Roman"/>
        </w:rPr>
        <w:t xml:space="preserve">. Ndërsa </w:t>
      </w:r>
      <w:r w:rsidRPr="00CB13F7">
        <w:rPr>
          <w:rFonts w:eastAsia="Times New Roman"/>
        </w:rPr>
        <w:t>në politikat e punësimit do të përfshihen programe rehabilitimi, formimi dhe të mësuarit gjatë gjithë jetës për personat me aftësi të kufizuara. Paralelisht do të forcohen mekanizmat e cilësisë: udhëzime të përbashkëta institucionale, standarde të reja për akreditimin dhe inspektimin e ofruesve të AFP-së, si dhe zhvillimi profesional i mësimdhënësve, përfshirë mësuesit mbështetës. Njësitë e zhvillimit në institucionet e AFP-së do të konsolidohen për t’iu përgjigjur nevojave të nxënësve me aftësi të kufizuara dhe do të krijohen rrjete bashkëpunimi mes institucioneve për shkëmbim praktikash.</w:t>
      </w:r>
    </w:p>
    <w:p w14:paraId="39E5AF12" w14:textId="432430C3" w:rsidR="003B43D4" w:rsidRPr="00CB13F7" w:rsidRDefault="7150E16E" w:rsidP="661F9D2E">
      <w:pPr>
        <w:spacing w:before="120" w:after="120" w:line="276" w:lineRule="auto"/>
        <w:jc w:val="both"/>
        <w:rPr>
          <w:rFonts w:eastAsia="Times New Roman"/>
        </w:rPr>
      </w:pPr>
      <w:r w:rsidRPr="00CB13F7">
        <w:rPr>
          <w:rFonts w:eastAsia="Times New Roman"/>
        </w:rPr>
        <w:lastRenderedPageBreak/>
        <w:t xml:space="preserve">Një </w:t>
      </w:r>
      <w:r w:rsidR="0B77264D" w:rsidRPr="00CB13F7">
        <w:rPr>
          <w:rFonts w:eastAsia="Times New Roman"/>
        </w:rPr>
        <w:t xml:space="preserve">element </w:t>
      </w:r>
      <w:r w:rsidRPr="00CB13F7">
        <w:rPr>
          <w:rFonts w:eastAsia="Times New Roman"/>
        </w:rPr>
        <w:t xml:space="preserve">i rëndësishëm është krijimi i mjediseve të aksesueshme. Institucionet e AFP-së do të pajisen me teknologji asistive dhe pajisje ndihmëse, si lexues ekrani, tastiera të përshtatura dhe programe mbështetëse. Do të sigurohet akses fizik dhe digjital në shkollat profesionale dhe qendrat e formimit profesional, përfshirë laboratorët e teknologjisë së informacionit dhe aftësive të gjelbra. Plani parashikon edhe zhvillimin e platformave </w:t>
      </w:r>
      <w:r w:rsidR="2C2ABC20" w:rsidRPr="00CB13F7">
        <w:rPr>
          <w:rFonts w:eastAsia="Times New Roman"/>
        </w:rPr>
        <w:t>digjitale</w:t>
      </w:r>
      <w:r w:rsidRPr="00CB13F7">
        <w:rPr>
          <w:rFonts w:eastAsia="Times New Roman"/>
        </w:rPr>
        <w:t xml:space="preserve"> dhe mësimit të kombinuar, me informacion në formate alternative, për të garantuar mundësi të barabarta për të rinjtë dhe të rriturit me aftësi të kufizuara.</w:t>
      </w:r>
    </w:p>
    <w:p w14:paraId="3B7A1EA1" w14:textId="77777777" w:rsidR="003B43D4" w:rsidRPr="00CB13F7" w:rsidRDefault="003B43D4" w:rsidP="00BA2B1D">
      <w:pPr>
        <w:spacing w:before="120" w:after="120" w:line="276" w:lineRule="auto"/>
        <w:jc w:val="both"/>
        <w:rPr>
          <w:rFonts w:eastAsia="Times New Roman"/>
        </w:rPr>
      </w:pPr>
      <w:r w:rsidRPr="00CB13F7">
        <w:rPr>
          <w:rFonts w:eastAsia="Times New Roman"/>
        </w:rPr>
        <w:t>Një tjetër shtyllë është përshtatja e përmbajtjes së mësimit. Kurrikulat ekzistuese do të rishikohen për të integruar parimet e dizajnit universal për të nxënit, ndërsa do të zhvillohen module të reja, përfshirë ato digjitale dhe të ekonomisë së gjelbër, të përshtatura për tipologji të ndryshme të aftësisë së kufizuar. Materialet didaktike do të ofrohen në formate të aksesueshme</w:t>
      </w:r>
      <w:r w:rsidR="00C16801" w:rsidRPr="00CB13F7">
        <w:rPr>
          <w:rFonts w:eastAsia="Times New Roman"/>
        </w:rPr>
        <w:t xml:space="preserve">, </w:t>
      </w:r>
      <w:r w:rsidRPr="00CB13F7">
        <w:rPr>
          <w:rFonts w:eastAsia="Times New Roman"/>
        </w:rPr>
        <w:t>Braille, audio, gjuhë e thjeshtuar, gjuhë e shenjave dhe titra</w:t>
      </w:r>
      <w:r w:rsidR="00C16801" w:rsidRPr="00CB13F7">
        <w:rPr>
          <w:rFonts w:eastAsia="Times New Roman"/>
        </w:rPr>
        <w:t xml:space="preserve">, </w:t>
      </w:r>
      <w:r w:rsidRPr="00CB13F7">
        <w:rPr>
          <w:rFonts w:eastAsia="Times New Roman"/>
        </w:rPr>
        <w:t>dhe mësuesit do të trajnohen për përdorimin e teknologjisë asistive në procesin mësimor.</w:t>
      </w:r>
    </w:p>
    <w:p w14:paraId="56F5DF34" w14:textId="77777777" w:rsidR="003B43D4" w:rsidRPr="00CB13F7" w:rsidRDefault="003B43D4" w:rsidP="00BA2B1D">
      <w:pPr>
        <w:spacing w:before="120" w:after="120" w:line="276" w:lineRule="auto"/>
        <w:jc w:val="both"/>
        <w:rPr>
          <w:rFonts w:eastAsia="Times New Roman"/>
        </w:rPr>
      </w:pPr>
      <w:r w:rsidRPr="00CB13F7">
        <w:rPr>
          <w:rFonts w:eastAsia="Times New Roman"/>
        </w:rPr>
        <w:t>Plani parashikon edhe mbështetje të drejtpërdrejtë për nxënësit dhe kursantët. Do të identifikohen nevojat individuale dhe do të hartohen plane individuale të të nxënit, do të ofrohet këshillim profesional dhe orientim në karrierë i personalizuar, si dhe mbështetje financiare përmes bursave, transportit dhe pajisjeve personale. Do të forcohet bashkëpunimi mes shkollës, familjes dhe komunitetit dhe do të përfshihen bizneset në praktika profesionale të përshtatura.</w:t>
      </w:r>
    </w:p>
    <w:p w14:paraId="3180AA21" w14:textId="77777777" w:rsidR="003B43D4" w:rsidRPr="00CB13F7" w:rsidRDefault="003B43D4" w:rsidP="00BA2B1D">
      <w:pPr>
        <w:spacing w:before="120" w:after="120" w:line="276" w:lineRule="auto"/>
        <w:jc w:val="both"/>
        <w:rPr>
          <w:rFonts w:eastAsia="Times New Roman"/>
        </w:rPr>
      </w:pPr>
      <w:r w:rsidRPr="00CB13F7">
        <w:rPr>
          <w:rFonts w:eastAsia="Times New Roman"/>
        </w:rPr>
        <w:t xml:space="preserve">Një element thelbësor i objektivit është lidhja e drejtpërdrejtë me punësimin. Plani parashikon partneritete me kompanitë, programe </w:t>
      </w:r>
      <w:r w:rsidR="00C16801" w:rsidRPr="00CB13F7">
        <w:rPr>
          <w:rFonts w:eastAsia="Times New Roman"/>
        </w:rPr>
        <w:t>t</w:t>
      </w:r>
      <w:r w:rsidR="00753C46" w:rsidRPr="00CB13F7">
        <w:rPr>
          <w:rFonts w:eastAsia="Times New Roman"/>
        </w:rPr>
        <w:t>ë</w:t>
      </w:r>
      <w:r w:rsidR="00C16801" w:rsidRPr="00CB13F7">
        <w:rPr>
          <w:rFonts w:eastAsia="Times New Roman"/>
        </w:rPr>
        <w:t xml:space="preserve"> </w:t>
      </w:r>
      <w:r w:rsidRPr="00CB13F7">
        <w:rPr>
          <w:rFonts w:eastAsia="Times New Roman"/>
        </w:rPr>
        <w:t>praktik</w:t>
      </w:r>
      <w:r w:rsidR="00C16801" w:rsidRPr="00CB13F7">
        <w:rPr>
          <w:rFonts w:eastAsia="Times New Roman"/>
        </w:rPr>
        <w:t>ave</w:t>
      </w:r>
      <w:r w:rsidRPr="00CB13F7">
        <w:rPr>
          <w:rFonts w:eastAsia="Times New Roman"/>
        </w:rPr>
        <w:t xml:space="preserve"> të asistuara dhe sensibilizim të punëdhënësve mbi potencialin e punësimit gjithëpërfshirës. Certifikimi i aftësive, përfshirë ato digjitale dhe të gjelbra, do të standardizohet në mënyrë që kualifikimet e fituara të kenë vlerë reale në tregun e punës.</w:t>
      </w:r>
    </w:p>
    <w:p w14:paraId="300B7E78" w14:textId="0AFAC090" w:rsidR="003B43D4" w:rsidRPr="00CB13F7" w:rsidRDefault="003B43D4" w:rsidP="00BA2B1D">
      <w:pPr>
        <w:spacing w:before="120" w:after="120" w:line="276" w:lineRule="auto"/>
        <w:jc w:val="both"/>
        <w:rPr>
          <w:rFonts w:eastAsia="Times New Roman"/>
        </w:rPr>
      </w:pPr>
      <w:r w:rsidRPr="00CB13F7">
        <w:rPr>
          <w:rFonts w:eastAsia="Times New Roman"/>
        </w:rPr>
        <w:t xml:space="preserve">Së fundi, objektivi mbështetet në monitorim të vazhdueshëm dhe përdorim të të dhënave. Do të mblidhen statistika të ndara sipas </w:t>
      </w:r>
      <w:r w:rsidR="00045869" w:rsidRPr="00CB13F7">
        <w:rPr>
          <w:rFonts w:eastAsia="Times New Roman"/>
        </w:rPr>
        <w:t xml:space="preserve">kategorisë </w:t>
      </w:r>
      <w:r w:rsidRPr="00CB13F7">
        <w:rPr>
          <w:rFonts w:eastAsia="Times New Roman"/>
        </w:rPr>
        <w:t>të aftësisë së kufizuar, gjinisë dhe moshës, do të vendosen tregues performance për pjesëmarrjen, përfundimin dhe punësimin dhe politikat do të rishikohen mbi bazë evidence. Organizatat e personave me aftësi të kufizuara do të përfshihen në projekte pilot, trajnime dhe hartim udhëzuesish praktikë.</w:t>
      </w:r>
    </w:p>
    <w:p w14:paraId="43FF8A33" w14:textId="155CF276" w:rsidR="003B43D4" w:rsidRPr="00CB13F7" w:rsidRDefault="00184AFC" w:rsidP="00BA2B1D">
      <w:pPr>
        <w:spacing w:before="120" w:after="120" w:line="276" w:lineRule="auto"/>
        <w:jc w:val="both"/>
        <w:rPr>
          <w:rFonts w:eastAsia="Times New Roman"/>
        </w:rPr>
      </w:pPr>
      <w:r w:rsidRPr="00CB13F7">
        <w:rPr>
          <w:rFonts w:eastAsia="Times New Roman"/>
        </w:rPr>
        <w:t>K</w:t>
      </w:r>
      <w:r w:rsidR="003B43D4" w:rsidRPr="00CB13F7">
        <w:rPr>
          <w:rFonts w:eastAsia="Times New Roman"/>
        </w:rPr>
        <w:t>y objektiv</w:t>
      </w:r>
      <w:r w:rsidR="00045869" w:rsidRPr="00CB13F7">
        <w:rPr>
          <w:rFonts w:eastAsia="Times New Roman"/>
        </w:rPr>
        <w:t>,</w:t>
      </w:r>
      <w:r w:rsidR="003B43D4" w:rsidRPr="00CB13F7">
        <w:rPr>
          <w:rFonts w:eastAsia="Times New Roman"/>
        </w:rPr>
        <w:t xml:space="preserve"> synon të krijojë një rrugë të plotë tranzicioni nga arsimi në punë, ku arsimi dhe formimi profesional nuk janë një fazë e izoluar, por një instrument konkret për integrimin ekonomik dhe social të personave me aftësi të kufizuara.</w:t>
      </w:r>
    </w:p>
    <w:p w14:paraId="3D65A0BE" w14:textId="5E6F8C7E" w:rsidR="003B43D4" w:rsidRPr="00CB13F7" w:rsidRDefault="7150E16E" w:rsidP="00BA2B1D">
      <w:pPr>
        <w:spacing w:before="120" w:after="120" w:line="276" w:lineRule="auto"/>
        <w:jc w:val="both"/>
        <w:rPr>
          <w:rFonts w:eastAsia="Times New Roman"/>
        </w:rPr>
      </w:pPr>
      <w:r w:rsidRPr="00CB13F7">
        <w:rPr>
          <w:rFonts w:eastAsia="Times New Roman"/>
          <w:b/>
          <w:bCs/>
        </w:rPr>
        <w:t>Objektivi specifik 2</w:t>
      </w:r>
      <w:r w:rsidR="7FA335AA" w:rsidRPr="00CB13F7">
        <w:rPr>
          <w:rFonts w:eastAsia="Times New Roman"/>
          <w:b/>
          <w:bCs/>
        </w:rPr>
        <w:t>:</w:t>
      </w:r>
      <w:r w:rsidR="7FA335AA" w:rsidRPr="00CB13F7">
        <w:rPr>
          <w:rFonts w:eastAsia="Times New Roman"/>
        </w:rPr>
        <w:t xml:space="preserve"> </w:t>
      </w:r>
      <w:r w:rsidR="02D60D26" w:rsidRPr="00CB13F7">
        <w:rPr>
          <w:rFonts w:eastAsia="Times New Roman"/>
        </w:rPr>
        <w:t>Z</w:t>
      </w:r>
      <w:r w:rsidR="7FA335AA" w:rsidRPr="00CB13F7">
        <w:rPr>
          <w:rFonts w:eastAsia="Times New Roman"/>
        </w:rPr>
        <w:t xml:space="preserve">gjerimi </w:t>
      </w:r>
      <w:r w:rsidRPr="00CB13F7">
        <w:rPr>
          <w:rFonts w:eastAsia="Times New Roman"/>
        </w:rPr>
        <w:t>dhe konsolidimi i shërbimeve të punësimit që synojnë fuqizimin ekonomik dhe përfshirjen në tregun e punës të personave me aftësi të kufizuara, përmes konsolidimit të programeve të aftësimit dhe punësimit dhe ngritjes së Fondit Social të Punësimit</w:t>
      </w:r>
      <w:r w:rsidR="7FA335AA" w:rsidRPr="00CB13F7">
        <w:rPr>
          <w:rFonts w:eastAsia="Times New Roman"/>
        </w:rPr>
        <w:t>.</w:t>
      </w:r>
    </w:p>
    <w:p w14:paraId="7ED4672C" w14:textId="77777777" w:rsidR="003B43D4" w:rsidRPr="00CB13F7" w:rsidRDefault="003B43D4" w:rsidP="00BA2B1D">
      <w:pPr>
        <w:spacing w:before="120" w:after="120" w:line="276" w:lineRule="auto"/>
        <w:jc w:val="both"/>
        <w:rPr>
          <w:rFonts w:eastAsia="Times New Roman"/>
          <w:b/>
          <w:bCs/>
          <w:i/>
          <w:iCs/>
        </w:rPr>
      </w:pPr>
      <w:r w:rsidRPr="00CB13F7">
        <w:rPr>
          <w:rFonts w:eastAsia="Times New Roman"/>
          <w:b/>
          <w:bCs/>
          <w:i/>
          <w:iCs/>
        </w:rPr>
        <w:t>Masat prioritare</w:t>
      </w:r>
    </w:p>
    <w:p w14:paraId="3586EE22" w14:textId="5A2F8AEA" w:rsidR="003B43D4" w:rsidRPr="00CB13F7" w:rsidRDefault="003B43D4" w:rsidP="00385385">
      <w:pPr>
        <w:pStyle w:val="ListParagraph"/>
        <w:numPr>
          <w:ilvl w:val="0"/>
          <w:numId w:val="27"/>
        </w:numPr>
        <w:spacing w:before="120" w:after="120" w:line="276" w:lineRule="auto"/>
        <w:ind w:left="360"/>
        <w:jc w:val="both"/>
        <w:rPr>
          <w:rFonts w:eastAsia="Times New Roman"/>
        </w:rPr>
      </w:pPr>
      <w:r w:rsidRPr="00CB13F7">
        <w:rPr>
          <w:rFonts w:eastAsia="Times New Roman"/>
        </w:rPr>
        <w:t>Plotësimi i kuadrit ligjor dhe institucional për të nxitur punësimin e punëkërkuesve me aftësi të kufizuara</w:t>
      </w:r>
      <w:r w:rsidR="00A91197" w:rsidRPr="00CB13F7">
        <w:rPr>
          <w:rFonts w:eastAsia="Times New Roman"/>
        </w:rPr>
        <w:t>;</w:t>
      </w:r>
    </w:p>
    <w:p w14:paraId="146A5E74" w14:textId="5B4D838B" w:rsidR="003B43D4" w:rsidRPr="00CB13F7" w:rsidRDefault="7150E16E" w:rsidP="00385385">
      <w:pPr>
        <w:pStyle w:val="ListParagraph"/>
        <w:numPr>
          <w:ilvl w:val="0"/>
          <w:numId w:val="27"/>
        </w:numPr>
        <w:spacing w:before="120" w:after="120" w:line="276" w:lineRule="auto"/>
        <w:ind w:left="360"/>
        <w:jc w:val="both"/>
        <w:rPr>
          <w:rFonts w:eastAsia="Times New Roman"/>
        </w:rPr>
      </w:pPr>
      <w:r w:rsidRPr="00CB13F7">
        <w:rPr>
          <w:rFonts w:eastAsia="Times New Roman"/>
        </w:rPr>
        <w:lastRenderedPageBreak/>
        <w:t>Përmirësimi i aksesueshmërisë dhe kapaciteteve institucionale të AKPA-s</w:t>
      </w:r>
      <w:r w:rsidR="004B03EF" w:rsidRPr="00CB13F7">
        <w:rPr>
          <w:rFonts w:eastAsia="Times New Roman"/>
        </w:rPr>
        <w:t>ë</w:t>
      </w:r>
      <w:r w:rsidRPr="00CB13F7">
        <w:rPr>
          <w:rFonts w:eastAsia="Times New Roman"/>
        </w:rPr>
        <w:t xml:space="preserve"> dhe zyrave të punësimit</w:t>
      </w:r>
      <w:r w:rsidR="327F2C91" w:rsidRPr="00CB13F7">
        <w:rPr>
          <w:rFonts w:eastAsia="Times New Roman"/>
        </w:rPr>
        <w:t>;</w:t>
      </w:r>
    </w:p>
    <w:p w14:paraId="4FB64249" w14:textId="796C5122" w:rsidR="003B43D4" w:rsidRPr="00CB13F7" w:rsidRDefault="003B43D4" w:rsidP="00385385">
      <w:pPr>
        <w:pStyle w:val="ListParagraph"/>
        <w:numPr>
          <w:ilvl w:val="0"/>
          <w:numId w:val="27"/>
        </w:numPr>
        <w:spacing w:before="120" w:after="120" w:line="276" w:lineRule="auto"/>
        <w:ind w:left="360"/>
        <w:jc w:val="both"/>
        <w:rPr>
          <w:rFonts w:eastAsia="Times New Roman"/>
        </w:rPr>
      </w:pPr>
      <w:r w:rsidRPr="00CB13F7">
        <w:rPr>
          <w:rFonts w:eastAsia="Times New Roman"/>
        </w:rPr>
        <w:t>Përmirësimi i sistemit të vlerësimit</w:t>
      </w:r>
      <w:r w:rsidR="00C16801" w:rsidRPr="00CB13F7">
        <w:rPr>
          <w:rFonts w:eastAsia="Times New Roman"/>
        </w:rPr>
        <w:t xml:space="preserve">, </w:t>
      </w:r>
      <w:r w:rsidRPr="00CB13F7">
        <w:rPr>
          <w:rFonts w:eastAsia="Times New Roman"/>
        </w:rPr>
        <w:t xml:space="preserve">regjistrimit </w:t>
      </w:r>
      <w:r w:rsidR="00C16801" w:rsidRPr="00CB13F7">
        <w:rPr>
          <w:rFonts w:eastAsia="Times New Roman"/>
        </w:rPr>
        <w:t xml:space="preserve">dhe profilizimit </w:t>
      </w:r>
      <w:r w:rsidRPr="00CB13F7">
        <w:rPr>
          <w:rFonts w:eastAsia="Times New Roman"/>
        </w:rPr>
        <w:t>të punëkërkuesve me aftësi të kufizuara</w:t>
      </w:r>
      <w:r w:rsidR="00A91197" w:rsidRPr="00CB13F7">
        <w:rPr>
          <w:rFonts w:eastAsia="Times New Roman"/>
        </w:rPr>
        <w:t>;</w:t>
      </w:r>
    </w:p>
    <w:p w14:paraId="1E19C290" w14:textId="4B71900B" w:rsidR="003B43D4" w:rsidRPr="00CB13F7" w:rsidRDefault="003B43D4" w:rsidP="00385385">
      <w:pPr>
        <w:pStyle w:val="ListParagraph"/>
        <w:numPr>
          <w:ilvl w:val="0"/>
          <w:numId w:val="27"/>
        </w:numPr>
        <w:spacing w:before="120" w:after="120" w:line="276" w:lineRule="auto"/>
        <w:ind w:left="360"/>
        <w:jc w:val="both"/>
        <w:rPr>
          <w:rFonts w:eastAsia="Times New Roman"/>
        </w:rPr>
      </w:pPr>
      <w:r w:rsidRPr="00CB13F7">
        <w:rPr>
          <w:rFonts w:eastAsia="Times New Roman"/>
        </w:rPr>
        <w:t>Konsolidimi dhe zgjerimi i shërbimeve për punëdhënësit dhe punëkërkuesit</w:t>
      </w:r>
      <w:r w:rsidR="00A91197" w:rsidRPr="00CB13F7">
        <w:rPr>
          <w:rFonts w:eastAsia="Times New Roman"/>
        </w:rPr>
        <w:t>;</w:t>
      </w:r>
    </w:p>
    <w:p w14:paraId="5D49D232" w14:textId="5EAFD83A" w:rsidR="003B43D4" w:rsidRPr="00CB13F7" w:rsidRDefault="003B43D4" w:rsidP="00385385">
      <w:pPr>
        <w:pStyle w:val="ListParagraph"/>
        <w:numPr>
          <w:ilvl w:val="0"/>
          <w:numId w:val="27"/>
        </w:numPr>
        <w:spacing w:before="120" w:after="120" w:line="276" w:lineRule="auto"/>
        <w:ind w:left="360"/>
        <w:jc w:val="both"/>
        <w:rPr>
          <w:rFonts w:eastAsia="Times New Roman"/>
        </w:rPr>
      </w:pPr>
      <w:r w:rsidRPr="00CB13F7">
        <w:rPr>
          <w:rFonts w:eastAsia="Times New Roman"/>
        </w:rPr>
        <w:t>Forcimi i qeverisjes, koordinimit dhe monitorimit për punësimin e personave me aftësi të kufizuara</w:t>
      </w:r>
      <w:r w:rsidR="00A91197" w:rsidRPr="00CB13F7">
        <w:rPr>
          <w:rFonts w:eastAsia="Times New Roman"/>
        </w:rPr>
        <w:t>.</w:t>
      </w:r>
    </w:p>
    <w:p w14:paraId="7411B7BB" w14:textId="786DADF0" w:rsidR="003B43D4" w:rsidRPr="00CB13F7" w:rsidRDefault="7150E16E" w:rsidP="00BA2B1D">
      <w:pPr>
        <w:spacing w:before="120" w:after="120" w:line="276" w:lineRule="auto"/>
        <w:jc w:val="both"/>
        <w:rPr>
          <w:rFonts w:eastAsia="Times New Roman"/>
        </w:rPr>
      </w:pPr>
      <w:r w:rsidRPr="00CB13F7">
        <w:rPr>
          <w:rFonts w:eastAsia="Times New Roman"/>
        </w:rPr>
        <w:t>Gjatë periudhës 2026</w:t>
      </w:r>
      <w:r w:rsidR="1E48F6B4" w:rsidRPr="00CB13F7">
        <w:rPr>
          <w:rFonts w:eastAsia="Times New Roman"/>
        </w:rPr>
        <w:t>-</w:t>
      </w:r>
      <w:r w:rsidRPr="00CB13F7">
        <w:rPr>
          <w:rFonts w:eastAsia="Times New Roman"/>
        </w:rPr>
        <w:t xml:space="preserve">2030, </w:t>
      </w:r>
      <w:r w:rsidR="1E48F6B4" w:rsidRPr="00CB13F7">
        <w:rPr>
          <w:rFonts w:eastAsia="Times New Roman"/>
        </w:rPr>
        <w:t xml:space="preserve">Plani </w:t>
      </w:r>
      <w:r w:rsidRPr="00CB13F7">
        <w:rPr>
          <w:rFonts w:eastAsia="Times New Roman"/>
        </w:rPr>
        <w:t xml:space="preserve"> i </w:t>
      </w:r>
      <w:r w:rsidR="1E48F6B4" w:rsidRPr="00CB13F7">
        <w:rPr>
          <w:rFonts w:eastAsia="Times New Roman"/>
        </w:rPr>
        <w:t xml:space="preserve">Veprimit </w:t>
      </w:r>
      <w:r w:rsidRPr="00CB13F7">
        <w:rPr>
          <w:rFonts w:eastAsia="Times New Roman"/>
        </w:rPr>
        <w:t>synon të krijojë një sistem funksional të përfshirjes në tregun e punës për personat me aftësi të kufizuara. Ky objektiv ndërton hallkën që mungon mes arsimit/formimit profesional dhe punësimit real, duke e konsideruar punësimin si proces të vazhdueshëm që përfshin rehabilitimin për punë, ndërmjetësimin, mbështetjen në vendin e punës dhe qëndrueshmërinë në punësim.</w:t>
      </w:r>
    </w:p>
    <w:p w14:paraId="66C26C87" w14:textId="5C583088" w:rsidR="003B43D4" w:rsidRPr="00CB13F7" w:rsidRDefault="0BA8D1FD" w:rsidP="00BA2B1D">
      <w:pPr>
        <w:spacing w:before="120" w:after="120" w:line="276" w:lineRule="auto"/>
        <w:jc w:val="both"/>
        <w:rPr>
          <w:rFonts w:eastAsia="Times New Roman"/>
        </w:rPr>
      </w:pPr>
      <w:r w:rsidRPr="00CB13F7">
        <w:rPr>
          <w:rFonts w:eastAsia="Times New Roman"/>
        </w:rPr>
        <w:t>Së pari</w:t>
      </w:r>
      <w:r w:rsidR="7150E16E" w:rsidRPr="00CB13F7">
        <w:rPr>
          <w:rFonts w:eastAsia="Times New Roman"/>
        </w:rPr>
        <w:t xml:space="preserve">, </w:t>
      </w:r>
      <w:r w:rsidRPr="00CB13F7">
        <w:rPr>
          <w:rFonts w:eastAsia="Times New Roman"/>
        </w:rPr>
        <w:t xml:space="preserve">Plani </w:t>
      </w:r>
      <w:r w:rsidR="7150E16E" w:rsidRPr="00CB13F7">
        <w:rPr>
          <w:rFonts w:eastAsia="Times New Roman"/>
        </w:rPr>
        <w:t xml:space="preserve">parashikon përmirësimin e kuadrit ligjor dhe institucional. Do të rishikohet </w:t>
      </w:r>
      <w:r w:rsidRPr="00CB13F7">
        <w:rPr>
          <w:rFonts w:eastAsia="Times New Roman"/>
        </w:rPr>
        <w:t xml:space="preserve">Ligji </w:t>
      </w:r>
      <w:r w:rsidR="7150E16E" w:rsidRPr="00CB13F7">
        <w:rPr>
          <w:rFonts w:eastAsia="Times New Roman"/>
        </w:rPr>
        <w:t>për</w:t>
      </w:r>
      <w:r w:rsidR="70720F32" w:rsidRPr="00CB13F7">
        <w:rPr>
          <w:rFonts w:eastAsia="Times New Roman"/>
        </w:rPr>
        <w:t xml:space="preserve"> </w:t>
      </w:r>
      <w:r w:rsidRPr="00CB13F7">
        <w:rPr>
          <w:rFonts w:eastAsia="Times New Roman"/>
        </w:rPr>
        <w:t>Nxitjen</w:t>
      </w:r>
      <w:r w:rsidR="7150E16E" w:rsidRPr="00CB13F7">
        <w:rPr>
          <w:rFonts w:eastAsia="Times New Roman"/>
        </w:rPr>
        <w:t xml:space="preserve"> e </w:t>
      </w:r>
      <w:r w:rsidRPr="00CB13F7">
        <w:rPr>
          <w:rFonts w:eastAsia="Times New Roman"/>
        </w:rPr>
        <w:t xml:space="preserve">Punësimit </w:t>
      </w:r>
      <w:r w:rsidR="7150E16E" w:rsidRPr="00CB13F7">
        <w:rPr>
          <w:rFonts w:eastAsia="Times New Roman"/>
        </w:rPr>
        <w:t xml:space="preserve">për të garantuar mekanizma efektivë rehabilitimi për punë dhe punësim të denjë për personat me aftësi të kufizuara. Paralelisht, </w:t>
      </w:r>
      <w:r w:rsidRPr="00CB13F7">
        <w:rPr>
          <w:rFonts w:eastAsia="Times New Roman"/>
        </w:rPr>
        <w:t xml:space="preserve">Ligji për Sigurimet Shoqërore </w:t>
      </w:r>
      <w:r w:rsidR="7150E16E" w:rsidRPr="00CB13F7">
        <w:rPr>
          <w:rFonts w:eastAsia="Times New Roman"/>
        </w:rPr>
        <w:t>do të rregullojë vlerësimin e aftësisë për punë dhe do të sigurojë që mbështetja financiare për kostot e lidhura me aftësinë e kufizuar të mos ndërpritet për shkak të punësimit. Një element thelbësor i reformës do të jetë krijimi dhe operacionalizimi i Fondit Social të Punësimit. Ky fond do të financojë programe aftësimi, punësimi, vetëpunësimi, sipërmarrjeje sociale dhe përshtatje të arsyeshme në vendin e punës, përmes një mekanizmi kontributesh nga punëdhënësit dhe administrimi nga një bord i posaçëm</w:t>
      </w:r>
      <w:r w:rsidR="1B0CF487" w:rsidRPr="00CB13F7">
        <w:rPr>
          <w:rFonts w:eastAsia="Times New Roman"/>
        </w:rPr>
        <w:t>, me p</w:t>
      </w:r>
      <w:r w:rsidR="1D9C28A1" w:rsidRPr="00CB13F7">
        <w:rPr>
          <w:rFonts w:eastAsia="Times New Roman"/>
        </w:rPr>
        <w:t>ë</w:t>
      </w:r>
      <w:r w:rsidR="1B0CF487" w:rsidRPr="00CB13F7">
        <w:rPr>
          <w:rFonts w:eastAsia="Times New Roman"/>
        </w:rPr>
        <w:t>rfaq</w:t>
      </w:r>
      <w:r w:rsidR="1D9C28A1" w:rsidRPr="00CB13F7">
        <w:rPr>
          <w:rFonts w:eastAsia="Times New Roman"/>
        </w:rPr>
        <w:t>ë</w:t>
      </w:r>
      <w:r w:rsidR="1B0CF487" w:rsidRPr="00CB13F7">
        <w:rPr>
          <w:rFonts w:eastAsia="Times New Roman"/>
        </w:rPr>
        <w:t>sim edhe nga organizatat e fush</w:t>
      </w:r>
      <w:r w:rsidR="1D9C28A1" w:rsidRPr="00CB13F7">
        <w:rPr>
          <w:rFonts w:eastAsia="Times New Roman"/>
        </w:rPr>
        <w:t>ë</w:t>
      </w:r>
      <w:r w:rsidR="1B0CF487" w:rsidRPr="00CB13F7">
        <w:rPr>
          <w:rFonts w:eastAsia="Times New Roman"/>
        </w:rPr>
        <w:t>s, me eksperienc</w:t>
      </w:r>
      <w:r w:rsidR="1D9C28A1" w:rsidRPr="00CB13F7">
        <w:rPr>
          <w:rFonts w:eastAsia="Times New Roman"/>
        </w:rPr>
        <w:t>ë</w:t>
      </w:r>
      <w:r w:rsidR="1B0CF487" w:rsidRPr="00CB13F7">
        <w:rPr>
          <w:rFonts w:eastAsia="Times New Roman"/>
        </w:rPr>
        <w:t xml:space="preserve"> n</w:t>
      </w:r>
      <w:r w:rsidR="1D9C28A1" w:rsidRPr="00CB13F7">
        <w:rPr>
          <w:rFonts w:eastAsia="Times New Roman"/>
        </w:rPr>
        <w:t>ë</w:t>
      </w:r>
      <w:r w:rsidR="1B0CF487" w:rsidRPr="00CB13F7">
        <w:rPr>
          <w:rFonts w:eastAsia="Times New Roman"/>
        </w:rPr>
        <w:t xml:space="preserve"> pun</w:t>
      </w:r>
      <w:r w:rsidR="1D9C28A1" w:rsidRPr="00CB13F7">
        <w:rPr>
          <w:rFonts w:eastAsia="Times New Roman"/>
        </w:rPr>
        <w:t>ë</w:t>
      </w:r>
      <w:r w:rsidR="1B0CF487" w:rsidRPr="00CB13F7">
        <w:rPr>
          <w:rFonts w:eastAsia="Times New Roman"/>
        </w:rPr>
        <w:t>sim</w:t>
      </w:r>
      <w:r w:rsidR="7150E16E" w:rsidRPr="00CB13F7">
        <w:rPr>
          <w:rFonts w:eastAsia="Times New Roman"/>
        </w:rPr>
        <w:t>. Në të njëjtën kohë</w:t>
      </w:r>
      <w:r w:rsidR="1B0CF487" w:rsidRPr="00CB13F7">
        <w:rPr>
          <w:rFonts w:eastAsia="Times New Roman"/>
        </w:rPr>
        <w:t>,</w:t>
      </w:r>
      <w:r w:rsidR="7150E16E" w:rsidRPr="00CB13F7">
        <w:rPr>
          <w:rFonts w:eastAsia="Times New Roman"/>
        </w:rPr>
        <w:t xml:space="preserve"> do të zhvillohen udhëzime dhe vendime për zbatimin e programeve aktive të tregut të punës, përfshirë programin e punësimit me mbështetje dhe financimin e përshtatjes së arsyeshme.</w:t>
      </w:r>
    </w:p>
    <w:p w14:paraId="4BCA70F3" w14:textId="77777777" w:rsidR="003B43D4" w:rsidRPr="00CB13F7" w:rsidRDefault="003B43D4" w:rsidP="00BA2B1D">
      <w:pPr>
        <w:spacing w:before="120" w:after="120" w:line="276" w:lineRule="auto"/>
        <w:jc w:val="both"/>
        <w:rPr>
          <w:rFonts w:eastAsia="Times New Roman"/>
        </w:rPr>
      </w:pPr>
      <w:r w:rsidRPr="00CB13F7">
        <w:rPr>
          <w:rFonts w:eastAsia="Times New Roman"/>
        </w:rPr>
        <w:t xml:space="preserve">Një drejtim i rëndësishëm është transformimi i shërbimeve publike të punësimit. </w:t>
      </w:r>
      <w:r w:rsidR="00570186" w:rsidRPr="00CB13F7">
        <w:rPr>
          <w:rFonts w:eastAsia="Times New Roman"/>
        </w:rPr>
        <w:t xml:space="preserve">Zyrat e punësimit do të bëhen të aksesueshme fizikisht dhe në mënyrë digjitale, duke garantuar komunikim dhe informacion të kuptueshëm dhe akomodime të arsyeshme, kur të jetë e nevojshme. </w:t>
      </w:r>
      <w:r w:rsidRPr="00CB13F7">
        <w:rPr>
          <w:rFonts w:eastAsia="Times New Roman"/>
        </w:rPr>
        <w:t>Do të vendosen specialistë të dedikuar për punëkërkuesit me aftësi të kufizuara dhe për punëdhënësit, si dhe do të trajnohen këshilltarë të specializuar për ndërmjetësim profesional dhe mbështetje të vazhdueshme. Modeli i ofrimit të shërbimit do të strukturohet në tre nivele: shërbime universale bazë, ndërmjetësim i avancuar dhe shërbime intensive të personalizuara, përfshirë punësimin me mbështetje.</w:t>
      </w:r>
    </w:p>
    <w:p w14:paraId="305C086C" w14:textId="22B6CD2C" w:rsidR="003B43D4" w:rsidRPr="00CB13F7" w:rsidRDefault="7150E16E" w:rsidP="00BA2B1D">
      <w:pPr>
        <w:spacing w:before="120" w:after="120" w:line="276" w:lineRule="auto"/>
        <w:jc w:val="both"/>
        <w:rPr>
          <w:rFonts w:eastAsia="Times New Roman"/>
        </w:rPr>
      </w:pPr>
      <w:r w:rsidRPr="00CB13F7">
        <w:rPr>
          <w:rFonts w:eastAsia="Times New Roman"/>
        </w:rPr>
        <w:t xml:space="preserve">Plani parashikon edhe përmirësimin e sistemit të vlerësimit të kapaciteteve për punë. Do të ngrihet një sistem profilizimi individual cilësor për punëkërkuesit me aftësi të kufizuara, që merr në konsideratë aftësitë, interesat, aspiratat, nevojat për përshtatje të arsyeshme dhe dimensionin gjinor e moshën. Do të krijohet </w:t>
      </w:r>
      <w:r w:rsidR="4C03538A" w:rsidRPr="00CB13F7">
        <w:rPr>
          <w:rFonts w:eastAsia="Times New Roman"/>
        </w:rPr>
        <w:t xml:space="preserve"> </w:t>
      </w:r>
      <w:r w:rsidRPr="00CB13F7">
        <w:rPr>
          <w:rFonts w:eastAsia="Times New Roman"/>
        </w:rPr>
        <w:t>një sistem digjital ndërmjetësimi i aksesueshëm, i cili lidh automatikisht personin me arsimin dhe formimin profesional, skemat aktive të punësimit dhe tregun e hapur të punës.</w:t>
      </w:r>
    </w:p>
    <w:p w14:paraId="55BBF186" w14:textId="4027C781" w:rsidR="003B43D4" w:rsidRPr="00CB13F7" w:rsidRDefault="7150E16E" w:rsidP="00BA2B1D">
      <w:pPr>
        <w:spacing w:before="120" w:after="120" w:line="276" w:lineRule="auto"/>
        <w:jc w:val="both"/>
        <w:rPr>
          <w:rFonts w:eastAsia="Times New Roman"/>
        </w:rPr>
      </w:pPr>
      <w:r w:rsidRPr="00CB13F7">
        <w:rPr>
          <w:rFonts w:eastAsia="Times New Roman"/>
        </w:rPr>
        <w:t>Një tjetër shtyllë është mbështetja e drejtpërdrejtë për punëdhënësit dhe për punëkërkuesit. Do të përshtaten programet e nxitjes së punësimit</w:t>
      </w:r>
      <w:r w:rsidR="4C03538A" w:rsidRPr="00CB13F7">
        <w:rPr>
          <w:rFonts w:eastAsia="Times New Roman"/>
        </w:rPr>
        <w:t>,</w:t>
      </w:r>
      <w:r w:rsidRPr="00CB13F7">
        <w:rPr>
          <w:rFonts w:eastAsia="Times New Roman"/>
        </w:rPr>
        <w:t xml:space="preserve"> duke garantuar masa prioritare për personat me aftësi </w:t>
      </w:r>
      <w:r w:rsidRPr="00CB13F7">
        <w:rPr>
          <w:rFonts w:eastAsia="Times New Roman"/>
        </w:rPr>
        <w:lastRenderedPageBreak/>
        <w:t>të kufizuara, si subvencionimi i pagave, përshtatja e vendit të punës dhe financimi i pajisjeve ndihmëse. Do të zhvillohen programe të reja, përfshirë punësimin me mbështetje, vetëpunësimin, sipërmarrjen sociale dhe aftësimin në partneritet me aktorë publikë e privatë. Një vëmendje e veçantë do t’i kushtohet tranzicionit nga shkolla në punë për të rinjtë me aftësi të kufizuara, përmes praktikave të asistuara, përfshirjes në Garancinë Rinore dhe mbështetjes për të rinjtë</w:t>
      </w:r>
      <w:r w:rsidR="23A39FDF" w:rsidRPr="00CB13F7">
        <w:rPr>
          <w:rFonts w:eastAsia="Times New Roman"/>
        </w:rPr>
        <w:t xml:space="preserve"> e pa p</w:t>
      </w:r>
      <w:r w:rsidR="004B03EF" w:rsidRPr="00CB13F7">
        <w:rPr>
          <w:rFonts w:eastAsia="Times New Roman"/>
        </w:rPr>
        <w:t>ë</w:t>
      </w:r>
      <w:r w:rsidR="23A39FDF" w:rsidRPr="00CB13F7">
        <w:rPr>
          <w:rFonts w:eastAsia="Times New Roman"/>
        </w:rPr>
        <w:t>rfshir</w:t>
      </w:r>
      <w:r w:rsidR="004B03EF" w:rsidRPr="00CB13F7">
        <w:rPr>
          <w:rFonts w:eastAsia="Times New Roman"/>
        </w:rPr>
        <w:t>ë</w:t>
      </w:r>
      <w:r w:rsidR="23A39FDF" w:rsidRPr="00CB13F7">
        <w:rPr>
          <w:rFonts w:eastAsia="Times New Roman"/>
        </w:rPr>
        <w:t xml:space="preserve"> n</w:t>
      </w:r>
      <w:r w:rsidR="004B03EF" w:rsidRPr="00CB13F7">
        <w:rPr>
          <w:rFonts w:eastAsia="Times New Roman"/>
        </w:rPr>
        <w:t>ë</w:t>
      </w:r>
      <w:r w:rsidR="23A39FDF" w:rsidRPr="00CB13F7">
        <w:rPr>
          <w:rFonts w:eastAsia="Times New Roman"/>
        </w:rPr>
        <w:t xml:space="preserve"> arsim, pun</w:t>
      </w:r>
      <w:r w:rsidR="004B03EF" w:rsidRPr="00CB13F7">
        <w:rPr>
          <w:rFonts w:eastAsia="Times New Roman"/>
        </w:rPr>
        <w:t>ë</w:t>
      </w:r>
      <w:r w:rsidR="23A39FDF" w:rsidRPr="00CB13F7">
        <w:rPr>
          <w:rFonts w:eastAsia="Times New Roman"/>
        </w:rPr>
        <w:t>sim dhe formim profesional</w:t>
      </w:r>
      <w:r w:rsidR="3D7303DB" w:rsidRPr="00CB13F7">
        <w:rPr>
          <w:rFonts w:eastAsia="Times New Roman"/>
        </w:rPr>
        <w:t xml:space="preserve"> </w:t>
      </w:r>
      <w:r w:rsidR="3BA37A63" w:rsidRPr="00CB13F7">
        <w:rPr>
          <w:rFonts w:eastAsia="Times New Roman"/>
        </w:rPr>
        <w:t>(</w:t>
      </w:r>
      <w:r w:rsidRPr="00CB13F7">
        <w:rPr>
          <w:rFonts w:eastAsia="Times New Roman"/>
        </w:rPr>
        <w:t>NEET</w:t>
      </w:r>
      <w:r w:rsidR="1EACA7ED" w:rsidRPr="00CB13F7">
        <w:rPr>
          <w:rFonts w:eastAsia="Times New Roman"/>
        </w:rPr>
        <w:t>)</w:t>
      </w:r>
      <w:r w:rsidRPr="00CB13F7">
        <w:rPr>
          <w:rFonts w:eastAsia="Times New Roman"/>
        </w:rPr>
        <w:t xml:space="preserve">. </w:t>
      </w:r>
      <w:r w:rsidR="12D28AA1" w:rsidRPr="00CB13F7">
        <w:rPr>
          <w:rFonts w:eastAsia="Times New Roman"/>
        </w:rPr>
        <w:t>Gjithasht</w:t>
      </w:r>
      <w:r w:rsidR="69D26596" w:rsidRPr="00CB13F7">
        <w:rPr>
          <w:rFonts w:eastAsia="Times New Roman"/>
        </w:rPr>
        <w:t>u</w:t>
      </w:r>
      <w:r w:rsidR="12D28AA1" w:rsidRPr="00CB13F7">
        <w:rPr>
          <w:rFonts w:eastAsia="Times New Roman"/>
        </w:rPr>
        <w:t xml:space="preserve">, </w:t>
      </w:r>
      <w:r w:rsidRPr="00CB13F7">
        <w:rPr>
          <w:rFonts w:eastAsia="Times New Roman"/>
        </w:rPr>
        <w:t>do të mbështeten punëdhënësit për realizimin e përshtatjes së arsyeshme dhe do të zhvillohen fushata informuese për programet aktive të tregut të punës.</w:t>
      </w:r>
    </w:p>
    <w:p w14:paraId="262D76CD" w14:textId="6C0009E8" w:rsidR="003B43D4" w:rsidRPr="00CB13F7" w:rsidRDefault="003B43D4" w:rsidP="00BA2B1D">
      <w:pPr>
        <w:spacing w:before="120" w:after="120" w:line="276" w:lineRule="auto"/>
        <w:jc w:val="both"/>
        <w:rPr>
          <w:rFonts w:eastAsia="Times New Roman"/>
        </w:rPr>
      </w:pPr>
      <w:r w:rsidRPr="00CB13F7">
        <w:rPr>
          <w:rFonts w:eastAsia="Times New Roman"/>
        </w:rPr>
        <w:t xml:space="preserve">Në fund, </w:t>
      </w:r>
      <w:r w:rsidR="006A4794" w:rsidRPr="00CB13F7">
        <w:rPr>
          <w:rFonts w:eastAsia="Times New Roman"/>
        </w:rPr>
        <w:t xml:space="preserve">Plani </w:t>
      </w:r>
      <w:r w:rsidRPr="00CB13F7">
        <w:rPr>
          <w:rFonts w:eastAsia="Times New Roman"/>
        </w:rPr>
        <w:t>përfshin forcimin e qeverisjes dhe monitorimit. Do të realizohen vlerësime kombëtare për nivelin e punësimit të personave me aftësi të kufizuara në sektorin publik dhe privat, si dhe vlerësime periodike të efekteve të politikave të përfshirjes aktive në tregun e punës, përfshirë lidhjen me sistemin e pagesave të papunësisë. Zbatimi i këtij objektivi do të koordinohet me Strategjinë Kombëtare të Punësimit dhe Aftësive, Strategjinë e Mbrojtjes Sociale dhe Garancinë Rinore, për të siguruar që politikat e aftësimit, mbrojtjes sociale dhe punësimit të funksionojnë si një sistem i vetëm.</w:t>
      </w:r>
    </w:p>
    <w:p w14:paraId="39335723" w14:textId="77777777" w:rsidR="003B43D4" w:rsidRPr="00CB13F7" w:rsidRDefault="00184AFC" w:rsidP="00BA2B1D">
      <w:pPr>
        <w:spacing w:before="120" w:after="120" w:line="276" w:lineRule="auto"/>
        <w:jc w:val="both"/>
        <w:rPr>
          <w:rFonts w:eastAsia="Times New Roman"/>
        </w:rPr>
      </w:pPr>
      <w:r w:rsidRPr="00CB13F7">
        <w:rPr>
          <w:rFonts w:eastAsia="Times New Roman"/>
        </w:rPr>
        <w:t>O</w:t>
      </w:r>
      <w:r w:rsidR="003B43D4" w:rsidRPr="00CB13F7">
        <w:rPr>
          <w:rFonts w:eastAsia="Times New Roman"/>
        </w:rPr>
        <w:t>bjektiv</w:t>
      </w:r>
      <w:r w:rsidRPr="00CB13F7">
        <w:rPr>
          <w:rFonts w:eastAsia="Times New Roman"/>
        </w:rPr>
        <w:t>i 2,</w:t>
      </w:r>
      <w:r w:rsidR="003B43D4" w:rsidRPr="00CB13F7">
        <w:rPr>
          <w:rFonts w:eastAsia="Times New Roman"/>
        </w:rPr>
        <w:t xml:space="preserve"> synon të krijojë një treg pune gjithëpërfshirës, ku personat me aftësi të kufizuara të mos mbeten përfitues pasivë të mbështetjes sociale, por pjesëmarrës aktivë në ekonomi, me mundësi reale për punësim të qëndrueshëm dhe pavarësi ekonomike.</w:t>
      </w:r>
    </w:p>
    <w:p w14:paraId="21B3A909" w14:textId="0CF81CD3" w:rsidR="003B43D4" w:rsidRPr="00CB13F7" w:rsidRDefault="00570186" w:rsidP="00BA2B1D">
      <w:pPr>
        <w:spacing w:before="120" w:after="120" w:line="276" w:lineRule="auto"/>
        <w:jc w:val="both"/>
        <w:rPr>
          <w:rFonts w:eastAsia="Times New Roman"/>
          <w:b/>
          <w:bCs/>
          <w:lang w:eastAsia="en-US"/>
        </w:rPr>
      </w:pPr>
      <w:r w:rsidRPr="00CB13F7">
        <w:rPr>
          <w:rFonts w:eastAsia="Times New Roman"/>
          <w:b/>
          <w:bCs/>
          <w:lang w:eastAsia="en-US"/>
        </w:rPr>
        <w:t>4.4</w:t>
      </w:r>
      <w:r w:rsidR="006A4794" w:rsidRPr="00CB13F7">
        <w:rPr>
          <w:rFonts w:eastAsia="Times New Roman"/>
          <w:b/>
          <w:bCs/>
          <w:lang w:eastAsia="en-US"/>
        </w:rPr>
        <w:t xml:space="preserve"> </w:t>
      </w:r>
      <w:r w:rsidRPr="00CB13F7">
        <w:rPr>
          <w:rFonts w:eastAsia="Times New Roman"/>
          <w:b/>
          <w:bCs/>
          <w:lang w:eastAsia="en-US"/>
        </w:rPr>
        <w:t>Arsimi</w:t>
      </w:r>
      <w:r w:rsidR="003B43D4" w:rsidRPr="00CB13F7">
        <w:rPr>
          <w:rFonts w:eastAsia="Times New Roman"/>
          <w:b/>
          <w:bCs/>
          <w:lang w:eastAsia="en-US"/>
        </w:rPr>
        <w:t xml:space="preserve"> </w:t>
      </w:r>
    </w:p>
    <w:p w14:paraId="04688F7F" w14:textId="25768A45" w:rsidR="00923C0E" w:rsidRPr="00CB13F7" w:rsidRDefault="00570186" w:rsidP="00BA2B1D">
      <w:pPr>
        <w:spacing w:before="120" w:after="120" w:line="276" w:lineRule="auto"/>
        <w:jc w:val="both"/>
        <w:rPr>
          <w:rFonts w:eastAsia="Times New Roman"/>
          <w:b/>
          <w:bCs/>
          <w:lang w:eastAsia="en-US"/>
        </w:rPr>
      </w:pPr>
      <w:r w:rsidRPr="00CB13F7">
        <w:rPr>
          <w:rFonts w:eastAsia="Times New Roman"/>
          <w:b/>
          <w:bCs/>
          <w:lang w:eastAsia="en-US"/>
        </w:rPr>
        <w:t>4.4.1</w:t>
      </w:r>
      <w:r w:rsidR="006A4794" w:rsidRPr="00CB13F7">
        <w:rPr>
          <w:rFonts w:eastAsia="Times New Roman"/>
          <w:b/>
          <w:bCs/>
          <w:lang w:eastAsia="en-US"/>
        </w:rPr>
        <w:t xml:space="preserve"> </w:t>
      </w:r>
      <w:r w:rsidRPr="00CB13F7">
        <w:rPr>
          <w:rFonts w:eastAsia="Times New Roman"/>
          <w:b/>
          <w:bCs/>
          <w:lang w:eastAsia="en-US"/>
        </w:rPr>
        <w:t>Konteksti</w:t>
      </w:r>
      <w:r w:rsidR="00923C0E" w:rsidRPr="00CB13F7">
        <w:rPr>
          <w:rFonts w:eastAsia="Times New Roman"/>
          <w:b/>
          <w:bCs/>
          <w:lang w:eastAsia="en-US"/>
        </w:rPr>
        <w:t xml:space="preserve"> strategjik</w:t>
      </w:r>
    </w:p>
    <w:p w14:paraId="3A55AAB8" w14:textId="5888EC1C"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Kapitulli i arsimit në Planin e ri të Veprimit 2026</w:t>
      </w:r>
      <w:r w:rsidR="006A4794" w:rsidRPr="00CB13F7">
        <w:rPr>
          <w:rFonts w:eastAsia="Times New Roman"/>
          <w:lang w:eastAsia="en-US"/>
        </w:rPr>
        <w:t>-</w:t>
      </w:r>
      <w:r w:rsidRPr="00CB13F7">
        <w:rPr>
          <w:rFonts w:eastAsia="Times New Roman"/>
          <w:lang w:eastAsia="en-US"/>
        </w:rPr>
        <w:t xml:space="preserve">2030 për Personat me Aftësi të Kufizuara ndërtohet mbi një kornizë të qartë ndërkombëtare, evropiane dhe kombëtare, ku arsimi gjithëpërfshirës trajtohet si e drejtë themelore dhe si parakusht për përfshirje shoqërore. Qasja e </w:t>
      </w:r>
      <w:r w:rsidR="006A4794" w:rsidRPr="00CB13F7">
        <w:rPr>
          <w:rFonts w:eastAsia="Times New Roman"/>
          <w:lang w:eastAsia="en-US"/>
        </w:rPr>
        <w:t xml:space="preserve">Planit </w:t>
      </w:r>
      <w:r w:rsidRPr="00CB13F7">
        <w:rPr>
          <w:rFonts w:eastAsia="Times New Roman"/>
          <w:lang w:eastAsia="en-US"/>
        </w:rPr>
        <w:t>synon të ofrojë një udhëzues të konsoliduar për politikëbërjen dhe zbatimin praktik të arsimit gjithëpërfshirës në të gjitha nivelet, nga edukimi i hershëm deri te arsimi i lartë, duke garantuar akses të barabartë, cilësi, mbështetje dhe pjesëmarrje aktive të fëmijëve/nxënësve/</w:t>
      </w:r>
      <w:r w:rsidR="006A4794" w:rsidRPr="00CB13F7">
        <w:rPr>
          <w:rFonts w:eastAsia="Times New Roman"/>
          <w:lang w:eastAsia="en-US"/>
        </w:rPr>
        <w:t xml:space="preserve"> </w:t>
      </w:r>
      <w:r w:rsidRPr="00CB13F7">
        <w:rPr>
          <w:rFonts w:eastAsia="Times New Roman"/>
          <w:lang w:eastAsia="en-US"/>
        </w:rPr>
        <w:t xml:space="preserve">studentëve me aftësi të kufizuara, familjeve dhe shoqërisë civile. </w:t>
      </w:r>
    </w:p>
    <w:p w14:paraId="03831570" w14:textId="3B27F4D6" w:rsidR="003B43D4" w:rsidRPr="00CB13F7" w:rsidRDefault="0C5B1CB2" w:rsidP="661F9D2E">
      <w:pPr>
        <w:spacing w:before="120" w:after="120" w:line="276" w:lineRule="auto"/>
        <w:jc w:val="both"/>
        <w:rPr>
          <w:rFonts w:eastAsia="Times New Roman"/>
          <w:lang w:eastAsia="en-US"/>
        </w:rPr>
      </w:pPr>
      <w:r w:rsidRPr="00CB13F7">
        <w:rPr>
          <w:rFonts w:eastAsia="Times New Roman"/>
          <w:lang w:eastAsia="en-US"/>
        </w:rPr>
        <w:t>Në nivel ndërkombëtar, referenca kryesore është Konventa</w:t>
      </w:r>
      <w:r w:rsidR="12D28AA1" w:rsidRPr="00CB13F7">
        <w:rPr>
          <w:rFonts w:eastAsia="Times New Roman"/>
          <w:lang w:eastAsia="en-US"/>
        </w:rPr>
        <w:t xml:space="preserve"> e OKB-së </w:t>
      </w:r>
      <w:r w:rsidR="00570186" w:rsidRPr="00CB13F7">
        <w:rPr>
          <w:rFonts w:eastAsia="Times New Roman"/>
          <w:vertAlign w:val="superscript"/>
          <w:lang w:eastAsia="en-US"/>
        </w:rPr>
        <w:footnoteReference w:id="46"/>
      </w:r>
      <w:r w:rsidRPr="00CB13F7">
        <w:rPr>
          <w:rFonts w:eastAsia="Times New Roman"/>
          <w:lang w:eastAsia="en-US"/>
        </w:rPr>
        <w:t xml:space="preserve"> për të Drejtat e Personave me Aftësi të Kufizuara (</w:t>
      </w:r>
      <w:r w:rsidR="30614443" w:rsidRPr="00CB13F7">
        <w:rPr>
          <w:rFonts w:eastAsia="Times New Roman"/>
        </w:rPr>
        <w:t xml:space="preserve"> KDPAK</w:t>
      </w:r>
      <w:r w:rsidRPr="00CB13F7">
        <w:rPr>
          <w:rFonts w:eastAsia="Times New Roman"/>
          <w:lang w:eastAsia="en-US"/>
        </w:rPr>
        <w:t>) dhe rekomandimet e Komitetit</w:t>
      </w:r>
      <w:r w:rsidR="12D28AA1" w:rsidRPr="00CB13F7">
        <w:rPr>
          <w:rFonts w:eastAsia="Times New Roman"/>
          <w:lang w:eastAsia="en-US"/>
        </w:rPr>
        <w:t xml:space="preserve"> </w:t>
      </w:r>
      <w:r w:rsidR="4B551346" w:rsidRPr="00CB13F7">
        <w:rPr>
          <w:rFonts w:eastAsia="Times New Roman"/>
        </w:rPr>
        <w:t xml:space="preserve"> KDPAK</w:t>
      </w:r>
      <w:r w:rsidR="12D28AA1" w:rsidRPr="00CB13F7">
        <w:rPr>
          <w:rFonts w:eastAsia="Times New Roman"/>
          <w:vertAlign w:val="superscript"/>
          <w:lang w:eastAsia="en-US"/>
        </w:rPr>
        <w:t xml:space="preserve"> </w:t>
      </w:r>
      <w:r w:rsidR="00570186" w:rsidRPr="00CB13F7">
        <w:rPr>
          <w:rFonts w:eastAsia="Times New Roman"/>
          <w:vertAlign w:val="superscript"/>
          <w:lang w:eastAsia="en-US"/>
        </w:rPr>
        <w:footnoteReference w:id="47"/>
      </w:r>
      <w:r w:rsidRPr="00CB13F7">
        <w:rPr>
          <w:rFonts w:eastAsia="Times New Roman"/>
          <w:lang w:eastAsia="en-US"/>
        </w:rPr>
        <w:t xml:space="preserve">, të cilat kërkojnë arsim gjithëpërfshirës, mosdiskriminim, aksesueshmëri dhe përshtatje të arsyeshme, si dhe mbështetje të individualizuar në mjedise të zakonshme mësimore. </w:t>
      </w:r>
      <w:r w:rsidR="7150E16E" w:rsidRPr="00CB13F7">
        <w:rPr>
          <w:rFonts w:eastAsia="Times New Roman"/>
          <w:lang w:eastAsia="en-US"/>
        </w:rPr>
        <w:t>Kjo linjë harmonizohet me orientimet dhe praktikat më të mira të Bashkimit Evropian, përfshirë Strategjinë</w:t>
      </w:r>
      <w:r w:rsidR="12D28AA1" w:rsidRPr="00CB13F7">
        <w:rPr>
          <w:rFonts w:eastAsia="Times New Roman"/>
          <w:lang w:eastAsia="en-US"/>
        </w:rPr>
        <w:t xml:space="preserve"> BE-së për të Drejtat e Personave me Aftësi të Kufizuara 2021-2030</w:t>
      </w:r>
      <w:r w:rsidR="003B43D4" w:rsidRPr="00CB13F7">
        <w:rPr>
          <w:rFonts w:eastAsia="Times New Roman"/>
          <w:vertAlign w:val="superscript"/>
          <w:lang w:eastAsia="en-US"/>
        </w:rPr>
        <w:footnoteReference w:id="48"/>
      </w:r>
      <w:r w:rsidR="7150E16E" w:rsidRPr="00CB13F7">
        <w:rPr>
          <w:rFonts w:eastAsia="Times New Roman"/>
          <w:lang w:eastAsia="en-US"/>
        </w:rPr>
        <w:t xml:space="preserve">, e cila e lidh përfshirjen arsimore me </w:t>
      </w:r>
      <w:r w:rsidR="7150E16E" w:rsidRPr="00CB13F7">
        <w:rPr>
          <w:rFonts w:eastAsia="Times New Roman"/>
          <w:lang w:eastAsia="en-US"/>
        </w:rPr>
        <w:lastRenderedPageBreak/>
        <w:t>heqjen e barrierave, sigurimin e mbështetjes dhe rritjen e cilësisë së shërbimeve për personat me aftësi të kufizuara.</w:t>
      </w:r>
    </w:p>
    <w:p w14:paraId="062B0220" w14:textId="7D299948" w:rsidR="00923C0E"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Në nivel kombëtar, ky kapitull vendoset në vijimësi me Strategjinë</w:t>
      </w:r>
      <w:r w:rsidR="26CE5262" w:rsidRPr="00CB13F7">
        <w:rPr>
          <w:rFonts w:eastAsia="Times New Roman"/>
          <w:lang w:eastAsia="en-US"/>
        </w:rPr>
        <w:t xml:space="preserve"> Kombëtare për Arsimin 2021-2026</w:t>
      </w:r>
      <w:r w:rsidR="003B43D4" w:rsidRPr="00CB13F7">
        <w:rPr>
          <w:rFonts w:eastAsia="Times New Roman"/>
          <w:vertAlign w:val="superscript"/>
          <w:lang w:eastAsia="en-US"/>
        </w:rPr>
        <w:footnoteReference w:id="49"/>
      </w:r>
      <w:r w:rsidRPr="00CB13F7">
        <w:rPr>
          <w:rFonts w:eastAsia="Times New Roman"/>
          <w:lang w:eastAsia="en-US"/>
        </w:rPr>
        <w:t>, me Strategjinë</w:t>
      </w:r>
      <w:r w:rsidR="26CE5262" w:rsidRPr="00CB13F7">
        <w:rPr>
          <w:rFonts w:eastAsia="Times New Roman"/>
          <w:lang w:eastAsia="en-US"/>
        </w:rPr>
        <w:t xml:space="preserve"> Kombëtare për Zhvillim dhe Integrim (SKZHI) 2030</w:t>
      </w:r>
      <w:r w:rsidR="003B43D4" w:rsidRPr="00CB13F7">
        <w:rPr>
          <w:rFonts w:eastAsia="Times New Roman"/>
          <w:vertAlign w:val="superscript"/>
          <w:lang w:eastAsia="en-US"/>
        </w:rPr>
        <w:footnoteReference w:id="50"/>
      </w:r>
      <w:r w:rsidRPr="00CB13F7">
        <w:rPr>
          <w:rFonts w:eastAsia="Times New Roman"/>
          <w:lang w:eastAsia="en-US"/>
        </w:rPr>
        <w:t xml:space="preserve"> (Shtylla “Kohezioni social”), si edhe me Agjendën</w:t>
      </w:r>
      <w:r w:rsidR="26CE5262" w:rsidRPr="00CB13F7">
        <w:rPr>
          <w:rFonts w:eastAsia="Times New Roman"/>
          <w:lang w:eastAsia="en-US"/>
        </w:rPr>
        <w:t xml:space="preserve"> e Reformave 2024-2027</w:t>
      </w:r>
      <w:r w:rsidR="003B43D4" w:rsidRPr="00CB13F7">
        <w:rPr>
          <w:rFonts w:eastAsia="Times New Roman"/>
          <w:vertAlign w:val="superscript"/>
          <w:lang w:eastAsia="en-US"/>
        </w:rPr>
        <w:footnoteReference w:id="51"/>
      </w:r>
      <w:r w:rsidRPr="00CB13F7">
        <w:rPr>
          <w:rFonts w:eastAsia="Times New Roman"/>
          <w:lang w:eastAsia="en-US"/>
        </w:rPr>
        <w:t xml:space="preserve">, në kuadër të </w:t>
      </w:r>
      <w:r w:rsidR="029FBA20" w:rsidRPr="00CB13F7">
        <w:rPr>
          <w:rFonts w:eastAsia="Times New Roman"/>
          <w:lang w:eastAsia="en-US"/>
        </w:rPr>
        <w:t xml:space="preserve">reformave </w:t>
      </w:r>
      <w:r w:rsidRPr="00CB13F7">
        <w:rPr>
          <w:rFonts w:eastAsia="Times New Roman"/>
          <w:lang w:eastAsia="en-US"/>
        </w:rPr>
        <w:t xml:space="preserve">dhe </w:t>
      </w:r>
      <w:r w:rsidR="029FBA20" w:rsidRPr="00CB13F7">
        <w:rPr>
          <w:rFonts w:eastAsia="Times New Roman"/>
          <w:lang w:eastAsia="en-US"/>
        </w:rPr>
        <w:t xml:space="preserve">lehtësirave </w:t>
      </w:r>
      <w:r w:rsidRPr="00CB13F7">
        <w:rPr>
          <w:rFonts w:eastAsia="Times New Roman"/>
          <w:lang w:eastAsia="en-US"/>
        </w:rPr>
        <w:t xml:space="preserve">të </w:t>
      </w:r>
      <w:r w:rsidR="029FBA20" w:rsidRPr="00CB13F7">
        <w:rPr>
          <w:rFonts w:eastAsia="Times New Roman"/>
          <w:lang w:eastAsia="en-US"/>
        </w:rPr>
        <w:t xml:space="preserve">rritjes </w:t>
      </w:r>
      <w:r w:rsidRPr="00CB13F7">
        <w:rPr>
          <w:rFonts w:eastAsia="Times New Roman"/>
          <w:lang w:eastAsia="en-US"/>
        </w:rPr>
        <w:t>për Ballkanin. Paralelisht, ai lidhet me përmbushjen e standardeve të aksesueshmërisë (përfshirë ato që burojnë nga korniza evropiane si European</w:t>
      </w:r>
      <w:r w:rsidR="029FBA20" w:rsidRPr="00CB13F7">
        <w:rPr>
          <w:rFonts w:eastAsia="Times New Roman"/>
          <w:lang w:eastAsia="en-US"/>
        </w:rPr>
        <w:t xml:space="preserve"> Accessibility Act</w:t>
      </w:r>
      <w:r w:rsidR="003B43D4" w:rsidRPr="00CB13F7">
        <w:rPr>
          <w:rFonts w:eastAsia="Times New Roman"/>
          <w:vertAlign w:val="superscript"/>
          <w:lang w:eastAsia="en-US"/>
        </w:rPr>
        <w:footnoteReference w:id="52"/>
      </w:r>
      <w:r w:rsidRPr="00CB13F7">
        <w:rPr>
          <w:rFonts w:eastAsia="Times New Roman"/>
          <w:lang w:eastAsia="en-US"/>
        </w:rPr>
        <w:t xml:space="preserve"> dhe me Kornizën</w:t>
      </w:r>
      <w:r w:rsidR="029FBA20" w:rsidRPr="00CB13F7">
        <w:rPr>
          <w:rFonts w:eastAsia="Times New Roman"/>
          <w:lang w:eastAsia="en-US"/>
        </w:rPr>
        <w:t xml:space="preserve"> e Zhvillimit Profesional</w:t>
      </w:r>
      <w:r w:rsidR="003B43D4" w:rsidRPr="00CB13F7">
        <w:rPr>
          <w:rFonts w:eastAsia="Times New Roman"/>
          <w:vertAlign w:val="superscript"/>
          <w:lang w:eastAsia="en-US"/>
        </w:rPr>
        <w:footnoteReference w:id="53"/>
      </w:r>
      <w:r w:rsidRPr="00CB13F7">
        <w:rPr>
          <w:rFonts w:eastAsia="Times New Roman"/>
          <w:lang w:eastAsia="en-US"/>
        </w:rPr>
        <w:t xml:space="preserve">, që orienton ngritjen e kapaciteteve të stafit arsimor për arsimin gjithëpërfshirës. </w:t>
      </w:r>
    </w:p>
    <w:p w14:paraId="3AFD48B0" w14:textId="3FEA56D1" w:rsidR="00923C0E" w:rsidRPr="00CB13F7" w:rsidRDefault="002E1CAF" w:rsidP="00BA2B1D">
      <w:pPr>
        <w:spacing w:before="120" w:after="120" w:line="276" w:lineRule="auto"/>
        <w:jc w:val="both"/>
        <w:rPr>
          <w:rFonts w:eastAsia="Times New Roman"/>
          <w:b/>
          <w:bCs/>
        </w:rPr>
      </w:pPr>
      <w:r w:rsidRPr="00CB13F7">
        <w:rPr>
          <w:rFonts w:eastAsia="Times New Roman"/>
          <w:b/>
          <w:bCs/>
        </w:rPr>
        <w:t>4.4.</w:t>
      </w:r>
      <w:r w:rsidR="00923C0E" w:rsidRPr="00CB13F7">
        <w:rPr>
          <w:rFonts w:eastAsia="Times New Roman"/>
          <w:b/>
          <w:bCs/>
        </w:rPr>
        <w:t>2</w:t>
      </w:r>
      <w:r w:rsidR="0058284A" w:rsidRPr="00CB13F7">
        <w:rPr>
          <w:rFonts w:eastAsia="Times New Roman"/>
          <w:b/>
          <w:bCs/>
        </w:rPr>
        <w:t xml:space="preserve"> </w:t>
      </w:r>
      <w:r w:rsidR="00923C0E" w:rsidRPr="00CB13F7">
        <w:rPr>
          <w:rFonts w:eastAsia="Times New Roman"/>
          <w:b/>
          <w:bCs/>
        </w:rPr>
        <w:t xml:space="preserve">Qëllimi, objektivat dhe masat prioritare </w:t>
      </w:r>
    </w:p>
    <w:p w14:paraId="4F6A9D8C" w14:textId="780DFEFA" w:rsidR="00617482" w:rsidRPr="00CB13F7" w:rsidRDefault="00923C0E" w:rsidP="00BA2B1D">
      <w:pPr>
        <w:spacing w:before="120" w:after="120" w:line="276" w:lineRule="auto"/>
        <w:jc w:val="both"/>
        <w:rPr>
          <w:b/>
          <w:bCs/>
        </w:rPr>
      </w:pPr>
      <w:r w:rsidRPr="00CB13F7">
        <w:rPr>
          <w:b/>
          <w:bCs/>
        </w:rPr>
        <w:t xml:space="preserve">Qëllimi i Politikës: </w:t>
      </w:r>
      <w:r w:rsidR="00385385" w:rsidRPr="00CB13F7">
        <w:t>S</w:t>
      </w:r>
      <w:r w:rsidR="0058284A" w:rsidRPr="00CB13F7">
        <w:t xml:space="preserve">igurimi </w:t>
      </w:r>
      <w:r w:rsidRPr="00CB13F7">
        <w:t>i arsimit cilësor dhe gjithëpërfshirës në të gjitha nivelet e sistemit arsimor për fëmijët, nxënësit dhe studentët me aftësi të kufizuara</w:t>
      </w:r>
      <w:r w:rsidR="00617482" w:rsidRPr="00CB13F7">
        <w:rPr>
          <w:b/>
          <w:bCs/>
        </w:rPr>
        <w:t>.</w:t>
      </w:r>
    </w:p>
    <w:p w14:paraId="482AD348" w14:textId="77777777" w:rsidR="00617482" w:rsidRPr="00CB13F7" w:rsidRDefault="00617482" w:rsidP="00BA2B1D">
      <w:pPr>
        <w:spacing w:before="120" w:after="120" w:line="276" w:lineRule="auto"/>
        <w:jc w:val="both"/>
      </w:pPr>
      <w:r w:rsidRPr="00CB13F7">
        <w:t>P</w:t>
      </w:r>
      <w:r w:rsidR="000D7236" w:rsidRPr="00CB13F7">
        <w:t>ë</w:t>
      </w:r>
      <w:r w:rsidRPr="00CB13F7">
        <w:t>r t</w:t>
      </w:r>
      <w:r w:rsidR="000D7236" w:rsidRPr="00CB13F7">
        <w:t>ë</w:t>
      </w:r>
      <w:r w:rsidRPr="00CB13F7">
        <w:t xml:space="preserve"> realizuar q</w:t>
      </w:r>
      <w:r w:rsidR="000D7236" w:rsidRPr="00CB13F7">
        <w:t>ë</w:t>
      </w:r>
      <w:r w:rsidRPr="00CB13F7">
        <w:t>llimin m</w:t>
      </w:r>
      <w:r w:rsidR="000D7236" w:rsidRPr="00CB13F7">
        <w:t>ë</w:t>
      </w:r>
      <w:r w:rsidRPr="00CB13F7">
        <w:t xml:space="preserve"> sip</w:t>
      </w:r>
      <w:r w:rsidR="000D7236" w:rsidRPr="00CB13F7">
        <w:t>ë</w:t>
      </w:r>
      <w:r w:rsidRPr="00CB13F7">
        <w:t>r, plani parashikon 4 objektiva specifik</w:t>
      </w:r>
      <w:r w:rsidR="000D7236" w:rsidRPr="00CB13F7">
        <w:t>ë</w:t>
      </w:r>
      <w:r w:rsidRPr="00CB13F7">
        <w:t>, 15 masa prioritare dhe 45 nd</w:t>
      </w:r>
      <w:r w:rsidR="000D7236" w:rsidRPr="00CB13F7">
        <w:t>ë</w:t>
      </w:r>
      <w:r w:rsidRPr="00CB13F7">
        <w:t>rhyrje konkrete.</w:t>
      </w:r>
    </w:p>
    <w:p w14:paraId="2E222D32" w14:textId="77777777" w:rsidR="00AA5183" w:rsidRPr="00E846DE" w:rsidRDefault="003B43D4" w:rsidP="00AA5183">
      <w:pPr>
        <w:spacing w:before="120" w:after="120" w:line="276" w:lineRule="auto"/>
        <w:jc w:val="both"/>
        <w:rPr>
          <w:rFonts w:eastAsia="Times New Roman"/>
          <w:i/>
          <w:iCs/>
          <w:lang w:eastAsia="en-US"/>
        </w:rPr>
      </w:pPr>
      <w:r w:rsidRPr="00CB13F7">
        <w:rPr>
          <w:rFonts w:eastAsia="Times New Roman"/>
          <w:b/>
          <w:bCs/>
          <w:i/>
          <w:iCs/>
          <w:lang w:eastAsia="en-US"/>
        </w:rPr>
        <w:t>Objektivi 1</w:t>
      </w:r>
      <w:r w:rsidR="0058284A" w:rsidRPr="00CB13F7">
        <w:rPr>
          <w:rFonts w:eastAsia="Times New Roman"/>
          <w:b/>
          <w:bCs/>
          <w:i/>
          <w:iCs/>
          <w:lang w:eastAsia="en-US"/>
        </w:rPr>
        <w:t>:</w:t>
      </w:r>
      <w:r w:rsidR="0058284A" w:rsidRPr="00CB13F7">
        <w:rPr>
          <w:rFonts w:eastAsia="Times New Roman"/>
          <w:b/>
          <w:bCs/>
          <w:lang w:eastAsia="en-US"/>
        </w:rPr>
        <w:t xml:space="preserve"> </w:t>
      </w:r>
      <w:r w:rsidR="00AA5183" w:rsidRPr="00CB13F7">
        <w:rPr>
          <w:rFonts w:eastAsia="Times New Roman"/>
          <w:b/>
          <w:bCs/>
          <w:i/>
          <w:iCs/>
          <w:lang w:eastAsia="en-US"/>
        </w:rPr>
        <w:t>Objektivi 1:</w:t>
      </w:r>
      <w:r w:rsidR="00AA5183" w:rsidRPr="00CB13F7">
        <w:rPr>
          <w:rFonts w:eastAsia="Times New Roman"/>
          <w:b/>
          <w:bCs/>
          <w:lang w:eastAsia="en-US"/>
        </w:rPr>
        <w:t xml:space="preserve"> </w:t>
      </w:r>
      <w:r w:rsidR="00AA5183" w:rsidRPr="00E846DE">
        <w:rPr>
          <w:rFonts w:eastAsia="Times New Roman"/>
          <w:i/>
          <w:iCs/>
          <w:lang w:eastAsia="en-US"/>
        </w:rPr>
        <w:t>Zhvillimi dhe edukimi gjithëpërfshirës i fëmijëve me aftësi të kufizuara në fëmijërinë e hershme dhe arsimin parashkollor duke investuar në infrastrukturë, shërbime mbështetëse dhe zhvillimin profesional të stafit të kopshteve.</w:t>
      </w:r>
    </w:p>
    <w:p w14:paraId="2C7B469E" w14:textId="702C974D"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Masat prioritare </w:t>
      </w:r>
    </w:p>
    <w:p w14:paraId="1050DBEA" w14:textId="09A78235" w:rsidR="003B43D4" w:rsidRPr="00CB13F7" w:rsidRDefault="003B43D4" w:rsidP="00385385">
      <w:pPr>
        <w:pStyle w:val="ListParagraph"/>
        <w:numPr>
          <w:ilvl w:val="1"/>
          <w:numId w:val="30"/>
        </w:numPr>
        <w:spacing w:before="120" w:after="120" w:line="276" w:lineRule="auto"/>
        <w:ind w:left="450" w:hanging="450"/>
        <w:jc w:val="both"/>
        <w:rPr>
          <w:lang w:eastAsia="en-US"/>
        </w:rPr>
      </w:pPr>
      <w:r w:rsidRPr="00CB13F7">
        <w:rPr>
          <w:lang w:eastAsia="en-US"/>
        </w:rPr>
        <w:t>Përmirësimi i kuadrit të politikave dhe qeverisjes për akses të barabartë në edukimin e hershëm</w:t>
      </w:r>
      <w:r w:rsidR="0058284A" w:rsidRPr="00CB13F7">
        <w:rPr>
          <w:lang w:eastAsia="en-US"/>
        </w:rPr>
        <w:t>;</w:t>
      </w:r>
    </w:p>
    <w:p w14:paraId="0911628C" w14:textId="408AD194" w:rsidR="003B43D4" w:rsidRPr="00CB13F7" w:rsidRDefault="003B43D4" w:rsidP="00385385">
      <w:pPr>
        <w:pStyle w:val="ListParagraph"/>
        <w:numPr>
          <w:ilvl w:val="1"/>
          <w:numId w:val="30"/>
        </w:numPr>
        <w:spacing w:before="120" w:after="120" w:line="276" w:lineRule="auto"/>
        <w:ind w:left="450" w:hanging="450"/>
        <w:jc w:val="both"/>
        <w:rPr>
          <w:lang w:eastAsia="en-US"/>
        </w:rPr>
      </w:pPr>
      <w:r w:rsidRPr="00CB13F7">
        <w:rPr>
          <w:lang w:eastAsia="en-US"/>
        </w:rPr>
        <w:t>Infrastrukturë dhe mjedise të aksesueshme, të sigurta dhe miqësore në kopshte/klasa përgatitore</w:t>
      </w:r>
      <w:r w:rsidR="0058284A" w:rsidRPr="00CB13F7">
        <w:rPr>
          <w:lang w:eastAsia="en-US"/>
        </w:rPr>
        <w:t xml:space="preserve">; </w:t>
      </w:r>
    </w:p>
    <w:p w14:paraId="7AFE53B9" w14:textId="07E6F7EF" w:rsidR="003B43D4" w:rsidRPr="00CB13F7" w:rsidRDefault="003B43D4" w:rsidP="00385385">
      <w:pPr>
        <w:pStyle w:val="ListParagraph"/>
        <w:numPr>
          <w:ilvl w:val="1"/>
          <w:numId w:val="30"/>
        </w:numPr>
        <w:spacing w:before="120" w:after="120" w:line="276" w:lineRule="auto"/>
        <w:ind w:left="450" w:hanging="450"/>
        <w:jc w:val="both"/>
        <w:rPr>
          <w:lang w:eastAsia="en-US"/>
        </w:rPr>
      </w:pPr>
      <w:r w:rsidRPr="00CB13F7">
        <w:rPr>
          <w:lang w:eastAsia="en-US"/>
        </w:rPr>
        <w:t xml:space="preserve">Shërbime mbështetëse </w:t>
      </w:r>
      <w:r w:rsidR="00570186" w:rsidRPr="00CB13F7">
        <w:rPr>
          <w:lang w:eastAsia="en-US"/>
        </w:rPr>
        <w:t>shumëdisiplinore</w:t>
      </w:r>
      <w:r w:rsidRPr="00CB13F7">
        <w:rPr>
          <w:lang w:eastAsia="en-US"/>
        </w:rPr>
        <w:t xml:space="preserve"> dhe edukim i individualizuar</w:t>
      </w:r>
      <w:r w:rsidR="0058284A" w:rsidRPr="00CB13F7">
        <w:rPr>
          <w:lang w:eastAsia="en-US"/>
        </w:rPr>
        <w:t xml:space="preserve">; </w:t>
      </w:r>
    </w:p>
    <w:p w14:paraId="09DEC943" w14:textId="4232AFFB" w:rsidR="003B43D4" w:rsidRPr="00CB13F7" w:rsidRDefault="003B43D4" w:rsidP="00385385">
      <w:pPr>
        <w:pStyle w:val="ListParagraph"/>
        <w:numPr>
          <w:ilvl w:val="1"/>
          <w:numId w:val="30"/>
        </w:numPr>
        <w:spacing w:before="120" w:after="120" w:line="276" w:lineRule="auto"/>
        <w:ind w:left="450" w:hanging="450"/>
        <w:jc w:val="both"/>
        <w:rPr>
          <w:lang w:eastAsia="en-US"/>
        </w:rPr>
      </w:pPr>
      <w:r w:rsidRPr="00CB13F7">
        <w:rPr>
          <w:lang w:eastAsia="en-US"/>
        </w:rPr>
        <w:t xml:space="preserve">Zhvillimi i kapaciteteve profesionale dhe sigurimi i cilësisë në edukimin e hershëm gjithëpërfshirës. </w:t>
      </w:r>
    </w:p>
    <w:p w14:paraId="42DBB5C7"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Plani i ri e vendos edukimin e hershëm si pikën e parë ku ndërtohet barazia në arsim: ai synon që fëmijët me aftësi të kufizuara të mos hyjnë “me vonesë” në sistem, por të identifikohen, të referohen dhe të mbështeten që në kopshte dhe klasa përgatitore. Për këtë arsye, ndërhyrjet fillojnë me rishikimin dhe përditësimin e politikave, akteve nënligjore dhe udhëzimeve, me synim heqjen e mangësive dhe krijimin e një baze të qartë të përgjegjësive dhe bashkërendimit ndërmjet arsimit, shëndetësisë dhe mbrojtjes sociale. Në praktikë, kjo do të realizohet përmes forcimit të </w:t>
      </w:r>
      <w:r w:rsidRPr="00CB13F7">
        <w:rPr>
          <w:rFonts w:eastAsia="Times New Roman"/>
          <w:lang w:eastAsia="en-US"/>
        </w:rPr>
        <w:lastRenderedPageBreak/>
        <w:t>mekanizmave ndërinstitucionalë dhe hartimit të udhëzimeve të përbashkëta për identifikim, referim, regjistrim dhe mbështetje të fëmijëve me aftësi të kufizuara në edukimin e hershëm.</w:t>
      </w:r>
    </w:p>
    <w:p w14:paraId="01D9741B" w14:textId="292245F7" w:rsidR="003B43D4" w:rsidRPr="00CB13F7" w:rsidRDefault="00570186" w:rsidP="00BA2B1D">
      <w:pPr>
        <w:spacing w:before="120" w:after="120" w:line="276" w:lineRule="auto"/>
        <w:jc w:val="both"/>
        <w:rPr>
          <w:rFonts w:eastAsia="Times New Roman"/>
          <w:lang w:eastAsia="en-US"/>
        </w:rPr>
      </w:pPr>
      <w:r w:rsidRPr="00CB13F7">
        <w:rPr>
          <w:rFonts w:eastAsia="Times New Roman"/>
          <w:lang w:eastAsia="en-US"/>
        </w:rPr>
        <w:t xml:space="preserve">Paralelisht, </w:t>
      </w:r>
      <w:r w:rsidR="00152BC8" w:rsidRPr="00CB13F7">
        <w:rPr>
          <w:rFonts w:eastAsia="Times New Roman"/>
          <w:lang w:eastAsia="en-US"/>
        </w:rPr>
        <w:t xml:space="preserve">Plani </w:t>
      </w:r>
      <w:r w:rsidRPr="00CB13F7">
        <w:rPr>
          <w:rFonts w:eastAsia="Times New Roman"/>
          <w:lang w:eastAsia="en-US"/>
        </w:rPr>
        <w:t xml:space="preserve">e trajton aksesueshmërinë dhe mjedisin mësimor si kushte minimale për pjesëmarrje: parashikohen investime të planifikuara për përshtatjen e godinave (hyrje, ambiente të brendshme, nyje hidro-sanitare, ambiente loje), sinjalistikë e elemente orientuese (përfshirë kontrastet për fëmijët e verbër), si edhe pajisja me mjete didaktike/lojëra të përshtatura dhe teknologji asistive. </w:t>
      </w:r>
      <w:r w:rsidR="003B43D4" w:rsidRPr="00CB13F7">
        <w:rPr>
          <w:rFonts w:eastAsia="Times New Roman"/>
          <w:lang w:eastAsia="en-US"/>
        </w:rPr>
        <w:t xml:space="preserve">Njëkohësisht, për të ulur barrierat në qëndrime dhe për të rritur pjesëmarrjen reale, </w:t>
      </w:r>
      <w:r w:rsidR="00DE67AE" w:rsidRPr="00CB13F7">
        <w:rPr>
          <w:rFonts w:eastAsia="Times New Roman"/>
          <w:lang w:eastAsia="en-US"/>
        </w:rPr>
        <w:t xml:space="preserve">Plani </w:t>
      </w:r>
      <w:r w:rsidR="003B43D4" w:rsidRPr="00CB13F7">
        <w:rPr>
          <w:rFonts w:eastAsia="Times New Roman"/>
          <w:lang w:eastAsia="en-US"/>
        </w:rPr>
        <w:t>parashikon sesione informuese dhe ndërgjegjësuese me prindërit dhe komunitetin mbi rëndësinë e arsimit parashkollor dhe gjithëpërfshirjen.</w:t>
      </w:r>
    </w:p>
    <w:p w14:paraId="750FCE66" w14:textId="3DB221E9"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Thelbi i cilësisë në këtë objektiv është mbështetja </w:t>
      </w:r>
      <w:r w:rsidR="1AFA2652" w:rsidRPr="00CB13F7">
        <w:rPr>
          <w:rFonts w:eastAsia="Times New Roman"/>
          <w:lang w:eastAsia="en-US"/>
        </w:rPr>
        <w:t>shumëdisiplinore</w:t>
      </w:r>
      <w:r w:rsidRPr="00CB13F7">
        <w:rPr>
          <w:rFonts w:eastAsia="Times New Roman"/>
          <w:lang w:eastAsia="en-US"/>
        </w:rPr>
        <w:t xml:space="preserve"> dhe individualizimi. </w:t>
      </w:r>
      <w:r w:rsidR="1AFA2652" w:rsidRPr="00CB13F7">
        <w:rPr>
          <w:rFonts w:eastAsia="Times New Roman"/>
          <w:lang w:eastAsia="en-US"/>
        </w:rPr>
        <w:t xml:space="preserve">Plani synon rritjen </w:t>
      </w:r>
      <w:r w:rsidR="26F5E114" w:rsidRPr="00CB13F7">
        <w:rPr>
          <w:rFonts w:eastAsia="Times New Roman"/>
          <w:lang w:eastAsia="en-US"/>
        </w:rPr>
        <w:t xml:space="preserve">e numrit të </w:t>
      </w:r>
      <w:r w:rsidR="1AFA2652" w:rsidRPr="00CB13F7">
        <w:rPr>
          <w:rFonts w:eastAsia="Times New Roman"/>
          <w:lang w:eastAsia="en-US"/>
        </w:rPr>
        <w:t>mësuesve ndihmës dhe të specialistëve (psikologë, logopedë, t</w:t>
      </w:r>
      <w:r w:rsidR="7C126E46" w:rsidRPr="00CB13F7">
        <w:rPr>
          <w:rFonts w:eastAsia="Times New Roman"/>
          <w:lang w:eastAsia="en-US"/>
        </w:rPr>
        <w:t>e</w:t>
      </w:r>
      <w:r w:rsidR="1AFA2652" w:rsidRPr="00CB13F7">
        <w:rPr>
          <w:rFonts w:eastAsia="Times New Roman"/>
          <w:lang w:eastAsia="en-US"/>
        </w:rPr>
        <w:t xml:space="preserve">rapist zhvillimi, punonjës socialë), krijimin/forcimin e hapësirave zhvillimore dhe hartimin e Planeve Individuale të Zhvillimit dhe Edukimit, me monitorim periodik të progresit dhe përshtatje të ndërhyrjeve sipas nevojave. </w:t>
      </w:r>
      <w:r w:rsidRPr="00CB13F7">
        <w:rPr>
          <w:rFonts w:eastAsia="Times New Roman"/>
          <w:lang w:eastAsia="en-US"/>
        </w:rPr>
        <w:t xml:space="preserve">Për të rritur pjesëmarrjen, parashikohet edhe ofrimi i transportit falas, i orientuar nga vlerësime kombëtare dhe buxhetim. Në të njëjtën kohë, </w:t>
      </w:r>
      <w:r w:rsidR="0D855615" w:rsidRPr="00CB13F7">
        <w:rPr>
          <w:rFonts w:eastAsia="Times New Roman"/>
          <w:lang w:eastAsia="en-US"/>
        </w:rPr>
        <w:t xml:space="preserve">Plani </w:t>
      </w:r>
      <w:r w:rsidRPr="00CB13F7">
        <w:rPr>
          <w:rFonts w:eastAsia="Times New Roman"/>
          <w:lang w:eastAsia="en-US"/>
        </w:rPr>
        <w:t>e lidh suksesin e arsimit gjithëpërfshirës me kapacitetet e stafit: do të zhvillohen programe të detyrueshme trajnimi fillestar dhe të vazhdueshëm për edukatorët dhe mësuesit mbështetës, mbështetje për rrjetet profesionale, si dhe programe për prindërit për të forcuar bashkëpunimin familje</w:t>
      </w:r>
      <w:r w:rsidR="0D855615" w:rsidRPr="00CB13F7">
        <w:rPr>
          <w:rFonts w:eastAsia="Times New Roman"/>
          <w:lang w:eastAsia="en-US"/>
        </w:rPr>
        <w:t>-</w:t>
      </w:r>
      <w:r w:rsidRPr="00CB13F7">
        <w:rPr>
          <w:rFonts w:eastAsia="Times New Roman"/>
          <w:lang w:eastAsia="en-US"/>
        </w:rPr>
        <w:t xml:space="preserve">institucion dhe për të siguruar cilësi të qëndrueshme. </w:t>
      </w:r>
    </w:p>
    <w:p w14:paraId="651231DE" w14:textId="77777777" w:rsidR="00AA5183" w:rsidRPr="00E846DE" w:rsidRDefault="003B43D4" w:rsidP="00AA5183">
      <w:pPr>
        <w:spacing w:before="120" w:after="120" w:line="276" w:lineRule="auto"/>
        <w:jc w:val="both"/>
        <w:rPr>
          <w:rFonts w:eastAsia="Times New Roman"/>
          <w:b/>
          <w:bCs/>
          <w:i/>
          <w:iCs/>
          <w:lang w:eastAsia="en-US"/>
        </w:rPr>
      </w:pPr>
      <w:r w:rsidRPr="00CB13F7">
        <w:rPr>
          <w:rFonts w:eastAsia="Times New Roman"/>
          <w:b/>
          <w:bCs/>
          <w:lang w:eastAsia="en-US"/>
        </w:rPr>
        <w:t>Objektivi 2</w:t>
      </w:r>
      <w:r w:rsidR="00C33027" w:rsidRPr="00CB13F7">
        <w:rPr>
          <w:rFonts w:eastAsia="Times New Roman"/>
          <w:b/>
          <w:bCs/>
          <w:lang w:eastAsia="en-US"/>
        </w:rPr>
        <w:t xml:space="preserve">: </w:t>
      </w:r>
      <w:r w:rsidR="00AA5183" w:rsidRPr="00E846DE">
        <w:rPr>
          <w:rFonts w:eastAsia="Times New Roman"/>
          <w:i/>
          <w:iCs/>
          <w:lang w:eastAsia="en-US"/>
        </w:rPr>
        <w:t>Arsim parauniversitar gjithëpërfshirës, cilësor dhe i barabartë p</w:t>
      </w:r>
      <w:r w:rsidR="00AA5183">
        <w:rPr>
          <w:rFonts w:eastAsia="Times New Roman"/>
          <w:i/>
          <w:iCs/>
          <w:lang w:eastAsia="en-US"/>
        </w:rPr>
        <w:t>ë</w:t>
      </w:r>
      <w:r w:rsidR="00AA5183" w:rsidRPr="00E846DE">
        <w:rPr>
          <w:rFonts w:eastAsia="Times New Roman"/>
          <w:i/>
          <w:iCs/>
          <w:lang w:eastAsia="en-US"/>
        </w:rPr>
        <w:t>r nx</w:t>
      </w:r>
      <w:r w:rsidR="00AA5183">
        <w:rPr>
          <w:rFonts w:eastAsia="Times New Roman"/>
          <w:i/>
          <w:iCs/>
          <w:lang w:eastAsia="en-US"/>
        </w:rPr>
        <w:t>ë</w:t>
      </w:r>
      <w:r w:rsidR="00AA5183" w:rsidRPr="00E846DE">
        <w:rPr>
          <w:rFonts w:eastAsia="Times New Roman"/>
          <w:i/>
          <w:iCs/>
          <w:lang w:eastAsia="en-US"/>
        </w:rPr>
        <w:t>n</w:t>
      </w:r>
      <w:r w:rsidR="00AA5183">
        <w:rPr>
          <w:rFonts w:eastAsia="Times New Roman"/>
          <w:i/>
          <w:iCs/>
          <w:lang w:eastAsia="en-US"/>
        </w:rPr>
        <w:t>ë</w:t>
      </w:r>
      <w:r w:rsidR="00AA5183" w:rsidRPr="00E846DE">
        <w:rPr>
          <w:rFonts w:eastAsia="Times New Roman"/>
          <w:i/>
          <w:iCs/>
          <w:lang w:eastAsia="en-US"/>
        </w:rPr>
        <w:t>sit me aft</w:t>
      </w:r>
      <w:r w:rsidR="00AA5183">
        <w:rPr>
          <w:rFonts w:eastAsia="Times New Roman"/>
          <w:i/>
          <w:iCs/>
          <w:lang w:eastAsia="en-US"/>
        </w:rPr>
        <w:t>ë</w:t>
      </w:r>
      <w:r w:rsidR="00AA5183" w:rsidRPr="00E846DE">
        <w:rPr>
          <w:rFonts w:eastAsia="Times New Roman"/>
          <w:i/>
          <w:iCs/>
          <w:lang w:eastAsia="en-US"/>
        </w:rPr>
        <w:t>si t</w:t>
      </w:r>
      <w:r w:rsidR="00AA5183">
        <w:rPr>
          <w:rFonts w:eastAsia="Times New Roman"/>
          <w:i/>
          <w:iCs/>
          <w:lang w:eastAsia="en-US"/>
        </w:rPr>
        <w:t>ë</w:t>
      </w:r>
      <w:r w:rsidR="00AA5183" w:rsidRPr="00E846DE">
        <w:rPr>
          <w:rFonts w:eastAsia="Times New Roman"/>
          <w:i/>
          <w:iCs/>
          <w:lang w:eastAsia="en-US"/>
        </w:rPr>
        <w:t xml:space="preserve"> kufizuara.</w:t>
      </w:r>
    </w:p>
    <w:p w14:paraId="6EDFCB11" w14:textId="060FFF0C"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Masat prioritare </w:t>
      </w:r>
    </w:p>
    <w:p w14:paraId="1A7E404B" w14:textId="5BD4AA6F" w:rsidR="003B43D4" w:rsidRPr="00CB13F7" w:rsidRDefault="003B43D4" w:rsidP="00385385">
      <w:pPr>
        <w:pStyle w:val="ListParagraph"/>
        <w:numPr>
          <w:ilvl w:val="0"/>
          <w:numId w:val="31"/>
        </w:numPr>
        <w:spacing w:before="120" w:after="120" w:line="276" w:lineRule="auto"/>
        <w:ind w:left="450"/>
        <w:jc w:val="both"/>
        <w:rPr>
          <w:lang w:eastAsia="en-US"/>
        </w:rPr>
      </w:pPr>
      <w:r w:rsidRPr="00CB13F7">
        <w:rPr>
          <w:lang w:eastAsia="en-US"/>
        </w:rPr>
        <w:t>Kuadër ligjor, institucional dhe mekanizma qeverisjeje për arsimin parauniversitar gjithëpërfshirës</w:t>
      </w:r>
      <w:r w:rsidR="00C33027" w:rsidRPr="00CB13F7">
        <w:rPr>
          <w:lang w:eastAsia="en-US"/>
        </w:rPr>
        <w:t xml:space="preserve">; </w:t>
      </w:r>
    </w:p>
    <w:p w14:paraId="78752D1F" w14:textId="48C34AE0" w:rsidR="003B43D4" w:rsidRPr="00CB13F7" w:rsidRDefault="003B43D4" w:rsidP="00385385">
      <w:pPr>
        <w:pStyle w:val="ListParagraph"/>
        <w:numPr>
          <w:ilvl w:val="0"/>
          <w:numId w:val="31"/>
        </w:numPr>
        <w:spacing w:before="120" w:after="120" w:line="276" w:lineRule="auto"/>
        <w:ind w:left="450"/>
        <w:jc w:val="both"/>
        <w:rPr>
          <w:lang w:eastAsia="en-US"/>
        </w:rPr>
      </w:pPr>
      <w:r w:rsidRPr="00CB13F7">
        <w:rPr>
          <w:lang w:eastAsia="en-US"/>
        </w:rPr>
        <w:t xml:space="preserve">Identifikim i hershëm, vlerësim </w:t>
      </w:r>
      <w:r w:rsidR="002B3406" w:rsidRPr="00CB13F7">
        <w:rPr>
          <w:lang w:eastAsia="en-US"/>
        </w:rPr>
        <w:t>ndërdisiplinor</w:t>
      </w:r>
      <w:r w:rsidRPr="00CB13F7">
        <w:rPr>
          <w:lang w:eastAsia="en-US"/>
        </w:rPr>
        <w:t xml:space="preserve"> dhe planifikim i individualizuar</w:t>
      </w:r>
      <w:r w:rsidR="00C33027" w:rsidRPr="00CB13F7">
        <w:rPr>
          <w:lang w:eastAsia="en-US"/>
        </w:rPr>
        <w:t>;</w:t>
      </w:r>
    </w:p>
    <w:p w14:paraId="42510116" w14:textId="071C4D84" w:rsidR="003B43D4" w:rsidRPr="00CB13F7" w:rsidRDefault="003B43D4" w:rsidP="00385385">
      <w:pPr>
        <w:pStyle w:val="ListParagraph"/>
        <w:numPr>
          <w:ilvl w:val="0"/>
          <w:numId w:val="31"/>
        </w:numPr>
        <w:spacing w:before="120" w:after="120" w:line="276" w:lineRule="auto"/>
        <w:ind w:left="450"/>
        <w:jc w:val="both"/>
        <w:rPr>
          <w:lang w:eastAsia="en-US"/>
        </w:rPr>
      </w:pPr>
      <w:r w:rsidRPr="00CB13F7">
        <w:rPr>
          <w:lang w:eastAsia="en-US"/>
        </w:rPr>
        <w:t>Mbështetje profesionale, kurrikulare dhe mjedisore</w:t>
      </w:r>
      <w:r w:rsidR="00C33027" w:rsidRPr="00CB13F7">
        <w:rPr>
          <w:lang w:eastAsia="en-US"/>
        </w:rPr>
        <w:t>;</w:t>
      </w:r>
      <w:r w:rsidRPr="00CB13F7">
        <w:rPr>
          <w:lang w:eastAsia="en-US"/>
        </w:rPr>
        <w:t xml:space="preserve"> </w:t>
      </w:r>
    </w:p>
    <w:p w14:paraId="38A38860" w14:textId="2CEA3540" w:rsidR="003B43D4" w:rsidRPr="00CB13F7" w:rsidRDefault="003B43D4" w:rsidP="00385385">
      <w:pPr>
        <w:pStyle w:val="ListParagraph"/>
        <w:numPr>
          <w:ilvl w:val="0"/>
          <w:numId w:val="31"/>
        </w:numPr>
        <w:spacing w:before="120" w:after="120" w:line="276" w:lineRule="auto"/>
        <w:ind w:left="450"/>
        <w:jc w:val="both"/>
        <w:rPr>
          <w:lang w:eastAsia="en-US"/>
        </w:rPr>
      </w:pPr>
      <w:r w:rsidRPr="00CB13F7">
        <w:rPr>
          <w:lang w:eastAsia="en-US"/>
        </w:rPr>
        <w:t>Zhvillimi i kapaciteteve njerëzore dhe përfshirja e prindërve/komunitetit</w:t>
      </w:r>
      <w:r w:rsidR="00C33027" w:rsidRPr="00CB13F7">
        <w:rPr>
          <w:lang w:eastAsia="en-US"/>
        </w:rPr>
        <w:t xml:space="preserve">. </w:t>
      </w:r>
    </w:p>
    <w:p w14:paraId="74B3AD7A" w14:textId="75CBAF0C"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Në arsimin parauniversitar, </w:t>
      </w:r>
      <w:r w:rsidR="4DC5039E" w:rsidRPr="00CB13F7">
        <w:rPr>
          <w:rFonts w:eastAsia="Times New Roman"/>
          <w:lang w:eastAsia="en-US"/>
        </w:rPr>
        <w:t>Plani synon të kalojë nga një përfshirje formale, e kufizuar në kuadrin rregullator, drejt një përfshirjeje funksionale dhe efektive në praktikë</w:t>
      </w:r>
      <w:r w:rsidRPr="00CB13F7">
        <w:rPr>
          <w:rFonts w:eastAsia="Times New Roman"/>
          <w:lang w:eastAsia="en-US"/>
        </w:rPr>
        <w:t xml:space="preserve">: rregulla të qarta, koordinim ndërsektorial, planifikim individual dhe mbështetje reale në klasë. Fillimisht, do të rishikohen dhe përmirësohen aktet nënligjore dhe udhëzimet për zbatimin e arsimit gjithëpërfshirës, mbi parimet e barazisë dhe mosdiskriminimit. Një element kritik është koordinimi i qëndrueshëm ndërmjet institucioneve përgjegjëse (arsimi dhe shërbimet sociale/shëndetësore), duke formalizuar bashkëpunimin për identifikim dhe vlerësim të integruar të nevojave të nxënësve. Paralelisht, </w:t>
      </w:r>
      <w:r w:rsidR="4DC5039E" w:rsidRPr="00CB13F7">
        <w:rPr>
          <w:rFonts w:eastAsia="Times New Roman"/>
          <w:lang w:eastAsia="en-US"/>
        </w:rPr>
        <w:t xml:space="preserve">Plani </w:t>
      </w:r>
      <w:r w:rsidRPr="00CB13F7">
        <w:rPr>
          <w:rFonts w:eastAsia="Times New Roman"/>
          <w:lang w:eastAsia="en-US"/>
        </w:rPr>
        <w:t>synon të forcojë mekanizmat e monitorimit, raportimit dhe llogaridhënies, duke integruar indikatorë të aksesit (përfshirë dimensionin gjinor dhe tipologjitë e aftësisë së kufizuar), indikatorë të cilësisë, të mbështetjes individuale dhe të rezultateve arsimore.</w:t>
      </w:r>
    </w:p>
    <w:p w14:paraId="2C132306"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lastRenderedPageBreak/>
        <w:t xml:space="preserve">Qasja e individualizuar është boshti i këtij objektivi: parashikohet forcimi i identifikimit të hershëm, rritja e efektivitetit të strukturave vlerësuese pranë niveleve vendore dhe zbatimi i vlerësimit </w:t>
      </w:r>
      <w:r w:rsidR="002B3406" w:rsidRPr="00CB13F7">
        <w:rPr>
          <w:rFonts w:eastAsia="Times New Roman"/>
          <w:lang w:eastAsia="en-US"/>
        </w:rPr>
        <w:t>ndërdisiplinor</w:t>
      </w:r>
      <w:r w:rsidRPr="00CB13F7">
        <w:rPr>
          <w:rFonts w:eastAsia="Times New Roman"/>
          <w:lang w:eastAsia="en-US"/>
        </w:rPr>
        <w:t xml:space="preserve"> të nevojave arsimore, i lidhur me planifikim buxhetor vjetor për akomodimin/përshtatjen e arsyeshme. Në vijim, do të hartohen dhe zbatohen Plane Individuale Arsimore (PEI), me monitorim të rregullt dhe me përfshirje aktive të prindërve përmes takimeve periodike të formalizuara.</w:t>
      </w:r>
    </w:p>
    <w:p w14:paraId="753360D6" w14:textId="75AAB833"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Në nivel të klasës dhe mjedisit mësimor, </w:t>
      </w:r>
      <w:r w:rsidR="00647586" w:rsidRPr="00CB13F7">
        <w:rPr>
          <w:rFonts w:eastAsia="Times New Roman"/>
          <w:lang w:eastAsia="en-US"/>
        </w:rPr>
        <w:t xml:space="preserve">Plani </w:t>
      </w:r>
      <w:r w:rsidRPr="00CB13F7">
        <w:rPr>
          <w:rFonts w:eastAsia="Times New Roman"/>
          <w:lang w:eastAsia="en-US"/>
        </w:rPr>
        <w:t xml:space="preserve">synon të rrisë dhe forcojë rrjetin e mbështetjes: mësues ndihmës, psikologë shkollorë, punonjës socialë dhe specialistë të tjerë, si dhe sigurimin e shërbimeve ndihmëse, pajisjeve dhe teknologjive asistive sipas nevojave individuale. Një </w:t>
      </w:r>
      <w:r w:rsidR="00647586" w:rsidRPr="00CB13F7">
        <w:rPr>
          <w:rFonts w:eastAsia="Times New Roman"/>
          <w:lang w:eastAsia="en-US"/>
        </w:rPr>
        <w:t xml:space="preserve">element </w:t>
      </w:r>
      <w:r w:rsidRPr="00CB13F7">
        <w:rPr>
          <w:rFonts w:eastAsia="Times New Roman"/>
          <w:lang w:eastAsia="en-US"/>
        </w:rPr>
        <w:t>thelbësor është rishikimi/hartimi dhe zbatimi i kurrikulës gjithëpërfshirëse dhe metodologjive fleksibël të mësimdhënies e vlerësimit, duke vendosur në praktikë parimet e Dizajnit Universal për të Nxënit. Gjithashtu, do të përshtaten infrastruktura shkollore, materialet mësimore dhe platformat digjitale për aksesueshmëri fizike, komunikimi dhe informacioni.</w:t>
      </w:r>
    </w:p>
    <w:p w14:paraId="3E6C412A" w14:textId="32A8607F"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Së fundi, për të garantuar cilësi dhe ndryshim kulturor brenda shkollës, plani parashikon programe të detyrueshme zhvillimi profesional për mësuesit, drejtuesit dhe stafin mbështetës për menaxhimin e diversitetit dhe mbështetjen e të nxënit të individualizuar, si edhe forcim të mekanizmave të bashkëpunimit shkollë</w:t>
      </w:r>
      <w:r w:rsidR="00DB0A27" w:rsidRPr="00CB13F7">
        <w:rPr>
          <w:rFonts w:eastAsia="Times New Roman"/>
          <w:lang w:eastAsia="en-US"/>
        </w:rPr>
        <w:t>-</w:t>
      </w:r>
      <w:r w:rsidRPr="00CB13F7">
        <w:rPr>
          <w:rFonts w:eastAsia="Times New Roman"/>
          <w:lang w:eastAsia="en-US"/>
        </w:rPr>
        <w:t>prind</w:t>
      </w:r>
      <w:r w:rsidR="00DB0A27" w:rsidRPr="00CB13F7">
        <w:rPr>
          <w:rFonts w:eastAsia="Times New Roman"/>
          <w:lang w:eastAsia="en-US"/>
        </w:rPr>
        <w:t>-</w:t>
      </w:r>
      <w:r w:rsidRPr="00CB13F7">
        <w:rPr>
          <w:rFonts w:eastAsia="Times New Roman"/>
          <w:lang w:eastAsia="en-US"/>
        </w:rPr>
        <w:t xml:space="preserve">komunitet dhe përfshirje të prindërve në vendimmarrje dhe mirëqenie. </w:t>
      </w:r>
    </w:p>
    <w:p w14:paraId="0AF40472" w14:textId="77777777" w:rsidR="00AA5183" w:rsidRPr="00E846DE" w:rsidRDefault="003B43D4" w:rsidP="00AA5183">
      <w:pPr>
        <w:spacing w:before="120" w:after="120" w:line="276" w:lineRule="auto"/>
        <w:jc w:val="both"/>
        <w:rPr>
          <w:rFonts w:eastAsia="Times New Roman"/>
          <w:b/>
          <w:bCs/>
          <w:i/>
          <w:iCs/>
          <w:lang w:eastAsia="en-US"/>
        </w:rPr>
      </w:pPr>
      <w:r w:rsidRPr="00CB13F7">
        <w:rPr>
          <w:rFonts w:eastAsia="Times New Roman"/>
          <w:b/>
          <w:bCs/>
          <w:lang w:eastAsia="en-US"/>
        </w:rPr>
        <w:t>Objektivi 3</w:t>
      </w:r>
      <w:r w:rsidR="00995623" w:rsidRPr="00CB13F7">
        <w:rPr>
          <w:rFonts w:eastAsia="Times New Roman"/>
          <w:b/>
          <w:bCs/>
          <w:lang w:eastAsia="en-US"/>
        </w:rPr>
        <w:t xml:space="preserve">: </w:t>
      </w:r>
      <w:r w:rsidR="00AA5183" w:rsidRPr="00E846DE">
        <w:rPr>
          <w:rFonts w:eastAsia="Times New Roman"/>
          <w:i/>
          <w:iCs/>
          <w:lang w:eastAsia="en-US"/>
        </w:rPr>
        <w:t>Transformimi/riorganizimi  i shkollave speciale në qendra burimore dhe konsolidimi i rolit dhe veprimtaris</w:t>
      </w:r>
      <w:r w:rsidR="00AA5183">
        <w:rPr>
          <w:rFonts w:eastAsia="Times New Roman"/>
          <w:i/>
          <w:iCs/>
          <w:lang w:eastAsia="en-US"/>
        </w:rPr>
        <w:t>ë</w:t>
      </w:r>
      <w:r w:rsidR="00AA5183" w:rsidRPr="00E846DE">
        <w:rPr>
          <w:rFonts w:eastAsia="Times New Roman"/>
          <w:i/>
          <w:iCs/>
          <w:lang w:eastAsia="en-US"/>
        </w:rPr>
        <w:t xml:space="preserve"> s</w:t>
      </w:r>
      <w:r w:rsidR="00AA5183">
        <w:rPr>
          <w:rFonts w:eastAsia="Times New Roman"/>
          <w:i/>
          <w:iCs/>
          <w:lang w:eastAsia="en-US"/>
        </w:rPr>
        <w:t>ë</w:t>
      </w:r>
      <w:r w:rsidR="00AA5183" w:rsidRPr="00E846DE">
        <w:rPr>
          <w:rFonts w:eastAsia="Times New Roman"/>
          <w:i/>
          <w:iCs/>
          <w:lang w:eastAsia="en-US"/>
        </w:rPr>
        <w:t xml:space="preserve"> tyre.</w:t>
      </w:r>
    </w:p>
    <w:p w14:paraId="3562778F" w14:textId="4E5B2FA0"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r w:rsidR="00385385" w:rsidRPr="00CB13F7">
        <w:rPr>
          <w:rFonts w:eastAsia="Times New Roman"/>
          <w:b/>
          <w:bCs/>
          <w:i/>
          <w:iCs/>
          <w:lang w:eastAsia="en-US"/>
        </w:rPr>
        <w:t>:</w:t>
      </w:r>
      <w:r w:rsidRPr="00CB13F7">
        <w:rPr>
          <w:rFonts w:eastAsia="Times New Roman"/>
          <w:b/>
          <w:bCs/>
          <w:i/>
          <w:iCs/>
          <w:lang w:eastAsia="en-US"/>
        </w:rPr>
        <w:t xml:space="preserve"> </w:t>
      </w:r>
    </w:p>
    <w:p w14:paraId="1D917454" w14:textId="3DC1F499" w:rsidR="003B43D4" w:rsidRPr="00CB13F7" w:rsidRDefault="003B43D4" w:rsidP="00385385">
      <w:pPr>
        <w:pStyle w:val="ListParagraph"/>
        <w:numPr>
          <w:ilvl w:val="1"/>
          <w:numId w:val="33"/>
        </w:numPr>
        <w:tabs>
          <w:tab w:val="left" w:pos="450"/>
        </w:tabs>
        <w:spacing w:before="120" w:after="120" w:line="276" w:lineRule="auto"/>
        <w:ind w:left="360"/>
        <w:jc w:val="both"/>
        <w:rPr>
          <w:lang w:eastAsia="en-US"/>
        </w:rPr>
      </w:pPr>
      <w:r w:rsidRPr="00CB13F7">
        <w:rPr>
          <w:lang w:eastAsia="en-US"/>
        </w:rPr>
        <w:t>Konsolidimi i kuadrit rregullator për qendrat burimore</w:t>
      </w:r>
      <w:r w:rsidR="00995623" w:rsidRPr="00CB13F7">
        <w:rPr>
          <w:lang w:eastAsia="en-US"/>
        </w:rPr>
        <w:t xml:space="preserve">; </w:t>
      </w:r>
    </w:p>
    <w:p w14:paraId="70288A03" w14:textId="0112DFE9" w:rsidR="003B43D4" w:rsidRPr="00CB13F7" w:rsidRDefault="003B43D4" w:rsidP="00385385">
      <w:pPr>
        <w:pStyle w:val="ListParagraph"/>
        <w:numPr>
          <w:ilvl w:val="1"/>
          <w:numId w:val="33"/>
        </w:numPr>
        <w:tabs>
          <w:tab w:val="left" w:pos="450"/>
        </w:tabs>
        <w:spacing w:before="120" w:after="120" w:line="276" w:lineRule="auto"/>
        <w:ind w:left="360"/>
        <w:jc w:val="both"/>
        <w:rPr>
          <w:lang w:eastAsia="en-US"/>
        </w:rPr>
      </w:pPr>
      <w:r w:rsidRPr="00CB13F7">
        <w:rPr>
          <w:lang w:eastAsia="en-US"/>
        </w:rPr>
        <w:t>Akreditimi dhe integrimi i moduleve të trajnimit të qendrave burimore në programet kombëtare të zhvillimit profesional</w:t>
      </w:r>
      <w:r w:rsidR="00995623" w:rsidRPr="00CB13F7">
        <w:rPr>
          <w:lang w:eastAsia="en-US"/>
        </w:rPr>
        <w:t>;</w:t>
      </w:r>
    </w:p>
    <w:p w14:paraId="5E438A93" w14:textId="3434B4B6" w:rsidR="003B43D4" w:rsidRPr="00CB13F7" w:rsidRDefault="003B43D4" w:rsidP="00385385">
      <w:pPr>
        <w:pStyle w:val="ListParagraph"/>
        <w:numPr>
          <w:ilvl w:val="1"/>
          <w:numId w:val="33"/>
        </w:numPr>
        <w:tabs>
          <w:tab w:val="left" w:pos="450"/>
        </w:tabs>
        <w:spacing w:before="120" w:after="120" w:line="276" w:lineRule="auto"/>
        <w:ind w:left="360"/>
        <w:jc w:val="both"/>
        <w:rPr>
          <w:lang w:eastAsia="en-US"/>
        </w:rPr>
      </w:pPr>
      <w:r w:rsidRPr="00CB13F7">
        <w:rPr>
          <w:lang w:eastAsia="en-US"/>
        </w:rPr>
        <w:t>Zgjerimi territorial dhe funksional i shërbimeve të qendrave burimore</w:t>
      </w:r>
      <w:r w:rsidR="00995623" w:rsidRPr="00CB13F7">
        <w:rPr>
          <w:lang w:eastAsia="en-US"/>
        </w:rPr>
        <w:t xml:space="preserve">; </w:t>
      </w:r>
    </w:p>
    <w:p w14:paraId="60282269" w14:textId="65058155" w:rsidR="003B43D4" w:rsidRPr="00CB13F7" w:rsidRDefault="003B43D4" w:rsidP="00385385">
      <w:pPr>
        <w:pStyle w:val="ListParagraph"/>
        <w:numPr>
          <w:ilvl w:val="1"/>
          <w:numId w:val="33"/>
        </w:numPr>
        <w:tabs>
          <w:tab w:val="left" w:pos="450"/>
        </w:tabs>
        <w:spacing w:before="120" w:after="120" w:line="276" w:lineRule="auto"/>
        <w:ind w:left="360"/>
        <w:jc w:val="both"/>
        <w:rPr>
          <w:rFonts w:eastAsia="Times New Roman"/>
          <w:lang w:eastAsia="en-US"/>
        </w:rPr>
      </w:pPr>
      <w:r w:rsidRPr="00CB13F7">
        <w:rPr>
          <w:rFonts w:eastAsia="Times New Roman"/>
          <w:lang w:eastAsia="en-US"/>
        </w:rPr>
        <w:t xml:space="preserve">Monitorimi, vlerësimi dhe sigurimi i cilësisë së funksionimit të qendrave burimore. </w:t>
      </w:r>
    </w:p>
    <w:p w14:paraId="7EBCFD64" w14:textId="71572AFC"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Ky objektiv e ndryshon rolin e shkollave speciale</w:t>
      </w:r>
      <w:r w:rsidR="005C5445" w:rsidRPr="00CB13F7">
        <w:rPr>
          <w:rFonts w:eastAsia="Times New Roman"/>
          <w:lang w:eastAsia="en-US"/>
        </w:rPr>
        <w:t xml:space="preserve"> </w:t>
      </w:r>
      <w:r w:rsidRPr="00CB13F7">
        <w:rPr>
          <w:rFonts w:eastAsia="Times New Roman"/>
          <w:lang w:eastAsia="en-US"/>
        </w:rPr>
        <w:t>nga institucione “të ndara” të edukimit, drejt qendrave burimore që mbështesin sistemin e zakonshëm shkollor me ekspertizë, shërbime, materiale dhe trajnim. Plani parashikon së pari konsolidimin e bazës rregullatore, duke përfshirë ndërhyrje të tilla si unifikimi i Kodit Braille në nivel kombëtar dhe qartësimi i marrëdhënieve institucionale ndërmjet qendrave burimore, strukturave vendore të arsimit dhe institucioneve parauniversitare, në mënyrë që referimi dhe mbështetja të funksionojnë pa boshllëqe.</w:t>
      </w:r>
    </w:p>
    <w:p w14:paraId="3351F112" w14:textId="31697071"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Në vijim, </w:t>
      </w:r>
      <w:r w:rsidR="003A3087" w:rsidRPr="00CB13F7">
        <w:rPr>
          <w:rFonts w:eastAsia="Times New Roman"/>
          <w:lang w:eastAsia="en-US"/>
        </w:rPr>
        <w:t xml:space="preserve">Plani </w:t>
      </w:r>
      <w:r w:rsidRPr="00CB13F7">
        <w:rPr>
          <w:rFonts w:eastAsia="Times New Roman"/>
          <w:lang w:eastAsia="en-US"/>
        </w:rPr>
        <w:t>synon të kthejë produktet e qendrave burimore në standard kombëtar për ngritjen e kapaciteteve</w:t>
      </w:r>
      <w:r w:rsidR="00973AA1" w:rsidRPr="00CB13F7">
        <w:rPr>
          <w:rFonts w:eastAsia="Times New Roman"/>
          <w:lang w:eastAsia="en-US"/>
        </w:rPr>
        <w:t xml:space="preserve">: </w:t>
      </w:r>
      <w:r w:rsidRPr="00CB13F7">
        <w:rPr>
          <w:rFonts w:eastAsia="Times New Roman"/>
          <w:lang w:eastAsia="en-US"/>
        </w:rPr>
        <w:t>përfundim i akreditimit të moduleve të trajnimit, integrim i moduleve të akredituara në programet kombëtare të zhvillimit profesional dhe zgjerim i përdorimit të tyre në trajnimet e detyrueshme për stafin e shkollave të zakonshme. Një hallkë e rëndësishme është edhe forcimi i lidhjes me institucionet e arsimit të lartë, për të krijuar një linjë të qëndrueshme përgatitjeje të specialistëve.</w:t>
      </w:r>
    </w:p>
    <w:p w14:paraId="566DBFB0" w14:textId="14299481"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lastRenderedPageBreak/>
        <w:t xml:space="preserve">Nga ana e shërbimeve, </w:t>
      </w:r>
      <w:r w:rsidR="00973AA1" w:rsidRPr="00CB13F7">
        <w:rPr>
          <w:rFonts w:eastAsia="Times New Roman"/>
          <w:lang w:eastAsia="en-US"/>
        </w:rPr>
        <w:t xml:space="preserve">Plani </w:t>
      </w:r>
      <w:r w:rsidRPr="00CB13F7">
        <w:rPr>
          <w:rFonts w:eastAsia="Times New Roman"/>
          <w:lang w:eastAsia="en-US"/>
        </w:rPr>
        <w:t xml:space="preserve">synon shtrirje territoriale dhe funksionale: zgjerim gradual i shërbimeve mbështetëse dhe rehabilituese në të gjitha qarqet, formalizim të mekanizmave të referimit dhe mbështetjes për nxënësit në shkollat e zakonshme, si edhe zhvillim dhe shpërndarje të materialeve didaktike të specializuara për përdorim kombëtar. Për të garantuar që ky transformim prodhon efekt në cilësi, </w:t>
      </w:r>
      <w:r w:rsidR="009524D7" w:rsidRPr="00CB13F7">
        <w:rPr>
          <w:rFonts w:eastAsia="Times New Roman"/>
          <w:lang w:eastAsia="en-US"/>
        </w:rPr>
        <w:t xml:space="preserve">Plani </w:t>
      </w:r>
      <w:r w:rsidRPr="00CB13F7">
        <w:rPr>
          <w:rFonts w:eastAsia="Times New Roman"/>
          <w:lang w:eastAsia="en-US"/>
        </w:rPr>
        <w:t xml:space="preserve">parashikon një sistem të standardizuar monitorimi dhe raportimi për qendrat burimore, vendosje indikatorësh performance dhe raportim periodik mbi efektivitetin, në mënyrë që gjetjet të përdoren për përmirësim politikash dhe qëndrueshmëri institucionale/financiare. </w:t>
      </w:r>
    </w:p>
    <w:p w14:paraId="4B5FA05F" w14:textId="1C56D18F" w:rsidR="003B43D4" w:rsidRPr="00CB13F7" w:rsidRDefault="003B43D4" w:rsidP="00BA2B1D">
      <w:pPr>
        <w:spacing w:before="120" w:after="120" w:line="276" w:lineRule="auto"/>
        <w:jc w:val="both"/>
        <w:rPr>
          <w:rFonts w:eastAsia="Times New Roman"/>
          <w:b/>
          <w:bCs/>
          <w:lang w:eastAsia="en-US"/>
        </w:rPr>
      </w:pPr>
      <w:r w:rsidRPr="00CB13F7">
        <w:rPr>
          <w:rFonts w:eastAsia="Times New Roman"/>
          <w:b/>
          <w:bCs/>
          <w:lang w:eastAsia="en-US"/>
        </w:rPr>
        <w:t>Objektivi 4</w:t>
      </w:r>
      <w:r w:rsidR="00973AA1" w:rsidRPr="00CB13F7">
        <w:rPr>
          <w:rFonts w:eastAsia="Times New Roman"/>
          <w:b/>
          <w:bCs/>
          <w:lang w:eastAsia="en-US"/>
        </w:rPr>
        <w:t xml:space="preserve">: </w:t>
      </w:r>
      <w:r w:rsidR="00385385" w:rsidRPr="00CB13F7">
        <w:rPr>
          <w:rFonts w:eastAsia="Times New Roman"/>
          <w:i/>
          <w:iCs/>
          <w:lang w:eastAsia="en-US"/>
        </w:rPr>
        <w:t>A</w:t>
      </w:r>
      <w:r w:rsidR="00973AA1" w:rsidRPr="00CB13F7">
        <w:rPr>
          <w:rFonts w:eastAsia="Times New Roman"/>
          <w:i/>
          <w:iCs/>
          <w:lang w:eastAsia="en-US"/>
        </w:rPr>
        <w:t xml:space="preserve">rsim </w:t>
      </w:r>
      <w:r w:rsidRPr="00CB13F7">
        <w:rPr>
          <w:rFonts w:eastAsia="Times New Roman"/>
          <w:i/>
          <w:iCs/>
          <w:lang w:eastAsia="en-US"/>
        </w:rPr>
        <w:t>i lartë gjithëpërfshirës me standarde aksesueshmërie, cilësie dhe mbështetjeje</w:t>
      </w:r>
      <w:r w:rsidR="00973AA1" w:rsidRPr="00CB13F7">
        <w:rPr>
          <w:rFonts w:eastAsia="Times New Roman"/>
          <w:i/>
          <w:iCs/>
          <w:lang w:eastAsia="en-US"/>
        </w:rPr>
        <w:t>.</w:t>
      </w:r>
    </w:p>
    <w:p w14:paraId="2E9849C2"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Masat prioritare </w:t>
      </w:r>
    </w:p>
    <w:p w14:paraId="23526AE0" w14:textId="3506EE0A" w:rsidR="003B43D4" w:rsidRPr="00CB13F7" w:rsidRDefault="003B43D4" w:rsidP="00385385">
      <w:pPr>
        <w:pStyle w:val="ListParagraph"/>
        <w:numPr>
          <w:ilvl w:val="0"/>
          <w:numId w:val="34"/>
        </w:numPr>
        <w:spacing w:before="120" w:after="120" w:line="276" w:lineRule="auto"/>
        <w:ind w:left="360"/>
        <w:jc w:val="both"/>
        <w:rPr>
          <w:lang w:eastAsia="en-US"/>
        </w:rPr>
      </w:pPr>
      <w:r w:rsidRPr="00CB13F7">
        <w:rPr>
          <w:lang w:eastAsia="en-US"/>
        </w:rPr>
        <w:t xml:space="preserve">Kuadër i qëndrueshëm ligjor/institucional dhe mekanizma cilësie për </w:t>
      </w:r>
      <w:r w:rsidR="002B3406" w:rsidRPr="00CB13F7">
        <w:rPr>
          <w:lang w:eastAsia="en-US"/>
        </w:rPr>
        <w:t>mosdiskriminim</w:t>
      </w:r>
      <w:r w:rsidRPr="00CB13F7">
        <w:rPr>
          <w:lang w:eastAsia="en-US"/>
        </w:rPr>
        <w:t xml:space="preserve"> dhe akses të barabartë</w:t>
      </w:r>
      <w:r w:rsidR="009524D7" w:rsidRPr="00CB13F7">
        <w:rPr>
          <w:lang w:eastAsia="en-US"/>
        </w:rPr>
        <w:t>;</w:t>
      </w:r>
    </w:p>
    <w:p w14:paraId="2BDACD39" w14:textId="73A1438D" w:rsidR="003B43D4" w:rsidRPr="00CB13F7" w:rsidRDefault="003B43D4" w:rsidP="00385385">
      <w:pPr>
        <w:pStyle w:val="ListParagraph"/>
        <w:numPr>
          <w:ilvl w:val="0"/>
          <w:numId w:val="34"/>
        </w:numPr>
        <w:spacing w:before="120" w:after="120" w:line="276" w:lineRule="auto"/>
        <w:ind w:left="360"/>
        <w:jc w:val="both"/>
        <w:rPr>
          <w:lang w:eastAsia="en-US"/>
        </w:rPr>
      </w:pPr>
      <w:r w:rsidRPr="00CB13F7">
        <w:rPr>
          <w:lang w:eastAsia="en-US"/>
        </w:rPr>
        <w:t>Aksesueshmëri e plotë fizike, digjitale dhe akademike në institucionet e arsimit të lartë</w:t>
      </w:r>
      <w:r w:rsidR="009524D7" w:rsidRPr="00CB13F7">
        <w:rPr>
          <w:lang w:eastAsia="en-US"/>
        </w:rPr>
        <w:t>;</w:t>
      </w:r>
    </w:p>
    <w:p w14:paraId="03FFBFE1" w14:textId="58928C8E" w:rsidR="003B43D4" w:rsidRPr="00CB13F7" w:rsidRDefault="003B43D4" w:rsidP="00385385">
      <w:pPr>
        <w:pStyle w:val="ListParagraph"/>
        <w:numPr>
          <w:ilvl w:val="0"/>
          <w:numId w:val="34"/>
        </w:numPr>
        <w:spacing w:before="120" w:after="120" w:line="276" w:lineRule="auto"/>
        <w:ind w:left="360"/>
        <w:jc w:val="both"/>
        <w:rPr>
          <w:lang w:eastAsia="en-US"/>
        </w:rPr>
      </w:pPr>
      <w:r w:rsidRPr="00CB13F7">
        <w:rPr>
          <w:lang w:eastAsia="en-US"/>
        </w:rPr>
        <w:t>Shërbime mbështetëse dhe zhvillim kapacitetesh</w:t>
      </w:r>
      <w:r w:rsidR="009524D7" w:rsidRPr="00CB13F7">
        <w:rPr>
          <w:lang w:eastAsia="en-US"/>
        </w:rPr>
        <w:t>;</w:t>
      </w:r>
    </w:p>
    <w:p w14:paraId="0570C8C0" w14:textId="0926F75C" w:rsidR="003B43D4" w:rsidRPr="00CB13F7" w:rsidRDefault="003B43D4" w:rsidP="00385385">
      <w:pPr>
        <w:pStyle w:val="ListParagraph"/>
        <w:numPr>
          <w:ilvl w:val="0"/>
          <w:numId w:val="34"/>
        </w:numPr>
        <w:spacing w:before="120" w:after="120" w:line="276" w:lineRule="auto"/>
        <w:ind w:left="360"/>
        <w:jc w:val="both"/>
        <w:rPr>
          <w:lang w:eastAsia="en-US"/>
        </w:rPr>
      </w:pPr>
      <w:r w:rsidRPr="00CB13F7">
        <w:rPr>
          <w:lang w:eastAsia="en-US"/>
        </w:rPr>
        <w:t xml:space="preserve">Mbështetje financiare, pjesëmarrje e barabartë dhe mundësi zhvillimi akademik. </w:t>
      </w:r>
    </w:p>
    <w:p w14:paraId="52D20F18" w14:textId="1A32CBE4"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Plani e trajton arsimin e lartë si fazë ku barazia duhet të matet me akses real në studim, shërbime universitare, vlerësim akademik dhe mundësi zhvillimi. Në këtë kuadër, ndërhyrjet fillojnë me rishikimin dhe përditësimin e politikave, rregulloreve dhe udhëzimeve të institucioneve të arsimit të lartë, për t’i harmonizuar me legjislacionin kombëtar dhe standardet ndërkombëtare të aksesueshmërisë dhe gjithëpërfshirjes. Paralelisht, </w:t>
      </w:r>
      <w:r w:rsidR="009524D7" w:rsidRPr="00CB13F7">
        <w:rPr>
          <w:rFonts w:eastAsia="Times New Roman"/>
          <w:lang w:eastAsia="en-US"/>
        </w:rPr>
        <w:t xml:space="preserve">Plani </w:t>
      </w:r>
      <w:r w:rsidRPr="00CB13F7">
        <w:rPr>
          <w:rFonts w:eastAsia="Times New Roman"/>
          <w:lang w:eastAsia="en-US"/>
        </w:rPr>
        <w:t>kërkon integrimin e indikatorëve të përfshirjes dhe aksesueshmërisë në sistemet e brendshme dhe të jashtme të sigurimit të cilësisë dhe raportim periodik mbi progresin dhe ndikimin.</w:t>
      </w:r>
    </w:p>
    <w:p w14:paraId="5F99DF0A"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planin praktik, fokusi vihet te mjedisi universitar i aksesueshëm: investime për përshtatjen e infrastrukturës fizike (ambiente mësimore, biblioteka, laboratorë), aksesueshmëria e platformave digjitale dhe materialeve mësimore, si dhe përshtatja e metodave të mësimdhënies, vlerësimit dhe pjesëmarrjes akademike sipas parimeve të dizajnit universal. Për ta bërë këtë të zbatueshme, parashikohet hartimi dhe zbatimi i planeve individuale të mbështetjes akademike në bashkëpunim me studentët.</w:t>
      </w:r>
    </w:p>
    <w:p w14:paraId="1AE760AB" w14:textId="29C4B80E" w:rsidR="00923C0E" w:rsidRPr="00CB13F7" w:rsidRDefault="002B3406" w:rsidP="00BA2B1D">
      <w:pPr>
        <w:spacing w:before="120" w:after="120" w:line="276" w:lineRule="auto"/>
        <w:jc w:val="both"/>
        <w:rPr>
          <w:rFonts w:eastAsia="Times New Roman"/>
          <w:b/>
          <w:bCs/>
          <w:lang w:eastAsia="en-US"/>
        </w:rPr>
      </w:pPr>
      <w:r w:rsidRPr="00CB13F7">
        <w:rPr>
          <w:rFonts w:eastAsia="Times New Roman"/>
          <w:lang w:eastAsia="en-US"/>
        </w:rPr>
        <w:t xml:space="preserve">Plani parashikon </w:t>
      </w:r>
      <w:r w:rsidR="009524D7" w:rsidRPr="00CB13F7">
        <w:rPr>
          <w:rFonts w:eastAsia="Times New Roman"/>
          <w:lang w:eastAsia="en-US"/>
        </w:rPr>
        <w:t xml:space="preserve">edhe </w:t>
      </w:r>
      <w:r w:rsidRPr="00CB13F7">
        <w:rPr>
          <w:rFonts w:eastAsia="Times New Roman"/>
          <w:lang w:eastAsia="en-US"/>
        </w:rPr>
        <w:t>forcimin e mbështetjes institucionale: krijim/forcim të njësive të posaçme mbështetëse në universitete, këshillim akademik e psiko-social dhe ndërmjetësim për përshtatje të arsyeshme, sigurim të teknologjive asistive dhe pajisjeve ndihmëse, si dhe programe të detyrueshme trajnimi për stafin akademik dhe administrativ mbi arsimin gjithëpërfshirës.</w:t>
      </w:r>
    </w:p>
    <w:p w14:paraId="39742DC1" w14:textId="62DDF441" w:rsidR="00923C0E" w:rsidRPr="00CB13F7" w:rsidRDefault="002E1CAF" w:rsidP="00BA2B1D">
      <w:pPr>
        <w:spacing w:before="120" w:after="120" w:line="276" w:lineRule="auto"/>
        <w:jc w:val="both"/>
        <w:rPr>
          <w:rFonts w:eastAsia="Times New Roman"/>
          <w:b/>
          <w:bCs/>
          <w:lang w:eastAsia="en-US"/>
        </w:rPr>
      </w:pPr>
      <w:r w:rsidRPr="00CB13F7">
        <w:rPr>
          <w:rFonts w:eastAsia="Times New Roman"/>
          <w:b/>
          <w:bCs/>
          <w:lang w:eastAsia="en-US"/>
        </w:rPr>
        <w:t>4.5</w:t>
      </w:r>
      <w:r w:rsidR="009524D7" w:rsidRPr="00CB13F7">
        <w:rPr>
          <w:rFonts w:eastAsia="Times New Roman"/>
          <w:b/>
          <w:bCs/>
          <w:lang w:eastAsia="en-US"/>
        </w:rPr>
        <w:t xml:space="preserve"> </w:t>
      </w:r>
      <w:r w:rsidR="003B43D4" w:rsidRPr="00CB13F7">
        <w:rPr>
          <w:rFonts w:eastAsia="Times New Roman"/>
          <w:b/>
          <w:bCs/>
          <w:lang w:eastAsia="en-US"/>
        </w:rPr>
        <w:t>Mbrojtja Sociale</w:t>
      </w:r>
    </w:p>
    <w:p w14:paraId="390C1058" w14:textId="53C66DB7" w:rsidR="003B43D4" w:rsidRPr="00CB13F7" w:rsidRDefault="002E1CAF" w:rsidP="00BA2B1D">
      <w:pPr>
        <w:spacing w:before="120" w:after="120" w:line="276" w:lineRule="auto"/>
        <w:jc w:val="both"/>
        <w:rPr>
          <w:rFonts w:eastAsia="Times New Roman"/>
          <w:b/>
          <w:bCs/>
          <w:lang w:eastAsia="en-US"/>
        </w:rPr>
      </w:pPr>
      <w:r w:rsidRPr="00CB13F7">
        <w:rPr>
          <w:rFonts w:eastAsia="Times New Roman"/>
          <w:b/>
          <w:bCs/>
          <w:lang w:eastAsia="en-US"/>
        </w:rPr>
        <w:t>4.5.</w:t>
      </w:r>
      <w:r w:rsidR="00923C0E" w:rsidRPr="00CB13F7">
        <w:rPr>
          <w:rFonts w:eastAsia="Times New Roman"/>
          <w:b/>
          <w:bCs/>
          <w:lang w:eastAsia="en-US"/>
        </w:rPr>
        <w:t>1</w:t>
      </w:r>
      <w:r w:rsidR="009524D7" w:rsidRPr="00CB13F7">
        <w:rPr>
          <w:rFonts w:eastAsia="Times New Roman"/>
          <w:b/>
          <w:bCs/>
          <w:lang w:eastAsia="en-US"/>
        </w:rPr>
        <w:t xml:space="preserve">  </w:t>
      </w:r>
      <w:r w:rsidR="003B43D4" w:rsidRPr="00CB13F7">
        <w:rPr>
          <w:rFonts w:eastAsia="Times New Roman"/>
          <w:b/>
          <w:bCs/>
          <w:lang w:eastAsia="en-US"/>
        </w:rPr>
        <w:t>Korniza strategjike</w:t>
      </w:r>
    </w:p>
    <w:p w14:paraId="1EDBC189" w14:textId="3D89CD47"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Fusha e mbrojtjes sociale në Planin e Veprimit 2026</w:t>
      </w:r>
      <w:r w:rsidR="3CF362D9" w:rsidRPr="00CB13F7">
        <w:rPr>
          <w:rFonts w:eastAsia="Times New Roman"/>
          <w:lang w:eastAsia="en-US"/>
        </w:rPr>
        <w:t>-</w:t>
      </w:r>
      <w:r w:rsidRPr="00CB13F7">
        <w:rPr>
          <w:rFonts w:eastAsia="Times New Roman"/>
          <w:lang w:eastAsia="en-US"/>
        </w:rPr>
        <w:t>2030 për personat me aftësi të kufizuara përfaqëson shtyllën</w:t>
      </w:r>
      <w:r w:rsidR="5AFBE737" w:rsidRPr="00CB13F7">
        <w:rPr>
          <w:rFonts w:eastAsia="Times New Roman"/>
          <w:lang w:eastAsia="en-US"/>
        </w:rPr>
        <w:t>,</w:t>
      </w:r>
      <w:r w:rsidRPr="00CB13F7">
        <w:rPr>
          <w:rFonts w:eastAsia="Times New Roman"/>
          <w:lang w:eastAsia="en-US"/>
        </w:rPr>
        <w:t xml:space="preserve"> që garanton jetesë dinjitoze, pavarësi dhe siguri sociale. Qasja e </w:t>
      </w:r>
      <w:r w:rsidR="3CF362D9" w:rsidRPr="00CB13F7">
        <w:rPr>
          <w:rFonts w:eastAsia="Times New Roman"/>
          <w:lang w:eastAsia="en-US"/>
        </w:rPr>
        <w:t xml:space="preserve">Planit </w:t>
      </w:r>
      <w:r w:rsidRPr="00CB13F7">
        <w:rPr>
          <w:rFonts w:eastAsia="Times New Roman"/>
          <w:lang w:eastAsia="en-US"/>
        </w:rPr>
        <w:t>e koncepton mbrojtjen sociale</w:t>
      </w:r>
      <w:r w:rsidR="73DC6760" w:rsidRPr="00CB13F7">
        <w:rPr>
          <w:rFonts w:eastAsia="Times New Roman"/>
          <w:lang w:eastAsia="en-US"/>
        </w:rPr>
        <w:t>,</w:t>
      </w:r>
      <w:r w:rsidRPr="00CB13F7">
        <w:rPr>
          <w:rFonts w:eastAsia="Times New Roman"/>
          <w:lang w:eastAsia="en-US"/>
        </w:rPr>
        <w:t xml:space="preserve"> jo vetëm si sistem përfitimesh financiare, por si një sistem të </w:t>
      </w:r>
      <w:r w:rsidRPr="00CB13F7">
        <w:rPr>
          <w:rFonts w:eastAsia="Times New Roman"/>
          <w:lang w:eastAsia="en-US"/>
        </w:rPr>
        <w:lastRenderedPageBreak/>
        <w:t>integruar të të drejtave sociale, që përfshin vlerësimin e nevojave, shërbimet komunitare, jetesën e pavarur, strehimin e aksesueshëm, vendimmarrjen e mbështetur, mbrojtjen e grave dhe fëmijëve me aftësi të kufizuara</w:t>
      </w:r>
      <w:r w:rsidR="142201BD" w:rsidRPr="00CB13F7">
        <w:rPr>
          <w:rFonts w:eastAsia="Times New Roman"/>
          <w:lang w:eastAsia="en-US"/>
        </w:rPr>
        <w:t>,</w:t>
      </w:r>
      <w:r w:rsidRPr="00CB13F7">
        <w:rPr>
          <w:rFonts w:eastAsia="Times New Roman"/>
          <w:lang w:eastAsia="en-US"/>
        </w:rPr>
        <w:t xml:space="preserve"> si dhe reagimin gjithëpërfshirës në situata emergjence. Synimi është që personat me aftësi të kufizuara të kenë mundësi reale për të jetuar në komunitet, me zgjedhje dhe kontroll mbi jetën e tyre, përmes mbështetjes individuale dhe shërbimeve të bazuara në komunitet, duke reduktuar varësinë nga familja dhe institucionalizimi.</w:t>
      </w:r>
    </w:p>
    <w:p w14:paraId="6F9C55C5" w14:textId="10824222" w:rsidR="003B43D4" w:rsidRPr="00CB13F7" w:rsidRDefault="7150E16E" w:rsidP="661F9D2E">
      <w:pPr>
        <w:spacing w:before="120" w:after="120" w:line="276" w:lineRule="auto"/>
        <w:jc w:val="both"/>
        <w:rPr>
          <w:rFonts w:eastAsia="Times New Roman"/>
          <w:lang w:eastAsia="en-US"/>
        </w:rPr>
      </w:pPr>
      <w:r w:rsidRPr="00CB13F7">
        <w:rPr>
          <w:rFonts w:eastAsia="Times New Roman"/>
          <w:lang w:eastAsia="en-US"/>
        </w:rPr>
        <w:t>Në nivel ndërkombëtar, kjo fushë mbështetet në Konventën</w:t>
      </w:r>
      <w:r w:rsidR="10B663C5" w:rsidRPr="00CB13F7">
        <w:rPr>
          <w:rFonts w:eastAsia="Times New Roman"/>
          <w:lang w:eastAsia="en-US"/>
        </w:rPr>
        <w:t xml:space="preserve"> e OKB-së për të Drejtat e Personave me Aftësi të Kufizuara (</w:t>
      </w:r>
      <w:r w:rsidR="3810B7E6" w:rsidRPr="00CB13F7">
        <w:rPr>
          <w:rFonts w:eastAsia="Times New Roman"/>
        </w:rPr>
        <w:t xml:space="preserve"> KDPAK</w:t>
      </w:r>
      <w:r w:rsidR="10B663C5" w:rsidRPr="00CB13F7">
        <w:rPr>
          <w:rFonts w:eastAsia="Times New Roman"/>
          <w:lang w:eastAsia="en-US"/>
        </w:rPr>
        <w:t>)</w:t>
      </w:r>
      <w:r w:rsidR="002F0C3F" w:rsidRPr="00CB13F7">
        <w:rPr>
          <w:rStyle w:val="FootnoteReference"/>
          <w:rFonts w:eastAsia="Times New Roman"/>
          <w:lang w:eastAsia="en-US"/>
        </w:rPr>
        <w:footnoteReference w:id="54"/>
      </w:r>
      <w:r w:rsidRPr="00CB13F7">
        <w:rPr>
          <w:rFonts w:eastAsia="Times New Roman"/>
          <w:lang w:eastAsia="en-US"/>
        </w:rPr>
        <w:t>, veçanërisht në nenet mbi jetesën e pavarur dhe përfshirjen në komunitet (neni 19), mbrojtjen sociale dhe standardin e përshtatshëm të jetesës (neni 28), rehabilitimin (neni 26), mbrojtjen në situata rreziku dhe emergjencash humanitare (neni 11), si dhe barazinë para ligjit (neni 12). Komiteti</w:t>
      </w:r>
      <w:r w:rsidR="10B663C5" w:rsidRPr="00CB13F7">
        <w:rPr>
          <w:rFonts w:eastAsia="Times New Roman"/>
          <w:lang w:eastAsia="en-US"/>
        </w:rPr>
        <w:t xml:space="preserve"> i </w:t>
      </w:r>
      <w:r w:rsidR="6462A3B4" w:rsidRPr="00CB13F7">
        <w:rPr>
          <w:rFonts w:eastAsia="Times New Roman"/>
        </w:rPr>
        <w:t xml:space="preserve"> KDPAK</w:t>
      </w:r>
      <w:r w:rsidR="10B663C5" w:rsidRPr="00CB13F7">
        <w:rPr>
          <w:rStyle w:val="FootnoteReference"/>
          <w:rFonts w:eastAsia="Times New Roman"/>
          <w:lang w:eastAsia="en-US"/>
        </w:rPr>
        <w:t xml:space="preserve"> </w:t>
      </w:r>
      <w:r w:rsidR="002F0C3F" w:rsidRPr="00CB13F7">
        <w:rPr>
          <w:rStyle w:val="FootnoteReference"/>
          <w:rFonts w:eastAsia="Times New Roman"/>
          <w:lang w:eastAsia="en-US"/>
        </w:rPr>
        <w:footnoteReference w:id="55"/>
      </w:r>
      <w:r w:rsidRPr="00CB13F7">
        <w:rPr>
          <w:rFonts w:eastAsia="Times New Roman"/>
          <w:lang w:eastAsia="en-US"/>
        </w:rPr>
        <w:t>, në rekomandimet e tij për shtetet palë, ka theksuar nevojën për kalimin nga modeli institucional drejt shërbimeve të bazuara në komunitet, zhvillimin e programeve të jetesës së pavarur dhe zëvendësimin e kujdestarisë</w:t>
      </w:r>
      <w:r w:rsidR="009902A3" w:rsidRPr="00CB13F7">
        <w:rPr>
          <w:rFonts w:eastAsia="Times New Roman"/>
          <w:lang w:eastAsia="en-US"/>
        </w:rPr>
        <w:t xml:space="preserve"> ligjore</w:t>
      </w:r>
      <w:r w:rsidRPr="00CB13F7">
        <w:rPr>
          <w:rFonts w:eastAsia="Times New Roman"/>
          <w:lang w:eastAsia="en-US"/>
        </w:rPr>
        <w:t xml:space="preserve"> me mekanizma të vendimmarrjes së mbështetur. Në të njëjtën linjë, Komentet e Përgjithshme të Komitetit mbi nenin 19 dhe nenin 12 theksojnë se pagesat financiare duhet të lidhen me mbështetjen individuale dhe se shërbimet sociale duhet të jenë të orientuara drejt autonomisë së individit.</w:t>
      </w:r>
    </w:p>
    <w:p w14:paraId="5B935ED3" w14:textId="2A9F16AA"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Korniza strategjike mbështetet gjithashtu në Strategjinë</w:t>
      </w:r>
      <w:r w:rsidR="23CA0F4F" w:rsidRPr="00CB13F7">
        <w:rPr>
          <w:rFonts w:eastAsia="Times New Roman"/>
          <w:lang w:eastAsia="en-US"/>
        </w:rPr>
        <w:t xml:space="preserve"> e Bashkimit Evropian për të Drejtat e Personave me Aftësi të Kufizuara 2021-2030</w:t>
      </w:r>
      <w:r w:rsidR="002F0C3F" w:rsidRPr="00CB13F7">
        <w:rPr>
          <w:rStyle w:val="FootnoteReference"/>
          <w:rFonts w:eastAsia="Times New Roman"/>
          <w:lang w:eastAsia="en-US"/>
        </w:rPr>
        <w:footnoteReference w:id="56"/>
      </w:r>
      <w:r w:rsidRPr="00CB13F7">
        <w:rPr>
          <w:rFonts w:eastAsia="Times New Roman"/>
          <w:lang w:eastAsia="en-US"/>
        </w:rPr>
        <w:t xml:space="preserve"> dhe në Shtyllën</w:t>
      </w:r>
      <w:r w:rsidR="23CA0F4F" w:rsidRPr="00CB13F7">
        <w:rPr>
          <w:rFonts w:eastAsia="Times New Roman"/>
          <w:lang w:eastAsia="en-US"/>
        </w:rPr>
        <w:t xml:space="preserve"> Evropiane të të Drejtave Sociale</w:t>
      </w:r>
      <w:r w:rsidR="002F0C3F" w:rsidRPr="00CB13F7">
        <w:rPr>
          <w:rStyle w:val="FootnoteReference"/>
          <w:rFonts w:eastAsia="Times New Roman"/>
          <w:lang w:eastAsia="en-US"/>
        </w:rPr>
        <w:footnoteReference w:id="57"/>
      </w:r>
      <w:r w:rsidRPr="00CB13F7">
        <w:rPr>
          <w:rFonts w:eastAsia="Times New Roman"/>
          <w:lang w:eastAsia="en-US"/>
        </w:rPr>
        <w:t>, të cilat kërkojnë akses në mbrojtje sociale, shërbime komunitare, kujdes afatgjatë dhe jetesë të pavarur. Udhëzimet</w:t>
      </w:r>
      <w:r w:rsidR="23CA0F4F" w:rsidRPr="00CB13F7">
        <w:rPr>
          <w:rFonts w:eastAsia="Times New Roman"/>
          <w:lang w:eastAsia="en-US"/>
        </w:rPr>
        <w:t xml:space="preserve"> </w:t>
      </w:r>
      <w:r w:rsidR="677B011A" w:rsidRPr="00CB13F7">
        <w:rPr>
          <w:rFonts w:eastAsia="Times New Roman"/>
          <w:lang w:eastAsia="en-US"/>
        </w:rPr>
        <w:t xml:space="preserve">e BE-së </w:t>
      </w:r>
      <w:r w:rsidR="23CA0F4F" w:rsidRPr="00CB13F7">
        <w:rPr>
          <w:rFonts w:eastAsia="Times New Roman"/>
          <w:lang w:eastAsia="en-US"/>
        </w:rPr>
        <w:t>për de-institucionalizimin dhe jetesën e pavarur</w:t>
      </w:r>
      <w:r w:rsidR="002F0C3F" w:rsidRPr="00CB13F7">
        <w:rPr>
          <w:rStyle w:val="FootnoteReference"/>
          <w:rFonts w:eastAsia="Times New Roman"/>
          <w:lang w:eastAsia="en-US"/>
        </w:rPr>
        <w:footnoteReference w:id="58"/>
      </w:r>
      <w:r w:rsidRPr="00CB13F7">
        <w:rPr>
          <w:rFonts w:eastAsia="Times New Roman"/>
          <w:lang w:eastAsia="en-US"/>
        </w:rPr>
        <w:t xml:space="preserve"> kërkojnë zhvillimin e ndihmësit personal, strehimit komunitar dhe mbështetjes individuale, si kushte për përfshirje sociale dhe ekonomike. Në mënyrë të veçantë, politikat evropiane kërkojnë që sistemet e mbrojtjes sociale të mos krijojnë varësi nga përfitimet, por të mbështesin autonominë dhe pjesëmarrjen aktive.</w:t>
      </w:r>
    </w:p>
    <w:p w14:paraId="3FA9B306" w14:textId="74F248CD"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Në aspektin e barazisë gjinore dhe mbrojtjes së fëmijëve, kjo fushë mbështetet në standardet ndërkombëtare për mbrojtjen nga diskriminimi i shumëfishtë, përfshirë Konventën</w:t>
      </w:r>
      <w:r w:rsidR="012B6E81" w:rsidRPr="00CB13F7">
        <w:rPr>
          <w:rFonts w:eastAsia="Times New Roman"/>
          <w:lang w:eastAsia="en-US"/>
        </w:rPr>
        <w:t xml:space="preserve"> për Eliminimin </w:t>
      </w:r>
      <w:r w:rsidR="012B6E81" w:rsidRPr="00CB13F7">
        <w:rPr>
          <w:rFonts w:eastAsia="Times New Roman"/>
          <w:lang w:eastAsia="en-US"/>
        </w:rPr>
        <w:lastRenderedPageBreak/>
        <w:t>e të Gjitha Formave të Diskriminimit ndaj Grave (CEDA</w:t>
      </w:r>
      <w:r w:rsidR="000F0583" w:rsidRPr="00CB13F7">
        <w:rPr>
          <w:rFonts w:eastAsia="Times New Roman"/>
          <w:lang w:eastAsia="en-US"/>
        </w:rPr>
        <w:t>W</w:t>
      </w:r>
      <w:r w:rsidR="012B6E81" w:rsidRPr="00CB13F7">
        <w:rPr>
          <w:rFonts w:eastAsia="Times New Roman"/>
          <w:lang w:eastAsia="en-US"/>
        </w:rPr>
        <w:t xml:space="preserve">) </w:t>
      </w:r>
      <w:r w:rsidR="002F0C3F" w:rsidRPr="00CB13F7">
        <w:rPr>
          <w:rStyle w:val="FootnoteReference"/>
          <w:rFonts w:eastAsia="Times New Roman"/>
          <w:lang w:eastAsia="en-US"/>
        </w:rPr>
        <w:footnoteReference w:id="59"/>
      </w:r>
      <w:r w:rsidRPr="00CB13F7">
        <w:rPr>
          <w:rFonts w:eastAsia="Times New Roman"/>
          <w:lang w:eastAsia="en-US"/>
        </w:rPr>
        <w:t xml:space="preserve"> dhe Konventën</w:t>
      </w:r>
      <w:r w:rsidR="012B6E81" w:rsidRPr="00CB13F7">
        <w:rPr>
          <w:rFonts w:eastAsia="Times New Roman"/>
          <w:lang w:eastAsia="en-US"/>
        </w:rPr>
        <w:t xml:space="preserve"> për të Drejtat e Fëmijës</w:t>
      </w:r>
      <w:r w:rsidR="002F0C3F" w:rsidRPr="00CB13F7">
        <w:rPr>
          <w:rStyle w:val="FootnoteReference"/>
          <w:rFonts w:eastAsia="Times New Roman"/>
          <w:lang w:eastAsia="en-US"/>
        </w:rPr>
        <w:footnoteReference w:id="60"/>
      </w:r>
      <w:r w:rsidRPr="00CB13F7">
        <w:rPr>
          <w:rFonts w:eastAsia="Times New Roman"/>
          <w:lang w:eastAsia="en-US"/>
        </w:rPr>
        <w:t>, të cilat kërkojnë që gratë dhe fëmijët me aftësi të kufizuara të kenë akses të barabartë në shërbime sociale, mbrojtje nga dhuna dhe mbështetje komunitare. Në mënyrë të veçantë, Konventa</w:t>
      </w:r>
      <w:r w:rsidR="012B6E81" w:rsidRPr="00CB13F7">
        <w:rPr>
          <w:rFonts w:eastAsia="Times New Roman"/>
          <w:lang w:eastAsia="en-US"/>
        </w:rPr>
        <w:t xml:space="preserve"> e Këshillit të Evropës për Parandalimin dhe Luftimin e Dhunës ndaj Grave dhe Dhunës në Familje (Konventa e Stambollit)</w:t>
      </w:r>
      <w:r w:rsidR="00017BF3" w:rsidRPr="00CB13F7">
        <w:rPr>
          <w:rStyle w:val="FootnoteReference"/>
          <w:rFonts w:eastAsia="Times New Roman"/>
          <w:lang w:eastAsia="en-US"/>
        </w:rPr>
        <w:footnoteReference w:id="61"/>
      </w:r>
      <w:r w:rsidRPr="00CB13F7">
        <w:rPr>
          <w:rFonts w:eastAsia="Times New Roman"/>
          <w:lang w:eastAsia="en-US"/>
        </w:rPr>
        <w:t xml:space="preserve"> kërkon që shërbimet e mbrojtjes, strehëzat, mekanizmat e raportimit dhe procedurat mbrojtëse të jenë të aksesueshme për gratë me aftësi të kufizuara, duke njohur rrezikun më të lartë të dhunës dhe pengesat në aksesin në drejtësi dhe shërbime mbështetëse.</w:t>
      </w:r>
    </w:p>
    <w:p w14:paraId="6C45B602"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lidhje me fëmijët me aftësi të kufizuara, korniza strategjike mbështetet në Konventën për të Drejtat e Fëmijës, e cila garanton të drejtën e çdo fëmije për mbrojtje, zhvillim, pjesëmarrje dhe përfshirje pa diskriminim, si dhe kërkon që shtetet të sigurojnë mbështetje të veçantë për fëmijët me aftësi të kufizuara dhe familjet e tyre. Në përputhje edhe me Konventën e OKB-së për të Drejtat e Personave me Aftësi të Kufizuara, veçanërisht nenin 7 mbi fëmijët me aftësi të kufizuara, politikat publike duhet të sigurojnë që interesi më i lartë i fëmijës të jetë parimi udhëheqës në çdo vendimmarrje dhe që fëmijët të kenë mundësi të shprehin pikëpamjet e tyre dhe të dëgjohen.</w:t>
      </w:r>
    </w:p>
    <w:p w14:paraId="496459D8" w14:textId="2B11387E"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Gjithashtu, Udhëzimet</w:t>
      </w:r>
      <w:r w:rsidR="012B6E81" w:rsidRPr="00CB13F7">
        <w:rPr>
          <w:rFonts w:eastAsia="Times New Roman"/>
          <w:lang w:eastAsia="en-US"/>
        </w:rPr>
        <w:t xml:space="preserve"> e OKB-së për Kujdesin Alternativ të Fëmijëve</w:t>
      </w:r>
      <w:r w:rsidR="002F0C3F" w:rsidRPr="00CB13F7">
        <w:rPr>
          <w:rStyle w:val="FootnoteReference"/>
          <w:rFonts w:eastAsia="Times New Roman"/>
          <w:lang w:eastAsia="en-US"/>
        </w:rPr>
        <w:footnoteReference w:id="62"/>
      </w:r>
      <w:r w:rsidRPr="00CB13F7">
        <w:rPr>
          <w:rFonts w:eastAsia="Times New Roman"/>
          <w:lang w:eastAsia="en-US"/>
        </w:rPr>
        <w:t xml:space="preserve"> dhe politikat</w:t>
      </w:r>
      <w:r w:rsidR="012B6E81" w:rsidRPr="00CB13F7">
        <w:rPr>
          <w:rFonts w:eastAsia="Times New Roman"/>
          <w:lang w:eastAsia="en-US"/>
        </w:rPr>
        <w:t xml:space="preserve"> evropiane për mbrojtjen e fëmijëve</w:t>
      </w:r>
      <w:r w:rsidR="00017BF3" w:rsidRPr="00CB13F7">
        <w:rPr>
          <w:rStyle w:val="FootnoteReference"/>
          <w:rFonts w:eastAsia="Times New Roman"/>
          <w:lang w:eastAsia="en-US"/>
        </w:rPr>
        <w:footnoteReference w:id="63"/>
      </w:r>
      <w:r w:rsidRPr="00CB13F7">
        <w:rPr>
          <w:rFonts w:eastAsia="Times New Roman"/>
          <w:lang w:eastAsia="en-US"/>
        </w:rPr>
        <w:t xml:space="preserve"> kërkojnë shmangien e institucionalizimit, zhvillimin e shërbimeve mbështetëse për familjen, ndërhyrjen e hershme dhe shërbimet komunitare për të parandaluar ndarjen e fëmijës nga familja për shkak të aftësisë së kufizuar. Kjo nënkupton se sistemi i mbrojtjes sociale duhet të ofrojë mbështetje të personalizuar për fëmijët dhe kujdestarët e tyre, shërbime rehabilituese, mbështetje </w:t>
      </w:r>
      <w:r w:rsidR="1AFA2652" w:rsidRPr="00CB13F7">
        <w:rPr>
          <w:rFonts w:eastAsia="Times New Roman"/>
          <w:lang w:eastAsia="en-US"/>
        </w:rPr>
        <w:t>psiko-sociale</w:t>
      </w:r>
      <w:r w:rsidRPr="00CB13F7">
        <w:rPr>
          <w:rFonts w:eastAsia="Times New Roman"/>
          <w:lang w:eastAsia="en-US"/>
        </w:rPr>
        <w:t xml:space="preserve"> dhe mekanizma mbrojtës nga dhuna, neglizhenca dhe izolimi social.</w:t>
      </w:r>
    </w:p>
    <w:p w14:paraId="29D79BB2" w14:textId="343533ED"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Në fushën e emergjencave dhe fatkeqësive natyrore, </w:t>
      </w:r>
      <w:r w:rsidR="012B6E81" w:rsidRPr="00CB13F7">
        <w:rPr>
          <w:rFonts w:eastAsia="Times New Roman"/>
          <w:lang w:eastAsia="en-US"/>
        </w:rPr>
        <w:t xml:space="preserve">Plani </w:t>
      </w:r>
      <w:r w:rsidRPr="00CB13F7">
        <w:rPr>
          <w:rFonts w:eastAsia="Times New Roman"/>
          <w:lang w:eastAsia="en-US"/>
        </w:rPr>
        <w:t>mbështetet në Kornizën</w:t>
      </w:r>
      <w:r w:rsidR="012B6E81" w:rsidRPr="00CB13F7">
        <w:rPr>
          <w:rFonts w:eastAsia="Times New Roman"/>
          <w:lang w:eastAsia="en-US"/>
        </w:rPr>
        <w:t xml:space="preserve"> Sendai për Reduktimin e Rrezikut nga Fatkeqësitë 2015-2030</w:t>
      </w:r>
      <w:r w:rsidR="002F0C3F" w:rsidRPr="00CB13F7">
        <w:rPr>
          <w:rStyle w:val="FootnoteReference"/>
          <w:rFonts w:eastAsia="Times New Roman"/>
          <w:lang w:eastAsia="en-US"/>
        </w:rPr>
        <w:footnoteReference w:id="64"/>
      </w:r>
      <w:r w:rsidRPr="00CB13F7">
        <w:rPr>
          <w:rFonts w:eastAsia="Times New Roman"/>
          <w:lang w:eastAsia="en-US"/>
        </w:rPr>
        <w:t>, e cila kërkon përfshirjen aktive të personave me aftësi të kufizuara në planifikimin, reagimin dhe rimëkëmbjen pas fatkeqësive. Korniza Sendai parashikon sisteme paralajmërimi të hershëm të aksesueshëm, plane evakuimi gjithëpërfshirëse dhe rindërtim të aksesueshëm, duke e konsideruar përfshirjen e aftësisë së kufizuar si pjesë të menaxhimit të rrezikut dhe jo vetëm të reagimit humanitar.</w:t>
      </w:r>
    </w:p>
    <w:p w14:paraId="01263DEA" w14:textId="58A637C0" w:rsidR="003B43D4" w:rsidRDefault="7150E16E" w:rsidP="661F9D2E">
      <w:pPr>
        <w:spacing w:before="120" w:after="120" w:line="276" w:lineRule="auto"/>
        <w:jc w:val="both"/>
        <w:rPr>
          <w:rFonts w:eastAsia="Times New Roman"/>
          <w:lang w:eastAsia="en-US"/>
        </w:rPr>
      </w:pPr>
      <w:r w:rsidRPr="00CB13F7">
        <w:rPr>
          <w:rFonts w:eastAsia="Times New Roman"/>
          <w:lang w:eastAsia="en-US"/>
        </w:rPr>
        <w:lastRenderedPageBreak/>
        <w:t>Në nivel kombëtar, kjo fushë lidhet drejtpërdrejt me Strategjinë</w:t>
      </w:r>
      <w:r w:rsidR="012B6E81" w:rsidRPr="00CB13F7">
        <w:rPr>
          <w:rFonts w:eastAsia="Times New Roman"/>
          <w:lang w:eastAsia="en-US"/>
        </w:rPr>
        <w:t xml:space="preserve"> Kombëtare të Mbrojtjes Sociale</w:t>
      </w:r>
      <w:r w:rsidR="0790561E" w:rsidRPr="00CB13F7">
        <w:rPr>
          <w:rFonts w:eastAsia="Times New Roman"/>
          <w:lang w:eastAsia="en-US"/>
        </w:rPr>
        <w:t xml:space="preserve"> 2024-2030</w:t>
      </w:r>
      <w:r w:rsidR="002F0C3F" w:rsidRPr="00CB13F7">
        <w:rPr>
          <w:rStyle w:val="FootnoteReference"/>
          <w:rFonts w:eastAsia="Times New Roman"/>
          <w:lang w:eastAsia="en-US"/>
        </w:rPr>
        <w:footnoteReference w:id="65"/>
      </w:r>
      <w:r w:rsidRPr="00CB13F7">
        <w:rPr>
          <w:rFonts w:eastAsia="Times New Roman"/>
          <w:lang w:eastAsia="en-US"/>
        </w:rPr>
        <w:t>, Strategjinë</w:t>
      </w:r>
      <w:r w:rsidR="012B6E81" w:rsidRPr="00CB13F7">
        <w:rPr>
          <w:rFonts w:eastAsia="Times New Roman"/>
          <w:lang w:eastAsia="en-US"/>
        </w:rPr>
        <w:t xml:space="preserve"> Kombëtare për Zhvillim dhe Integrim</w:t>
      </w:r>
      <w:r w:rsidR="5C930B3C" w:rsidRPr="00CB13F7">
        <w:rPr>
          <w:rFonts w:eastAsia="Times New Roman"/>
          <w:lang w:eastAsia="en-US"/>
        </w:rPr>
        <w:t xml:space="preserve"> 2022-2030</w:t>
      </w:r>
      <w:r w:rsidR="006D05FD" w:rsidRPr="00CB13F7">
        <w:rPr>
          <w:rStyle w:val="FootnoteReference"/>
          <w:rFonts w:eastAsia="Times New Roman"/>
          <w:lang w:eastAsia="en-US"/>
        </w:rPr>
        <w:footnoteReference w:id="66"/>
      </w:r>
      <w:r w:rsidRPr="00CB13F7">
        <w:rPr>
          <w:rFonts w:eastAsia="Times New Roman"/>
          <w:lang w:eastAsia="en-US"/>
        </w:rPr>
        <w:t xml:space="preserve">, </w:t>
      </w:r>
      <w:r w:rsidR="012B6E81" w:rsidRPr="00CB13F7">
        <w:rPr>
          <w:rFonts w:eastAsia="Times New Roman"/>
          <w:lang w:eastAsia="en-US"/>
        </w:rPr>
        <w:t>Strategji</w:t>
      </w:r>
      <w:r w:rsidR="2C71A79F" w:rsidRPr="00CB13F7">
        <w:rPr>
          <w:rFonts w:eastAsia="Times New Roman"/>
          <w:lang w:eastAsia="en-US"/>
        </w:rPr>
        <w:t>n</w:t>
      </w:r>
      <w:r w:rsidR="012B6E81" w:rsidRPr="00CB13F7">
        <w:rPr>
          <w:rFonts w:eastAsia="Times New Roman"/>
          <w:lang w:eastAsia="en-US"/>
        </w:rPr>
        <w:t>ë</w:t>
      </w:r>
      <w:r w:rsidR="254F7B69" w:rsidRPr="00CB13F7">
        <w:rPr>
          <w:rFonts w:eastAsia="Times New Roman"/>
          <w:lang w:eastAsia="en-US"/>
        </w:rPr>
        <w:t xml:space="preserve"> Kombëtare</w:t>
      </w:r>
      <w:r w:rsidR="012B6E81" w:rsidRPr="00CB13F7">
        <w:rPr>
          <w:rFonts w:eastAsia="Times New Roman"/>
          <w:lang w:eastAsia="en-US"/>
        </w:rPr>
        <w:t xml:space="preserve"> për </w:t>
      </w:r>
      <w:r w:rsidR="50F304E2" w:rsidRPr="00CB13F7">
        <w:rPr>
          <w:rFonts w:eastAsia="Times New Roman"/>
          <w:lang w:eastAsia="en-US"/>
        </w:rPr>
        <w:t>B</w:t>
      </w:r>
      <w:r w:rsidR="012B6E81" w:rsidRPr="00CB13F7">
        <w:rPr>
          <w:rFonts w:eastAsia="Times New Roman"/>
          <w:lang w:eastAsia="en-US"/>
        </w:rPr>
        <w:t xml:space="preserve">arazinë </w:t>
      </w:r>
      <w:r w:rsidR="49434A40" w:rsidRPr="00CB13F7">
        <w:rPr>
          <w:rFonts w:eastAsia="Times New Roman"/>
          <w:lang w:eastAsia="en-US"/>
        </w:rPr>
        <w:t>G</w:t>
      </w:r>
      <w:r w:rsidR="012B6E81" w:rsidRPr="00CB13F7">
        <w:rPr>
          <w:rFonts w:eastAsia="Times New Roman"/>
          <w:lang w:eastAsia="en-US"/>
        </w:rPr>
        <w:t>jinore</w:t>
      </w:r>
      <w:r w:rsidR="7D3DBF98" w:rsidRPr="00CB13F7">
        <w:rPr>
          <w:rFonts w:eastAsia="Times New Roman"/>
          <w:lang w:eastAsia="en-US"/>
        </w:rPr>
        <w:t xml:space="preserve"> 2021-2030</w:t>
      </w:r>
      <w:r w:rsidR="006D05FD" w:rsidRPr="00CB13F7">
        <w:rPr>
          <w:rStyle w:val="FootnoteReference"/>
          <w:rFonts w:eastAsia="Times New Roman"/>
          <w:lang w:eastAsia="en-US"/>
        </w:rPr>
        <w:footnoteReference w:id="67"/>
      </w:r>
      <w:r w:rsidRPr="00CB13F7">
        <w:rPr>
          <w:rFonts w:eastAsia="Times New Roman"/>
          <w:lang w:eastAsia="en-US"/>
        </w:rPr>
        <w:t xml:space="preserve">, </w:t>
      </w:r>
      <w:r w:rsidR="0DE07885" w:rsidRPr="00CB13F7">
        <w:rPr>
          <w:rFonts w:eastAsia="Times New Roman"/>
          <w:lang w:eastAsia="en-US"/>
        </w:rPr>
        <w:t>A</w:t>
      </w:r>
      <w:r w:rsidR="0DE07885" w:rsidRPr="00CB13F7">
        <w:rPr>
          <w:rStyle w:val="Emphasis"/>
          <w:rFonts w:eastAsia="Times New Roman"/>
          <w:i w:val="0"/>
          <w:iCs w:val="0"/>
        </w:rPr>
        <w:t>gjenda Kombëtare për të Drejtat e Fëmijëve 2021-2026</w:t>
      </w:r>
      <w:r w:rsidR="0DE07885" w:rsidRPr="00CB13F7">
        <w:rPr>
          <w:rFonts w:eastAsia="Times New Roman"/>
          <w:lang w:eastAsia="en-US"/>
        </w:rPr>
        <w:t xml:space="preserve"> </w:t>
      </w:r>
      <w:r w:rsidR="012B6E81" w:rsidRPr="00CB13F7">
        <w:rPr>
          <w:rFonts w:eastAsia="Times New Roman"/>
          <w:lang w:eastAsia="en-US"/>
        </w:rPr>
        <w:t>j</w:t>
      </w:r>
      <w:r w:rsidR="006D05FD" w:rsidRPr="00CB13F7">
        <w:rPr>
          <w:rStyle w:val="FootnoteReference"/>
          <w:rFonts w:eastAsia="Times New Roman"/>
          <w:lang w:eastAsia="en-US"/>
        </w:rPr>
        <w:footnoteReference w:id="68"/>
      </w:r>
      <w:r w:rsidRPr="00CB13F7">
        <w:rPr>
          <w:rFonts w:eastAsia="Times New Roman"/>
          <w:lang w:eastAsia="en-US"/>
        </w:rPr>
        <w:t xml:space="preserve"> dhe </w:t>
      </w:r>
      <w:r w:rsidR="0411F8C3" w:rsidRPr="00CB13F7">
        <w:rPr>
          <w:rStyle w:val="Emphasis"/>
          <w:i w:val="0"/>
          <w:iCs w:val="0"/>
        </w:rPr>
        <w:t>Strategjia Kombëtare për Zvogëlimin e Riskut nga Fatkeqësitë 2023-2030</w:t>
      </w:r>
      <w:r w:rsidR="0411F8C3" w:rsidRPr="00CB13F7">
        <w:rPr>
          <w:rFonts w:eastAsia="Times New Roman"/>
          <w:lang w:eastAsia="en-US"/>
        </w:rPr>
        <w:t xml:space="preserve"> </w:t>
      </w:r>
      <w:r w:rsidR="006D05FD" w:rsidRPr="00CB13F7">
        <w:rPr>
          <w:rStyle w:val="FootnoteReference"/>
          <w:rFonts w:eastAsia="Times New Roman"/>
          <w:lang w:eastAsia="en-US"/>
        </w:rPr>
        <w:footnoteReference w:id="69"/>
      </w:r>
      <w:r w:rsidRPr="00CB13F7">
        <w:rPr>
          <w:rFonts w:eastAsia="Times New Roman"/>
          <w:lang w:eastAsia="en-US"/>
        </w:rPr>
        <w:t xml:space="preserve">, si dhe me procesin e përafrimit me </w:t>
      </w:r>
      <w:r w:rsidRPr="00CB13F7">
        <w:rPr>
          <w:rFonts w:eastAsia="Times New Roman"/>
          <w:i/>
          <w:iCs/>
          <w:lang w:eastAsia="en-US"/>
        </w:rPr>
        <w:t>acqui</w:t>
      </w:r>
      <w:r w:rsidRPr="00CB13F7">
        <w:rPr>
          <w:rFonts w:eastAsia="Times New Roman"/>
          <w:lang w:eastAsia="en-US"/>
        </w:rPr>
        <w:t>s</w:t>
      </w:r>
      <w:r w:rsidR="012B6E81" w:rsidRPr="00CB13F7">
        <w:rPr>
          <w:rFonts w:eastAsia="Times New Roman"/>
          <w:lang w:eastAsia="en-US"/>
        </w:rPr>
        <w:t xml:space="preserve"> të Bashkimit Evropian</w:t>
      </w:r>
      <w:r w:rsidR="006D05FD" w:rsidRPr="00CB13F7">
        <w:rPr>
          <w:rStyle w:val="FootnoteReference"/>
          <w:rFonts w:eastAsia="Times New Roman"/>
          <w:lang w:eastAsia="en-US"/>
        </w:rPr>
        <w:footnoteReference w:id="70"/>
      </w:r>
      <w:r w:rsidRPr="00CB13F7">
        <w:rPr>
          <w:rFonts w:eastAsia="Times New Roman"/>
          <w:lang w:eastAsia="en-US"/>
        </w:rPr>
        <w:t>, veçanërisht Kapitullin 19 (politikat sociale dhe përfshirja sociale) dhe Kapitullin 23 (të drejtat themelore). Në këtë kuadër, plani synon ndërtimin e një sistemi të integruar, ku pagesat sociale, vlerësimi funksional, shërbimet komunitare, jetesa e pavarur, strehimi dhe mbështetja individuale funksionojnë së bashku për të parandaluar varfërinë, institucionalizimin dhe përjashtimin social dhe për të garantuar ushtrimin efektiv të të drejtave të personave me aftësi të kufizuara.</w:t>
      </w:r>
    </w:p>
    <w:p w14:paraId="7BB5A0CE" w14:textId="77777777" w:rsidR="00CD7884" w:rsidRPr="00CB13F7" w:rsidRDefault="00CD7884" w:rsidP="661F9D2E">
      <w:pPr>
        <w:spacing w:before="120" w:after="120" w:line="276" w:lineRule="auto"/>
        <w:jc w:val="both"/>
        <w:rPr>
          <w:rFonts w:eastAsia="Times New Roman"/>
          <w:b/>
          <w:bCs/>
          <w:lang w:eastAsia="en-US"/>
        </w:rPr>
      </w:pPr>
    </w:p>
    <w:p w14:paraId="3321DD13" w14:textId="3A4D2B28" w:rsidR="00923C0E" w:rsidRPr="00CB13F7" w:rsidRDefault="002E1CAF" w:rsidP="00BA2B1D">
      <w:pPr>
        <w:spacing w:before="120" w:after="120" w:line="276" w:lineRule="auto"/>
        <w:jc w:val="both"/>
        <w:rPr>
          <w:rFonts w:eastAsia="Times New Roman"/>
          <w:b/>
          <w:bCs/>
        </w:rPr>
      </w:pPr>
      <w:bookmarkStart w:id="3" w:name="_Hlk223026186"/>
      <w:r w:rsidRPr="00CB13F7">
        <w:rPr>
          <w:rFonts w:eastAsia="Times New Roman"/>
          <w:b/>
          <w:bCs/>
        </w:rPr>
        <w:t>4.5.</w:t>
      </w:r>
      <w:r w:rsidR="00923C0E" w:rsidRPr="00CB13F7">
        <w:rPr>
          <w:rFonts w:eastAsia="Times New Roman"/>
          <w:b/>
          <w:bCs/>
        </w:rPr>
        <w:t>2</w:t>
      </w:r>
      <w:r w:rsidR="001B7748" w:rsidRPr="00CB13F7">
        <w:rPr>
          <w:rFonts w:eastAsia="Times New Roman"/>
          <w:b/>
          <w:bCs/>
        </w:rPr>
        <w:t xml:space="preserve"> </w:t>
      </w:r>
      <w:r w:rsidR="00923C0E" w:rsidRPr="00CB13F7">
        <w:rPr>
          <w:rFonts w:eastAsia="Times New Roman"/>
          <w:b/>
          <w:bCs/>
        </w:rPr>
        <w:t xml:space="preserve">Qëllimi, objektivat dhe masat prioritare </w:t>
      </w:r>
    </w:p>
    <w:bookmarkEnd w:id="3"/>
    <w:p w14:paraId="352AFC0B" w14:textId="4B5623B9" w:rsidR="003B43D4" w:rsidRPr="00CB13F7" w:rsidRDefault="0EF866DC" w:rsidP="00BA2B1D">
      <w:pPr>
        <w:spacing w:before="120" w:after="120" w:line="276" w:lineRule="auto"/>
        <w:jc w:val="both"/>
        <w:rPr>
          <w:b/>
          <w:bCs/>
        </w:rPr>
      </w:pPr>
      <w:r w:rsidRPr="00CB13F7">
        <w:rPr>
          <w:b/>
          <w:bCs/>
        </w:rPr>
        <w:t xml:space="preserve">Qëllimi i Politikës: </w:t>
      </w:r>
      <w:r w:rsidR="00385385" w:rsidRPr="00CB13F7">
        <w:t>T</w:t>
      </w:r>
      <w:r w:rsidR="39595035" w:rsidRPr="00CB13F7">
        <w:t xml:space="preserve">ë </w:t>
      </w:r>
      <w:r w:rsidRPr="00CB13F7">
        <w:t>gjithë personat me aftësi të kufizuara në Shqipëri duhet të kenë mundësi reale dhe të barabarta</w:t>
      </w:r>
      <w:r w:rsidR="541F1797" w:rsidRPr="00CB13F7">
        <w:t>,</w:t>
      </w:r>
      <w:r w:rsidRPr="00CB13F7">
        <w:t xml:space="preserve"> për të jetuar në komunitet, me zgjedhje dhe kontroll mbi jetën e tyre, përmes strehimit të aksesueshëm, mbështetjes individuale, shërbimeve të bazuara në komunitet dhe njohjes së plotë të kapacitetit ligjor, në përputhje me Konventën e OKB</w:t>
      </w:r>
      <w:r w:rsidR="39595035" w:rsidRPr="00CB13F7">
        <w:t>-së</w:t>
      </w:r>
      <w:r w:rsidRPr="00CB13F7">
        <w:t xml:space="preserve"> për të Drejtat e Personave me Aftësi të Kufizuara.</w:t>
      </w:r>
    </w:p>
    <w:p w14:paraId="4D1404AE" w14:textId="77777777" w:rsidR="00617482" w:rsidRPr="00CB13F7" w:rsidRDefault="00617482" w:rsidP="00BA2B1D">
      <w:pPr>
        <w:spacing w:before="120" w:after="120" w:line="276" w:lineRule="auto"/>
        <w:jc w:val="both"/>
      </w:pPr>
      <w:r w:rsidRPr="00CB13F7">
        <w:t>Q</w:t>
      </w:r>
      <w:r w:rsidR="000D7236" w:rsidRPr="00CB13F7">
        <w:t>ë</w:t>
      </w:r>
      <w:r w:rsidRPr="00CB13F7">
        <w:t>llimit n</w:t>
      </w:r>
      <w:r w:rsidR="000D7236" w:rsidRPr="00CB13F7">
        <w:t>ë</w:t>
      </w:r>
      <w:r w:rsidRPr="00CB13F7">
        <w:t xml:space="preserve"> fush</w:t>
      </w:r>
      <w:r w:rsidR="000D7236" w:rsidRPr="00CB13F7">
        <w:t>ë</w:t>
      </w:r>
      <w:r w:rsidRPr="00CB13F7">
        <w:t>n e mbrojtjes sociale, do t</w:t>
      </w:r>
      <w:r w:rsidR="000D7236" w:rsidRPr="00CB13F7">
        <w:t>ë</w:t>
      </w:r>
      <w:r w:rsidRPr="00CB13F7">
        <w:t xml:space="preserve"> arrihet p</w:t>
      </w:r>
      <w:r w:rsidR="000D7236" w:rsidRPr="00CB13F7">
        <w:t>ë</w:t>
      </w:r>
      <w:r w:rsidRPr="00CB13F7">
        <w:t>rmes 6 objektivave, t</w:t>
      </w:r>
      <w:r w:rsidR="000D7236" w:rsidRPr="00CB13F7">
        <w:t>ë</w:t>
      </w:r>
      <w:r w:rsidRPr="00CB13F7">
        <w:t xml:space="preserve"> detajuar n</w:t>
      </w:r>
      <w:r w:rsidR="000D7236" w:rsidRPr="00CB13F7">
        <w:t>ë</w:t>
      </w:r>
      <w:r w:rsidRPr="00CB13F7">
        <w:t xml:space="preserve"> 11 masa prioritare dhe 72 nd</w:t>
      </w:r>
      <w:r w:rsidR="000D7236" w:rsidRPr="00CB13F7">
        <w:t>ë</w:t>
      </w:r>
      <w:r w:rsidRPr="00CB13F7">
        <w:t>rhyrje konkrete t</w:t>
      </w:r>
      <w:r w:rsidR="000D7236" w:rsidRPr="00CB13F7">
        <w:t>ë</w:t>
      </w:r>
      <w:r w:rsidRPr="00CB13F7">
        <w:t xml:space="preserve"> buxhetuara.</w:t>
      </w:r>
    </w:p>
    <w:p w14:paraId="14045EC5" w14:textId="669C74A7" w:rsidR="003B43D4" w:rsidRPr="00CB13F7" w:rsidRDefault="7150E16E" w:rsidP="661F9D2E">
      <w:pPr>
        <w:spacing w:before="120" w:after="120" w:line="276" w:lineRule="auto"/>
        <w:jc w:val="both"/>
        <w:rPr>
          <w:rFonts w:eastAsia="Times New Roman"/>
          <w:color w:val="000000" w:themeColor="text1"/>
          <w:sz w:val="16"/>
          <w:szCs w:val="16"/>
          <w:lang w:eastAsia="en-US"/>
        </w:rPr>
      </w:pPr>
      <w:r w:rsidRPr="00CB13F7">
        <w:rPr>
          <w:rFonts w:eastAsia="Times New Roman"/>
          <w:b/>
          <w:bCs/>
          <w:lang w:eastAsia="en-US"/>
        </w:rPr>
        <w:t xml:space="preserve">Objektivi Specifik </w:t>
      </w:r>
      <w:r w:rsidR="1AFA2652" w:rsidRPr="00CB13F7">
        <w:rPr>
          <w:rFonts w:eastAsia="Times New Roman"/>
          <w:b/>
          <w:bCs/>
          <w:lang w:eastAsia="en-US"/>
        </w:rPr>
        <w:t>1</w:t>
      </w:r>
      <w:r w:rsidR="39595035" w:rsidRPr="00CB13F7">
        <w:rPr>
          <w:rFonts w:eastAsia="Times New Roman"/>
          <w:b/>
          <w:bCs/>
          <w:lang w:eastAsia="en-US"/>
        </w:rPr>
        <w:t xml:space="preserve">: </w:t>
      </w:r>
      <w:r w:rsidR="602CC2FA" w:rsidRPr="00CB13F7">
        <w:rPr>
          <w:rFonts w:eastAsia="Times New Roman"/>
          <w:i/>
          <w:iCs/>
          <w:lang w:eastAsia="en-US"/>
        </w:rPr>
        <w:t>P</w:t>
      </w:r>
      <w:r w:rsidR="39595035" w:rsidRPr="00CB13F7">
        <w:rPr>
          <w:rFonts w:eastAsia="Times New Roman"/>
          <w:i/>
          <w:iCs/>
          <w:lang w:eastAsia="en-US"/>
        </w:rPr>
        <w:t xml:space="preserve">ërmirësimi </w:t>
      </w:r>
      <w:r w:rsidRPr="00CB13F7">
        <w:rPr>
          <w:rFonts w:eastAsia="Times New Roman"/>
          <w:i/>
          <w:iCs/>
          <w:lang w:eastAsia="en-US"/>
        </w:rPr>
        <w:t xml:space="preserve">i cilësisë së jetesës për personat me aftësi të kufizuara, përmes skemave financiare të përshtatshme, </w:t>
      </w:r>
      <w:r w:rsidR="39595035" w:rsidRPr="00CB13F7">
        <w:rPr>
          <w:rFonts w:eastAsia="Times New Roman"/>
          <w:i/>
          <w:iCs/>
          <w:lang w:eastAsia="en-US"/>
        </w:rPr>
        <w:t xml:space="preserve">transparente </w:t>
      </w:r>
      <w:r w:rsidRPr="00CB13F7">
        <w:rPr>
          <w:rFonts w:eastAsia="Times New Roman"/>
          <w:i/>
          <w:iCs/>
          <w:lang w:eastAsia="en-US"/>
        </w:rPr>
        <w:t>dhe të afta për të përballuar rreziqet e ndryshme.</w:t>
      </w:r>
      <w:r w:rsidR="73261E24" w:rsidRPr="00CB13F7">
        <w:rPr>
          <w:rFonts w:eastAsia="Times New Roman"/>
          <w:color w:val="000000" w:themeColor="text1"/>
          <w:sz w:val="16"/>
          <w:szCs w:val="16"/>
          <w:lang w:eastAsia="en-US"/>
        </w:rPr>
        <w:t xml:space="preserve"> </w:t>
      </w:r>
    </w:p>
    <w:p w14:paraId="06B45561"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4F3C2B5A" w14:textId="0D79430C" w:rsidR="003B43D4" w:rsidRPr="00CB13F7" w:rsidRDefault="10C3E3DB" w:rsidP="00385385">
      <w:pPr>
        <w:pStyle w:val="ListParagraph"/>
        <w:numPr>
          <w:ilvl w:val="1"/>
          <w:numId w:val="37"/>
        </w:numPr>
        <w:spacing w:before="120" w:after="120" w:line="276" w:lineRule="auto"/>
        <w:ind w:left="360"/>
        <w:jc w:val="both"/>
        <w:rPr>
          <w:rFonts w:eastAsia="Times New Roman"/>
          <w:lang w:eastAsia="en-US"/>
        </w:rPr>
      </w:pPr>
      <w:r w:rsidRPr="00CB13F7">
        <w:rPr>
          <w:rFonts w:eastAsia="Times New Roman"/>
        </w:rPr>
        <w:t>Konsolidimi dhe përmirësimi i skemës së pagesave të aftësisë së kufizuar, për të garantuar rritjen e masës së përfitimit, për të mbuluar kostot që lidhen me aftësinë e kufizuar, por edhe skemave të tjera mbështetëse financiare (NE etj) për të garantuar akses, mbështetje për personat me aftësi të kufizuara dhe familjarët e tyre me ndikim zbutjen e varfërisë dhe pabarazisë</w:t>
      </w:r>
      <w:r w:rsidR="39595035" w:rsidRPr="00CB13F7">
        <w:rPr>
          <w:rFonts w:eastAsia="Times New Roman"/>
          <w:lang w:eastAsia="en-US"/>
        </w:rPr>
        <w:t>;</w:t>
      </w:r>
    </w:p>
    <w:p w14:paraId="14D33D01" w14:textId="1D9E963F" w:rsidR="661F9D2E" w:rsidRPr="00CB13F7" w:rsidRDefault="661F9D2E" w:rsidP="00385385">
      <w:pPr>
        <w:pStyle w:val="ListParagraph"/>
        <w:numPr>
          <w:ilvl w:val="1"/>
          <w:numId w:val="37"/>
        </w:numPr>
        <w:spacing w:before="120" w:after="120" w:line="276" w:lineRule="auto"/>
        <w:ind w:left="360"/>
        <w:jc w:val="both"/>
        <w:rPr>
          <w:rFonts w:eastAsia="Times New Roman"/>
          <w:sz w:val="16"/>
          <w:szCs w:val="16"/>
        </w:rPr>
      </w:pPr>
      <w:r w:rsidRPr="00CB13F7">
        <w:rPr>
          <w:rFonts w:eastAsia="Times New Roman"/>
        </w:rPr>
        <w:lastRenderedPageBreak/>
        <w:t>Konsolidimi i vlerësimit bio-psiko-social të aftësisë së kufizuar me qëllim adresimin efektiv dhe të përgjegjshëm gjinor të nevojave individuale të tyre.</w:t>
      </w:r>
    </w:p>
    <w:p w14:paraId="129044A9" w14:textId="0CAC176B" w:rsidR="003B43D4" w:rsidRPr="00CB13F7" w:rsidRDefault="7150E16E" w:rsidP="661F9D2E">
      <w:pPr>
        <w:spacing w:after="160" w:line="257" w:lineRule="auto"/>
        <w:jc w:val="both"/>
        <w:rPr>
          <w:rFonts w:eastAsia="Times New Roman"/>
          <w:lang w:eastAsia="en-US"/>
        </w:rPr>
      </w:pPr>
      <w:r w:rsidRPr="00CB13F7">
        <w:rPr>
          <w:rFonts w:eastAsia="Times New Roman"/>
          <w:lang w:eastAsia="en-US"/>
        </w:rPr>
        <w:t>Ky objektiv synon të vendosë themelet e një sistemi mbrojtjeje sociale që garanton siguri ekonomike dhe akses real në mbështetje për personat me aftësi të kufizuara. Qasja e planit është që mbrojtja sociale të mos kufizohet vetëm në dhënien e një përfitimi monetar, por të funksionojë si një mekanizëm i plotë mbështetjeje, i cili parandalon varfërinë, redukton pabarazitë dhe krijon kushtet minimale për pjesëmarrje në jetën shoqërore.</w:t>
      </w:r>
    </w:p>
    <w:p w14:paraId="71164F41" w14:textId="579667AF"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Në kuadër të masës së parë prioritare, </w:t>
      </w:r>
      <w:r w:rsidR="24099E9D" w:rsidRPr="00CB13F7">
        <w:rPr>
          <w:rFonts w:eastAsia="Times New Roman"/>
          <w:lang w:eastAsia="en-US"/>
        </w:rPr>
        <w:t xml:space="preserve">Plani </w:t>
      </w:r>
      <w:r w:rsidRPr="00CB13F7">
        <w:rPr>
          <w:rFonts w:eastAsia="Times New Roman"/>
          <w:lang w:eastAsia="en-US"/>
        </w:rPr>
        <w:t>parashikon përmirësimin e skemës së pagesave të aftësisë së kufizuar përmes rishikimit</w:t>
      </w:r>
      <w:r w:rsidR="3175B2B4" w:rsidRPr="00CB13F7">
        <w:rPr>
          <w:rFonts w:eastAsia="Times New Roman"/>
          <w:lang w:eastAsia="en-US"/>
        </w:rPr>
        <w:t xml:space="preserve"> t</w:t>
      </w:r>
      <w:r w:rsidR="004B03EF" w:rsidRPr="00CB13F7">
        <w:rPr>
          <w:rFonts w:eastAsia="Times New Roman"/>
          <w:lang w:eastAsia="en-US"/>
        </w:rPr>
        <w:t>ë</w:t>
      </w:r>
      <w:r w:rsidR="3175B2B4" w:rsidRPr="00CB13F7">
        <w:rPr>
          <w:rFonts w:eastAsia="Times New Roman"/>
          <w:lang w:eastAsia="en-US"/>
        </w:rPr>
        <w:t xml:space="preserve"> mekanizmit indeksues periodik të </w:t>
      </w:r>
      <w:r w:rsidR="3B46762D" w:rsidRPr="00CB13F7">
        <w:rPr>
          <w:rFonts w:eastAsia="Times New Roman"/>
          <w:lang w:eastAsia="en-US"/>
        </w:rPr>
        <w:t>k</w:t>
      </w:r>
      <w:r w:rsidR="004B03EF" w:rsidRPr="00CB13F7">
        <w:rPr>
          <w:rFonts w:eastAsia="Times New Roman"/>
          <w:lang w:eastAsia="en-US"/>
        </w:rPr>
        <w:t>ë</w:t>
      </w:r>
      <w:r w:rsidR="3B46762D" w:rsidRPr="00CB13F7">
        <w:rPr>
          <w:rFonts w:eastAsia="Times New Roman"/>
          <w:lang w:eastAsia="en-US"/>
        </w:rPr>
        <w:t xml:space="preserve">tyre </w:t>
      </w:r>
      <w:r w:rsidR="3175B2B4" w:rsidRPr="00CB13F7">
        <w:rPr>
          <w:rFonts w:eastAsia="Times New Roman"/>
          <w:lang w:eastAsia="en-US"/>
        </w:rPr>
        <w:t>pagesave për t’iu përgjigjur situatave të krizave dhe emergjencave në përshtatje me nevojat e posaçme të individëve.</w:t>
      </w:r>
      <w:r w:rsidRPr="00CB13F7">
        <w:rPr>
          <w:rFonts w:eastAsia="Times New Roman"/>
          <w:lang w:eastAsia="en-US"/>
        </w:rPr>
        <w:t xml:space="preserve"> </w:t>
      </w:r>
      <w:r w:rsidR="6E6031D6" w:rsidRPr="00CB13F7">
        <w:rPr>
          <w:rFonts w:eastAsia="Times New Roman"/>
          <w:lang w:eastAsia="en-US"/>
        </w:rPr>
        <w:t>P</w:t>
      </w:r>
      <w:r w:rsidRPr="00CB13F7">
        <w:rPr>
          <w:rFonts w:eastAsia="Times New Roman"/>
          <w:lang w:eastAsia="en-US"/>
        </w:rPr>
        <w:t xml:space="preserve">ërgatitja e mekanizmave fleksibël mbështetës në situata emergjence dhe krize, </w:t>
      </w:r>
      <w:r w:rsidR="137E4838" w:rsidRPr="00CB13F7">
        <w:rPr>
          <w:rFonts w:eastAsia="Times New Roman"/>
          <w:lang w:eastAsia="en-US"/>
        </w:rPr>
        <w:t>parashikon</w:t>
      </w:r>
      <w:r w:rsidRPr="00CB13F7">
        <w:rPr>
          <w:rFonts w:eastAsia="Times New Roman"/>
          <w:lang w:eastAsia="en-US"/>
        </w:rPr>
        <w:t xml:space="preserve"> mbështetje të posaçme për personat me aftësi të kufizuara në rast fatkeqësish natyrore, krizash shëndetësore apo zhvendosjeje. Kjo e kthen skemën financiare në një instrument rezistence sociale dhe jo vetëm një pagesë periodike.</w:t>
      </w:r>
    </w:p>
    <w:p w14:paraId="7FEB6C64" w14:textId="7A2AC64C"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Masa e dytë prioritare lidhet me konsolidimin e vlerësimit bio-</w:t>
      </w:r>
      <w:r w:rsidR="002B3406" w:rsidRPr="00CB13F7">
        <w:rPr>
          <w:rFonts w:eastAsia="Times New Roman"/>
          <w:lang w:eastAsia="en-US"/>
        </w:rPr>
        <w:t>psiko-social</w:t>
      </w:r>
      <w:r w:rsidRPr="00CB13F7">
        <w:rPr>
          <w:rFonts w:eastAsia="Times New Roman"/>
          <w:lang w:eastAsia="en-US"/>
        </w:rPr>
        <w:t xml:space="preserve"> të aftësisë së kufizuar, i cili përbën elementin më transformues të këtij objektivi. Rishikimi i kritereve të vlerësimit për të rritur dhe për fëmijë, përfshirja e komponentit gjinor dhe përafrimi me klasifikimet ndërkombëtare do të sigurojnë një proces më të drejtë dhe më të saktë vlerësimi. Njëkohësisht, </w:t>
      </w:r>
      <w:r w:rsidR="00B07AA6" w:rsidRPr="00CB13F7">
        <w:rPr>
          <w:rFonts w:eastAsia="Times New Roman"/>
          <w:lang w:eastAsia="en-US"/>
        </w:rPr>
        <w:t xml:space="preserve">Plani </w:t>
      </w:r>
      <w:r w:rsidRPr="00CB13F7">
        <w:rPr>
          <w:rFonts w:eastAsia="Times New Roman"/>
          <w:lang w:eastAsia="en-US"/>
        </w:rPr>
        <w:t>parashikon përmirësimin e infrastrukturës së vlerësimit, rritjen e kapaciteteve profesionale të strukturave zbatuese dhe forcimin e funksioneve monitoruese dhe kontrolluese. Analizat periodike të impaktit të skemës, vlerësime të kënaqësisë së përfituesve dhe fushata informimi të aksesueshme, do të ndikojnë në përmirësime të mëtejshme dhe do orientojnë që personat me aftësi të kufizuara dhe familjarët e tyre të kuptojnë të drejtat dhe procedurat.</w:t>
      </w:r>
    </w:p>
    <w:p w14:paraId="05AA3B3B" w14:textId="2B47325A"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Një ndërhyrje e rëndësishme është lidhja e drejtpërdrejtë e vlerësimit me mbështetjen. Personi i vlerësuar nuk do të përfitojë vetëm pagesën</w:t>
      </w:r>
      <w:r w:rsidR="5B6FA348" w:rsidRPr="00CB13F7">
        <w:rPr>
          <w:rFonts w:eastAsia="Times New Roman"/>
          <w:lang w:eastAsia="en-US"/>
        </w:rPr>
        <w:t xml:space="preserve"> e aft</w:t>
      </w:r>
      <w:r w:rsidR="004B03EF" w:rsidRPr="00CB13F7">
        <w:rPr>
          <w:rFonts w:eastAsia="Times New Roman"/>
          <w:lang w:eastAsia="en-US"/>
        </w:rPr>
        <w:t>ë</w:t>
      </w:r>
      <w:r w:rsidR="5B6FA348" w:rsidRPr="00CB13F7">
        <w:rPr>
          <w:rFonts w:eastAsia="Times New Roman"/>
          <w:lang w:eastAsia="en-US"/>
        </w:rPr>
        <w:t>sis</w:t>
      </w:r>
      <w:r w:rsidR="004B03EF" w:rsidRPr="00CB13F7">
        <w:rPr>
          <w:rFonts w:eastAsia="Times New Roman"/>
          <w:lang w:eastAsia="en-US"/>
        </w:rPr>
        <w:t>ë</w:t>
      </w:r>
      <w:r w:rsidR="5B6FA348" w:rsidRPr="00CB13F7">
        <w:rPr>
          <w:rFonts w:eastAsia="Times New Roman"/>
          <w:lang w:eastAsia="en-US"/>
        </w:rPr>
        <w:t xml:space="preserve"> s</w:t>
      </w:r>
      <w:r w:rsidR="004B03EF" w:rsidRPr="00CB13F7">
        <w:rPr>
          <w:rFonts w:eastAsia="Times New Roman"/>
          <w:lang w:eastAsia="en-US"/>
        </w:rPr>
        <w:t>ë</w:t>
      </w:r>
      <w:r w:rsidR="5B6FA348" w:rsidRPr="00CB13F7">
        <w:rPr>
          <w:rFonts w:eastAsia="Times New Roman"/>
          <w:lang w:eastAsia="en-US"/>
        </w:rPr>
        <w:t xml:space="preserve"> kufizuar</w:t>
      </w:r>
      <w:r w:rsidRPr="00CB13F7">
        <w:rPr>
          <w:rFonts w:eastAsia="Times New Roman"/>
          <w:lang w:eastAsia="en-US"/>
        </w:rPr>
        <w:t xml:space="preserve">, por do të përfshihet </w:t>
      </w:r>
      <w:r w:rsidR="194BE4DB" w:rsidRPr="00CB13F7">
        <w:rPr>
          <w:rFonts w:eastAsia="Times New Roman"/>
          <w:lang w:eastAsia="en-US"/>
        </w:rPr>
        <w:t xml:space="preserve">edhe </w:t>
      </w:r>
      <w:r w:rsidRPr="00CB13F7">
        <w:rPr>
          <w:rFonts w:eastAsia="Times New Roman"/>
          <w:lang w:eastAsia="en-US"/>
        </w:rPr>
        <w:t xml:space="preserve">në një mekanizëm referimi dhe menaxhimi rasti. Përmes profileve individuale të nevojave dhe ekipeve </w:t>
      </w:r>
      <w:r w:rsidR="1AFA2652" w:rsidRPr="00CB13F7">
        <w:rPr>
          <w:rFonts w:eastAsia="Times New Roman"/>
          <w:lang w:eastAsia="en-US"/>
        </w:rPr>
        <w:t>shumëdisiplinore</w:t>
      </w:r>
      <w:r w:rsidRPr="00CB13F7">
        <w:rPr>
          <w:rFonts w:eastAsia="Times New Roman"/>
          <w:lang w:eastAsia="en-US"/>
        </w:rPr>
        <w:t>, do të referohet në shërbime sociale, shëndetësore, arsimore, rehabilituese, shërbime të formimit profesional dhe punësimit, si edhe në pajisje dhe teknologji ndihmëse. Integrimi i sistemit të informacionit me sektorët e tjerë do të mundësojë koordinim ndërinstitucional dhe mbështetje të vazhdueshme.</w:t>
      </w:r>
    </w:p>
    <w:p w14:paraId="6EAF067F" w14:textId="77777777" w:rsidR="003B43D4" w:rsidRPr="00CB13F7" w:rsidRDefault="00184AFC" w:rsidP="00BA2B1D">
      <w:pPr>
        <w:spacing w:before="120" w:after="120" w:line="276" w:lineRule="auto"/>
        <w:jc w:val="both"/>
        <w:rPr>
          <w:rFonts w:eastAsia="Times New Roman"/>
          <w:lang w:eastAsia="en-US"/>
        </w:rPr>
      </w:pPr>
      <w:r w:rsidRPr="00CB13F7">
        <w:rPr>
          <w:rFonts w:eastAsia="Times New Roman"/>
          <w:lang w:eastAsia="en-US"/>
        </w:rPr>
        <w:t>K</w:t>
      </w:r>
      <w:r w:rsidR="003B43D4" w:rsidRPr="00CB13F7">
        <w:rPr>
          <w:rFonts w:eastAsia="Times New Roman"/>
          <w:lang w:eastAsia="en-US"/>
        </w:rPr>
        <w:t xml:space="preserve">y objektiv synon të krijojë një sistem ku pagesat financiare, vlerësimi funksional dhe referimi në shërbime funksionojnë si një mekanizëm i vetëm mbështetës. </w:t>
      </w:r>
    </w:p>
    <w:p w14:paraId="4B991B97" w14:textId="795CA6F1" w:rsidR="003B43D4" w:rsidRPr="00CB13F7" w:rsidRDefault="7150E16E" w:rsidP="00BA2B1D">
      <w:pPr>
        <w:spacing w:before="120" w:after="120" w:line="276" w:lineRule="auto"/>
        <w:jc w:val="both"/>
        <w:rPr>
          <w:rFonts w:eastAsia="Times New Roman"/>
          <w:b/>
          <w:bCs/>
          <w:lang w:eastAsia="en-US"/>
        </w:rPr>
      </w:pPr>
      <w:r w:rsidRPr="00CB13F7">
        <w:rPr>
          <w:rFonts w:eastAsia="Times New Roman"/>
          <w:b/>
          <w:bCs/>
          <w:lang w:eastAsia="en-US"/>
        </w:rPr>
        <w:t xml:space="preserve">Objektivi Specifik </w:t>
      </w:r>
      <w:r w:rsidR="1AFA2652" w:rsidRPr="00CB13F7">
        <w:rPr>
          <w:rFonts w:eastAsia="Times New Roman"/>
          <w:b/>
          <w:bCs/>
          <w:lang w:eastAsia="en-US"/>
        </w:rPr>
        <w:t>2</w:t>
      </w:r>
      <w:r w:rsidR="7DC42018" w:rsidRPr="00CB13F7">
        <w:rPr>
          <w:rFonts w:eastAsia="Times New Roman"/>
          <w:b/>
          <w:bCs/>
          <w:lang w:eastAsia="en-US"/>
        </w:rPr>
        <w:t xml:space="preserve">: </w:t>
      </w:r>
      <w:r w:rsidR="4247BFFC" w:rsidRPr="00CB13F7">
        <w:rPr>
          <w:rFonts w:eastAsia="Times New Roman"/>
          <w:lang w:eastAsia="en-US"/>
        </w:rPr>
        <w:t>Z</w:t>
      </w:r>
      <w:r w:rsidR="7DC42018" w:rsidRPr="00CB13F7">
        <w:rPr>
          <w:rFonts w:eastAsia="Times New Roman"/>
          <w:i/>
          <w:iCs/>
          <w:lang w:eastAsia="en-US"/>
        </w:rPr>
        <w:t xml:space="preserve">gjerimi </w:t>
      </w:r>
      <w:r w:rsidRPr="00CB13F7">
        <w:rPr>
          <w:rFonts w:eastAsia="Times New Roman"/>
          <w:i/>
          <w:iCs/>
          <w:lang w:eastAsia="en-US"/>
        </w:rPr>
        <w:t>i shërbimeve sociale të integruara, të aksesueshme e cilësore për personat me aftësi të kufizuara, si dhe avancimi i deinstitucionalizimit, në partneritet me pushtetin vendor dhe aktorët e tjerë</w:t>
      </w:r>
      <w:r w:rsidRPr="00CB13F7">
        <w:rPr>
          <w:rFonts w:eastAsia="Times New Roman"/>
          <w:lang w:eastAsia="en-US"/>
        </w:rPr>
        <w:t>.</w:t>
      </w:r>
    </w:p>
    <w:p w14:paraId="4BC44772"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43F5C737" w14:textId="307690FB" w:rsidR="003B43D4" w:rsidRPr="00CB13F7" w:rsidRDefault="003B43D4" w:rsidP="006217A3">
      <w:pPr>
        <w:pStyle w:val="ListParagraph"/>
        <w:numPr>
          <w:ilvl w:val="0"/>
          <w:numId w:val="38"/>
        </w:numPr>
        <w:spacing w:before="120" w:after="120" w:line="276" w:lineRule="auto"/>
        <w:jc w:val="both"/>
        <w:rPr>
          <w:rFonts w:eastAsia="Times New Roman"/>
          <w:lang w:eastAsia="en-US"/>
        </w:rPr>
      </w:pPr>
      <w:r w:rsidRPr="00CB13F7">
        <w:rPr>
          <w:rFonts w:eastAsia="Times New Roman"/>
          <w:lang w:eastAsia="en-US"/>
        </w:rPr>
        <w:lastRenderedPageBreak/>
        <w:t>Përmirësimi i sistemit të planifikimit për shërbime të përkujdesit shoqëror për personat me aftësi të kufizuara, udhëhequr nga parimet e qasjes duale dhe shërbimeve në përputhje me moshën dhe nevojat.</w:t>
      </w:r>
    </w:p>
    <w:p w14:paraId="5801657C" w14:textId="31E504B8" w:rsidR="00436B22" w:rsidRPr="00CB13F7" w:rsidRDefault="00436B22" w:rsidP="00CB13F7">
      <w:pPr>
        <w:spacing w:before="120" w:after="120" w:line="276" w:lineRule="auto"/>
        <w:jc w:val="both"/>
        <w:rPr>
          <w:rFonts w:eastAsia="Times New Roman"/>
          <w:lang w:eastAsia="en-US"/>
        </w:rPr>
      </w:pPr>
      <w:r w:rsidRPr="00CB13F7">
        <w:rPr>
          <w:rFonts w:eastAsia="Times New Roman"/>
          <w:lang w:eastAsia="en-US"/>
        </w:rPr>
        <w:t>Plani i Veprimit parashikon rishikimin dhe konsolidimin e kuadrit ligjor, rregullator dhe institucional për zhvillimin e shërbimeve të përkujdesit shoqëror për personat me aftësi të kufizuara, në përputhje me parimet e qasjes duale dhe të ofrimit të shërbimeve përgjatë gjithë ciklit të jetës. Në këtë kuadër synohet përmirësimi i standardeve ekzistuese dhe hartimi i standardeve të reja për shërbimet sociale, në përputhje me Kornizën e Standardeve Bazë të Cilësisë për Shërbimet e Kujdesit Shoqëror, duke integruar në mënyrë sistematike elementët e aksesueshmërisë dhe të përfshirjes së personave me aftësi të kufizuara në çdo shërbim, qoftë gjithëpërfshirës apo specifik.</w:t>
      </w:r>
    </w:p>
    <w:p w14:paraId="489F268E" w14:textId="2BCB1D51" w:rsidR="00436B22" w:rsidRPr="00CB13F7" w:rsidRDefault="00436B22" w:rsidP="00CB13F7">
      <w:pPr>
        <w:spacing w:before="120" w:after="120" w:line="276" w:lineRule="auto"/>
        <w:jc w:val="both"/>
        <w:rPr>
          <w:rFonts w:eastAsia="Times New Roman"/>
          <w:lang w:eastAsia="en-US"/>
        </w:rPr>
      </w:pPr>
      <w:r w:rsidRPr="00CB13F7">
        <w:rPr>
          <w:rFonts w:eastAsia="Times New Roman"/>
          <w:lang w:eastAsia="en-US"/>
        </w:rPr>
        <w:t>Një drejtim i rëndësishëm i ndërhyrjes është përmirësimi i mekanizmave të referimit dhe koordinimit ndërinstitucional, përmes rishikimit të protokolleve dhe procedurave operacionale që lidhen me komisionet bio</w:t>
      </w:r>
      <w:r w:rsidR="00CB13F7">
        <w:rPr>
          <w:rFonts w:eastAsia="Times New Roman"/>
          <w:lang w:eastAsia="en-US"/>
        </w:rPr>
        <w:t>-</w:t>
      </w:r>
      <w:r w:rsidRPr="00CB13F7">
        <w:rPr>
          <w:rFonts w:eastAsia="Times New Roman"/>
          <w:lang w:eastAsia="en-US"/>
        </w:rPr>
        <w:t>psiko</w:t>
      </w:r>
      <w:r w:rsidR="00CB13F7">
        <w:rPr>
          <w:rFonts w:eastAsia="Times New Roman"/>
          <w:lang w:eastAsia="en-US"/>
        </w:rPr>
        <w:t>-</w:t>
      </w:r>
      <w:r w:rsidRPr="00CB13F7">
        <w:rPr>
          <w:rFonts w:eastAsia="Times New Roman"/>
          <w:lang w:eastAsia="en-US"/>
        </w:rPr>
        <w:t>sociale të vlerësimit të aftësisë së kufizuar. Kjo synon të forcojë ndërveprimin ndërmjet institucioneve dhe shërbimeve, duke mundësuar një menaxhim më të integruar të rastit dhe lidhjen më efektive midis procesit të vlerësimit dhe ofrimit të shërbimeve mbështetëse.</w:t>
      </w:r>
    </w:p>
    <w:p w14:paraId="1C96EDA1" w14:textId="4426669D" w:rsidR="00436B22" w:rsidRPr="00CB13F7" w:rsidRDefault="00436B22" w:rsidP="00CB13F7">
      <w:pPr>
        <w:spacing w:before="120" w:after="120" w:line="276" w:lineRule="auto"/>
        <w:jc w:val="both"/>
        <w:rPr>
          <w:rFonts w:eastAsia="Times New Roman"/>
          <w:lang w:eastAsia="en-US"/>
        </w:rPr>
      </w:pPr>
      <w:r w:rsidRPr="00CB13F7">
        <w:rPr>
          <w:rFonts w:eastAsia="Times New Roman"/>
          <w:lang w:eastAsia="en-US"/>
        </w:rPr>
        <w:t xml:space="preserve">Në të njëjtën kohë, plani parashikon realizimin e një vlerësimi të situatës së fëmijëve dhe të rriturve me aftësi të kufizuara në lidhje me nevojën për shërbime alternative, përfshirë analizën e skenarëve të mundshëm të mbështetjes, hartimin e planeve individuale dhe kostimin e tyre. </w:t>
      </w:r>
    </w:p>
    <w:p w14:paraId="5D5A55FE" w14:textId="4CDCCBCC" w:rsidR="003B43D4" w:rsidRPr="00CB13F7" w:rsidRDefault="25A76CA0" w:rsidP="00BA2B1D">
      <w:pPr>
        <w:spacing w:before="120" w:after="120" w:line="276" w:lineRule="auto"/>
        <w:jc w:val="both"/>
        <w:rPr>
          <w:rFonts w:eastAsia="Times New Roman"/>
          <w:lang w:eastAsia="en-US"/>
        </w:rPr>
      </w:pPr>
      <w:r w:rsidRPr="00CB13F7">
        <w:rPr>
          <w:rFonts w:eastAsia="Times New Roman"/>
          <w:lang w:eastAsia="en-US"/>
        </w:rPr>
        <w:t xml:space="preserve">Strukturat përgjegjëse për </w:t>
      </w:r>
      <w:r w:rsidR="7150E16E" w:rsidRPr="00CB13F7">
        <w:rPr>
          <w:rFonts w:eastAsia="Times New Roman"/>
          <w:lang w:eastAsia="en-US"/>
        </w:rPr>
        <w:t xml:space="preserve">shërbimet sociale, shëndetësore, arsimore dhe të punësimit, do të ndërveprojnë për të ndërtuar një mbështetje të koordinuar dhe të personalizuar. Vlerësimet e situatës dhe planet individuale do të </w:t>
      </w:r>
      <w:r w:rsidR="43CB6DC9" w:rsidRPr="00CB13F7">
        <w:rPr>
          <w:rFonts w:eastAsia="Times New Roman"/>
          <w:lang w:eastAsia="en-US"/>
        </w:rPr>
        <w:t>shërbejnë</w:t>
      </w:r>
      <w:r w:rsidR="7150E16E" w:rsidRPr="00CB13F7">
        <w:rPr>
          <w:rFonts w:eastAsia="Times New Roman"/>
          <w:lang w:eastAsia="en-US"/>
        </w:rPr>
        <w:t xml:space="preserve"> për të </w:t>
      </w:r>
      <w:r w:rsidR="32C57BF2" w:rsidRPr="00CB13F7">
        <w:rPr>
          <w:rFonts w:eastAsia="Times New Roman"/>
          <w:lang w:eastAsia="en-US"/>
        </w:rPr>
        <w:t>planifikuar</w:t>
      </w:r>
      <w:r w:rsidR="7150E16E" w:rsidRPr="00CB13F7">
        <w:rPr>
          <w:rFonts w:eastAsia="Times New Roman"/>
          <w:lang w:eastAsia="en-US"/>
        </w:rPr>
        <w:t xml:space="preserve"> shërbimin më të përshtatshëm për çdo individ, duke marrë parasysh moshën, nivelin e funksionimit dhe preferencat personale.</w:t>
      </w:r>
      <w:r w:rsidR="00436B22" w:rsidRPr="00CB13F7">
        <w:rPr>
          <w:rFonts w:eastAsia="Times New Roman"/>
          <w:lang w:eastAsia="en-US"/>
        </w:rPr>
        <w:t xml:space="preserve"> Ky proces do të shërbejë si bazë për planifikimin e mëtejshëm të shërbimeve dhe për orientimin më të mirë të burimeve financiare.</w:t>
      </w:r>
    </w:p>
    <w:p w14:paraId="6DA1D9F2" w14:textId="1D83BB69"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Një rol qendror në këtë proces do të ketë pushteti vendor. Bashkitë do të fuqizohen në planifikimin, financimin dhe ofrimin e shërbimeve </w:t>
      </w:r>
      <w:r w:rsidR="5F4D292E" w:rsidRPr="00CB13F7">
        <w:rPr>
          <w:rFonts w:eastAsia="Times New Roman"/>
          <w:lang w:eastAsia="en-US"/>
        </w:rPr>
        <w:t xml:space="preserve">të integruara </w:t>
      </w:r>
      <w:r w:rsidRPr="00CB13F7">
        <w:rPr>
          <w:rFonts w:eastAsia="Times New Roman"/>
          <w:lang w:eastAsia="en-US"/>
        </w:rPr>
        <w:t xml:space="preserve">komunitare, përmes udhëzimeve, standardeve dhe ngritjes së kapaciteteve profesionale. Qasja e </w:t>
      </w:r>
      <w:r w:rsidR="119637E4" w:rsidRPr="00CB13F7">
        <w:rPr>
          <w:rFonts w:eastAsia="Times New Roman"/>
          <w:lang w:eastAsia="en-US"/>
        </w:rPr>
        <w:t>P</w:t>
      </w:r>
      <w:r w:rsidRPr="00CB13F7">
        <w:rPr>
          <w:rFonts w:eastAsia="Times New Roman"/>
          <w:lang w:eastAsia="en-US"/>
        </w:rPr>
        <w:t>lanit synon</w:t>
      </w:r>
      <w:r w:rsidR="35047E28" w:rsidRPr="00CB13F7">
        <w:rPr>
          <w:rFonts w:eastAsia="Times New Roman"/>
          <w:lang w:eastAsia="en-US"/>
        </w:rPr>
        <w:t>,</w:t>
      </w:r>
      <w:r w:rsidRPr="00CB13F7">
        <w:rPr>
          <w:rFonts w:eastAsia="Times New Roman"/>
          <w:lang w:eastAsia="en-US"/>
        </w:rPr>
        <w:t xml:space="preserve"> që shërbimet </w:t>
      </w:r>
      <w:r w:rsidR="4DB34087" w:rsidRPr="00CB13F7">
        <w:rPr>
          <w:rFonts w:eastAsia="Times New Roman"/>
          <w:lang w:eastAsia="en-US"/>
        </w:rPr>
        <w:t xml:space="preserve">e integruara </w:t>
      </w:r>
      <w:r w:rsidRPr="00CB13F7">
        <w:rPr>
          <w:rFonts w:eastAsia="Times New Roman"/>
          <w:lang w:eastAsia="en-US"/>
        </w:rPr>
        <w:t>sociale të mos jenë të përqendruara vetëm në disa zona urbane, por të shtrihen në mënyrë të barabartë në të gjithë territorin, përfshirë zonat rurale. Për këtë arsye parashikohet zhvillimi i shërbimeve lëvizëse dhe edhe ofrimi i mbështetjes</w:t>
      </w:r>
      <w:r w:rsidR="625834B2" w:rsidRPr="00CB13F7">
        <w:rPr>
          <w:rFonts w:eastAsia="Times New Roman"/>
          <w:lang w:eastAsia="en-US"/>
        </w:rPr>
        <w:t xml:space="preserve">/këshillimit </w:t>
      </w:r>
      <w:r w:rsidRPr="00CB13F7">
        <w:rPr>
          <w:rFonts w:eastAsia="Times New Roman"/>
          <w:lang w:eastAsia="en-US"/>
        </w:rPr>
        <w:t>në distancë, për të reduktuar izolimin social dhe mungesën e aksesit.</w:t>
      </w:r>
    </w:p>
    <w:p w14:paraId="75330F99" w14:textId="2058A0F6"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Një element kyç i objektivit është zhvillimi i ndërhyrjes së hershme për fëmijët 0</w:t>
      </w:r>
      <w:r w:rsidR="2BA65F22" w:rsidRPr="00CB13F7">
        <w:rPr>
          <w:rFonts w:eastAsia="Times New Roman"/>
          <w:lang w:eastAsia="en-US"/>
        </w:rPr>
        <w:t>-</w:t>
      </w:r>
      <w:r w:rsidRPr="00CB13F7">
        <w:rPr>
          <w:rFonts w:eastAsia="Times New Roman"/>
          <w:lang w:eastAsia="en-US"/>
        </w:rPr>
        <w:t>6 vjeç</w:t>
      </w:r>
      <w:r w:rsidR="272CB598" w:rsidRPr="00CB13F7">
        <w:rPr>
          <w:rFonts w:eastAsia="Times New Roman"/>
          <w:lang w:eastAsia="en-US"/>
        </w:rPr>
        <w:t>,</w:t>
      </w:r>
      <w:r w:rsidRPr="00CB13F7">
        <w:rPr>
          <w:rFonts w:eastAsia="Times New Roman"/>
          <w:lang w:eastAsia="en-US"/>
        </w:rPr>
        <w:t xml:space="preserve">  </w:t>
      </w:r>
      <w:r w:rsidR="2EC9F035" w:rsidRPr="00CB13F7">
        <w:rPr>
          <w:rFonts w:eastAsia="Times New Roman"/>
          <w:lang w:eastAsia="en-US"/>
        </w:rPr>
        <w:t>p</w:t>
      </w:r>
      <w:r w:rsidR="4230C7D8" w:rsidRPr="00CB13F7">
        <w:rPr>
          <w:rFonts w:eastAsia="Times New Roman"/>
          <w:lang w:eastAsia="en-US"/>
        </w:rPr>
        <w:t>ërmes një s</w:t>
      </w:r>
      <w:r w:rsidRPr="00CB13F7">
        <w:rPr>
          <w:rFonts w:eastAsia="Times New Roman"/>
          <w:lang w:eastAsia="en-US"/>
        </w:rPr>
        <w:t>istemi</w:t>
      </w:r>
      <w:r w:rsidR="4D199B06" w:rsidRPr="00CB13F7">
        <w:rPr>
          <w:rFonts w:eastAsia="Times New Roman"/>
          <w:lang w:eastAsia="en-US"/>
        </w:rPr>
        <w:t xml:space="preserve"> i cili</w:t>
      </w:r>
      <w:r w:rsidRPr="00CB13F7">
        <w:rPr>
          <w:rFonts w:eastAsia="Times New Roman"/>
          <w:lang w:eastAsia="en-US"/>
        </w:rPr>
        <w:t xml:space="preserve"> do të lidhë identifikimin e hershëm me ndërhyrjen rehabilituese dhe më pas me tranzicionin drejt arsimit, shërbimeve shëndetësore dhe sociale, duke krijuar vazhdimësi të mbështetjes gjatë gjithë jetës. Kjo qasje synon të parandalojë përkeqësimin e funksionimit dhe të zvogëlojë nevojën për ndërhyrje intensive në faza të mëvonshme.</w:t>
      </w:r>
    </w:p>
    <w:p w14:paraId="42EA55FF" w14:textId="4A86356E"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lastRenderedPageBreak/>
        <w:t xml:space="preserve">Në të njëjtën kohë, </w:t>
      </w:r>
      <w:r w:rsidR="004928DD" w:rsidRPr="00CB13F7">
        <w:rPr>
          <w:rFonts w:eastAsia="Times New Roman"/>
          <w:lang w:eastAsia="en-US"/>
        </w:rPr>
        <w:t xml:space="preserve">Plani </w:t>
      </w:r>
      <w:r w:rsidRPr="00CB13F7">
        <w:rPr>
          <w:rFonts w:eastAsia="Times New Roman"/>
          <w:lang w:eastAsia="en-US"/>
        </w:rPr>
        <w:t xml:space="preserve">parashikon zgjerimin e shërbimeve komunitare për të gjitha grupmoshat: qendra ditore, shërbime rehabilituese, këshillimore dhe </w:t>
      </w:r>
      <w:r w:rsidR="002B3406" w:rsidRPr="00CB13F7">
        <w:rPr>
          <w:rFonts w:eastAsia="Times New Roman"/>
          <w:lang w:eastAsia="en-US"/>
        </w:rPr>
        <w:t>psiko-sociale</w:t>
      </w:r>
      <w:r w:rsidRPr="00CB13F7">
        <w:rPr>
          <w:rFonts w:eastAsia="Times New Roman"/>
          <w:lang w:eastAsia="en-US"/>
        </w:rPr>
        <w:t xml:space="preserve">, si dhe shërbime mbështetëse për të moshuarit me aftësi të kufizuara. Mbështetje do të ofrohet edhe për familjet përmes shërbimeve për prindërit dhe kujdestarët, përfshirë </w:t>
      </w:r>
      <w:r w:rsidRPr="00CB13F7">
        <w:rPr>
          <w:rFonts w:eastAsia="Times New Roman"/>
          <w:i/>
          <w:lang w:eastAsia="en-US"/>
        </w:rPr>
        <w:t>respite care</w:t>
      </w:r>
      <w:r w:rsidRPr="00CB13F7">
        <w:rPr>
          <w:rFonts w:eastAsia="Times New Roman"/>
          <w:lang w:eastAsia="en-US"/>
        </w:rPr>
        <w:t>, me qëllim lehtësimin e barrës së kujdesit dhe parandalimin e izolimit social të familjes.</w:t>
      </w:r>
    </w:p>
    <w:p w14:paraId="50B93F70" w14:textId="215D0A24" w:rsidR="7150E16E" w:rsidRPr="00CB13F7" w:rsidRDefault="00436B22" w:rsidP="661F9D2E">
      <w:pPr>
        <w:spacing w:before="120" w:after="120" w:line="276" w:lineRule="auto"/>
        <w:jc w:val="both"/>
        <w:rPr>
          <w:rFonts w:eastAsia="Times New Roman"/>
        </w:rPr>
      </w:pPr>
      <w:r w:rsidRPr="00CB13F7">
        <w:rPr>
          <w:rFonts w:eastAsia="Times New Roman"/>
        </w:rPr>
        <w:t>Një drejtim i rëndësishëm i këtij objektivi është avancimi i procesit të deinstitucionalizimit</w:t>
      </w:r>
      <w:r w:rsidR="00D1402C" w:rsidRPr="00CB13F7">
        <w:rPr>
          <w:rFonts w:eastAsia="Times New Roman"/>
        </w:rPr>
        <w:t xml:space="preserve">, me fokus sigurimin e </w:t>
      </w:r>
      <w:r w:rsidRPr="00CB13F7">
        <w:rPr>
          <w:rFonts w:eastAsia="Times New Roman"/>
        </w:rPr>
        <w:t>jetesë</w:t>
      </w:r>
      <w:r w:rsidR="00D1402C" w:rsidRPr="00CB13F7">
        <w:rPr>
          <w:rFonts w:eastAsia="Times New Roman"/>
        </w:rPr>
        <w:t>s në komunitet dhe parandalimin e institucionalizimit. Në këtë kuadër</w:t>
      </w:r>
      <w:r w:rsidRPr="00CB13F7">
        <w:rPr>
          <w:rFonts w:eastAsia="Times New Roman"/>
        </w:rPr>
        <w:t xml:space="preserve"> plani parashikon</w:t>
      </w:r>
      <w:r w:rsidR="00D1402C" w:rsidRPr="00CB13F7">
        <w:rPr>
          <w:rFonts w:eastAsia="Times New Roman"/>
        </w:rPr>
        <w:t xml:space="preserve"> </w:t>
      </w:r>
      <w:r w:rsidRPr="00CB13F7">
        <w:rPr>
          <w:rFonts w:eastAsia="Times New Roman"/>
        </w:rPr>
        <w:t>mbështetjen për zhvillimin e shërbimeve të reja komunitare, përfshirë ngritjen e modeleve të shtëpive familje për të rriturit e vetmuar me aftësi të kufizuara dhe në rrezik institucionalizimi, si dhe zhvillimin e modelit të kujdestarisë alternative për</w:t>
      </w:r>
      <w:r w:rsidR="00D1402C" w:rsidRPr="00CB13F7">
        <w:rPr>
          <w:rFonts w:eastAsia="Times New Roman"/>
        </w:rPr>
        <w:t xml:space="preserve"> fëmijët me aftësi të kufizuara, </w:t>
      </w:r>
      <w:r w:rsidR="2EB5F3CB" w:rsidRPr="00CB13F7">
        <w:rPr>
          <w:rFonts w:eastAsia="Times New Roman"/>
        </w:rPr>
        <w:t>shërbimet e mbështetura për të rinjtë mbi 14 vjeç dhe mbështetja për të rriturit e vetmuar ose në rrezik institucionalizimi. Përmes këtyre ndërhyrjeve synohet që kujdesi institucional të përdoret vetëm si masë e fundit, ndërsa prioritet t’i jepet mbështetjes në familje dhe në komunitet.</w:t>
      </w:r>
    </w:p>
    <w:p w14:paraId="04AD3F4F" w14:textId="49764367"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Për të garantuar cilësinë dhe qëndrueshmërinë e sistemit, </w:t>
      </w:r>
      <w:r w:rsidR="59BBE8C0" w:rsidRPr="00CB13F7">
        <w:rPr>
          <w:rFonts w:eastAsia="Times New Roman"/>
          <w:lang w:eastAsia="en-US"/>
        </w:rPr>
        <w:t xml:space="preserve">Plani </w:t>
      </w:r>
      <w:r w:rsidRPr="00CB13F7">
        <w:rPr>
          <w:rFonts w:eastAsia="Times New Roman"/>
          <w:lang w:eastAsia="en-US"/>
        </w:rPr>
        <w:t xml:space="preserve">parashikon zhvillimin e standardeve të reja të shërbimeve dhe përfshirjen e kërkesave të aksesueshmërisë në mjedis, informacion, komunikim dhe transport në çdo shërbim social. Po ashtu, ai parashikon fuqizim kapacitetesh të stafeve për parandalimin e institucionalizimit dhe për ofrimin e shërbimeve alternative, ndërsa monitorimi do të forcohet përmes </w:t>
      </w:r>
      <w:r w:rsidR="59BBE8C0" w:rsidRPr="00CB13F7">
        <w:rPr>
          <w:rFonts w:eastAsia="Times New Roman"/>
          <w:lang w:eastAsia="en-US"/>
        </w:rPr>
        <w:t>bazës së të dhënave</w:t>
      </w:r>
      <w:r w:rsidRPr="00CB13F7">
        <w:rPr>
          <w:rFonts w:eastAsia="Times New Roman"/>
          <w:lang w:eastAsia="en-US"/>
        </w:rPr>
        <w:t>, treguesve të performancës dhe vlerësimeve periodike të nevojave dhe cilësisë së shërbimeve.</w:t>
      </w:r>
    </w:p>
    <w:p w14:paraId="6944E3F6" w14:textId="77777777" w:rsidR="00D1402C"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mënyrë të veçantë, vlerësimi i cilësisë do të bazohet edhe në perceptimin e vetë personave me aftësi të kufizuara dhe familjarëve të tyre, duke analizuar nëse shërbimet plotësojnë realisht nevojat, frekuencën dhe efektivitetin e mbështetjes, si dhe cilësinë e komunikimit me stafin.</w:t>
      </w:r>
    </w:p>
    <w:p w14:paraId="61C4E6DB" w14:textId="77777777" w:rsidR="00D1402C" w:rsidRPr="00CB13F7" w:rsidRDefault="00D1402C" w:rsidP="00D1402C">
      <w:pPr>
        <w:spacing w:before="120" w:after="120" w:line="276" w:lineRule="auto"/>
        <w:jc w:val="both"/>
        <w:rPr>
          <w:rFonts w:eastAsia="Times New Roman"/>
          <w:lang w:eastAsia="en-US"/>
        </w:rPr>
      </w:pPr>
      <w:r w:rsidRPr="00CB13F7">
        <w:rPr>
          <w:rFonts w:eastAsia="Times New Roman"/>
          <w:lang w:eastAsia="en-US"/>
        </w:rPr>
        <w:t>Përmes këtyre ndërhyrjeve synohet krijimi i një sistemi shërbimesh sociale më të koordinuar, të aksesueshëm dhe të orientuar drejt nevojave individuale, i cili mbështet përfshirjen sociale dhe jetesën në komunitet të personave me aftësi të kufizuara gjatë gjithë ciklit të jetës.</w:t>
      </w:r>
    </w:p>
    <w:p w14:paraId="05627439" w14:textId="12EA4510"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 </w:t>
      </w:r>
    </w:p>
    <w:p w14:paraId="0E245FEE" w14:textId="1FE8582C" w:rsidR="003B43D4" w:rsidRPr="00CB13F7" w:rsidRDefault="7150E16E" w:rsidP="661F9D2E">
      <w:pPr>
        <w:spacing w:before="120" w:after="120" w:line="276" w:lineRule="auto"/>
        <w:jc w:val="both"/>
        <w:rPr>
          <w:rFonts w:eastAsia="Times New Roman"/>
          <w:i/>
          <w:iCs/>
          <w:lang w:eastAsia="en-US"/>
        </w:rPr>
      </w:pPr>
      <w:r w:rsidRPr="00CB13F7">
        <w:rPr>
          <w:rFonts w:eastAsia="Times New Roman"/>
          <w:b/>
          <w:bCs/>
          <w:lang w:eastAsia="en-US"/>
        </w:rPr>
        <w:t>Objektivi Specifik 3</w:t>
      </w:r>
      <w:r w:rsidR="61A74635" w:rsidRPr="00CB13F7">
        <w:rPr>
          <w:rFonts w:eastAsia="Times New Roman"/>
          <w:b/>
          <w:bCs/>
          <w:lang w:eastAsia="en-US"/>
        </w:rPr>
        <w:t xml:space="preserve">: </w:t>
      </w:r>
      <w:r w:rsidR="5F3511A5" w:rsidRPr="00CB13F7">
        <w:rPr>
          <w:rFonts w:eastAsia="Times New Roman"/>
          <w:i/>
          <w:iCs/>
          <w:lang w:eastAsia="en-US"/>
        </w:rPr>
        <w:t>T</w:t>
      </w:r>
      <w:r w:rsidR="61A74635" w:rsidRPr="00CB13F7">
        <w:rPr>
          <w:rFonts w:eastAsia="Times New Roman"/>
          <w:i/>
          <w:iCs/>
          <w:lang w:eastAsia="en-US"/>
        </w:rPr>
        <w:t xml:space="preserve">ë </w:t>
      </w:r>
      <w:r w:rsidRPr="00CB13F7">
        <w:rPr>
          <w:rFonts w:eastAsia="Times New Roman"/>
          <w:i/>
          <w:iCs/>
          <w:lang w:eastAsia="en-US"/>
        </w:rPr>
        <w:t>mundësohet që të gjithë personat me aftësi të kufizuara në Shqipëri të kenë mundësi reale dhe të barabarta për të jetuar në komunitet, me zgjedhje dhe kontroll mbi jetën e tyre, përmes strehimit të aksesueshëm, mbështetjes individuale, shërbimeve të bazuara në komunitet dhe njohjes së plotë të kapacitetit ligjor, në përputhje me Konventën e OKB-së për të Drejtat e Personave me Aftësi të Kufizuara.</w:t>
      </w:r>
    </w:p>
    <w:p w14:paraId="2480F88B"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74E37BB6" w14:textId="77777777" w:rsidR="00DD0C1A" w:rsidRPr="00CB13F7" w:rsidRDefault="003B43D4" w:rsidP="00CB13F7">
      <w:pPr>
        <w:pStyle w:val="ListParagraph"/>
        <w:numPr>
          <w:ilvl w:val="1"/>
          <w:numId w:val="40"/>
        </w:numPr>
        <w:spacing w:before="120" w:after="120" w:line="276" w:lineRule="auto"/>
        <w:ind w:left="360"/>
        <w:jc w:val="both"/>
        <w:rPr>
          <w:rFonts w:eastAsia="Times New Roman"/>
          <w:lang w:eastAsia="en-US"/>
        </w:rPr>
      </w:pPr>
      <w:r w:rsidRPr="00CB13F7">
        <w:rPr>
          <w:rFonts w:eastAsia="Times New Roman"/>
          <w:lang w:eastAsia="en-US"/>
        </w:rPr>
        <w:t>Garantimi i së drejtës për të jetuar në komunitet përmes strehimit të aksesueshëm, shërbimeve mbështetëse në banesë dhe alternativave komunitare ndaj institucionalizimit</w:t>
      </w:r>
      <w:r w:rsidR="00DD0C1A" w:rsidRPr="00CB13F7">
        <w:rPr>
          <w:rFonts w:eastAsia="Times New Roman"/>
          <w:lang w:eastAsia="en-US"/>
        </w:rPr>
        <w:t>;</w:t>
      </w:r>
    </w:p>
    <w:p w14:paraId="02CBA020" w14:textId="7E1E78D0" w:rsidR="003B43D4" w:rsidRPr="00CB13F7" w:rsidRDefault="003B43D4" w:rsidP="00CB13F7">
      <w:pPr>
        <w:pStyle w:val="ListParagraph"/>
        <w:numPr>
          <w:ilvl w:val="1"/>
          <w:numId w:val="40"/>
        </w:numPr>
        <w:spacing w:before="120" w:after="120" w:line="276" w:lineRule="auto"/>
        <w:ind w:left="360"/>
        <w:jc w:val="both"/>
        <w:rPr>
          <w:rFonts w:eastAsia="Times New Roman"/>
          <w:lang w:eastAsia="en-US"/>
        </w:rPr>
      </w:pPr>
      <w:r w:rsidRPr="00CB13F7">
        <w:rPr>
          <w:rFonts w:eastAsia="Times New Roman"/>
          <w:lang w:eastAsia="en-US"/>
        </w:rPr>
        <w:t xml:space="preserve">Krijimi dhe zbatimi i </w:t>
      </w:r>
      <w:r w:rsidR="00DD0C1A" w:rsidRPr="00CB13F7">
        <w:rPr>
          <w:rFonts w:eastAsia="Times New Roman"/>
          <w:lang w:eastAsia="en-US"/>
        </w:rPr>
        <w:t xml:space="preserve">Programit Kombëtar </w:t>
      </w:r>
      <w:r w:rsidRPr="00CB13F7">
        <w:rPr>
          <w:rFonts w:eastAsia="Times New Roman"/>
          <w:lang w:eastAsia="en-US"/>
        </w:rPr>
        <w:t xml:space="preserve">të </w:t>
      </w:r>
      <w:r w:rsidR="00DD0C1A" w:rsidRPr="00CB13F7">
        <w:rPr>
          <w:rFonts w:eastAsia="Times New Roman"/>
          <w:lang w:eastAsia="en-US"/>
        </w:rPr>
        <w:t xml:space="preserve">Shërbimit </w:t>
      </w:r>
      <w:r w:rsidRPr="00CB13F7">
        <w:rPr>
          <w:rFonts w:eastAsia="Times New Roman"/>
          <w:lang w:eastAsia="en-US"/>
        </w:rPr>
        <w:t xml:space="preserve">të </w:t>
      </w:r>
      <w:r w:rsidR="00DD0C1A" w:rsidRPr="00CB13F7">
        <w:rPr>
          <w:rFonts w:eastAsia="Times New Roman"/>
          <w:lang w:eastAsia="en-US"/>
        </w:rPr>
        <w:t xml:space="preserve">Ndihmësit Personal </w:t>
      </w:r>
      <w:r w:rsidRPr="00CB13F7">
        <w:rPr>
          <w:rFonts w:eastAsia="Times New Roman"/>
          <w:lang w:eastAsia="en-US"/>
        </w:rPr>
        <w:t>në mbështetje të jetesës së pavarur</w:t>
      </w:r>
      <w:r w:rsidR="00DD0C1A" w:rsidRPr="00CB13F7">
        <w:rPr>
          <w:rFonts w:eastAsia="Times New Roman"/>
          <w:lang w:eastAsia="en-US"/>
        </w:rPr>
        <w:t>;</w:t>
      </w:r>
    </w:p>
    <w:p w14:paraId="58CAA4DE" w14:textId="61A4779B" w:rsidR="003B43D4" w:rsidRPr="00CB13F7" w:rsidRDefault="7150E16E" w:rsidP="00CB13F7">
      <w:pPr>
        <w:pStyle w:val="ListParagraph"/>
        <w:numPr>
          <w:ilvl w:val="1"/>
          <w:numId w:val="40"/>
        </w:numPr>
        <w:spacing w:before="120" w:after="120" w:line="276" w:lineRule="auto"/>
        <w:ind w:left="360"/>
        <w:jc w:val="both"/>
        <w:rPr>
          <w:rFonts w:eastAsia="Times New Roman"/>
          <w:lang w:eastAsia="en-US"/>
        </w:rPr>
      </w:pPr>
      <w:r w:rsidRPr="00CB13F7">
        <w:rPr>
          <w:rFonts w:eastAsia="Times New Roman"/>
          <w:lang w:eastAsia="en-US"/>
        </w:rPr>
        <w:lastRenderedPageBreak/>
        <w:t>Njohja e plotë para ligjit dhe zëvendësimi i kujdestarisë</w:t>
      </w:r>
      <w:r w:rsidR="241C8222" w:rsidRPr="00CB13F7">
        <w:rPr>
          <w:rFonts w:eastAsia="Times New Roman"/>
          <w:lang w:eastAsia="en-US"/>
        </w:rPr>
        <w:t xml:space="preserve"> ligjore</w:t>
      </w:r>
      <w:r w:rsidRPr="00CB13F7">
        <w:rPr>
          <w:rFonts w:eastAsia="Times New Roman"/>
          <w:lang w:eastAsia="en-US"/>
        </w:rPr>
        <w:t xml:space="preserve"> me sistemin e vendimmarrjes së mbështetur.</w:t>
      </w:r>
    </w:p>
    <w:p w14:paraId="7123D029" w14:textId="13A34E6D"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Ky objektiv përfaqëson thelbin e reformës së mbrojtjes sociale dhe kalimin nga një model kujdesi tradicional drejt një modeli të jetesës së pavarur. Në praktikë, shumë persona me aftësi të kufizuara vazhdojnë të jetojnë në kushte varësie nga familja, ose përballen me rrezik institucionalizimi për shkak të mungesës së strehimit të përshtatshëm, shërbimeve mbështetëse dhe autonomisë ligjore. Plani 2026</w:t>
      </w:r>
      <w:r w:rsidR="00132253" w:rsidRPr="00CB13F7">
        <w:rPr>
          <w:rFonts w:eastAsia="Times New Roman"/>
          <w:lang w:eastAsia="en-US"/>
        </w:rPr>
        <w:t>-</w:t>
      </w:r>
      <w:r w:rsidRPr="00CB13F7">
        <w:rPr>
          <w:rFonts w:eastAsia="Times New Roman"/>
          <w:lang w:eastAsia="en-US"/>
        </w:rPr>
        <w:t>2030 synon të krijojë kushtet reale që individi të ketë zgjedhje mbi jetën e tij, ku jeton, me kë jeton dhe si organizon jetën e përditshme.</w:t>
      </w:r>
    </w:p>
    <w:p w14:paraId="05F59AE0" w14:textId="45260ACF"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radhë të parë, ndërhyrjet fokusohen tek strehimi. Do të realizohet një studim kombëtar</w:t>
      </w:r>
      <w:r w:rsidR="00CB13F7">
        <w:rPr>
          <w:rFonts w:eastAsia="Times New Roman"/>
          <w:lang w:eastAsia="en-US"/>
        </w:rPr>
        <w:t xml:space="preserve"> </w:t>
      </w:r>
      <w:r w:rsidRPr="00CB13F7">
        <w:rPr>
          <w:rFonts w:eastAsia="Times New Roman"/>
          <w:lang w:eastAsia="en-US"/>
        </w:rPr>
        <w:t>për të identifikuar nevojat reale për strehim të aksesueshëm dhe për të përcaktuar rrezikun e institucionalizimit. Programet publike të strehimit social do të vijojnë të përfshijnë kuota të dedikuara për personat me aftësi të kufizuara dhe subvencione qiraje, ndërsa informacioni mbi përfitimin do të ofrohet në formate të aksesueshme. Një element i ri është përcaktimi i standardeve të detyrueshme të aksesueshmërisë për banesat sociale, me qëllim shmangien e segregimit dhe krijimin e banimit të integruar në komunitet. Në nivel vendor</w:t>
      </w:r>
      <w:r w:rsidR="007F5351" w:rsidRPr="00CB13F7">
        <w:rPr>
          <w:rFonts w:eastAsia="Times New Roman"/>
          <w:lang w:eastAsia="en-US"/>
        </w:rPr>
        <w:t>,</w:t>
      </w:r>
      <w:r w:rsidRPr="00CB13F7">
        <w:rPr>
          <w:rFonts w:eastAsia="Times New Roman"/>
          <w:lang w:eastAsia="en-US"/>
        </w:rPr>
        <w:t xml:space="preserve"> do të hartëzohen personat në rrezik institucionalizimi dhe do të zhvillohen modele të ndryshme të strehimit komunitar, përfshirë shtëpitë e mbështetura për personat që nuk mund të jetojnë plotësisht të pavarur.</w:t>
      </w:r>
    </w:p>
    <w:p w14:paraId="3A433F18" w14:textId="2EE36639"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Paralelisht me strehimin, </w:t>
      </w:r>
      <w:r w:rsidR="4BBCF39E" w:rsidRPr="00CB13F7">
        <w:rPr>
          <w:rFonts w:eastAsia="Times New Roman"/>
          <w:lang w:eastAsia="en-US"/>
        </w:rPr>
        <w:t>P</w:t>
      </w:r>
      <w:r w:rsidRPr="00CB13F7">
        <w:rPr>
          <w:rFonts w:eastAsia="Times New Roman"/>
          <w:lang w:eastAsia="en-US"/>
        </w:rPr>
        <w:t>lani parashikon zhvillimin e paketës së shërbimeve të jetesës së pavarur në banesë. Kjo nënkupton që personi nuk do të jetë i detyruar të largohet nga komuniteti për të marrë kujdes, pasi mbështetja do të ofrohet në vendbanim përmes shërbimeve sociale dhe mbështetjes individuale.</w:t>
      </w:r>
    </w:p>
    <w:p w14:paraId="40D84CA4" w14:textId="0667FFB6"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Shtylla kryesore e këtij transformimi është krijimi i shërbimit të ndihmësit personal. Për herë të parë synohet ndërtimi i një programi kombëtar të strukturuar, të standardizuar dhe të financuar publikisht, që i jep individit kontroll real mbi jetën e tij të përditshme. Do të kryhet një analizë e plotë ligjore dhe funksionale e skemave ekzistuese, do të hartohet kuadri ligjor dhe nënligjor, standardet e shërbimit, procedurat e vlerësimit dhe skema e financimit. Përfituesit dhe ndihmësit personalë do të trajnohen për të menaxhuar shërbimin, ndërsa sistemi do të pilotohet fillimisht tek personat me aftësi të kufizuara të thella dhe ata në rrezik institucionalizimi. Njëkohësisht</w:t>
      </w:r>
      <w:r w:rsidR="415D55A3" w:rsidRPr="00CB13F7">
        <w:rPr>
          <w:rFonts w:eastAsia="Times New Roman"/>
          <w:lang w:eastAsia="en-US"/>
        </w:rPr>
        <w:t>,</w:t>
      </w:r>
      <w:r w:rsidRPr="00CB13F7">
        <w:rPr>
          <w:rFonts w:eastAsia="Times New Roman"/>
          <w:lang w:eastAsia="en-US"/>
        </w:rPr>
        <w:t xml:space="preserve"> do të krijohen mekanizma monitorimi, ankimi</w:t>
      </w:r>
      <w:r w:rsidR="2409FB41" w:rsidRPr="00CB13F7">
        <w:rPr>
          <w:rFonts w:eastAsia="Times New Roman"/>
          <w:lang w:eastAsia="en-US"/>
        </w:rPr>
        <w:t>mi</w:t>
      </w:r>
      <w:r w:rsidRPr="00CB13F7">
        <w:rPr>
          <w:rFonts w:eastAsia="Times New Roman"/>
          <w:lang w:eastAsia="en-US"/>
        </w:rPr>
        <w:t xml:space="preserve"> dhe informimi publik, si dhe do të zhvillohen fushata ndërgjegjësimi për këtë të drejtë. Krahas ndihmësit personal, do të promovohet edhe mbështetja nga të ngjashmit (</w:t>
      </w:r>
      <w:r w:rsidRPr="00CB13F7">
        <w:rPr>
          <w:rFonts w:eastAsia="Times New Roman"/>
          <w:i/>
          <w:iCs/>
          <w:lang w:eastAsia="en-US"/>
        </w:rPr>
        <w:t>peer support</w:t>
      </w:r>
      <w:r w:rsidRPr="00CB13F7">
        <w:rPr>
          <w:rFonts w:eastAsia="Times New Roman"/>
          <w:lang w:eastAsia="en-US"/>
        </w:rPr>
        <w:t>), si një formë fuqizimi dhe përfshirjeje sociale.</w:t>
      </w:r>
    </w:p>
    <w:p w14:paraId="45011003" w14:textId="18E7E17A" w:rsidR="003B43D4" w:rsidRPr="00CB13F7" w:rsidRDefault="30BE6E2A" w:rsidP="00BA2B1D">
      <w:pPr>
        <w:spacing w:before="120" w:after="120" w:line="276" w:lineRule="auto"/>
        <w:jc w:val="both"/>
        <w:rPr>
          <w:rFonts w:eastAsia="Times New Roman"/>
          <w:lang w:eastAsia="en-US"/>
        </w:rPr>
      </w:pPr>
      <w:r w:rsidRPr="00CB13F7">
        <w:rPr>
          <w:rFonts w:eastAsia="Times New Roman"/>
          <w:lang w:eastAsia="en-US"/>
        </w:rPr>
        <w:t xml:space="preserve">Elementi </w:t>
      </w:r>
      <w:r w:rsidR="7150E16E" w:rsidRPr="00CB13F7">
        <w:rPr>
          <w:rFonts w:eastAsia="Times New Roman"/>
          <w:lang w:eastAsia="en-US"/>
        </w:rPr>
        <w:t xml:space="preserve">i tretë i objektivit lidhet me autonominë ligjore. Aktualisht, një pjesë e personave me aftësi të kufizuara, veçanërisht ata me aftësi të kufizuara intelektuale dhe </w:t>
      </w:r>
      <w:r w:rsidR="1AFA2652" w:rsidRPr="00CB13F7">
        <w:rPr>
          <w:rFonts w:eastAsia="Times New Roman"/>
          <w:lang w:eastAsia="en-US"/>
        </w:rPr>
        <w:t>psiko-sociale</w:t>
      </w:r>
      <w:r w:rsidR="7150E16E" w:rsidRPr="00CB13F7">
        <w:rPr>
          <w:rFonts w:eastAsia="Times New Roman"/>
          <w:lang w:eastAsia="en-US"/>
        </w:rPr>
        <w:t>, janë subjekt i heqjes</w:t>
      </w:r>
      <w:r w:rsidR="252A662A" w:rsidRPr="00CB13F7">
        <w:rPr>
          <w:rFonts w:eastAsia="Times New Roman"/>
          <w:lang w:eastAsia="en-US"/>
        </w:rPr>
        <w:t xml:space="preserve"> / kufizimit</w:t>
      </w:r>
      <w:r w:rsidR="7150E16E" w:rsidRPr="00CB13F7">
        <w:rPr>
          <w:rFonts w:eastAsia="Times New Roman"/>
          <w:lang w:eastAsia="en-US"/>
        </w:rPr>
        <w:t xml:space="preserve"> së zotësisë </w:t>
      </w:r>
      <w:r w:rsidR="615846DE" w:rsidRPr="00CB13F7">
        <w:rPr>
          <w:rFonts w:eastAsia="Times New Roman"/>
          <w:lang w:eastAsia="en-US"/>
        </w:rPr>
        <w:t>p</w:t>
      </w:r>
      <w:r w:rsidR="004B03EF" w:rsidRPr="00CB13F7">
        <w:rPr>
          <w:rFonts w:eastAsia="Times New Roman"/>
          <w:lang w:eastAsia="en-US"/>
        </w:rPr>
        <w:t>ë</w:t>
      </w:r>
      <w:r w:rsidR="615846DE" w:rsidRPr="00CB13F7">
        <w:rPr>
          <w:rFonts w:eastAsia="Times New Roman"/>
          <w:lang w:eastAsia="en-US"/>
        </w:rPr>
        <w:t>r t</w:t>
      </w:r>
      <w:r w:rsidR="004B03EF" w:rsidRPr="00CB13F7">
        <w:rPr>
          <w:rFonts w:eastAsia="Times New Roman"/>
          <w:lang w:eastAsia="en-US"/>
        </w:rPr>
        <w:t>ë</w:t>
      </w:r>
      <w:r w:rsidR="615846DE" w:rsidRPr="00CB13F7">
        <w:rPr>
          <w:rFonts w:eastAsia="Times New Roman"/>
          <w:lang w:eastAsia="en-US"/>
        </w:rPr>
        <w:t xml:space="preserve"> vepruar</w:t>
      </w:r>
      <w:r w:rsidR="7150E16E" w:rsidRPr="00CB13F7">
        <w:rPr>
          <w:rFonts w:eastAsia="Times New Roman"/>
          <w:lang w:eastAsia="en-US"/>
        </w:rPr>
        <w:t xml:space="preserve"> dhe vendimmarrjes nga kujdestarët. Plani synon zëvendësimin gradual të këtij sistemi me vendimmarrjen e mbështetur. Për këtë arsye</w:t>
      </w:r>
      <w:r w:rsidR="3D20B83A" w:rsidRPr="00CB13F7">
        <w:rPr>
          <w:rFonts w:eastAsia="Times New Roman"/>
          <w:lang w:eastAsia="en-US"/>
        </w:rPr>
        <w:t>,</w:t>
      </w:r>
      <w:r w:rsidR="7150E16E" w:rsidRPr="00CB13F7">
        <w:rPr>
          <w:rFonts w:eastAsia="Times New Roman"/>
          <w:lang w:eastAsia="en-US"/>
        </w:rPr>
        <w:t xml:space="preserve"> do të realizohet analizë e plotë ligjore, rishikim i kodeve dhe ligjeve kryesore, si dhe ngritje e mekanizmave të rinj ligjorë që respektojnë vullnetin dhe preferencat e individit. Parashikohet gjithashtu trajnimi i profesionistëve të sistemit të drejtësisë, shëndetësisë dhe shërbimeve sociale, </w:t>
      </w:r>
      <w:r w:rsidR="7150E16E" w:rsidRPr="00CB13F7">
        <w:rPr>
          <w:rFonts w:eastAsia="Times New Roman"/>
          <w:lang w:eastAsia="en-US"/>
        </w:rPr>
        <w:lastRenderedPageBreak/>
        <w:t>si dhe zhvillimi i materialeve udhëzuese dhe fushatave informuese për personat me aftësi të kufizuara dhe familjarët e tyre.</w:t>
      </w:r>
    </w:p>
    <w:p w14:paraId="54D01429" w14:textId="77777777" w:rsidR="003B43D4" w:rsidRPr="00CB13F7" w:rsidRDefault="004B7F63" w:rsidP="00BA2B1D">
      <w:pPr>
        <w:spacing w:before="120" w:after="120" w:line="276" w:lineRule="auto"/>
        <w:jc w:val="both"/>
        <w:rPr>
          <w:rFonts w:eastAsia="Times New Roman"/>
          <w:lang w:eastAsia="en-US"/>
        </w:rPr>
      </w:pPr>
      <w:r w:rsidRPr="00CB13F7">
        <w:rPr>
          <w:rFonts w:eastAsia="Times New Roman"/>
          <w:lang w:eastAsia="en-US"/>
        </w:rPr>
        <w:t>Ky</w:t>
      </w:r>
      <w:r w:rsidR="003B43D4" w:rsidRPr="00CB13F7">
        <w:rPr>
          <w:rFonts w:eastAsia="Times New Roman"/>
          <w:lang w:eastAsia="en-US"/>
        </w:rPr>
        <w:t xml:space="preserve"> objektiv synon të krijojë një ndryshim thelbësor</w:t>
      </w:r>
      <w:r w:rsidR="001771D3" w:rsidRPr="00CB13F7">
        <w:rPr>
          <w:rFonts w:eastAsia="Times New Roman"/>
          <w:lang w:eastAsia="en-US"/>
        </w:rPr>
        <w:t xml:space="preserve"> </w:t>
      </w:r>
      <w:r w:rsidR="003B43D4" w:rsidRPr="00CB13F7">
        <w:rPr>
          <w:rFonts w:eastAsia="Times New Roman"/>
          <w:lang w:eastAsia="en-US"/>
        </w:rPr>
        <w:t xml:space="preserve">nga një sistem që mbështetet në kujdesin institucional dhe vendimmarrjen për individin, drejt një sistemi që garanton autonomi personale, jetesë në komunitet dhe pjesëmarrje të plotë sociale. </w:t>
      </w:r>
    </w:p>
    <w:p w14:paraId="67FA9488" w14:textId="684DFC6C" w:rsidR="00184AFC" w:rsidRPr="00CB13F7" w:rsidRDefault="7150E16E" w:rsidP="661F9D2E">
      <w:pPr>
        <w:spacing w:before="120" w:after="120" w:line="276" w:lineRule="auto"/>
        <w:jc w:val="both"/>
        <w:rPr>
          <w:rFonts w:eastAsia="Times New Roman"/>
          <w:i/>
          <w:iCs/>
          <w:lang w:eastAsia="en-US"/>
        </w:rPr>
      </w:pPr>
      <w:r w:rsidRPr="00CB13F7">
        <w:rPr>
          <w:rFonts w:eastAsia="Times New Roman"/>
          <w:b/>
          <w:bCs/>
          <w:lang w:eastAsia="en-US"/>
        </w:rPr>
        <w:t>Objektivi specifik 4</w:t>
      </w:r>
      <w:r w:rsidR="3D20B83A" w:rsidRPr="00CB13F7">
        <w:rPr>
          <w:rFonts w:eastAsia="Times New Roman"/>
          <w:i/>
          <w:iCs/>
          <w:lang w:eastAsia="en-US"/>
        </w:rPr>
        <w:t xml:space="preserve">: </w:t>
      </w:r>
      <w:r w:rsidR="38A8C823" w:rsidRPr="00CB13F7">
        <w:rPr>
          <w:rFonts w:eastAsia="Times New Roman"/>
          <w:i/>
          <w:iCs/>
          <w:lang w:eastAsia="en-US"/>
        </w:rPr>
        <w:t>T</w:t>
      </w:r>
      <w:r w:rsidR="3D20B83A" w:rsidRPr="00CB13F7">
        <w:rPr>
          <w:rFonts w:eastAsia="Times New Roman"/>
          <w:i/>
          <w:iCs/>
          <w:lang w:eastAsia="en-US"/>
        </w:rPr>
        <w:t xml:space="preserve">ë </w:t>
      </w:r>
      <w:r w:rsidRPr="00CB13F7">
        <w:rPr>
          <w:rFonts w:eastAsia="Times New Roman"/>
          <w:i/>
          <w:iCs/>
          <w:lang w:eastAsia="en-US"/>
        </w:rPr>
        <w:t>garantohet mbrojtja efektive e të drejtave, dinjitetit dhe barazisë së grave dhe vajzave me aftësi të kufizuara nga të gjitha format e dhunës, duke adresuar diskriminimin e shumëfishtë dhe duke siguruar akses të plotë dhe të përshtatur në shërbime, mekanizma mbrojtës dhe drejtësi.</w:t>
      </w:r>
    </w:p>
    <w:p w14:paraId="13211487"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771D40D4" w14:textId="5F5FEC5B" w:rsidR="003B43D4" w:rsidRPr="00CB13F7" w:rsidRDefault="003B43D4" w:rsidP="00CB13F7">
      <w:pPr>
        <w:pStyle w:val="ListParagraph"/>
        <w:numPr>
          <w:ilvl w:val="0"/>
          <w:numId w:val="41"/>
        </w:numPr>
        <w:spacing w:before="120" w:after="120" w:line="276" w:lineRule="auto"/>
        <w:ind w:left="360"/>
        <w:jc w:val="both"/>
        <w:rPr>
          <w:rFonts w:eastAsia="Times New Roman"/>
          <w:lang w:eastAsia="en-US"/>
        </w:rPr>
      </w:pPr>
      <w:r w:rsidRPr="00CB13F7">
        <w:rPr>
          <w:rFonts w:eastAsia="Times New Roman"/>
          <w:lang w:eastAsia="en-US"/>
        </w:rPr>
        <w:t>Garantimi i aksesueshmërisë dhe përshtatjes së shërbimeve, mekanizmave të referimit dhe procedurave për gratë dhe vajzat me aftësi të kufizuara, viktima të dhunës</w:t>
      </w:r>
      <w:r w:rsidR="00D33C97" w:rsidRPr="00CB13F7">
        <w:rPr>
          <w:rFonts w:eastAsia="Times New Roman"/>
          <w:lang w:eastAsia="en-US"/>
        </w:rPr>
        <w:t>;</w:t>
      </w:r>
    </w:p>
    <w:p w14:paraId="0605C6D5" w14:textId="2B830D0E" w:rsidR="00D33C97" w:rsidRPr="00CB13F7" w:rsidRDefault="003B43D4" w:rsidP="00CB13F7">
      <w:pPr>
        <w:pStyle w:val="ListParagraph"/>
        <w:numPr>
          <w:ilvl w:val="0"/>
          <w:numId w:val="41"/>
        </w:numPr>
        <w:spacing w:before="120" w:after="120" w:line="276" w:lineRule="auto"/>
        <w:ind w:left="360"/>
        <w:jc w:val="both"/>
        <w:rPr>
          <w:rFonts w:eastAsia="Times New Roman"/>
          <w:lang w:eastAsia="en-US"/>
        </w:rPr>
      </w:pPr>
      <w:r w:rsidRPr="00CB13F7">
        <w:rPr>
          <w:rFonts w:eastAsia="Times New Roman"/>
          <w:lang w:eastAsia="en-US"/>
        </w:rPr>
        <w:t>Parandalimi i dhunës ndaj grave dhe vajzave me aftësi të kufizuara në familje dhe komunitet, përmes ndërgjegjësimit, forcimit të raportimit, mbrojtjes dhe ndërhyrjes së hershme, të bazuara në evidencë</w:t>
      </w:r>
      <w:r w:rsidR="00D33C97" w:rsidRPr="00CB13F7">
        <w:rPr>
          <w:rFonts w:eastAsia="Times New Roman"/>
          <w:lang w:eastAsia="en-US"/>
        </w:rPr>
        <w:t>;</w:t>
      </w:r>
    </w:p>
    <w:p w14:paraId="384CF14A" w14:textId="40A1A777" w:rsidR="003B43D4" w:rsidRPr="00CB13F7" w:rsidRDefault="003B43D4" w:rsidP="00CB13F7">
      <w:pPr>
        <w:pStyle w:val="ListParagraph"/>
        <w:numPr>
          <w:ilvl w:val="0"/>
          <w:numId w:val="41"/>
        </w:numPr>
        <w:spacing w:before="120" w:after="120" w:line="276" w:lineRule="auto"/>
        <w:ind w:left="360"/>
        <w:jc w:val="both"/>
        <w:rPr>
          <w:rFonts w:eastAsia="Times New Roman"/>
          <w:lang w:eastAsia="en-US"/>
        </w:rPr>
      </w:pPr>
      <w:r w:rsidRPr="00CB13F7">
        <w:rPr>
          <w:rFonts w:eastAsia="Times New Roman"/>
          <w:lang w:eastAsia="en-US"/>
        </w:rPr>
        <w:t xml:space="preserve">Mundësimi i një qasjeje të plotë, të informuar dhe </w:t>
      </w:r>
      <w:r w:rsidR="002B3406" w:rsidRPr="00CB13F7">
        <w:rPr>
          <w:rFonts w:eastAsia="Times New Roman"/>
          <w:lang w:eastAsia="en-US"/>
        </w:rPr>
        <w:t>pa diskriminim</w:t>
      </w:r>
      <w:r w:rsidRPr="00CB13F7">
        <w:rPr>
          <w:rFonts w:eastAsia="Times New Roman"/>
          <w:lang w:eastAsia="en-US"/>
        </w:rPr>
        <w:t xml:space="preserve"> në shërbime të shëndetit seksual dhe riprodhues, duke respektuar autonominë dhe të drejtat riprodhuese të grave me aftësi të kufizuara.</w:t>
      </w:r>
    </w:p>
    <w:p w14:paraId="7AD1697D" w14:textId="12D9A6D6"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Ky objektiv adreson një nga sfidat më të ndjeshme dhe më pak të raportuara, dhunën dhe abuzimin ndaj grave dhe vajzave me aftësi të kufizuara, të cilat përballen shpesh me diskriminim të shumëfishtë dhe barriera të shtuara në aksesin në shërbime, mbrojtje dhe drejtësi. P</w:t>
      </w:r>
      <w:r w:rsidR="5A43E27F" w:rsidRPr="00CB13F7">
        <w:rPr>
          <w:rFonts w:eastAsia="Times New Roman"/>
          <w:lang w:eastAsia="en-US"/>
        </w:rPr>
        <w:t>KVPAK</w:t>
      </w:r>
      <w:r w:rsidRPr="00CB13F7">
        <w:rPr>
          <w:rFonts w:eastAsia="Times New Roman"/>
          <w:lang w:eastAsia="en-US"/>
        </w:rPr>
        <w:t xml:space="preserve"> 2026</w:t>
      </w:r>
      <w:r w:rsidR="041726E3" w:rsidRPr="00CB13F7">
        <w:rPr>
          <w:rFonts w:eastAsia="Times New Roman"/>
          <w:lang w:eastAsia="en-US"/>
        </w:rPr>
        <w:t>-</w:t>
      </w:r>
      <w:r w:rsidRPr="00CB13F7">
        <w:rPr>
          <w:rFonts w:eastAsia="Times New Roman"/>
          <w:lang w:eastAsia="en-US"/>
        </w:rPr>
        <w:t>2030 synon të garantojë që sistemi i mbrojtjes sociale dhe shërbimeve të dhunës me bazë gjinore të përshtatet realisht për nevojat e grave me aftësi të kufizuara, duke zvogëluar pengesat fizike, procedurale, të komunikimit dhe të qëndrimeve.</w:t>
      </w:r>
    </w:p>
    <w:p w14:paraId="4EC8D6CC" w14:textId="553021DF"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Në kuadër të masës prioritare 4.1, </w:t>
      </w:r>
      <w:r w:rsidR="041726E3" w:rsidRPr="00CB13F7">
        <w:rPr>
          <w:rFonts w:eastAsia="Times New Roman"/>
          <w:lang w:eastAsia="en-US"/>
        </w:rPr>
        <w:t xml:space="preserve">Plani </w:t>
      </w:r>
      <w:r w:rsidRPr="00CB13F7">
        <w:rPr>
          <w:rFonts w:eastAsia="Times New Roman"/>
          <w:lang w:eastAsia="en-US"/>
        </w:rPr>
        <w:t>parashikon fillimisht krijimin e një baze të qartë</w:t>
      </w:r>
      <w:r w:rsidR="31015E0B" w:rsidRPr="00CB13F7">
        <w:rPr>
          <w:rFonts w:eastAsia="Times New Roman"/>
          <w:lang w:eastAsia="en-US"/>
        </w:rPr>
        <w:t>,</w:t>
      </w:r>
      <w:r w:rsidRPr="00CB13F7">
        <w:rPr>
          <w:rFonts w:eastAsia="Times New Roman"/>
          <w:lang w:eastAsia="en-US"/>
        </w:rPr>
        <w:t xml:space="preserve"> evidence mbi nivelin e aksesueshmërisë në shërbimet ekzistuese. Auditimi i aksesueshmërisë në të gjitha qendrat</w:t>
      </w:r>
      <w:r w:rsidR="732175AF" w:rsidRPr="00CB13F7">
        <w:rPr>
          <w:rFonts w:eastAsia="Times New Roman"/>
          <w:lang w:eastAsia="en-US"/>
        </w:rPr>
        <w:t>,</w:t>
      </w:r>
      <w:r w:rsidRPr="00CB13F7">
        <w:rPr>
          <w:rFonts w:eastAsia="Times New Roman"/>
          <w:lang w:eastAsia="en-US"/>
        </w:rPr>
        <w:t xml:space="preserve"> që ofrojnë shërbime për gratë dhe vajzat viktima të dhunës</w:t>
      </w:r>
      <w:r w:rsidR="4081B3B0" w:rsidRPr="00CB13F7">
        <w:rPr>
          <w:rFonts w:eastAsia="Times New Roman"/>
          <w:lang w:eastAsia="en-US"/>
        </w:rPr>
        <w:t>,</w:t>
      </w:r>
      <w:r w:rsidRPr="00CB13F7">
        <w:rPr>
          <w:rFonts w:eastAsia="Times New Roman"/>
          <w:lang w:eastAsia="en-US"/>
        </w:rPr>
        <w:t xml:space="preserve"> do të shërbejë si pikënisje për të identifikuar boshllëqet konkrete në ambiente, shërbime, komunikim dhe procedura. Mbi këtë bazë</w:t>
      </w:r>
      <w:r w:rsidR="041726E3" w:rsidRPr="00CB13F7">
        <w:rPr>
          <w:rFonts w:eastAsia="Times New Roman"/>
          <w:lang w:eastAsia="en-US"/>
        </w:rPr>
        <w:t>,</w:t>
      </w:r>
      <w:r w:rsidRPr="00CB13F7">
        <w:rPr>
          <w:rFonts w:eastAsia="Times New Roman"/>
          <w:lang w:eastAsia="en-US"/>
        </w:rPr>
        <w:t xml:space="preserve"> do të përcaktohen tregues minimalë për monitorimin e aksesueshmërisë dhe efektivitetit të masave, me qëllim që përmirësimet të mos jenë sporadike, por të matshme dhe të raportueshme.</w:t>
      </w:r>
    </w:p>
    <w:p w14:paraId="09E529A7" w14:textId="4C14462C" w:rsidR="003B43D4" w:rsidRPr="00CB13F7" w:rsidRDefault="4B88C2C7" w:rsidP="00BA2B1D">
      <w:pPr>
        <w:spacing w:before="120" w:after="120" w:line="276" w:lineRule="auto"/>
        <w:jc w:val="both"/>
        <w:rPr>
          <w:rFonts w:eastAsia="Times New Roman"/>
          <w:lang w:eastAsia="en-US"/>
        </w:rPr>
      </w:pPr>
      <w:r w:rsidRPr="00CB13F7">
        <w:rPr>
          <w:rFonts w:eastAsia="Times New Roman"/>
          <w:lang w:eastAsia="en-US"/>
        </w:rPr>
        <w:t>Plani synon të garantojë</w:t>
      </w:r>
      <w:r w:rsidR="6FD580A3" w:rsidRPr="00CB13F7">
        <w:rPr>
          <w:rFonts w:eastAsia="Times New Roman"/>
          <w:lang w:eastAsia="en-US"/>
        </w:rPr>
        <w:t>,</w:t>
      </w:r>
      <w:r w:rsidRPr="00CB13F7">
        <w:rPr>
          <w:rFonts w:eastAsia="Times New Roman"/>
          <w:lang w:eastAsia="en-US"/>
        </w:rPr>
        <w:t xml:space="preserve"> që shërbimet për trajtimin e dhunës ndaj grave dhe dhunës në familje të jenë të aksesueshme në mënyrë të plotë</w:t>
      </w:r>
      <w:r w:rsidR="00CB13F7">
        <w:rPr>
          <w:rFonts w:eastAsia="Times New Roman"/>
          <w:lang w:eastAsia="en-US"/>
        </w:rPr>
        <w:t>, pra</w:t>
      </w:r>
      <w:r w:rsidRPr="00CB13F7">
        <w:rPr>
          <w:rFonts w:eastAsia="Times New Roman"/>
          <w:lang w:eastAsia="en-US"/>
        </w:rPr>
        <w:t xml:space="preserve"> jo vetëm në aspektin fizik, por edhe në atë digjital</w:t>
      </w:r>
      <w:r w:rsidR="0E1653C3" w:rsidRPr="00CB13F7">
        <w:rPr>
          <w:rFonts w:eastAsia="Times New Roman"/>
          <w:lang w:eastAsia="en-US"/>
        </w:rPr>
        <w:t>,</w:t>
      </w:r>
      <w:r w:rsidR="00CB13F7">
        <w:rPr>
          <w:rFonts w:eastAsia="Times New Roman"/>
          <w:lang w:eastAsia="en-US"/>
        </w:rPr>
        <w:t xml:space="preserve"> </w:t>
      </w:r>
      <w:r w:rsidRPr="00CB13F7">
        <w:rPr>
          <w:rFonts w:eastAsia="Times New Roman"/>
          <w:lang w:eastAsia="en-US"/>
        </w:rPr>
        <w:t>si dhe të pranishme dhe funksionale në të gjitha mjediset</w:t>
      </w:r>
      <w:r w:rsidR="0C9CE39A" w:rsidRPr="00CB13F7">
        <w:rPr>
          <w:rFonts w:eastAsia="Times New Roman"/>
          <w:lang w:eastAsia="en-US"/>
        </w:rPr>
        <w:t>,</w:t>
      </w:r>
      <w:r w:rsidRPr="00CB13F7">
        <w:rPr>
          <w:rFonts w:eastAsia="Times New Roman"/>
          <w:lang w:eastAsia="en-US"/>
        </w:rPr>
        <w:t xml:space="preserve"> ku gratë me aftësi të kufizuara përballen me rrezik të shtuar</w:t>
      </w:r>
      <w:r w:rsidR="7150E16E" w:rsidRPr="00CB13F7">
        <w:rPr>
          <w:rFonts w:eastAsia="Times New Roman"/>
          <w:lang w:eastAsia="en-US"/>
        </w:rPr>
        <w:t xml:space="preserve"> (p.sh. në institucione, në izolim familjar, në zona të largëta). Një element kyç është zbatimi sistematik i akomodimit të arsyeshëm, duke përfshirë edhe akomodimin procedural në aksesin në drejtësi (p.sh. mënyra e marrjes në pyetje, afatet, prania e mbështetjes së nevojshme, interpretimi në gjuhë shenjash, formatet e komunikimit të përshtatura). Kjo qasje lidhet drejtpërdrejt me integrimin e kritereve specifike të aftësisë së kufizuar në procedurat e vlerësimit </w:t>
      </w:r>
      <w:r w:rsidR="7150E16E" w:rsidRPr="00CB13F7">
        <w:rPr>
          <w:rFonts w:eastAsia="Times New Roman"/>
          <w:lang w:eastAsia="en-US"/>
        </w:rPr>
        <w:lastRenderedPageBreak/>
        <w:t>të riskut dhe menaxhimit të rasteve nga mekanizmat e koordinuar të referimit, në mënyrë që rreziku të mos nënvlerësohet dhe ndërhyrjet të jenë të personalizuara.</w:t>
      </w:r>
    </w:p>
    <w:p w14:paraId="377BA178" w14:textId="438D611A" w:rsidR="003B43D4" w:rsidRPr="00CB13F7" w:rsidRDefault="7150E16E" w:rsidP="661F9D2E">
      <w:pPr>
        <w:spacing w:before="120" w:after="120" w:line="276" w:lineRule="auto"/>
        <w:jc w:val="both"/>
        <w:rPr>
          <w:rFonts w:eastAsia="Times New Roman"/>
          <w:lang w:eastAsia="en-US"/>
        </w:rPr>
      </w:pPr>
      <w:r w:rsidRPr="00CB13F7">
        <w:rPr>
          <w:rFonts w:eastAsia="Times New Roman"/>
          <w:lang w:eastAsia="en-US"/>
        </w:rPr>
        <w:t xml:space="preserve">Për të forcuar cilësinë e ndërhyrjes, </w:t>
      </w:r>
      <w:r w:rsidR="600DD975" w:rsidRPr="00CB13F7">
        <w:rPr>
          <w:rFonts w:eastAsia="Times New Roman"/>
          <w:lang w:eastAsia="en-US"/>
        </w:rPr>
        <w:t xml:space="preserve">Plani </w:t>
      </w:r>
      <w:r w:rsidRPr="00CB13F7">
        <w:rPr>
          <w:rFonts w:eastAsia="Times New Roman"/>
          <w:lang w:eastAsia="en-US"/>
        </w:rPr>
        <w:t xml:space="preserve">parashikon rishikimin e standardeve të shërbimeve për qendrat e trajtimit të viktimave të dhunës dhe viktimave të trafikimit, duke i përafruar me standardet e </w:t>
      </w:r>
      <w:r w:rsidR="1286142E" w:rsidRPr="00CB13F7">
        <w:rPr>
          <w:rFonts w:eastAsia="Times New Roman"/>
        </w:rPr>
        <w:t xml:space="preserve"> KDPAK</w:t>
      </w:r>
      <w:r w:rsidRPr="00CB13F7">
        <w:rPr>
          <w:rFonts w:eastAsia="Times New Roman"/>
          <w:lang w:eastAsia="en-US"/>
        </w:rPr>
        <w:t>, Konventës së Stambollit dhe Direktivës së BE-së 1385/2024. Kjo nënkupton jo vetëm rishikim dokumentesh, por edhe</w:t>
      </w:r>
      <w:r w:rsidR="792B9A68" w:rsidRPr="00CB13F7">
        <w:rPr>
          <w:rFonts w:eastAsia="Times New Roman"/>
          <w:lang w:eastAsia="en-US"/>
        </w:rPr>
        <w:t xml:space="preserve"> riformulimin </w:t>
      </w:r>
      <w:r w:rsidRPr="00CB13F7">
        <w:rPr>
          <w:rFonts w:eastAsia="Times New Roman"/>
          <w:lang w:eastAsia="en-US"/>
        </w:rPr>
        <w:t>të protokolleve të punës, rolit të stafit, burimeve njerëzore</w:t>
      </w:r>
      <w:r w:rsidR="600DD975" w:rsidRPr="00CB13F7">
        <w:rPr>
          <w:rFonts w:eastAsia="Times New Roman"/>
          <w:lang w:eastAsia="en-US"/>
        </w:rPr>
        <w:t xml:space="preserve"> </w:t>
      </w:r>
      <w:r w:rsidRPr="00CB13F7">
        <w:rPr>
          <w:rFonts w:eastAsia="Times New Roman"/>
          <w:lang w:eastAsia="en-US"/>
        </w:rPr>
        <w:t xml:space="preserve">dhe zbatimin e një qasjeje </w:t>
      </w:r>
      <w:r w:rsidR="1AFA2652" w:rsidRPr="00CB13F7">
        <w:rPr>
          <w:rFonts w:eastAsia="Times New Roman"/>
          <w:lang w:eastAsia="en-US"/>
        </w:rPr>
        <w:t>shumëdisiplinore</w:t>
      </w:r>
      <w:r w:rsidRPr="00CB13F7">
        <w:rPr>
          <w:rFonts w:eastAsia="Times New Roman"/>
          <w:lang w:eastAsia="en-US"/>
        </w:rPr>
        <w:t xml:space="preserve"> dhe individuale për gratë dhe vajzat me aftësi të kufizuara. Për ta bërë të zbatueshme këtë qasje, do të realizohen vlerësime të nevojave për trajnime dhe do të strukturohen programe të financuara trajnimi për stafin e shërbimeve, duke synuar të rritet aftësia e ndërveprimit profesional me gratë me aftësi të kufizuara.</w:t>
      </w:r>
    </w:p>
    <w:p w14:paraId="1CEE3C1B" w14:textId="2E034E76"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Masa prioritare 4.2 e zhvendos fokusin edhe te</w:t>
      </w:r>
      <w:r w:rsidR="792B9A68" w:rsidRPr="00CB13F7">
        <w:rPr>
          <w:rFonts w:eastAsia="Times New Roman"/>
          <w:lang w:eastAsia="en-US"/>
        </w:rPr>
        <w:t>k</w:t>
      </w:r>
      <w:r w:rsidRPr="00CB13F7">
        <w:rPr>
          <w:rFonts w:eastAsia="Times New Roman"/>
          <w:lang w:eastAsia="en-US"/>
        </w:rPr>
        <w:t xml:space="preserve"> parandalimi dhe ndërhyrja e hershme, duke pranuar se dhuna shpesh ndodh në mjedise</w:t>
      </w:r>
      <w:r w:rsidR="212FD086" w:rsidRPr="00CB13F7">
        <w:rPr>
          <w:rFonts w:eastAsia="Times New Roman"/>
          <w:lang w:eastAsia="en-US"/>
        </w:rPr>
        <w:t>,</w:t>
      </w:r>
      <w:r w:rsidRPr="00CB13F7">
        <w:rPr>
          <w:rFonts w:eastAsia="Times New Roman"/>
          <w:lang w:eastAsia="en-US"/>
        </w:rPr>
        <w:t xml:space="preserve"> ku raportimi është i vështirë ose i pamundur, veçanërisht kur gruaja është e varur nga familja/</w:t>
      </w:r>
      <w:r w:rsidR="7DCCD90C" w:rsidRPr="00CB13F7">
        <w:rPr>
          <w:rFonts w:eastAsia="Times New Roman"/>
          <w:lang w:eastAsia="en-US"/>
        </w:rPr>
        <w:t>ndihm</w:t>
      </w:r>
      <w:r w:rsidR="004B03EF" w:rsidRPr="00CB13F7">
        <w:rPr>
          <w:rFonts w:eastAsia="Times New Roman"/>
          <w:lang w:eastAsia="en-US"/>
        </w:rPr>
        <w:t>ë</w:t>
      </w:r>
      <w:r w:rsidR="7DCCD90C" w:rsidRPr="00CB13F7">
        <w:rPr>
          <w:rFonts w:eastAsia="Times New Roman"/>
          <w:lang w:eastAsia="en-US"/>
        </w:rPr>
        <w:t>si personal</w:t>
      </w:r>
      <w:r w:rsidRPr="00CB13F7">
        <w:rPr>
          <w:rFonts w:eastAsia="Times New Roman"/>
          <w:lang w:eastAsia="en-US"/>
        </w:rPr>
        <w:t xml:space="preserve"> ose jeton në izolim. Plani parashikon fushata ndërgjegjësimi me materiale në formate të aksesueshme, që synojnë të rrisin njohjen e të drejtave, identifikimin e shenjave të dhunës dhe rrugët e raportimit. Ndërkohë, akses i vazhdueshëm në informacion do të garantohet sa më afër mjediseve</w:t>
      </w:r>
      <w:r w:rsidR="05BE2C12" w:rsidRPr="00CB13F7">
        <w:rPr>
          <w:rFonts w:eastAsia="Times New Roman"/>
          <w:lang w:eastAsia="en-US"/>
        </w:rPr>
        <w:t>,</w:t>
      </w:r>
      <w:r w:rsidRPr="00CB13F7">
        <w:rPr>
          <w:rFonts w:eastAsia="Times New Roman"/>
          <w:lang w:eastAsia="en-US"/>
        </w:rPr>
        <w:t xml:space="preserve"> ku jetojnë gratë me aftësi të kufizuara, përmes fuqizimit të aktorëve kyç të vijës së parë: mjeku i familjes, administratori shoqëror, punonjësi social dhe psikologu i shkollës. </w:t>
      </w:r>
    </w:p>
    <w:p w14:paraId="7A84A488" w14:textId="395FEA7C"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Në të njëjtën linjë, do të zhvillohen programe të synuara për familjarët dhe kujdestarët, pasi në shumë raste pikërisht varësia nga kujdesi dhe mungesa e rrjeteve alternative e rrit rrezikun e abuzimit. Një </w:t>
      </w:r>
      <w:r w:rsidR="4C96CE05" w:rsidRPr="00CB13F7">
        <w:rPr>
          <w:rFonts w:eastAsia="Times New Roman"/>
          <w:lang w:eastAsia="en-US"/>
        </w:rPr>
        <w:t>element</w:t>
      </w:r>
      <w:r w:rsidR="5C25802A" w:rsidRPr="00CB13F7">
        <w:rPr>
          <w:rFonts w:eastAsia="Times New Roman"/>
          <w:lang w:eastAsia="en-US"/>
        </w:rPr>
        <w:t xml:space="preserve"> </w:t>
      </w:r>
      <w:r w:rsidRPr="00CB13F7">
        <w:rPr>
          <w:rFonts w:eastAsia="Times New Roman"/>
          <w:lang w:eastAsia="en-US"/>
        </w:rPr>
        <w:t xml:space="preserve">shumë i rëndësishëm i masës 4.2 është </w:t>
      </w:r>
      <w:r w:rsidR="4C4476FD" w:rsidRPr="00CB13F7">
        <w:rPr>
          <w:rFonts w:eastAsia="Times New Roman"/>
          <w:lang w:eastAsia="en-US"/>
        </w:rPr>
        <w:t xml:space="preserve"> </w:t>
      </w:r>
      <w:r w:rsidRPr="00CB13F7">
        <w:rPr>
          <w:rFonts w:eastAsia="Times New Roman"/>
          <w:lang w:eastAsia="en-US"/>
        </w:rPr>
        <w:t>përmirësimi i sistemit të mbledhjes së të dhënave</w:t>
      </w:r>
      <w:r w:rsidR="753AD1DF" w:rsidRPr="00CB13F7">
        <w:rPr>
          <w:rFonts w:eastAsia="Times New Roman"/>
          <w:lang w:eastAsia="en-US"/>
        </w:rPr>
        <w:t>,</w:t>
      </w:r>
      <w:r w:rsidRPr="00CB13F7">
        <w:rPr>
          <w:rFonts w:eastAsia="Times New Roman"/>
          <w:lang w:eastAsia="en-US"/>
        </w:rPr>
        <w:t xml:space="preserve"> të ndara sipas gjinisë dhe llojit të aftësisë së kufizuar, me standarde të qarta për konfidencialitetin dhe mbrojtjen e të dhënave personale. Plani parashikon </w:t>
      </w:r>
      <w:r w:rsidR="02664492" w:rsidRPr="00CB13F7">
        <w:rPr>
          <w:rFonts w:eastAsia="Times New Roman"/>
          <w:lang w:eastAsia="en-US"/>
        </w:rPr>
        <w:t xml:space="preserve">edhe </w:t>
      </w:r>
      <w:r w:rsidRPr="00CB13F7">
        <w:rPr>
          <w:rFonts w:eastAsia="Times New Roman"/>
          <w:lang w:eastAsia="en-US"/>
        </w:rPr>
        <w:t>zbatimin e rekomandimeve të organeve të të drejtave të njeriut dhe integrimin e çështjeve të grave me aftësi të kufizuara</w:t>
      </w:r>
      <w:r w:rsidR="6489C031" w:rsidRPr="00CB13F7">
        <w:rPr>
          <w:rFonts w:eastAsia="Times New Roman"/>
          <w:lang w:eastAsia="en-US"/>
        </w:rPr>
        <w:t>,</w:t>
      </w:r>
      <w:r w:rsidRPr="00CB13F7">
        <w:rPr>
          <w:rFonts w:eastAsia="Times New Roman"/>
          <w:lang w:eastAsia="en-US"/>
        </w:rPr>
        <w:t xml:space="preserve"> në mekanizmat ekzistues të parandalimit dhe raportimit të dhunës, duke e bërë këtë temë pjesë të qëndrueshme të qeverisjes së politikave gjinore.</w:t>
      </w:r>
    </w:p>
    <w:p w14:paraId="4DA8F59C" w14:textId="49973365"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Masa prioritare 4.3 adreson një dimension shpesh të lënë jashtë në mbrojtjen sociale, të drejtat seksuale dhe riprodhuese të grave me aftësi të kufizuara. Për këtë arsye do të sigurohet informacion në formate të aksesueshme (</w:t>
      </w:r>
      <w:r w:rsidR="02664492" w:rsidRPr="00CB13F7">
        <w:rPr>
          <w:rFonts w:eastAsia="Times New Roman"/>
          <w:lang w:eastAsia="en-US"/>
        </w:rPr>
        <w:t>Braille</w:t>
      </w:r>
      <w:r w:rsidRPr="00CB13F7">
        <w:rPr>
          <w:rFonts w:eastAsia="Times New Roman"/>
          <w:lang w:eastAsia="en-US"/>
        </w:rPr>
        <w:t>, audio, gjuhë e thjeshtuar, gjuhë shenjash), do të zhvillohen trajnime për personelin shëndetësor mbi komunikimin etik, pëlqimin e informuar dhe vendimmarrjen e mbështetur</w:t>
      </w:r>
      <w:r w:rsidR="02664492" w:rsidRPr="00CB13F7">
        <w:rPr>
          <w:rFonts w:eastAsia="Times New Roman"/>
          <w:lang w:eastAsia="en-US"/>
        </w:rPr>
        <w:t xml:space="preserve"> </w:t>
      </w:r>
      <w:r w:rsidRPr="00CB13F7">
        <w:rPr>
          <w:rFonts w:eastAsia="Times New Roman"/>
          <w:lang w:eastAsia="en-US"/>
        </w:rPr>
        <w:t>dhe do të hartohen protokolle standarde që garantojnë pëlqimin e informuar për çdo shërbim. Njëkohësisht, do të hartohen protokolle</w:t>
      </w:r>
      <w:r w:rsidR="4B13A49D" w:rsidRPr="00CB13F7">
        <w:rPr>
          <w:rFonts w:eastAsia="Times New Roman"/>
          <w:lang w:eastAsia="en-US"/>
        </w:rPr>
        <w:t>,</w:t>
      </w:r>
      <w:r w:rsidRPr="00CB13F7">
        <w:rPr>
          <w:rFonts w:eastAsia="Times New Roman"/>
          <w:lang w:eastAsia="en-US"/>
        </w:rPr>
        <w:t xml:space="preserve"> që ndalojnë praktikat diskriminuese</w:t>
      </w:r>
      <w:r w:rsidR="41A16669" w:rsidRPr="00CB13F7">
        <w:rPr>
          <w:rFonts w:eastAsia="Times New Roman"/>
          <w:lang w:eastAsia="en-US"/>
        </w:rPr>
        <w:t>,</w:t>
      </w:r>
      <w:r w:rsidRPr="00CB13F7">
        <w:rPr>
          <w:rFonts w:eastAsia="Times New Roman"/>
          <w:lang w:eastAsia="en-US"/>
        </w:rPr>
        <w:t xml:space="preserve"> si sterilizimi i detyruar apo ndërhyrjet pa pëlqim, duke respektuar autonominë dhe integritetin e grave me aftësi të kufizuara.</w:t>
      </w:r>
    </w:p>
    <w:p w14:paraId="65E3336B" w14:textId="2FB3571D" w:rsidR="003B43D4" w:rsidRPr="00CB13F7" w:rsidRDefault="7150E16E" w:rsidP="00BA2B1D">
      <w:pPr>
        <w:spacing w:before="120" w:after="120" w:line="276" w:lineRule="auto"/>
        <w:jc w:val="both"/>
        <w:rPr>
          <w:rFonts w:eastAsia="Times New Roman"/>
          <w:b/>
          <w:bCs/>
          <w:lang w:eastAsia="en-US"/>
        </w:rPr>
      </w:pPr>
      <w:r w:rsidRPr="00CB13F7">
        <w:rPr>
          <w:rFonts w:eastAsia="Times New Roman"/>
          <w:b/>
          <w:bCs/>
          <w:lang w:eastAsia="en-US"/>
        </w:rPr>
        <w:t>Objektivi 5</w:t>
      </w:r>
      <w:r w:rsidR="1D2A148C" w:rsidRPr="00CB13F7">
        <w:rPr>
          <w:rFonts w:eastAsia="Times New Roman"/>
          <w:b/>
          <w:bCs/>
          <w:lang w:eastAsia="en-US"/>
        </w:rPr>
        <w:t xml:space="preserve">: </w:t>
      </w:r>
      <w:r w:rsidR="452F6C30" w:rsidRPr="00CB13F7">
        <w:rPr>
          <w:rFonts w:eastAsia="Times New Roman"/>
          <w:i/>
          <w:iCs/>
          <w:lang w:eastAsia="en-US"/>
        </w:rPr>
        <w:t>F</w:t>
      </w:r>
      <w:r w:rsidR="1D2A148C" w:rsidRPr="00CB13F7">
        <w:rPr>
          <w:rFonts w:eastAsia="Times New Roman"/>
          <w:i/>
          <w:iCs/>
          <w:lang w:eastAsia="en-US"/>
        </w:rPr>
        <w:t xml:space="preserve">ëmijët </w:t>
      </w:r>
      <w:r w:rsidRPr="00CB13F7">
        <w:rPr>
          <w:rFonts w:eastAsia="Times New Roman"/>
          <w:i/>
          <w:iCs/>
          <w:lang w:eastAsia="en-US"/>
        </w:rPr>
        <w:t>me aftësi të kufizuara gëzojnë plotësisht të drejtat dhe liritë e tyre themelore në baza të barabarta me fëmijët e tjerë, duke pasur gjithmonë parasysh interesin më të lartë të tyre, me fokus mbështetjen e përshtatshme sipas moshës dhe nevojave individuale.</w:t>
      </w:r>
    </w:p>
    <w:p w14:paraId="5838703A"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 prioritare</w:t>
      </w:r>
    </w:p>
    <w:p w14:paraId="0836518B" w14:textId="3662D6EA" w:rsidR="003B43D4" w:rsidRPr="00CB13F7" w:rsidRDefault="003B43D4" w:rsidP="005006E5">
      <w:pPr>
        <w:pStyle w:val="ListParagraph"/>
        <w:numPr>
          <w:ilvl w:val="0"/>
          <w:numId w:val="42"/>
        </w:numPr>
        <w:spacing w:before="120" w:after="120" w:line="276" w:lineRule="auto"/>
        <w:jc w:val="both"/>
        <w:rPr>
          <w:rFonts w:eastAsia="Times New Roman"/>
          <w:lang w:eastAsia="en-US"/>
        </w:rPr>
      </w:pPr>
      <w:r w:rsidRPr="00CB13F7">
        <w:rPr>
          <w:rFonts w:eastAsia="Times New Roman"/>
          <w:lang w:eastAsia="en-US"/>
        </w:rPr>
        <w:lastRenderedPageBreak/>
        <w:t>Përforcimi i mbrojtjes nga dhuna dhe diskriminimi përmes fuqizimit të kapaciteteve, shërbimeve të integruara, forcimit të sistemeve të të dhënave, monitorimit dhe raportimit.</w:t>
      </w:r>
    </w:p>
    <w:p w14:paraId="26E2E743" w14:textId="31FD6617"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Ky objektiv synon të vendosë në qendër të politikave të mbrojtjes sociale fëmijën me aftësi të kufizuara</w:t>
      </w:r>
      <w:r w:rsidR="10CB0DB1" w:rsidRPr="00CB13F7">
        <w:rPr>
          <w:rFonts w:eastAsia="Times New Roman"/>
          <w:lang w:eastAsia="en-US"/>
        </w:rPr>
        <w:t>,</w:t>
      </w:r>
      <w:r w:rsidRPr="00CB13F7">
        <w:rPr>
          <w:rFonts w:eastAsia="Times New Roman"/>
          <w:lang w:eastAsia="en-US"/>
        </w:rPr>
        <w:t xml:space="preserve"> si mbajtës të drejtash dhe jo vetëm si përfitues shërbimesh. Plani  synon që mbrojtja e fëmijëve me aftësi të kufizuara</w:t>
      </w:r>
      <w:r w:rsidR="7BD90ACB" w:rsidRPr="00CB13F7">
        <w:rPr>
          <w:rFonts w:eastAsia="Times New Roman"/>
          <w:lang w:eastAsia="en-US"/>
        </w:rPr>
        <w:t>,</w:t>
      </w:r>
      <w:r w:rsidRPr="00CB13F7">
        <w:rPr>
          <w:rFonts w:eastAsia="Times New Roman"/>
          <w:lang w:eastAsia="en-US"/>
        </w:rPr>
        <w:t xml:space="preserve"> të mos trajtohet si çështje sektoriale , por si përgjegjësi e integruar e sistemit të mbrojtjes së fëmijës, ku çdo institucion që ndërvepron me fëmijën ka rol në identifikimin e rrezikut, parandalimin e dhunës dhe ofrimin e mbështetjes së përshtatshme.</w:t>
      </w:r>
    </w:p>
    <w:p w14:paraId="69CEBDCB" w14:textId="418A154F"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Një nga sfidat kryesore është fakti</w:t>
      </w:r>
      <w:r w:rsidR="5A004770" w:rsidRPr="00CB13F7">
        <w:rPr>
          <w:rFonts w:eastAsia="Times New Roman"/>
          <w:lang w:eastAsia="en-US"/>
        </w:rPr>
        <w:t>,</w:t>
      </w:r>
      <w:r w:rsidRPr="00CB13F7">
        <w:rPr>
          <w:rFonts w:eastAsia="Times New Roman"/>
          <w:lang w:eastAsia="en-US"/>
        </w:rPr>
        <w:t xml:space="preserve"> që fëmijët me aftësi të kufizuara janë më të ekspozuar ndaj neglizhencës, dhunës dhe izolimit social, ndërkohë që rastet shpesh mbeten të paidentifikuara për shkak të mungesës së kapaciteteve profesionale dhe barrierave në komunikim. Për këtë arsye, </w:t>
      </w:r>
      <w:r w:rsidR="4323F436" w:rsidRPr="00CB13F7">
        <w:rPr>
          <w:rFonts w:eastAsia="Times New Roman"/>
          <w:lang w:eastAsia="en-US"/>
        </w:rPr>
        <w:t xml:space="preserve">Plani </w:t>
      </w:r>
      <w:r w:rsidRPr="00CB13F7">
        <w:rPr>
          <w:rFonts w:eastAsia="Times New Roman"/>
          <w:lang w:eastAsia="en-US"/>
        </w:rPr>
        <w:t>parashikon rritjen e kapaciteteve të profesionistëve të vijës së parë, mësuesve, edukatorëve, punonjësve socialë, stafit shëndetësor dhe personelit të qendrave të zhvillimit, në identifikimin e hershëm të dhunës, raportimin dhe menaxhimin e rasteve. Trajnimet do të fokusohen në përdorimin e metodave praktike dhe studimeve të rasteve konkrete, në mënyrë që profesionistët të kuptojnë shenjat e abuzimit edhe kur fëmija ka vështirësi komunikimi ose nuk është në gjendje të raportojë vetë.</w:t>
      </w:r>
    </w:p>
    <w:p w14:paraId="3B540763" w14:textId="78AAB948"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Paralelisht, </w:t>
      </w:r>
      <w:r w:rsidR="47699028" w:rsidRPr="00CB13F7">
        <w:rPr>
          <w:rFonts w:eastAsia="Times New Roman"/>
          <w:lang w:eastAsia="en-US"/>
        </w:rPr>
        <w:t xml:space="preserve">Plani </w:t>
      </w:r>
      <w:r w:rsidRPr="00CB13F7">
        <w:rPr>
          <w:rFonts w:eastAsia="Times New Roman"/>
          <w:lang w:eastAsia="en-US"/>
        </w:rPr>
        <w:t>parashikon fuqizimin e prindërve dhe kujdestarëve</w:t>
      </w:r>
      <w:r w:rsidR="6943271E" w:rsidRPr="00CB13F7">
        <w:rPr>
          <w:rFonts w:eastAsia="Times New Roman"/>
          <w:lang w:eastAsia="en-US"/>
        </w:rPr>
        <w:t>,</w:t>
      </w:r>
      <w:r w:rsidRPr="00CB13F7">
        <w:rPr>
          <w:rFonts w:eastAsia="Times New Roman"/>
          <w:lang w:eastAsia="en-US"/>
        </w:rPr>
        <w:t xml:space="preserve"> përmes informimit dhe trajnimit mbi të drejtat e fëmijëve me aftësi të kufizuara, format e dhunës dhe mekanizmat e raportimit. Qëllimi është që familja të mos mbetet vetëm bartëse e përgjegjësisë së kujdesit, por të bëhet partner aktiv në mbrojtjen e fëmijës dhe në identifikimin e hershëm të rrezikut. Në rastet kur dhuna apo diskriminimi ndodh, fëmijët dhe familjet e tyre do të kenë akses në mbështetje </w:t>
      </w:r>
      <w:r w:rsidR="1AFA2652" w:rsidRPr="00CB13F7">
        <w:rPr>
          <w:rFonts w:eastAsia="Times New Roman"/>
          <w:lang w:eastAsia="en-US"/>
        </w:rPr>
        <w:t>psiko-sociale</w:t>
      </w:r>
      <w:r w:rsidRPr="00CB13F7">
        <w:rPr>
          <w:rFonts w:eastAsia="Times New Roman"/>
          <w:lang w:eastAsia="en-US"/>
        </w:rPr>
        <w:t xml:space="preserve"> të përshtatur</w:t>
      </w:r>
      <w:r w:rsidR="0A6EC681" w:rsidRPr="00CB13F7">
        <w:rPr>
          <w:rFonts w:eastAsia="Times New Roman"/>
          <w:lang w:eastAsia="en-US"/>
        </w:rPr>
        <w:t>,</w:t>
      </w:r>
      <w:r w:rsidRPr="00CB13F7">
        <w:rPr>
          <w:rFonts w:eastAsia="Times New Roman"/>
          <w:lang w:eastAsia="en-US"/>
        </w:rPr>
        <w:t xml:space="preserve"> sipas moshës, të ofruar në institucione arsimore dhe në shërbime komunitare, duke shmangur ndërhyrjet e vonuara ose të fragmentuara.</w:t>
      </w:r>
    </w:p>
    <w:p w14:paraId="21AC375C"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Një rol kyç do të kenë Njësitë e Mbrojtjes së Fëmijëve në nivel vendor, të cilat do të fuqizohen për të përfshirë fëmijët me aftësi të kufizuara në planet, programet dhe raportimet e tyre. Kjo do të thotë që menaxhimi i rasteve, vlerësimi i riskut dhe ndërhyrjet mbrojtëse do të përshtaten për nevojat specifike të fëmijëve me aftësi të kufizuara, duke marrë në konsideratë komunikimin alternativ, mbështetjen e specializuar dhe përfshirjen e shërbimeve të tjera sektoriale.</w:t>
      </w:r>
    </w:p>
    <w:p w14:paraId="66D48874" w14:textId="49492DD3" w:rsidR="003B43D4" w:rsidRPr="00CB13F7" w:rsidRDefault="7150E16E" w:rsidP="00BA2B1D">
      <w:pPr>
        <w:spacing w:before="120" w:after="120" w:line="276" w:lineRule="auto"/>
        <w:jc w:val="both"/>
        <w:rPr>
          <w:rFonts w:eastAsia="Times New Roman"/>
          <w:b/>
          <w:bCs/>
          <w:lang w:eastAsia="en-US"/>
        </w:rPr>
      </w:pPr>
      <w:r w:rsidRPr="00CB13F7">
        <w:rPr>
          <w:rFonts w:eastAsia="Times New Roman"/>
          <w:b/>
          <w:bCs/>
          <w:lang w:eastAsia="en-US"/>
        </w:rPr>
        <w:t>Objektivi specifik 6</w:t>
      </w:r>
      <w:r w:rsidR="27DB49C1" w:rsidRPr="00CB13F7">
        <w:rPr>
          <w:rFonts w:eastAsia="Times New Roman"/>
          <w:i/>
          <w:iCs/>
          <w:lang w:eastAsia="en-US"/>
        </w:rPr>
        <w:t xml:space="preserve">: </w:t>
      </w:r>
      <w:r w:rsidR="1865F7BB" w:rsidRPr="00CB13F7">
        <w:rPr>
          <w:rFonts w:eastAsia="Times New Roman"/>
          <w:i/>
          <w:iCs/>
          <w:lang w:eastAsia="en-US"/>
        </w:rPr>
        <w:t>F</w:t>
      </w:r>
      <w:r w:rsidR="27DB49C1" w:rsidRPr="00CB13F7">
        <w:rPr>
          <w:rFonts w:eastAsia="Times New Roman"/>
          <w:i/>
          <w:iCs/>
          <w:lang w:eastAsia="en-US"/>
        </w:rPr>
        <w:t xml:space="preserve">orcimi </w:t>
      </w:r>
      <w:r w:rsidRPr="00CB13F7">
        <w:rPr>
          <w:rFonts w:eastAsia="Times New Roman"/>
          <w:i/>
          <w:iCs/>
          <w:lang w:eastAsia="en-US"/>
        </w:rPr>
        <w:t>i një sistemi gjithëpërfshirës për menaxhimin dhe reagimin ndaj ndryshimeve klimatike, fatkeqësive dhe krizave në Shqipëri, në nivel qendror dhe lokal, me fokus të veçantë te personat me aftësi të kufizuara, për të garantuar sigurinë e jetës dhe mbrojtjen e tyre.</w:t>
      </w:r>
    </w:p>
    <w:p w14:paraId="0283C7A6"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148EE84D" w14:textId="3A77D0D1" w:rsidR="003B43D4" w:rsidRPr="00CB13F7" w:rsidRDefault="003B43D4" w:rsidP="00CB13F7">
      <w:pPr>
        <w:pStyle w:val="ListParagraph"/>
        <w:numPr>
          <w:ilvl w:val="0"/>
          <w:numId w:val="43"/>
        </w:numPr>
        <w:spacing w:before="120" w:after="120" w:line="276" w:lineRule="auto"/>
        <w:ind w:left="360"/>
        <w:jc w:val="both"/>
        <w:rPr>
          <w:rFonts w:eastAsia="Times New Roman"/>
          <w:lang w:eastAsia="en-US"/>
        </w:rPr>
      </w:pPr>
      <w:r w:rsidRPr="00CB13F7">
        <w:rPr>
          <w:rFonts w:eastAsia="Times New Roman"/>
          <w:lang w:eastAsia="en-US"/>
        </w:rPr>
        <w:t>Integrimi i aftësisë së kufizuar në politikat dhe kuadrin ligjor për menaxhimin e rrezikut nga fatkeqësitë</w:t>
      </w:r>
    </w:p>
    <w:p w14:paraId="49727FE8"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Ky objektiv adreson sigurinë e personave me aftësi të kufizuara në situata emergjente, fatkeqësi natyrore dhe kriza humanitare. Përvoja ndërkombëtare dhe situatat e fundit të emergjencave kanë treguar se personat me aftësi të kufizuara janë ndër grupet më të rrezikuara gjatë fatkeqësive, jo </w:t>
      </w:r>
      <w:r w:rsidRPr="00CB13F7">
        <w:rPr>
          <w:rFonts w:eastAsia="Times New Roman"/>
          <w:lang w:eastAsia="en-US"/>
        </w:rPr>
        <w:lastRenderedPageBreak/>
        <w:t>për shkak të aftësisë së kufizuar në vetvete, por për shkak të mungesës së planifikimit gjithëpërfshirës, informacionit të aksesueshëm dhe mekanizmave të përshtatur të evakuimit dhe mbështetjes.</w:t>
      </w:r>
    </w:p>
    <w:p w14:paraId="48A1BF06" w14:textId="65CCE03E"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P</w:t>
      </w:r>
      <w:r w:rsidR="67B3BB04" w:rsidRPr="00CB13F7">
        <w:rPr>
          <w:rFonts w:eastAsia="Times New Roman"/>
          <w:lang w:eastAsia="en-US"/>
        </w:rPr>
        <w:t>KVPAK</w:t>
      </w:r>
      <w:r w:rsidRPr="00CB13F7">
        <w:rPr>
          <w:rFonts w:eastAsia="Times New Roman"/>
          <w:lang w:eastAsia="en-US"/>
        </w:rPr>
        <w:t xml:space="preserve"> synon që sistemi i menaxhimit të emergjencave të mos ndërhyjë vetëm pas krizës, por të përfshijë personat me aftësi të kufizuara që në fazën e parandalimit dhe planifikimit. Hapi i parë do të jetë rishikimi i kuadrit ligjor dhe strategjik të menaxhimit të rrezikut nga fatkeqësitë, për të siguruar përfshirjen e detyrimeve të qarta për mbrojtjen e personave me aftësi të kufizuara në përputhje me standardet ndërkombëtare. Kjo do të thotë që aftësia e kufizuar të mos trajtohet si çështje ndihme humanitare, por si </w:t>
      </w:r>
      <w:r w:rsidR="79097D7A" w:rsidRPr="00CB13F7">
        <w:rPr>
          <w:rFonts w:eastAsia="Times New Roman"/>
          <w:lang w:eastAsia="en-US"/>
        </w:rPr>
        <w:t xml:space="preserve">element </w:t>
      </w:r>
      <w:r w:rsidRPr="00CB13F7">
        <w:rPr>
          <w:rFonts w:eastAsia="Times New Roman"/>
          <w:lang w:eastAsia="en-US"/>
        </w:rPr>
        <w:t>i detyrueshëm i politikave të sigurisë civile.</w:t>
      </w:r>
    </w:p>
    <w:p w14:paraId="002A178F"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Në këtë drejtim, legjislacioni dhe planet e emergjencave do të integrojnë kërkesa specifike për aksesueshmërinë e njoftimeve të hershme, të sistemeve të alarmit dhe të procedurave të evakuimit. Synimi është që paralajmërimet për rrezik të jenë të kuptueshme dhe të arritshme për të gjitha kategoritë e aftësisë së kufizuar, duke përfshirë komunikimin alternativ dhe teknologjitë asistive. Kjo është veçanërisht e rëndësishme për personat me dëmtime të dëgjimit, shikimit, intelektuale apo </w:t>
      </w:r>
      <w:r w:rsidR="002B3406" w:rsidRPr="00CB13F7">
        <w:rPr>
          <w:rFonts w:eastAsia="Times New Roman"/>
          <w:lang w:eastAsia="en-US"/>
        </w:rPr>
        <w:t>psiko-sociale</w:t>
      </w:r>
      <w:r w:rsidRPr="00CB13F7">
        <w:rPr>
          <w:rFonts w:eastAsia="Times New Roman"/>
          <w:lang w:eastAsia="en-US"/>
        </w:rPr>
        <w:t>, të cilët shpesh nuk përfitojnë nga sistemet standarde të njoftimit.</w:t>
      </w:r>
    </w:p>
    <w:p w14:paraId="69D67C46" w14:textId="3E606B11"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Plani parashikon </w:t>
      </w:r>
      <w:r w:rsidR="00A469DB" w:rsidRPr="00CB13F7">
        <w:rPr>
          <w:rFonts w:eastAsia="Times New Roman"/>
          <w:lang w:eastAsia="en-US"/>
        </w:rPr>
        <w:t xml:space="preserve">edhe </w:t>
      </w:r>
      <w:r w:rsidRPr="00CB13F7">
        <w:rPr>
          <w:rFonts w:eastAsia="Times New Roman"/>
          <w:lang w:eastAsia="en-US"/>
        </w:rPr>
        <w:t>hartimin e udhëzimeve specifike për planifikimin dhe menaxhimin e emergjencave që adresojnë nevojat individuale të personave me aftësi të kufizuara. Këto udhëzime do të kenë një fokus të veçantë te</w:t>
      </w:r>
      <w:r w:rsidR="00A469DB" w:rsidRPr="00CB13F7">
        <w:rPr>
          <w:rFonts w:eastAsia="Times New Roman"/>
          <w:lang w:eastAsia="en-US"/>
        </w:rPr>
        <w:t>k</w:t>
      </w:r>
      <w:r w:rsidRPr="00CB13F7">
        <w:rPr>
          <w:rFonts w:eastAsia="Times New Roman"/>
          <w:lang w:eastAsia="en-US"/>
        </w:rPr>
        <w:t xml:space="preserve"> institucionet rezidenciale dhe ofruesit e shërbimeve për fëmijë dhe të rritur me aftësi të kufizuara, ku rreziku është më i lartë për shkak të varësisë nga mbështetja e vazhdueshme. Për këtë arsye</w:t>
      </w:r>
      <w:r w:rsidR="00117BF5" w:rsidRPr="00CB13F7">
        <w:rPr>
          <w:rFonts w:eastAsia="Times New Roman"/>
          <w:lang w:eastAsia="en-US"/>
        </w:rPr>
        <w:t>,</w:t>
      </w:r>
      <w:r w:rsidRPr="00CB13F7">
        <w:rPr>
          <w:rFonts w:eastAsia="Times New Roman"/>
          <w:lang w:eastAsia="en-US"/>
        </w:rPr>
        <w:t xml:space="preserve"> do të hartohen protokolle operacionale të detajuara për evakuimin, strehimin e përkohshëm dhe shpërndarjen e ndihmës humanitare në mënyrë të aksesueshme dhe të sigurt për çdo kategori të aftësisë së kufizuar.</w:t>
      </w:r>
    </w:p>
    <w:p w14:paraId="62DEF20F" w14:textId="7FC38F39" w:rsidR="003B43D4" w:rsidRPr="00CB13F7" w:rsidRDefault="7150E16E" w:rsidP="661F9D2E">
      <w:pPr>
        <w:spacing w:before="120" w:after="120" w:line="276" w:lineRule="auto"/>
        <w:jc w:val="both"/>
        <w:rPr>
          <w:rFonts w:eastAsia="Times New Roman"/>
          <w:lang w:eastAsia="en-US"/>
        </w:rPr>
      </w:pPr>
      <w:r w:rsidRPr="00CB13F7">
        <w:rPr>
          <w:rFonts w:eastAsia="Times New Roman"/>
          <w:lang w:eastAsia="en-US"/>
        </w:rPr>
        <w:t xml:space="preserve">Një </w:t>
      </w:r>
      <w:r w:rsidR="3BEBD59D" w:rsidRPr="00CB13F7">
        <w:rPr>
          <w:rFonts w:eastAsia="Times New Roman"/>
          <w:lang w:eastAsia="en-US"/>
        </w:rPr>
        <w:t xml:space="preserve">element </w:t>
      </w:r>
      <w:r w:rsidRPr="00CB13F7">
        <w:rPr>
          <w:rFonts w:eastAsia="Times New Roman"/>
          <w:lang w:eastAsia="en-US"/>
        </w:rPr>
        <w:t>i rëndësishëm i objektivit është ndërtimi i kapaciteteve institucionale. Administrata publike, strukturat e emergjencave civile dhe pushteti vendor do të trajnohen mbi qasjen gjithëpërfshirëse ndaj aftësisë së kufizuar në situata krize. Trajnimet synojnë të sigurojnë që personeli të jetë i përgatitur për të identifikuar nevojat specifike, për të komunikuar në mënyrë të përshtatshme dhe për të ofruar mbështetje të sigurt gjatë evakuimit, strehimit dhe shpërndarjes së ndihmës.</w:t>
      </w:r>
    </w:p>
    <w:p w14:paraId="1DF9187F" w14:textId="77777777" w:rsidR="003B43D4" w:rsidRPr="00CB13F7" w:rsidRDefault="003B43D4" w:rsidP="00BA2B1D">
      <w:pPr>
        <w:spacing w:before="120" w:after="120" w:line="276" w:lineRule="auto"/>
        <w:jc w:val="both"/>
        <w:rPr>
          <w:rFonts w:eastAsia="Times New Roman"/>
          <w:lang w:eastAsia="en-US"/>
        </w:rPr>
      </w:pPr>
    </w:p>
    <w:p w14:paraId="782D7AF4" w14:textId="2A490024" w:rsidR="00FE05F4" w:rsidRPr="00CB13F7" w:rsidRDefault="002E1CAF" w:rsidP="00BA2B1D">
      <w:pPr>
        <w:spacing w:before="120" w:after="120" w:line="276" w:lineRule="auto"/>
        <w:jc w:val="both"/>
        <w:rPr>
          <w:rFonts w:eastAsia="Times New Roman"/>
          <w:b/>
          <w:bCs/>
          <w:lang w:eastAsia="en-US"/>
        </w:rPr>
      </w:pPr>
      <w:r w:rsidRPr="00CB13F7">
        <w:rPr>
          <w:rFonts w:eastAsia="Times New Roman"/>
          <w:b/>
          <w:bCs/>
          <w:lang w:eastAsia="en-US"/>
        </w:rPr>
        <w:t>4.6</w:t>
      </w:r>
      <w:r w:rsidR="00A469DB" w:rsidRPr="00CB13F7">
        <w:rPr>
          <w:rFonts w:eastAsia="Times New Roman"/>
          <w:b/>
          <w:bCs/>
          <w:lang w:eastAsia="en-US"/>
        </w:rPr>
        <w:t xml:space="preserve"> </w:t>
      </w:r>
      <w:r w:rsidR="003B43D4" w:rsidRPr="00CB13F7">
        <w:rPr>
          <w:rFonts w:eastAsia="Times New Roman"/>
          <w:b/>
          <w:bCs/>
          <w:lang w:eastAsia="en-US"/>
        </w:rPr>
        <w:t xml:space="preserve">Shëndetësia </w:t>
      </w:r>
    </w:p>
    <w:p w14:paraId="03D2D309" w14:textId="4D9727FD" w:rsidR="003B43D4" w:rsidRPr="00CB13F7" w:rsidRDefault="002B3406" w:rsidP="00BA2B1D">
      <w:pPr>
        <w:spacing w:before="120" w:after="120" w:line="276" w:lineRule="auto"/>
        <w:jc w:val="both"/>
        <w:rPr>
          <w:rFonts w:eastAsia="Times New Roman"/>
          <w:b/>
          <w:bCs/>
          <w:lang w:eastAsia="en-US"/>
        </w:rPr>
      </w:pPr>
      <w:r w:rsidRPr="00CB13F7">
        <w:rPr>
          <w:rFonts w:eastAsia="Times New Roman"/>
          <w:b/>
          <w:bCs/>
          <w:lang w:eastAsia="en-US"/>
        </w:rPr>
        <w:t>4.6.1</w:t>
      </w:r>
      <w:r w:rsidR="00DD14C0" w:rsidRPr="00CB13F7">
        <w:rPr>
          <w:rFonts w:eastAsia="Times New Roman"/>
          <w:b/>
          <w:bCs/>
          <w:lang w:eastAsia="en-US"/>
        </w:rPr>
        <w:t xml:space="preserve"> </w:t>
      </w:r>
      <w:r w:rsidRPr="00CB13F7">
        <w:rPr>
          <w:rFonts w:eastAsia="Times New Roman"/>
          <w:b/>
          <w:bCs/>
          <w:lang w:eastAsia="en-US"/>
        </w:rPr>
        <w:t>Korniza</w:t>
      </w:r>
      <w:r w:rsidR="003B43D4" w:rsidRPr="00CB13F7">
        <w:rPr>
          <w:rFonts w:eastAsia="Times New Roman"/>
          <w:b/>
          <w:bCs/>
          <w:lang w:eastAsia="en-US"/>
        </w:rPr>
        <w:t xml:space="preserve"> Strategjike</w:t>
      </w:r>
    </w:p>
    <w:p w14:paraId="49F6C56E" w14:textId="07551D1E" w:rsidR="003B43D4" w:rsidRPr="00CB13F7" w:rsidRDefault="7150E16E" w:rsidP="661F9D2E">
      <w:pPr>
        <w:spacing w:before="120" w:after="120" w:line="276" w:lineRule="auto"/>
        <w:jc w:val="both"/>
        <w:rPr>
          <w:rFonts w:eastAsia="Times New Roman"/>
          <w:lang w:eastAsia="en-US"/>
        </w:rPr>
      </w:pPr>
      <w:r w:rsidRPr="00CB13F7">
        <w:rPr>
          <w:rFonts w:eastAsia="Times New Roman"/>
          <w:lang w:eastAsia="en-US"/>
        </w:rPr>
        <w:t xml:space="preserve">Fusha e shëndetësisë në Planin </w:t>
      </w:r>
      <w:r w:rsidR="408EBA1A" w:rsidRPr="00CB13F7">
        <w:rPr>
          <w:rFonts w:eastAsia="Times New Roman"/>
          <w:lang w:eastAsia="en-US"/>
        </w:rPr>
        <w:t>Kombëtar të</w:t>
      </w:r>
      <w:r w:rsidRPr="00CB13F7">
        <w:rPr>
          <w:rFonts w:eastAsia="Times New Roman"/>
          <w:lang w:eastAsia="en-US"/>
        </w:rPr>
        <w:t xml:space="preserve"> Veprimit </w:t>
      </w:r>
      <w:r w:rsidR="3ADD2F41" w:rsidRPr="00CB13F7">
        <w:rPr>
          <w:rFonts w:eastAsia="Times New Roman"/>
          <w:lang w:eastAsia="en-US"/>
        </w:rPr>
        <w:t xml:space="preserve">për Personat me Aftësi të Kufizuara </w:t>
      </w:r>
      <w:r w:rsidRPr="00CB13F7">
        <w:rPr>
          <w:rFonts w:eastAsia="Times New Roman"/>
          <w:lang w:eastAsia="en-US"/>
        </w:rPr>
        <w:t>2026</w:t>
      </w:r>
      <w:r w:rsidR="78A38AA1" w:rsidRPr="00CB13F7">
        <w:rPr>
          <w:rFonts w:eastAsia="Times New Roman"/>
          <w:lang w:eastAsia="en-US"/>
        </w:rPr>
        <w:t>-</w:t>
      </w:r>
      <w:r w:rsidRPr="00CB13F7">
        <w:rPr>
          <w:rFonts w:eastAsia="Times New Roman"/>
          <w:lang w:eastAsia="en-US"/>
        </w:rPr>
        <w:t>2030  mbështetet në një ndryshim thelbësor të mënyrës se si konceptohet kujdesi shëndetësor, nga një model tradicional, i fokusuar kryesisht në diagnozën dhe trajtimin mjekësor, drejt një sistemi të bazuar në të drejtat e njeriut, funksionimin dhe pjesëmarrjen sociale. Sistemi shëndetësor konsiderohet një faktor kyç për parandalimin e përjashtimit social dhe për mundësimin e jetesës së pavarur.</w:t>
      </w:r>
    </w:p>
    <w:p w14:paraId="1B00D98A" w14:textId="3AB53005" w:rsidR="003B43D4" w:rsidRPr="00CB13F7" w:rsidRDefault="7150E16E" w:rsidP="661F9D2E">
      <w:pPr>
        <w:spacing w:before="120" w:after="120" w:line="276" w:lineRule="auto"/>
        <w:jc w:val="both"/>
        <w:rPr>
          <w:rFonts w:eastAsia="Times New Roman"/>
          <w:lang w:eastAsia="en-US"/>
        </w:rPr>
      </w:pPr>
      <w:r w:rsidRPr="00CB13F7">
        <w:rPr>
          <w:rFonts w:eastAsia="Times New Roman"/>
          <w:lang w:eastAsia="en-US"/>
        </w:rPr>
        <w:lastRenderedPageBreak/>
        <w:t xml:space="preserve">Në nivel ndërkombëtar, ky kapitull mbështetet para së gjithash në </w:t>
      </w:r>
      <w:bookmarkStart w:id="4" w:name="_Hlk223083369"/>
      <w:r w:rsidRPr="00CB13F7">
        <w:rPr>
          <w:rFonts w:eastAsia="Times New Roman"/>
          <w:lang w:eastAsia="en-US"/>
        </w:rPr>
        <w:t>Konventën</w:t>
      </w:r>
      <w:r w:rsidR="78A38AA1" w:rsidRPr="00CB13F7">
        <w:rPr>
          <w:rFonts w:eastAsia="Times New Roman"/>
          <w:lang w:eastAsia="en-US"/>
        </w:rPr>
        <w:t xml:space="preserve"> e Kombeve të Bashkuara për të Drejtat e Personave me Aftësi të Kufizuara (</w:t>
      </w:r>
      <w:r w:rsidR="1527C479" w:rsidRPr="00CB13F7">
        <w:rPr>
          <w:rFonts w:eastAsia="Times New Roman"/>
        </w:rPr>
        <w:t xml:space="preserve"> KDPAK</w:t>
      </w:r>
      <w:r w:rsidR="78A38AA1" w:rsidRPr="00CB13F7">
        <w:rPr>
          <w:rFonts w:eastAsia="Times New Roman"/>
          <w:lang w:eastAsia="en-US"/>
        </w:rPr>
        <w:t>)</w:t>
      </w:r>
      <w:r w:rsidR="002F0C3F" w:rsidRPr="00CB13F7">
        <w:rPr>
          <w:rStyle w:val="FootnoteReference"/>
          <w:rFonts w:eastAsia="Times New Roman"/>
          <w:lang w:eastAsia="en-US"/>
        </w:rPr>
        <w:footnoteReference w:id="71"/>
      </w:r>
      <w:r w:rsidRPr="00CB13F7">
        <w:rPr>
          <w:rFonts w:eastAsia="Times New Roman"/>
          <w:lang w:eastAsia="en-US"/>
        </w:rPr>
        <w:t xml:space="preserve">, </w:t>
      </w:r>
      <w:r w:rsidR="08FE9C09" w:rsidRPr="00CB13F7">
        <w:rPr>
          <w:rFonts w:eastAsia="Times New Roman"/>
          <w:lang w:eastAsia="en-US"/>
        </w:rPr>
        <w:t xml:space="preserve">e cila përcakton qartë se personat me aftësi të kufizuara gëzojnë të drejtën për standardin më të lartë të arritshëm të shëndetit, pa diskriminim dhe pa barriera në akses. </w:t>
      </w:r>
      <w:bookmarkEnd w:id="4"/>
      <w:r w:rsidRPr="00CB13F7">
        <w:rPr>
          <w:rFonts w:eastAsia="Times New Roman"/>
          <w:lang w:eastAsia="en-US"/>
        </w:rPr>
        <w:t xml:space="preserve">Konventa kërkon që shërbimet shëndetësore të jenë të aksesueshme, të përballueshme dhe të bazuara në pëlqimin e informuar të individit, duke përfshirë </w:t>
      </w:r>
      <w:r w:rsidR="1AFA2652" w:rsidRPr="00CB13F7">
        <w:rPr>
          <w:rFonts w:eastAsia="Times New Roman"/>
          <w:lang w:eastAsia="en-US"/>
        </w:rPr>
        <w:t>shërbimet për</w:t>
      </w:r>
      <w:r w:rsidRPr="00CB13F7">
        <w:rPr>
          <w:rFonts w:eastAsia="Times New Roman"/>
          <w:lang w:eastAsia="en-US"/>
        </w:rPr>
        <w:t xml:space="preserve"> personat me aftësi të kufizuara </w:t>
      </w:r>
      <w:r w:rsidR="1AFA2652" w:rsidRPr="00CB13F7">
        <w:rPr>
          <w:rFonts w:eastAsia="Times New Roman"/>
          <w:lang w:eastAsia="en-US"/>
        </w:rPr>
        <w:t>psiko-sociale</w:t>
      </w:r>
      <w:r w:rsidRPr="00CB13F7">
        <w:rPr>
          <w:rFonts w:eastAsia="Times New Roman"/>
          <w:lang w:eastAsia="en-US"/>
        </w:rPr>
        <w:t>, rehabilitimin dhe teknologjitë ndihmëse. Ajo thekson rëndësinë e rehabilitimit si proces që synon ruajtjen dhe zhvillimin e funksionimit dhe jo izolimin institucional. Në të njëjtën kohë, orienton situatat e rrezikut dhe kërkon që sistemet shëndetësore dhe të emergjencave të jenë gjithëpërfshirëse për personat me aftësi të kufizuara.</w:t>
      </w:r>
    </w:p>
    <w:p w14:paraId="0AA64F0A" w14:textId="0F9F9506" w:rsidR="003B43D4" w:rsidRPr="00CB13F7" w:rsidRDefault="1AFA2652" w:rsidP="661F9D2E">
      <w:pPr>
        <w:spacing w:before="120" w:after="120" w:line="276" w:lineRule="auto"/>
        <w:jc w:val="both"/>
        <w:rPr>
          <w:rFonts w:eastAsia="Times New Roman"/>
          <w:lang w:eastAsia="en-US"/>
        </w:rPr>
      </w:pPr>
      <w:r w:rsidRPr="00CB13F7">
        <w:rPr>
          <w:rFonts w:eastAsia="Times New Roman"/>
          <w:lang w:eastAsia="en-US"/>
        </w:rPr>
        <w:t>Komentet dhe rekomandimet e Komitetit</w:t>
      </w:r>
      <w:r w:rsidR="355F4EA1" w:rsidRPr="00CB13F7">
        <w:rPr>
          <w:rFonts w:eastAsia="Times New Roman"/>
          <w:lang w:eastAsia="en-US"/>
        </w:rPr>
        <w:t xml:space="preserve"> të </w:t>
      </w:r>
      <w:r w:rsidR="45331BDC" w:rsidRPr="00CB13F7">
        <w:rPr>
          <w:rFonts w:eastAsia="Times New Roman"/>
        </w:rPr>
        <w:t xml:space="preserve"> KDPAK</w:t>
      </w:r>
      <w:r w:rsidR="002B3406" w:rsidRPr="00CB13F7">
        <w:rPr>
          <w:rStyle w:val="FootnoteReference"/>
          <w:rFonts w:eastAsia="Times New Roman"/>
          <w:lang w:eastAsia="en-US"/>
        </w:rPr>
        <w:footnoteReference w:id="72"/>
      </w:r>
      <w:r w:rsidRPr="00CB13F7">
        <w:rPr>
          <w:rFonts w:eastAsia="Times New Roman"/>
          <w:lang w:eastAsia="en-US"/>
        </w:rPr>
        <w:t xml:space="preserve"> kanë theksuar se pengesat kryesore në fushën e</w:t>
      </w:r>
      <w:r w:rsidR="6309BE2C" w:rsidRPr="00CB13F7">
        <w:rPr>
          <w:rFonts w:eastAsia="Times New Roman"/>
          <w:lang w:eastAsia="en-US"/>
        </w:rPr>
        <w:t xml:space="preserve"> </w:t>
      </w:r>
      <w:r w:rsidRPr="00CB13F7">
        <w:rPr>
          <w:rFonts w:eastAsia="Times New Roman"/>
          <w:lang w:eastAsia="en-US"/>
        </w:rPr>
        <w:t>shëndetësisë nuk lidhen vetëm me mungesën e shërbimeve, por me mënyrën se si funksionon sistemi, përfshirë refuzimi i trajtimit për shkak të aftësisë së kufizuar, mungesa e aksesueshmërisë fizike dhe në komunikim, trajtime pa pëlqim të informuar, institucionalizimi i panevojshëm dhe mungesa e shërbimeve komunitare të personave me aftësi të kufizuara psiko</w:t>
      </w:r>
      <w:r w:rsidR="355F4EA1" w:rsidRPr="00CB13F7">
        <w:rPr>
          <w:rFonts w:eastAsia="Times New Roman"/>
          <w:lang w:eastAsia="en-US"/>
        </w:rPr>
        <w:t>-</w:t>
      </w:r>
      <w:r w:rsidRPr="00CB13F7">
        <w:rPr>
          <w:rFonts w:eastAsia="Times New Roman"/>
          <w:lang w:eastAsia="en-US"/>
        </w:rPr>
        <w:t xml:space="preserve">sociale. </w:t>
      </w:r>
      <w:r w:rsidR="7150E16E" w:rsidRPr="00CB13F7">
        <w:rPr>
          <w:rFonts w:eastAsia="Times New Roman"/>
          <w:lang w:eastAsia="en-US"/>
        </w:rPr>
        <w:t>Për këtë arsye, shtetet inkurajohen të kalojnë nga kujdesi institucional drejt shërbimeve komunitare, të integruara dhe të orientuara nga personi.</w:t>
      </w:r>
    </w:p>
    <w:p w14:paraId="2932E62F" w14:textId="2717EF05"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Në nivel evropian, kjo qasje përforcohet nga </w:t>
      </w:r>
      <w:bookmarkStart w:id="5" w:name="_Hlk223083626"/>
      <w:r w:rsidRPr="00CB13F7">
        <w:rPr>
          <w:rFonts w:eastAsia="Times New Roman"/>
          <w:lang w:eastAsia="en-US"/>
        </w:rPr>
        <w:t>Strategjia</w:t>
      </w:r>
      <w:r w:rsidR="355F4EA1" w:rsidRPr="00CB13F7">
        <w:rPr>
          <w:rFonts w:eastAsia="Times New Roman"/>
          <w:lang w:eastAsia="en-US"/>
        </w:rPr>
        <w:t xml:space="preserve"> e Bashkimit Evropian për të Drejtat e Personave me Aftësi të Kufizuara 2021-2030</w:t>
      </w:r>
      <w:r w:rsidR="002F0C3F" w:rsidRPr="00CB13F7">
        <w:rPr>
          <w:rStyle w:val="FootnoteReference"/>
          <w:rFonts w:eastAsia="Times New Roman"/>
          <w:lang w:eastAsia="en-US"/>
        </w:rPr>
        <w:footnoteReference w:id="73"/>
      </w:r>
      <w:r w:rsidRPr="00CB13F7">
        <w:rPr>
          <w:rFonts w:eastAsia="Times New Roman"/>
          <w:lang w:eastAsia="en-US"/>
        </w:rPr>
        <w:t>,</w:t>
      </w:r>
      <w:bookmarkEnd w:id="5"/>
      <w:r w:rsidRPr="00CB13F7">
        <w:rPr>
          <w:rFonts w:eastAsia="Times New Roman"/>
          <w:lang w:eastAsia="en-US"/>
        </w:rPr>
        <w:t xml:space="preserve"> e cila kërkon që sistemet shëndetësore të garantojnë akses universal dhe të barabartë në shërbime shëndetësore dhe rehabilituese, përfshirë aftësinë e kufizuar psiko</w:t>
      </w:r>
      <w:r w:rsidR="65BEBBE0" w:rsidRPr="00CB13F7">
        <w:rPr>
          <w:rFonts w:eastAsia="Times New Roman"/>
          <w:lang w:eastAsia="en-US"/>
        </w:rPr>
        <w:t>-</w:t>
      </w:r>
      <w:r w:rsidRPr="00CB13F7">
        <w:rPr>
          <w:rFonts w:eastAsia="Times New Roman"/>
          <w:lang w:eastAsia="en-US"/>
        </w:rPr>
        <w:t>sociale dhe teknologjitë ndihmëse. Strategjia e BE-së vendos theks të veçantë te</w:t>
      </w:r>
      <w:r w:rsidR="65BEBBE0" w:rsidRPr="00CB13F7">
        <w:rPr>
          <w:rFonts w:eastAsia="Times New Roman"/>
          <w:lang w:eastAsia="en-US"/>
        </w:rPr>
        <w:t>k</w:t>
      </w:r>
      <w:r w:rsidRPr="00CB13F7">
        <w:rPr>
          <w:rFonts w:eastAsia="Times New Roman"/>
          <w:lang w:eastAsia="en-US"/>
        </w:rPr>
        <w:t xml:space="preserve"> jetesa e pavarur dhe </w:t>
      </w:r>
      <w:r w:rsidR="1AFA2652" w:rsidRPr="00CB13F7">
        <w:rPr>
          <w:rFonts w:eastAsia="Times New Roman"/>
          <w:lang w:eastAsia="en-US"/>
        </w:rPr>
        <w:t>deinstitucionalizimi</w:t>
      </w:r>
      <w:r w:rsidRPr="00CB13F7">
        <w:rPr>
          <w:rFonts w:eastAsia="Times New Roman"/>
          <w:lang w:eastAsia="en-US"/>
        </w:rPr>
        <w:t>, duke kërkuar zhvillimin e shërbimeve komunitare, kujdesit afatgjatë dhe mbështetjes individuale. Këto parime lidhen drejtpërdrejt edhe me Shtyllën Evropiane të të Drejtave Sociale, e cila njeh kujdesin shëndetësor dhe kujdesin afatgjatë si të drejta themelore sociale dhe kërkon që personat me aftësi të kufizuara të marrin mbështetjen e nevojshme për autonomi dhe përfshirje në komunitet.</w:t>
      </w:r>
    </w:p>
    <w:p w14:paraId="20B571B7" w14:textId="141E73DC"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Fusha e shëndetësisë lidhet </w:t>
      </w:r>
      <w:r w:rsidR="5239C86B" w:rsidRPr="00CB13F7">
        <w:rPr>
          <w:rFonts w:eastAsia="Times New Roman"/>
          <w:lang w:eastAsia="en-US"/>
        </w:rPr>
        <w:t xml:space="preserve">edhe </w:t>
      </w:r>
      <w:r w:rsidRPr="00CB13F7">
        <w:rPr>
          <w:rFonts w:eastAsia="Times New Roman"/>
          <w:lang w:eastAsia="en-US"/>
        </w:rPr>
        <w:t>me Objektivat</w:t>
      </w:r>
      <w:r w:rsidR="5239C86B" w:rsidRPr="00CB13F7">
        <w:rPr>
          <w:rFonts w:eastAsia="Times New Roman"/>
          <w:lang w:eastAsia="en-US"/>
        </w:rPr>
        <w:t xml:space="preserve"> e Zhvillimit të Qëndrueshëm</w:t>
      </w:r>
      <w:r w:rsidR="002F0C3F" w:rsidRPr="00CB13F7">
        <w:rPr>
          <w:rStyle w:val="FootnoteReference"/>
          <w:rFonts w:eastAsia="Times New Roman"/>
          <w:lang w:eastAsia="en-US"/>
        </w:rPr>
        <w:footnoteReference w:id="74"/>
      </w:r>
      <w:r w:rsidRPr="00CB13F7">
        <w:rPr>
          <w:rFonts w:eastAsia="Times New Roman"/>
          <w:lang w:eastAsia="en-US"/>
        </w:rPr>
        <w:t>, veçanërisht me objektivin për shëndet dhe mirëqenie</w:t>
      </w:r>
      <w:r w:rsidR="5239C86B" w:rsidRPr="00CB13F7">
        <w:rPr>
          <w:rFonts w:eastAsia="Times New Roman"/>
          <w:lang w:eastAsia="en-US"/>
        </w:rPr>
        <w:t>,</w:t>
      </w:r>
      <w:r w:rsidRPr="00CB13F7">
        <w:rPr>
          <w:rFonts w:eastAsia="Times New Roman"/>
          <w:lang w:eastAsia="en-US"/>
        </w:rPr>
        <w:t xml:space="preserve"> dhe atë për uljen e pabarazive, të cilat kërkojnë eliminimin </w:t>
      </w:r>
      <w:r w:rsidRPr="00CB13F7">
        <w:rPr>
          <w:rFonts w:eastAsia="Times New Roman"/>
          <w:lang w:eastAsia="en-US"/>
        </w:rPr>
        <w:lastRenderedPageBreak/>
        <w:t>e barrierave në shërbimet shëndetësore për grupet e cenueshme. Në këtë kuadër, shëndetësia nuk shihet vetëm si shërbim publik, por si një mekanizëm i barazisë sociale.</w:t>
      </w:r>
    </w:p>
    <w:p w14:paraId="6BD84EBF" w14:textId="2718BE8C"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Në nivel kombëtar, kapitulli harmonizohet me Strategjinë</w:t>
      </w:r>
      <w:r w:rsidR="50C69756" w:rsidRPr="00CB13F7">
        <w:rPr>
          <w:rFonts w:eastAsia="Times New Roman"/>
          <w:lang w:eastAsia="en-US"/>
        </w:rPr>
        <w:t xml:space="preserve"> Kombëtare të Shëndetësisë</w:t>
      </w:r>
      <w:r w:rsidR="7519E839" w:rsidRPr="00CB13F7">
        <w:rPr>
          <w:rFonts w:eastAsia="Times New Roman"/>
          <w:lang w:eastAsia="en-US"/>
        </w:rPr>
        <w:t xml:space="preserve"> 2021-2030</w:t>
      </w:r>
      <w:r w:rsidR="00DB530C" w:rsidRPr="00CB13F7">
        <w:rPr>
          <w:rStyle w:val="FootnoteReference"/>
          <w:rFonts w:eastAsia="Times New Roman"/>
          <w:lang w:eastAsia="en-US"/>
        </w:rPr>
        <w:footnoteReference w:id="75"/>
      </w:r>
      <w:r w:rsidRPr="00CB13F7">
        <w:rPr>
          <w:rFonts w:eastAsia="Times New Roman"/>
          <w:lang w:eastAsia="en-US"/>
        </w:rPr>
        <w:t xml:space="preserve"> dhe me Strategjinë</w:t>
      </w:r>
      <w:r w:rsidR="50C69756" w:rsidRPr="00CB13F7">
        <w:rPr>
          <w:rFonts w:eastAsia="Times New Roman"/>
          <w:lang w:eastAsia="en-US"/>
        </w:rPr>
        <w:t xml:space="preserve"> Kombëtare për Zhvillim dhe Integrim Evropian</w:t>
      </w:r>
      <w:r w:rsidR="60948EC9" w:rsidRPr="00CB13F7">
        <w:rPr>
          <w:rFonts w:eastAsia="Times New Roman"/>
          <w:lang w:eastAsia="en-US"/>
        </w:rPr>
        <w:t xml:space="preserve"> 2022-2030</w:t>
      </w:r>
      <w:r w:rsidR="00DB530C" w:rsidRPr="00CB13F7">
        <w:rPr>
          <w:rStyle w:val="FootnoteReference"/>
          <w:rFonts w:eastAsia="Times New Roman"/>
          <w:lang w:eastAsia="en-US"/>
        </w:rPr>
        <w:footnoteReference w:id="76"/>
      </w:r>
      <w:r w:rsidRPr="00CB13F7">
        <w:rPr>
          <w:rFonts w:eastAsia="Times New Roman"/>
          <w:lang w:eastAsia="en-US"/>
        </w:rPr>
        <w:t>, si dhe me procesin e përafrimit të legjislacionit shqiptar me</w:t>
      </w:r>
      <w:r w:rsidRPr="00CB13F7">
        <w:rPr>
          <w:rFonts w:eastAsia="Times New Roman"/>
          <w:i/>
          <w:iCs/>
          <w:lang w:eastAsia="en-US"/>
        </w:rPr>
        <w:t xml:space="preserve"> acquis</w:t>
      </w:r>
      <w:r w:rsidR="002F0C3F" w:rsidRPr="00CB13F7">
        <w:rPr>
          <w:rStyle w:val="FootnoteReference"/>
          <w:rFonts w:eastAsia="Times New Roman"/>
          <w:i/>
          <w:iCs/>
          <w:lang w:eastAsia="en-US"/>
        </w:rPr>
        <w:footnoteReference w:id="77"/>
      </w:r>
      <w:r w:rsidRPr="00CB13F7">
        <w:rPr>
          <w:rFonts w:eastAsia="Times New Roman"/>
          <w:lang w:eastAsia="en-US"/>
        </w:rPr>
        <w:t xml:space="preserve"> të Bashkimit Evropian në fushën sociale dhe të të drejtave themelore. Reforma e sistemit shëndetësor synon të ndërtojë një sistem të integruar ku kujdesi shëndetësor lidhet me mbrojtjen sociale, rehabilitimin, arsimin dhe punësimin, duke shmangur fragmentimin e shërbimeve.</w:t>
      </w:r>
    </w:p>
    <w:p w14:paraId="35984701" w14:textId="33D6146A" w:rsidR="00FE05F4" w:rsidRPr="00CB13F7" w:rsidRDefault="306BE565" w:rsidP="00BA2B1D">
      <w:pPr>
        <w:spacing w:before="120" w:after="120" w:line="276" w:lineRule="auto"/>
        <w:jc w:val="both"/>
        <w:rPr>
          <w:rFonts w:eastAsia="Times New Roman"/>
          <w:lang w:eastAsia="en-US"/>
        </w:rPr>
      </w:pPr>
      <w:r w:rsidRPr="00CB13F7">
        <w:rPr>
          <w:rFonts w:eastAsia="Times New Roman"/>
          <w:lang w:eastAsia="en-US"/>
        </w:rPr>
        <w:t>D</w:t>
      </w:r>
      <w:r w:rsidR="7150E16E" w:rsidRPr="00CB13F7">
        <w:rPr>
          <w:rFonts w:eastAsia="Times New Roman"/>
          <w:lang w:eastAsia="en-US"/>
        </w:rPr>
        <w:t xml:space="preserve">okumenti i Planit </w:t>
      </w:r>
      <w:r w:rsidR="02E476B6" w:rsidRPr="00CB13F7">
        <w:rPr>
          <w:rFonts w:eastAsia="Times New Roman"/>
          <w:lang w:eastAsia="en-US"/>
        </w:rPr>
        <w:t xml:space="preserve">Kombëtar </w:t>
      </w:r>
      <w:r w:rsidR="7150E16E" w:rsidRPr="00CB13F7">
        <w:rPr>
          <w:rFonts w:eastAsia="Times New Roman"/>
          <w:lang w:eastAsia="en-US"/>
        </w:rPr>
        <w:t xml:space="preserve">të Veprimit për Personat me </w:t>
      </w:r>
      <w:r w:rsidR="01E2061A" w:rsidRPr="00CB13F7">
        <w:rPr>
          <w:rFonts w:eastAsia="Times New Roman"/>
          <w:lang w:eastAsia="en-US"/>
        </w:rPr>
        <w:t xml:space="preserve">Aftësi </w:t>
      </w:r>
      <w:r w:rsidR="7150E16E" w:rsidRPr="00CB13F7">
        <w:rPr>
          <w:rFonts w:eastAsia="Times New Roman"/>
          <w:lang w:eastAsia="en-US"/>
        </w:rPr>
        <w:t xml:space="preserve">të Kufizuara 2026-2030, e konsideron shëndetin një element themelor të përfshirjes sociale. Sistemi shëndetësor duhet të jetë i aksesueshëm, të respektojë vendimmarrjen e individit, të sigurojë pëlqim të informuar dhe të ofrojë shërbime komunitare dhe rehabilituese përgjatë gjithë jetës. </w:t>
      </w:r>
      <w:bookmarkStart w:id="6" w:name="_Hlk223026521"/>
    </w:p>
    <w:p w14:paraId="2DE8AFB4" w14:textId="5ECFD892" w:rsidR="00FE05F4" w:rsidRPr="00CB13F7" w:rsidRDefault="002B3406" w:rsidP="00BA2B1D">
      <w:pPr>
        <w:spacing w:before="120" w:after="120" w:line="276" w:lineRule="auto"/>
        <w:jc w:val="both"/>
        <w:rPr>
          <w:rFonts w:eastAsia="Times New Roman"/>
          <w:b/>
          <w:bCs/>
        </w:rPr>
      </w:pPr>
      <w:r w:rsidRPr="00CB13F7">
        <w:rPr>
          <w:rFonts w:eastAsia="Times New Roman"/>
          <w:b/>
          <w:bCs/>
        </w:rPr>
        <w:t>4.6.2</w:t>
      </w:r>
      <w:r w:rsidR="00EE2753" w:rsidRPr="00CB13F7">
        <w:rPr>
          <w:rFonts w:eastAsia="Times New Roman"/>
          <w:b/>
          <w:bCs/>
        </w:rPr>
        <w:t xml:space="preserve"> </w:t>
      </w:r>
      <w:r w:rsidRPr="00CB13F7">
        <w:rPr>
          <w:rFonts w:eastAsia="Times New Roman"/>
          <w:b/>
          <w:bCs/>
        </w:rPr>
        <w:t>Qëllimi</w:t>
      </w:r>
      <w:r w:rsidR="00FE05F4" w:rsidRPr="00CB13F7">
        <w:rPr>
          <w:rFonts w:eastAsia="Times New Roman"/>
          <w:b/>
          <w:bCs/>
        </w:rPr>
        <w:t xml:space="preserve">, objektivat dhe masat prioritare </w:t>
      </w:r>
    </w:p>
    <w:bookmarkEnd w:id="6"/>
    <w:p w14:paraId="52A96B06" w14:textId="35CB9D2D" w:rsidR="00FE05F4" w:rsidRPr="00CB13F7" w:rsidRDefault="00FE05F4" w:rsidP="00BA2B1D">
      <w:pPr>
        <w:spacing w:before="120" w:after="120" w:line="276" w:lineRule="auto"/>
        <w:jc w:val="both"/>
        <w:rPr>
          <w:rFonts w:eastAsia="Times New Roman"/>
          <w:b/>
          <w:bCs/>
        </w:rPr>
      </w:pPr>
      <w:r w:rsidRPr="00CB13F7">
        <w:rPr>
          <w:rFonts w:eastAsia="Times New Roman"/>
          <w:b/>
          <w:bCs/>
        </w:rPr>
        <w:t xml:space="preserve">Qëllimi i politikës: </w:t>
      </w:r>
      <w:r w:rsidR="006B46C0" w:rsidRPr="006B46C0">
        <w:rPr>
          <w:rFonts w:eastAsia="Times New Roman"/>
          <w:i/>
          <w:iCs/>
        </w:rPr>
        <w:t>T</w:t>
      </w:r>
      <w:r w:rsidR="00EE2753" w:rsidRPr="006B46C0">
        <w:rPr>
          <w:rFonts w:eastAsia="Times New Roman"/>
          <w:i/>
          <w:iCs/>
        </w:rPr>
        <w:t xml:space="preserve">ë </w:t>
      </w:r>
      <w:r w:rsidRPr="006B46C0">
        <w:rPr>
          <w:rFonts w:eastAsia="Times New Roman"/>
          <w:i/>
          <w:iCs/>
        </w:rPr>
        <w:t xml:space="preserve">sigurohet akses i barabartë, cilësor, gjithëpërfshirës dhe i qëndrueshëm në shërbimet shëndetësore për personat me aftësi të kufizuara, në përputhje me standardet ndërkombëtare dhe </w:t>
      </w:r>
      <w:r w:rsidR="002B3406" w:rsidRPr="006B46C0">
        <w:rPr>
          <w:rFonts w:eastAsia="Times New Roman"/>
          <w:i/>
          <w:iCs/>
        </w:rPr>
        <w:t>evropiane</w:t>
      </w:r>
      <w:r w:rsidRPr="006B46C0">
        <w:rPr>
          <w:rFonts w:eastAsia="Times New Roman"/>
          <w:i/>
          <w:iCs/>
        </w:rPr>
        <w:t>.</w:t>
      </w:r>
    </w:p>
    <w:p w14:paraId="487BAED4" w14:textId="77777777" w:rsidR="00617482" w:rsidRPr="00CB13F7" w:rsidRDefault="00617482" w:rsidP="00BA2B1D">
      <w:pPr>
        <w:spacing w:before="120" w:after="120" w:line="276" w:lineRule="auto"/>
        <w:jc w:val="both"/>
        <w:rPr>
          <w:rFonts w:eastAsia="Times New Roman"/>
        </w:rPr>
      </w:pPr>
      <w:r w:rsidRPr="00CB13F7">
        <w:rPr>
          <w:rFonts w:eastAsia="Times New Roman"/>
        </w:rPr>
        <w:t>N</w:t>
      </w:r>
      <w:r w:rsidR="000D7236" w:rsidRPr="00CB13F7">
        <w:rPr>
          <w:rFonts w:eastAsia="Times New Roman"/>
        </w:rPr>
        <w:t>ë</w:t>
      </w:r>
      <w:r w:rsidRPr="00CB13F7">
        <w:rPr>
          <w:rFonts w:eastAsia="Times New Roman"/>
        </w:rPr>
        <w:t xml:space="preserve"> fush</w:t>
      </w:r>
      <w:r w:rsidR="000D7236" w:rsidRPr="00CB13F7">
        <w:rPr>
          <w:rFonts w:eastAsia="Times New Roman"/>
        </w:rPr>
        <w:t>ë</w:t>
      </w:r>
      <w:r w:rsidRPr="00CB13F7">
        <w:rPr>
          <w:rFonts w:eastAsia="Times New Roman"/>
        </w:rPr>
        <w:t>n e sh</w:t>
      </w:r>
      <w:r w:rsidR="000D7236" w:rsidRPr="00CB13F7">
        <w:rPr>
          <w:rFonts w:eastAsia="Times New Roman"/>
        </w:rPr>
        <w:t>ë</w:t>
      </w:r>
      <w:r w:rsidRPr="00CB13F7">
        <w:rPr>
          <w:rFonts w:eastAsia="Times New Roman"/>
        </w:rPr>
        <w:t>ndet</w:t>
      </w:r>
      <w:r w:rsidR="000D7236" w:rsidRPr="00CB13F7">
        <w:rPr>
          <w:rFonts w:eastAsia="Times New Roman"/>
        </w:rPr>
        <w:t>ë</w:t>
      </w:r>
      <w:r w:rsidRPr="00CB13F7">
        <w:rPr>
          <w:rFonts w:eastAsia="Times New Roman"/>
        </w:rPr>
        <w:t>sis</w:t>
      </w:r>
      <w:r w:rsidR="000D7236" w:rsidRPr="00CB13F7">
        <w:rPr>
          <w:rFonts w:eastAsia="Times New Roman"/>
        </w:rPr>
        <w:t>ë</w:t>
      </w:r>
      <w:r w:rsidRPr="00CB13F7">
        <w:rPr>
          <w:rFonts w:eastAsia="Times New Roman"/>
        </w:rPr>
        <w:t xml:space="preserve"> </w:t>
      </w:r>
      <w:r w:rsidR="002B3406" w:rsidRPr="00CB13F7">
        <w:rPr>
          <w:rFonts w:eastAsia="Times New Roman"/>
        </w:rPr>
        <w:t>janë</w:t>
      </w:r>
      <w:r w:rsidRPr="00CB13F7">
        <w:rPr>
          <w:rFonts w:eastAsia="Times New Roman"/>
        </w:rPr>
        <w:t xml:space="preserve"> </w:t>
      </w:r>
      <w:r w:rsidR="009B3EC8" w:rsidRPr="00CB13F7">
        <w:rPr>
          <w:rFonts w:eastAsia="Times New Roman"/>
        </w:rPr>
        <w:t>parashikuar 3 objektiva specifik</w:t>
      </w:r>
      <w:r w:rsidR="000D7236" w:rsidRPr="00CB13F7">
        <w:rPr>
          <w:rFonts w:eastAsia="Times New Roman"/>
        </w:rPr>
        <w:t>ë</w:t>
      </w:r>
      <w:r w:rsidR="009B3EC8" w:rsidRPr="00CB13F7">
        <w:rPr>
          <w:rFonts w:eastAsia="Times New Roman"/>
        </w:rPr>
        <w:t>, t</w:t>
      </w:r>
      <w:r w:rsidR="000D7236" w:rsidRPr="00CB13F7">
        <w:rPr>
          <w:rFonts w:eastAsia="Times New Roman"/>
        </w:rPr>
        <w:t>ë</w:t>
      </w:r>
      <w:r w:rsidR="009B3EC8" w:rsidRPr="00CB13F7">
        <w:rPr>
          <w:rFonts w:eastAsia="Times New Roman"/>
        </w:rPr>
        <w:t xml:space="preserve"> arritsh</w:t>
      </w:r>
      <w:r w:rsidR="000D7236" w:rsidRPr="00CB13F7">
        <w:rPr>
          <w:rFonts w:eastAsia="Times New Roman"/>
        </w:rPr>
        <w:t>ë</w:t>
      </w:r>
      <w:r w:rsidR="009B3EC8" w:rsidRPr="00CB13F7">
        <w:rPr>
          <w:rFonts w:eastAsia="Times New Roman"/>
        </w:rPr>
        <w:t>m p</w:t>
      </w:r>
      <w:r w:rsidR="000D7236" w:rsidRPr="00CB13F7">
        <w:rPr>
          <w:rFonts w:eastAsia="Times New Roman"/>
        </w:rPr>
        <w:t>ë</w:t>
      </w:r>
      <w:r w:rsidR="009B3EC8" w:rsidRPr="00CB13F7">
        <w:rPr>
          <w:rFonts w:eastAsia="Times New Roman"/>
        </w:rPr>
        <w:t>rmes 7 masave prioritare dhe 24 nd</w:t>
      </w:r>
      <w:r w:rsidR="000D7236" w:rsidRPr="00CB13F7">
        <w:rPr>
          <w:rFonts w:eastAsia="Times New Roman"/>
        </w:rPr>
        <w:t>ë</w:t>
      </w:r>
      <w:r w:rsidR="009B3EC8" w:rsidRPr="00CB13F7">
        <w:rPr>
          <w:rFonts w:eastAsia="Times New Roman"/>
        </w:rPr>
        <w:t>rhyrjeve konkrete.</w:t>
      </w:r>
    </w:p>
    <w:p w14:paraId="4BEED933" w14:textId="4732A073" w:rsidR="003B43D4" w:rsidRPr="00CB13F7" w:rsidRDefault="7150E16E" w:rsidP="00BA2B1D">
      <w:pPr>
        <w:spacing w:before="120" w:after="120" w:line="276" w:lineRule="auto"/>
        <w:jc w:val="both"/>
        <w:rPr>
          <w:rFonts w:eastAsia="Times New Roman"/>
          <w:b/>
          <w:bCs/>
          <w:lang w:eastAsia="en-US"/>
        </w:rPr>
      </w:pPr>
      <w:r w:rsidRPr="00CB13F7">
        <w:rPr>
          <w:rFonts w:eastAsia="Times New Roman"/>
          <w:b/>
          <w:bCs/>
          <w:lang w:eastAsia="en-US"/>
        </w:rPr>
        <w:t>Objektivi Specifik 1</w:t>
      </w:r>
      <w:r w:rsidR="7A6A2820" w:rsidRPr="00CB13F7">
        <w:rPr>
          <w:rFonts w:eastAsia="Times New Roman"/>
          <w:b/>
          <w:bCs/>
          <w:lang w:eastAsia="en-US"/>
        </w:rPr>
        <w:t xml:space="preserve">: </w:t>
      </w:r>
      <w:r w:rsidR="6EB15AF6" w:rsidRPr="00CB13F7">
        <w:rPr>
          <w:rFonts w:eastAsia="Times New Roman"/>
          <w:i/>
          <w:iCs/>
          <w:lang w:eastAsia="en-US"/>
        </w:rPr>
        <w:t>U</w:t>
      </w:r>
      <w:r w:rsidR="7A6A2820" w:rsidRPr="00CB13F7">
        <w:rPr>
          <w:rFonts w:eastAsia="Times New Roman"/>
          <w:i/>
          <w:iCs/>
          <w:lang w:eastAsia="en-US"/>
        </w:rPr>
        <w:t xml:space="preserve">lja </w:t>
      </w:r>
      <w:r w:rsidRPr="00CB13F7">
        <w:rPr>
          <w:rFonts w:eastAsia="Times New Roman"/>
          <w:i/>
          <w:iCs/>
          <w:lang w:eastAsia="en-US"/>
        </w:rPr>
        <w:t>e numrit të rasteve të reja dhe e ashpërsisë së aftësisë së kufizuar të evitueshme, si dhe garantimi i kujdesit shëndetësor gjithëpërfshirës për personat me aftësi të kufizuara gjatë gjithë ciklit të jetës</w:t>
      </w:r>
      <w:r w:rsidR="7A6A2820" w:rsidRPr="00CB13F7">
        <w:rPr>
          <w:rFonts w:eastAsia="Times New Roman"/>
          <w:i/>
          <w:iCs/>
          <w:lang w:eastAsia="en-US"/>
        </w:rPr>
        <w:t>.</w:t>
      </w:r>
    </w:p>
    <w:p w14:paraId="250F5FBB"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23CC2BEE" w14:textId="6171F349" w:rsidR="00EE2753" w:rsidRPr="00CB13F7" w:rsidRDefault="002B3406" w:rsidP="00EE2753">
      <w:pPr>
        <w:pStyle w:val="ListParagraph"/>
        <w:numPr>
          <w:ilvl w:val="1"/>
          <w:numId w:val="44"/>
        </w:numPr>
        <w:spacing w:before="120" w:after="120" w:line="276" w:lineRule="auto"/>
        <w:jc w:val="both"/>
        <w:rPr>
          <w:rFonts w:eastAsia="Times New Roman"/>
          <w:lang w:eastAsia="en-US"/>
        </w:rPr>
      </w:pPr>
      <w:r w:rsidRPr="00CB13F7">
        <w:rPr>
          <w:rFonts w:eastAsia="Times New Roman"/>
          <w:lang w:eastAsia="en-US"/>
        </w:rPr>
        <w:t>Forcimi</w:t>
      </w:r>
      <w:r w:rsidR="003B43D4" w:rsidRPr="00CB13F7">
        <w:rPr>
          <w:rFonts w:eastAsia="Times New Roman"/>
          <w:lang w:eastAsia="en-US"/>
        </w:rPr>
        <w:t xml:space="preserve"> i parandalimit dhe diagnostikimit të hershëm</w:t>
      </w:r>
      <w:r w:rsidR="00EE2753" w:rsidRPr="00CB13F7">
        <w:rPr>
          <w:rFonts w:eastAsia="Times New Roman"/>
          <w:lang w:eastAsia="en-US"/>
        </w:rPr>
        <w:t>;</w:t>
      </w:r>
    </w:p>
    <w:p w14:paraId="59D8597B" w14:textId="6FDDEB70" w:rsidR="003B43D4" w:rsidRPr="00CB13F7" w:rsidRDefault="003B43D4" w:rsidP="00EE2753">
      <w:pPr>
        <w:pStyle w:val="ListParagraph"/>
        <w:numPr>
          <w:ilvl w:val="1"/>
          <w:numId w:val="44"/>
        </w:numPr>
        <w:spacing w:before="120" w:after="120" w:line="276" w:lineRule="auto"/>
        <w:jc w:val="both"/>
        <w:rPr>
          <w:rFonts w:eastAsia="Times New Roman"/>
          <w:lang w:eastAsia="en-US"/>
        </w:rPr>
      </w:pPr>
      <w:r w:rsidRPr="00CB13F7">
        <w:rPr>
          <w:rFonts w:eastAsia="Times New Roman"/>
          <w:lang w:eastAsia="en-US"/>
        </w:rPr>
        <w:t>Zhvillimi i kujdesit shëndetësor gjithëpërfshirës dhe të orientuar drejt personave me aftësi të kufizuara</w:t>
      </w:r>
      <w:r w:rsidR="00EE2753" w:rsidRPr="00CB13F7">
        <w:rPr>
          <w:rFonts w:eastAsia="Times New Roman"/>
          <w:lang w:eastAsia="en-US"/>
        </w:rPr>
        <w:t>.</w:t>
      </w:r>
    </w:p>
    <w:p w14:paraId="5BEDA7A3" w14:textId="6F4F8115"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Ky objektiv përfaqëson një nga ndryshimet më të rëndësishme konceptuale të </w:t>
      </w:r>
      <w:r w:rsidR="00924331" w:rsidRPr="00CB13F7">
        <w:rPr>
          <w:rFonts w:eastAsia="Times New Roman"/>
          <w:lang w:eastAsia="en-US"/>
        </w:rPr>
        <w:t xml:space="preserve">Planit </w:t>
      </w:r>
      <w:r w:rsidRPr="00CB13F7">
        <w:rPr>
          <w:rFonts w:eastAsia="Times New Roman"/>
          <w:lang w:eastAsia="en-US"/>
        </w:rPr>
        <w:t>të ri,</w:t>
      </w:r>
      <w:r w:rsidR="001771D3" w:rsidRPr="00CB13F7">
        <w:rPr>
          <w:rFonts w:eastAsia="Times New Roman"/>
          <w:lang w:eastAsia="en-US"/>
        </w:rPr>
        <w:t xml:space="preserve"> </w:t>
      </w:r>
      <w:r w:rsidRPr="00CB13F7">
        <w:rPr>
          <w:rFonts w:eastAsia="Times New Roman"/>
          <w:lang w:eastAsia="en-US"/>
        </w:rPr>
        <w:t>kalimin nga një sistem që reagon pasi aftësia e kufizuar është shfaqur, drejt një sistemi që vepron përgjatë gjithë ciklit të jetës për të parandaluar, identifikuar herët dhe menaxhuar në mënyrë të vazhdueshme faktorët që ndikojnë në funksionimin dhe mirëqenien e individit. Qasja nuk synon reduktimin e faktorëve të evitueshëm dhe minimizimin e pasojave të saj, përmes ndërhyrjeve të hershme dhe kujdesit të vazhdueshëm.</w:t>
      </w:r>
    </w:p>
    <w:p w14:paraId="4744FDE4" w14:textId="5087B2DB"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lastRenderedPageBreak/>
        <w:t>Plani fokusohet te</w:t>
      </w:r>
      <w:r w:rsidR="3DF268A2" w:rsidRPr="00CB13F7">
        <w:rPr>
          <w:rFonts w:eastAsia="Times New Roman"/>
          <w:lang w:eastAsia="en-US"/>
        </w:rPr>
        <w:t>k</w:t>
      </w:r>
      <w:r w:rsidRPr="00CB13F7">
        <w:rPr>
          <w:rFonts w:eastAsia="Times New Roman"/>
          <w:lang w:eastAsia="en-US"/>
        </w:rPr>
        <w:t xml:space="preserve"> periudha e hershme e jetës, e cila është vendimtare për zhvillimin e fëmijës. Vendosja e protokolleve standarde për kontrollet parandaluese dhe depistimin e hershëm të çrregullimeve zhvillimore për moshën 0</w:t>
      </w:r>
      <w:r w:rsidR="3DF268A2" w:rsidRPr="00CB13F7">
        <w:rPr>
          <w:rFonts w:eastAsia="Times New Roman"/>
          <w:lang w:eastAsia="en-US"/>
        </w:rPr>
        <w:t>-</w:t>
      </w:r>
      <w:r w:rsidRPr="00CB13F7">
        <w:rPr>
          <w:rFonts w:eastAsia="Times New Roman"/>
          <w:lang w:eastAsia="en-US"/>
        </w:rPr>
        <w:t>6 vjeç synon që aftësia e kufizuar të mos identifikohet vetëm në momentin kur ajo është e konsoliduar, por në fazat e para të shfaqjes së rrezikut. Përmes bashkëpunimit të shërbimeve shëndetësore, shërbimeve sociale dhe institucioneve parashkollore do të krijohet një sistem i integruar identifikimi, ku pediatri, infermierët e konsultoreve të nënës dhe fëmijës, edukatorët dhe strukturat sociale veprojnë si një rrjet i vetëm referimi. Kjo do të mundësojë ndërhyrje të personalizuara në kohë, duke ulur ashpërsinë e pasojave funksionale dhe duke përmirësuar zhvillimin e fëmijës.</w:t>
      </w:r>
    </w:p>
    <w:p w14:paraId="3CCD0053"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Në të njëjtën linjë, rritja e ndërgjegjësimit dhe mbulimit me vaksinim të fëmijëve me aftësi të kufizuara është pjesë e një qasjeje parandaluese të shëndetit publik. Këta fëmijë shpesh përjashtohen nga programet parandaluese për shkak të barrierave sociale, informacionit të kufizuar ose frikës së familjeve. Angazhimi i komunitetit dhe familjeve synon të sigurojë që fëmijët me aftësi të kufizuara të mos jenë më një grup me rrezik më të lartë për sëmundje të parandalueshme.</w:t>
      </w:r>
    </w:p>
    <w:p w14:paraId="1F924A98" w14:textId="00E56224" w:rsidR="003B43D4" w:rsidRPr="00CB13F7" w:rsidRDefault="7150E16E" w:rsidP="00BA2B1D">
      <w:pPr>
        <w:spacing w:before="120" w:after="120" w:line="276" w:lineRule="auto"/>
        <w:jc w:val="both"/>
        <w:rPr>
          <w:rFonts w:eastAsia="Times New Roman"/>
          <w:lang w:eastAsia="en-US"/>
        </w:rPr>
      </w:pPr>
      <w:r w:rsidRPr="00CB13F7">
        <w:rPr>
          <w:rFonts w:eastAsia="Times New Roman"/>
          <w:lang w:eastAsia="en-US"/>
        </w:rPr>
        <w:t xml:space="preserve">Realizimi i këtij </w:t>
      </w:r>
      <w:r w:rsidR="06A85250" w:rsidRPr="00CB13F7">
        <w:rPr>
          <w:rFonts w:eastAsia="Times New Roman"/>
          <w:lang w:eastAsia="en-US"/>
        </w:rPr>
        <w:t xml:space="preserve">objektivi </w:t>
      </w:r>
      <w:r w:rsidRPr="00CB13F7">
        <w:rPr>
          <w:rFonts w:eastAsia="Times New Roman"/>
          <w:lang w:eastAsia="en-US"/>
        </w:rPr>
        <w:t xml:space="preserve">të Planit , shtrin qasjen përgjatë gjithë jetës së individit, duke vendosur bazat e një sistemi shëndetësor gjithëpërfshirës. Rritja e numrit të ekipeve socio-shëndetësore në kujdesin shëndetësor parësor synon që personi me aftësi të kufizuara të mos jetë i detyruar të kërkojë shërbime të fragmentuara, por të ketë një pikë hyrëse të koordinuar në sistem. </w:t>
      </w:r>
    </w:p>
    <w:p w14:paraId="4A4465E9"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Një element thelbësor i reformës është përcaktimi i standardeve kombëtare për kujdes shëndetësor gjithëpërfshirës dhe i protokolleve klinike që garantojnë trajtim me dinjitet, respekt dhe pa diskriminim. Vendosja e standardeve do të harmonizojë praktikën klinike dhe do të kërkojë që sistemi shëndetësor të përshtatet ndaj pacientit dhe jo e kundërta.</w:t>
      </w:r>
    </w:p>
    <w:p w14:paraId="3D067A6E"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Pjesë e rëndësishme e objektivit është edhe garantimi i aksesit në shëndetin seksual dhe riprodhues në formate të aksesueshme për të gjitha llojet e aftësisë së kufizuar. Po ashtu, krijimi i mekanizmave për trajtim prioritar për personat me aftësi të kufizuara komplekse synon të shmangë vonesat e trajtimit dhe përkeqësimin e gjendjes shëndetësore.</w:t>
      </w:r>
    </w:p>
    <w:p w14:paraId="3C939F2F" w14:textId="77777777" w:rsidR="003B43D4" w:rsidRPr="00CB13F7" w:rsidRDefault="00184AFC" w:rsidP="00BA2B1D">
      <w:pPr>
        <w:spacing w:before="120" w:after="120" w:line="276" w:lineRule="auto"/>
        <w:jc w:val="both"/>
        <w:rPr>
          <w:rFonts w:eastAsia="Times New Roman"/>
          <w:lang w:eastAsia="en-US"/>
        </w:rPr>
      </w:pPr>
      <w:r w:rsidRPr="00CB13F7">
        <w:rPr>
          <w:rFonts w:eastAsia="Times New Roman"/>
          <w:lang w:eastAsia="en-US"/>
        </w:rPr>
        <w:t>K</w:t>
      </w:r>
      <w:r w:rsidR="003B43D4" w:rsidRPr="00CB13F7">
        <w:rPr>
          <w:rFonts w:eastAsia="Times New Roman"/>
          <w:lang w:eastAsia="en-US"/>
        </w:rPr>
        <w:t xml:space="preserve">y objektiv synon të ndërtojë një sistem shëndetësor që nuk reagon vetëm ndaj sëmundjes, por mbështet funksionimin, autonominë dhe cilësinë e jetës. </w:t>
      </w:r>
    </w:p>
    <w:p w14:paraId="064EA405" w14:textId="2E8794E6" w:rsidR="003B43D4" w:rsidRPr="00CB13F7" w:rsidRDefault="003B43D4" w:rsidP="00BA2B1D">
      <w:pPr>
        <w:spacing w:before="120" w:after="120" w:line="276" w:lineRule="auto"/>
        <w:jc w:val="both"/>
        <w:rPr>
          <w:rFonts w:eastAsia="Times New Roman"/>
          <w:b/>
          <w:bCs/>
          <w:lang w:eastAsia="en-US"/>
        </w:rPr>
      </w:pPr>
      <w:r w:rsidRPr="00CB13F7">
        <w:rPr>
          <w:rFonts w:eastAsia="Times New Roman"/>
          <w:b/>
          <w:bCs/>
          <w:lang w:eastAsia="en-US"/>
        </w:rPr>
        <w:t>Objektivi Specifik 2</w:t>
      </w:r>
      <w:r w:rsidR="00F646B4" w:rsidRPr="00CB13F7">
        <w:rPr>
          <w:rFonts w:eastAsia="Times New Roman"/>
          <w:b/>
          <w:bCs/>
          <w:lang w:eastAsia="en-US"/>
        </w:rPr>
        <w:t xml:space="preserve">: </w:t>
      </w:r>
      <w:r w:rsidRPr="006B46C0">
        <w:rPr>
          <w:rFonts w:eastAsia="Times New Roman"/>
          <w:i/>
          <w:iCs/>
          <w:lang w:eastAsia="en-US"/>
        </w:rPr>
        <w:t>Mundësimi i rehabilitimit cilësor, shërbimeve të shëndetit mendor dhe aksesit në teknologji ndihmëse, të bazuara në komunitet dhe në nevojat individuale</w:t>
      </w:r>
    </w:p>
    <w:p w14:paraId="11F71468"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76C582A9" w14:textId="22681A6B" w:rsidR="00F646B4" w:rsidRPr="00CB13F7" w:rsidRDefault="002B3406" w:rsidP="00F646B4">
      <w:pPr>
        <w:pStyle w:val="ListParagraph"/>
        <w:numPr>
          <w:ilvl w:val="0"/>
          <w:numId w:val="45"/>
        </w:numPr>
        <w:spacing w:before="120" w:after="120" w:line="276" w:lineRule="auto"/>
        <w:jc w:val="both"/>
        <w:rPr>
          <w:rFonts w:eastAsia="Times New Roman"/>
          <w:lang w:eastAsia="en-US"/>
        </w:rPr>
      </w:pPr>
      <w:r w:rsidRPr="00CB13F7">
        <w:rPr>
          <w:rFonts w:eastAsia="Times New Roman"/>
          <w:lang w:eastAsia="en-US"/>
        </w:rPr>
        <w:t>Forcimi</w:t>
      </w:r>
      <w:r w:rsidR="003B43D4" w:rsidRPr="00CB13F7">
        <w:rPr>
          <w:rFonts w:eastAsia="Times New Roman"/>
          <w:lang w:eastAsia="en-US"/>
        </w:rPr>
        <w:t xml:space="preserve"> i shërbimeve të rehabilitimit të bazuara në komunitet</w:t>
      </w:r>
      <w:r w:rsidR="00F646B4" w:rsidRPr="00CB13F7">
        <w:rPr>
          <w:rFonts w:eastAsia="Times New Roman"/>
          <w:lang w:eastAsia="en-US"/>
        </w:rPr>
        <w:t>;</w:t>
      </w:r>
    </w:p>
    <w:p w14:paraId="3404EFF2" w14:textId="7D21A0D8" w:rsidR="00F646B4" w:rsidRPr="00CB13F7" w:rsidRDefault="003B43D4" w:rsidP="00F646B4">
      <w:pPr>
        <w:pStyle w:val="ListParagraph"/>
        <w:numPr>
          <w:ilvl w:val="0"/>
          <w:numId w:val="45"/>
        </w:numPr>
        <w:spacing w:before="120" w:after="120" w:line="276" w:lineRule="auto"/>
        <w:jc w:val="both"/>
        <w:rPr>
          <w:rFonts w:eastAsia="Times New Roman"/>
          <w:lang w:eastAsia="en-US"/>
        </w:rPr>
      </w:pPr>
      <w:r w:rsidRPr="00CB13F7">
        <w:rPr>
          <w:rFonts w:eastAsia="Times New Roman"/>
          <w:lang w:eastAsia="en-US"/>
        </w:rPr>
        <w:t xml:space="preserve">Forcimi i të drejtave të personave me aftësi të kufizuara </w:t>
      </w:r>
      <w:r w:rsidR="002B3406" w:rsidRPr="00CB13F7">
        <w:rPr>
          <w:rFonts w:eastAsia="Times New Roman"/>
          <w:lang w:eastAsia="en-US"/>
        </w:rPr>
        <w:t>psiko-sociale</w:t>
      </w:r>
      <w:r w:rsidRPr="00CB13F7">
        <w:rPr>
          <w:rFonts w:eastAsia="Times New Roman"/>
          <w:lang w:eastAsia="en-US"/>
        </w:rPr>
        <w:t xml:space="preserve"> përmes harmonizimit të kuadrit ligjor dhe zhvillimit të shërbimeve komunitare të shëndetit mendor</w:t>
      </w:r>
      <w:r w:rsidR="00F646B4" w:rsidRPr="00CB13F7">
        <w:rPr>
          <w:rFonts w:eastAsia="Times New Roman"/>
          <w:lang w:eastAsia="en-US"/>
        </w:rPr>
        <w:t>;</w:t>
      </w:r>
    </w:p>
    <w:p w14:paraId="4ED6A349" w14:textId="49DA521C" w:rsidR="003B43D4" w:rsidRPr="00CB13F7" w:rsidRDefault="003B43D4" w:rsidP="00F646B4">
      <w:pPr>
        <w:pStyle w:val="ListParagraph"/>
        <w:numPr>
          <w:ilvl w:val="0"/>
          <w:numId w:val="45"/>
        </w:numPr>
        <w:spacing w:before="120" w:after="120" w:line="276" w:lineRule="auto"/>
        <w:jc w:val="both"/>
        <w:rPr>
          <w:rFonts w:eastAsia="Times New Roman"/>
          <w:lang w:eastAsia="en-US"/>
        </w:rPr>
      </w:pPr>
      <w:r w:rsidRPr="00CB13F7">
        <w:rPr>
          <w:rFonts w:eastAsia="Times New Roman"/>
          <w:lang w:eastAsia="en-US"/>
        </w:rPr>
        <w:t>Aksesi në teknologji dhe mjete ndihmëse</w:t>
      </w:r>
      <w:r w:rsidR="00FE05F4" w:rsidRPr="00CB13F7">
        <w:rPr>
          <w:rFonts w:eastAsia="Times New Roman"/>
          <w:lang w:eastAsia="en-US"/>
        </w:rPr>
        <w:t>.</w:t>
      </w:r>
    </w:p>
    <w:p w14:paraId="1B4308A1"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Ky objektiv adreson</w:t>
      </w:r>
      <w:r w:rsidR="001771D3" w:rsidRPr="00CB13F7">
        <w:rPr>
          <w:rFonts w:eastAsia="Times New Roman"/>
          <w:lang w:eastAsia="en-US"/>
        </w:rPr>
        <w:t xml:space="preserve"> </w:t>
      </w:r>
      <w:r w:rsidRPr="00CB13F7">
        <w:rPr>
          <w:rFonts w:eastAsia="Times New Roman"/>
          <w:lang w:eastAsia="en-US"/>
        </w:rPr>
        <w:t>vazhdimësi</w:t>
      </w:r>
      <w:r w:rsidR="00FE05F4" w:rsidRPr="00CB13F7">
        <w:rPr>
          <w:rFonts w:eastAsia="Times New Roman"/>
          <w:lang w:eastAsia="en-US"/>
        </w:rPr>
        <w:t>n</w:t>
      </w:r>
      <w:r w:rsidRPr="00CB13F7">
        <w:rPr>
          <w:rFonts w:eastAsia="Times New Roman"/>
          <w:lang w:eastAsia="en-US"/>
        </w:rPr>
        <w:t xml:space="preserve">ë </w:t>
      </w:r>
      <w:r w:rsidR="00FE05F4" w:rsidRPr="00CB13F7">
        <w:rPr>
          <w:rFonts w:eastAsia="Times New Roman"/>
          <w:lang w:eastAsia="en-US"/>
        </w:rPr>
        <w:t>e</w:t>
      </w:r>
      <w:r w:rsidRPr="00CB13F7">
        <w:rPr>
          <w:rFonts w:eastAsia="Times New Roman"/>
          <w:lang w:eastAsia="en-US"/>
        </w:rPr>
        <w:t xml:space="preserve"> kujdesit për personat me aftësi të kufizuara. Së pari, ai synon të forcohen shërbimet e rehabilitimit me bazë komunitare. Kryerja e një vlerësimi kombëtar të </w:t>
      </w:r>
      <w:r w:rsidRPr="00CB13F7">
        <w:rPr>
          <w:rFonts w:eastAsia="Times New Roman"/>
          <w:lang w:eastAsia="en-US"/>
        </w:rPr>
        <w:lastRenderedPageBreak/>
        <w:t xml:space="preserve">shërbimeve ekzistuese do të krijojë për herë të parë një panoramë të plotë mbi mbulimin territorial, cilësinë dhe aksesueshmërinë e rehabilitimit. </w:t>
      </w:r>
      <w:r w:rsidR="002B3406" w:rsidRPr="00CB13F7">
        <w:rPr>
          <w:rFonts w:eastAsia="Times New Roman"/>
          <w:lang w:eastAsia="en-US"/>
        </w:rPr>
        <w:t>Vendosja e standardeve të rehabilitimit, të harmonizuara me qasjen bio-psiko-sociale, do të përcaktojë jo vetëm shërbimin mjekësor, por edhe ndërhyrjet fizio-terapeutike, ergo-terapeutike, logopedike dhe psiko-sociale, duke e konsideruar rehabilitimin një proces të vazhdueshëm që mbështet funksionimin në jetën e përditshme.</w:t>
      </w:r>
    </w:p>
    <w:p w14:paraId="75AECB8C" w14:textId="28ADBFAE"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Një </w:t>
      </w:r>
      <w:r w:rsidR="00F646B4" w:rsidRPr="00CB13F7">
        <w:rPr>
          <w:rFonts w:eastAsia="Times New Roman"/>
          <w:lang w:eastAsia="en-US"/>
        </w:rPr>
        <w:t xml:space="preserve">element </w:t>
      </w:r>
      <w:r w:rsidRPr="00CB13F7">
        <w:rPr>
          <w:rFonts w:eastAsia="Times New Roman"/>
          <w:lang w:eastAsia="en-US"/>
        </w:rPr>
        <w:t>themelor i objektivit është reforma në shëndetin mendor. Plani synon kalimin nga modeli institucional drejt shërbimeve komunitare dhe të orientuara nga të drejtat e njeriut. Rishikimi i kuadrit ligjor do të synojë garantimin e pëlqimit të informuar, vendimmarrjes së mbështetur dhe përfshirjes së individit në trajtimin e tij</w:t>
      </w:r>
      <w:r w:rsidR="00823A45" w:rsidRPr="00CB13F7">
        <w:rPr>
          <w:rFonts w:eastAsia="Times New Roman"/>
          <w:lang w:eastAsia="en-US"/>
        </w:rPr>
        <w:t>.</w:t>
      </w:r>
    </w:p>
    <w:p w14:paraId="4DC3A981"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Vendosja e standardeve të unifikuara për qendrat komunitare të shëndetit mendor, shtëpitë e mbështetura dhe shërbimet me shtretër do të synojë të sigurojë cilësi të njëjtë të kujdesit në të gjithë vendin. Hartimi i planeve individuale të mbështetjes dhe qasja </w:t>
      </w:r>
      <w:r w:rsidR="002B3406" w:rsidRPr="00CB13F7">
        <w:rPr>
          <w:rFonts w:eastAsia="Times New Roman"/>
          <w:lang w:eastAsia="en-US"/>
        </w:rPr>
        <w:t>shumëdisiplinore</w:t>
      </w:r>
      <w:r w:rsidRPr="00CB13F7">
        <w:rPr>
          <w:rFonts w:eastAsia="Times New Roman"/>
          <w:lang w:eastAsia="en-US"/>
        </w:rPr>
        <w:t xml:space="preserve"> do të lidhin trajtimin mjekësor me rehabilitimin dhe përfshirjen sociale, duke ulur rrezikun e izolimit dhe institucionalizimit afatgjatë.</w:t>
      </w:r>
    </w:p>
    <w:p w14:paraId="664A8610" w14:textId="2C9F4F14"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Paralelisht, plani trajton një element </w:t>
      </w:r>
      <w:r w:rsidR="00CF2CCF" w:rsidRPr="00CB13F7">
        <w:rPr>
          <w:rFonts w:eastAsia="Times New Roman"/>
          <w:lang w:eastAsia="en-US"/>
        </w:rPr>
        <w:t xml:space="preserve">shumë të rëndësishëm </w:t>
      </w:r>
      <w:r w:rsidRPr="00CB13F7">
        <w:rPr>
          <w:rFonts w:eastAsia="Times New Roman"/>
          <w:lang w:eastAsia="en-US"/>
        </w:rPr>
        <w:t>për jetesën e pavarur</w:t>
      </w:r>
      <w:r w:rsidR="00FE05F4" w:rsidRPr="00CB13F7">
        <w:rPr>
          <w:rFonts w:eastAsia="Times New Roman"/>
          <w:lang w:eastAsia="en-US"/>
        </w:rPr>
        <w:t>,</w:t>
      </w:r>
      <w:r w:rsidRPr="00CB13F7">
        <w:rPr>
          <w:rFonts w:eastAsia="Times New Roman"/>
          <w:lang w:eastAsia="en-US"/>
        </w:rPr>
        <w:t xml:space="preserve"> aksesin në teknologji dhe mjete ndihmëse. Për shumë persona me aftësi të kufizuara, pajisjet ndihmëse janë parakusht për mobilitet, komunikim, arsimim dhe punësim. Kryerja e një vlerësimi kombëtar të nevojave do të mundësojë planifikim real të mbulimit, ndërsa rishikimi i kuadrit ligjor synon eliminimin e pengesave administrative dhe financiare.</w:t>
      </w:r>
    </w:p>
    <w:p w14:paraId="54060999" w14:textId="284B4F05"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Hartimi i listës prioritare të pajisjeve dhe miratimi i listës kombëtare, në përputhje me standardet ndërkombëtare, do të vendosë një sistem të qëndrueshëm rimbursimi. Standardet për përshkrimin, përdorimin dhe mirëmbajtjen e pajisjeve do të garantojnë jo vetëm ofrimin e tyre, por edhe përdorimin efektiv, duke shmangur situatat kur pajisjet shpërndahen</w:t>
      </w:r>
      <w:r w:rsidR="00B204E0" w:rsidRPr="00CB13F7">
        <w:rPr>
          <w:rFonts w:eastAsia="Times New Roman"/>
          <w:lang w:eastAsia="en-US"/>
        </w:rPr>
        <w:t>,</w:t>
      </w:r>
      <w:r w:rsidRPr="00CB13F7">
        <w:rPr>
          <w:rFonts w:eastAsia="Times New Roman"/>
          <w:lang w:eastAsia="en-US"/>
        </w:rPr>
        <w:t xml:space="preserve"> por nuk përdoren për shkak të mungesës së udhëzimit ose përshtatjes.</w:t>
      </w:r>
    </w:p>
    <w:p w14:paraId="06AB211B" w14:textId="7AF2A5BD" w:rsidR="003B43D4" w:rsidRPr="00CB13F7" w:rsidRDefault="7150E16E" w:rsidP="00BA2B1D">
      <w:pPr>
        <w:spacing w:before="120" w:after="120" w:line="276" w:lineRule="auto"/>
        <w:jc w:val="both"/>
        <w:rPr>
          <w:rFonts w:eastAsia="Times New Roman"/>
          <w:b/>
          <w:bCs/>
          <w:lang w:eastAsia="en-US"/>
        </w:rPr>
      </w:pPr>
      <w:r w:rsidRPr="00CB13F7">
        <w:rPr>
          <w:rFonts w:eastAsia="Times New Roman"/>
          <w:b/>
          <w:bCs/>
          <w:lang w:eastAsia="en-US"/>
        </w:rPr>
        <w:t>Objektivi Specifik 3</w:t>
      </w:r>
      <w:r w:rsidR="4AB9899B" w:rsidRPr="00CB13F7">
        <w:rPr>
          <w:rFonts w:eastAsia="Times New Roman"/>
          <w:b/>
          <w:bCs/>
          <w:lang w:eastAsia="en-US"/>
        </w:rPr>
        <w:t>:</w:t>
      </w:r>
      <w:r w:rsidRPr="00CB13F7">
        <w:rPr>
          <w:rFonts w:eastAsia="Times New Roman"/>
          <w:b/>
          <w:bCs/>
          <w:lang w:eastAsia="en-US"/>
        </w:rPr>
        <w:t xml:space="preserve"> </w:t>
      </w:r>
      <w:r w:rsidR="532A2E31" w:rsidRPr="006B46C0">
        <w:rPr>
          <w:rFonts w:eastAsia="Times New Roman"/>
          <w:i/>
          <w:iCs/>
          <w:lang w:eastAsia="en-US"/>
        </w:rPr>
        <w:t>P</w:t>
      </w:r>
      <w:r w:rsidR="4AB9899B" w:rsidRPr="00CB13F7">
        <w:rPr>
          <w:rFonts w:eastAsia="Times New Roman"/>
          <w:i/>
          <w:iCs/>
          <w:lang w:eastAsia="en-US"/>
        </w:rPr>
        <w:t xml:space="preserve">ërmirësimi </w:t>
      </w:r>
      <w:r w:rsidRPr="00CB13F7">
        <w:rPr>
          <w:rFonts w:eastAsia="Times New Roman"/>
          <w:i/>
          <w:iCs/>
          <w:lang w:eastAsia="en-US"/>
        </w:rPr>
        <w:t>i cilësisë së shërbimeve përmes forcimit të burimeve njerëzore, aksesueshmërisë dhe mekanizmave të monitorimit dhe llogaridhënies</w:t>
      </w:r>
      <w:r w:rsidR="4AB9899B" w:rsidRPr="00CB13F7">
        <w:rPr>
          <w:rFonts w:eastAsia="Times New Roman"/>
          <w:i/>
          <w:iCs/>
          <w:lang w:eastAsia="en-US"/>
        </w:rPr>
        <w:t>.</w:t>
      </w:r>
    </w:p>
    <w:p w14:paraId="6E21B936" w14:textId="77777777" w:rsidR="003B43D4" w:rsidRPr="00CB13F7" w:rsidRDefault="003B43D4"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4A007AEF" w14:textId="2158A935" w:rsidR="00814337" w:rsidRPr="00CB13F7" w:rsidRDefault="003B43D4" w:rsidP="006B46C0">
      <w:pPr>
        <w:pStyle w:val="ListParagraph"/>
        <w:numPr>
          <w:ilvl w:val="0"/>
          <w:numId w:val="46"/>
        </w:numPr>
        <w:spacing w:before="120" w:after="120" w:line="276" w:lineRule="auto"/>
        <w:ind w:left="540"/>
        <w:jc w:val="both"/>
        <w:rPr>
          <w:rFonts w:eastAsia="Times New Roman"/>
          <w:lang w:eastAsia="en-US"/>
        </w:rPr>
      </w:pPr>
      <w:r w:rsidRPr="00CB13F7">
        <w:rPr>
          <w:rFonts w:eastAsia="Times New Roman"/>
          <w:lang w:eastAsia="en-US"/>
        </w:rPr>
        <w:t>Edukimi dhe forcimi i kapaciteteve të personelit shëndetësor</w:t>
      </w:r>
      <w:r w:rsidR="00814337" w:rsidRPr="00CB13F7">
        <w:rPr>
          <w:rFonts w:eastAsia="Times New Roman"/>
          <w:lang w:eastAsia="en-US"/>
        </w:rPr>
        <w:t>;</w:t>
      </w:r>
    </w:p>
    <w:p w14:paraId="1ECB337F" w14:textId="467A0F9B" w:rsidR="003B43D4" w:rsidRPr="00CB13F7" w:rsidRDefault="003B43D4" w:rsidP="006B46C0">
      <w:pPr>
        <w:pStyle w:val="ListParagraph"/>
        <w:numPr>
          <w:ilvl w:val="0"/>
          <w:numId w:val="46"/>
        </w:numPr>
        <w:spacing w:before="120" w:after="120" w:line="276" w:lineRule="auto"/>
        <w:ind w:left="540"/>
        <w:jc w:val="both"/>
        <w:rPr>
          <w:rFonts w:eastAsia="Times New Roman"/>
          <w:lang w:eastAsia="en-US"/>
        </w:rPr>
      </w:pPr>
      <w:r w:rsidRPr="00CB13F7">
        <w:rPr>
          <w:rFonts w:eastAsia="Times New Roman"/>
          <w:lang w:eastAsia="en-US"/>
        </w:rPr>
        <w:t>Akses i barabartë në mjedise dhe informacion shëndetësor për të gjitha kategoritë e personave me aftësi të kufizuar</w:t>
      </w:r>
      <w:r w:rsidR="00814337" w:rsidRPr="00CB13F7">
        <w:rPr>
          <w:rFonts w:eastAsia="Times New Roman"/>
          <w:lang w:eastAsia="en-US"/>
        </w:rPr>
        <w:t>.</w:t>
      </w:r>
    </w:p>
    <w:p w14:paraId="748351BF" w14:textId="5E239F80"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Ky objektiv synon të adresojë një problem </w:t>
      </w:r>
      <w:r w:rsidR="00814337" w:rsidRPr="00CB13F7">
        <w:rPr>
          <w:rFonts w:eastAsia="Times New Roman"/>
          <w:lang w:eastAsia="en-US"/>
        </w:rPr>
        <w:t xml:space="preserve">të rëndësishëm </w:t>
      </w:r>
      <w:r w:rsidRPr="00CB13F7">
        <w:rPr>
          <w:rFonts w:eastAsia="Times New Roman"/>
          <w:lang w:eastAsia="en-US"/>
        </w:rPr>
        <w:t xml:space="preserve">të sistemit shëndetësor. Edhe kur shërbimet ekzistojnë, ato shpesh nuk janë realisht të përdorshme nga personat me aftësi të kufizuara. Pengesat nuk lidhen vetëm me mungesën e strukturave apo pajisjeve, por me mënyrën si organizohet shërbimi, si komunikon personeli dhe si kuptohet roli i pacientit në procesin e kujdesit shëndetësor. Për këtë arsye, </w:t>
      </w:r>
      <w:r w:rsidR="00B42F92" w:rsidRPr="00CB13F7">
        <w:rPr>
          <w:rFonts w:eastAsia="Times New Roman"/>
          <w:lang w:eastAsia="en-US"/>
        </w:rPr>
        <w:t xml:space="preserve">Plani </w:t>
      </w:r>
      <w:r w:rsidRPr="00CB13F7">
        <w:rPr>
          <w:rFonts w:eastAsia="Times New Roman"/>
          <w:lang w:eastAsia="en-US"/>
        </w:rPr>
        <w:t>e vendos cilësinë e shërbimit në qendër, duke ndërhyrë njëkohësisht në kompetencat profesionale dhe aksesueshmërinë.</w:t>
      </w:r>
    </w:p>
    <w:p w14:paraId="6CE3F895" w14:textId="77777777"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lastRenderedPageBreak/>
        <w:t xml:space="preserve">Në radhë të parë, përmes zbatimit, do të forcohen kapacitetet e personelit shëndetësor, duke synuar që profesionistët e shëndetit të kalojnë nga një qasje thjesht klinike drejt një qasjeje të bazuar në të drejtat e njeriut. </w:t>
      </w:r>
    </w:p>
    <w:p w14:paraId="00C45110" w14:textId="118EF484"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Së dyti, </w:t>
      </w:r>
      <w:r w:rsidR="00B42F92" w:rsidRPr="00CB13F7">
        <w:rPr>
          <w:rFonts w:eastAsia="Times New Roman"/>
          <w:lang w:eastAsia="en-US"/>
        </w:rPr>
        <w:t xml:space="preserve">Plani </w:t>
      </w:r>
      <w:r w:rsidRPr="00CB13F7">
        <w:rPr>
          <w:rFonts w:eastAsia="Times New Roman"/>
          <w:lang w:eastAsia="en-US"/>
        </w:rPr>
        <w:t>parashikon sigurimin e aksesit të barabartë në mjedise dhe informacion shëndetësor. Përshtatja graduale e infrastrukturës fizike të institucioneve shëndetësore synon që qendrat shëndetësore, poliklinikat dhe spitalet të jenë të përdorshme për të gjitha kategoritë e personave me aftësi të kufizuara. Paralelisht, informacioni shëndetësor do të ofrohet në formate të ndryshme komunikimi, duke përfshirë materiale të lexueshme, audio, video, gjuhë shenjash dhe formate të tjera alternative. Kjo është thelbësore sepse shumë persona me aftësi të kufizuara nuk përjashtohen nga shërbimi për shkak të trajtimit mjekësor, por për shkak të pamundësisë për të kuptuar informacionin ose për të komunikuar me personelin.</w:t>
      </w:r>
    </w:p>
    <w:p w14:paraId="066679B4" w14:textId="2B1FA782" w:rsidR="003B43D4" w:rsidRPr="00CB13F7" w:rsidRDefault="003B43D4" w:rsidP="00BA2B1D">
      <w:pPr>
        <w:spacing w:before="120" w:after="120" w:line="276" w:lineRule="auto"/>
        <w:jc w:val="both"/>
        <w:rPr>
          <w:rFonts w:eastAsia="Times New Roman"/>
          <w:lang w:eastAsia="en-US"/>
        </w:rPr>
      </w:pPr>
      <w:r w:rsidRPr="00CB13F7">
        <w:rPr>
          <w:rFonts w:eastAsia="Times New Roman"/>
          <w:lang w:eastAsia="en-US"/>
        </w:rPr>
        <w:t xml:space="preserve">Programet e promovimit të shëndetit dhe parandalimit të sëmundjeve do të përshtaten për të qenë gjithëpërfshirëse, duke siguruar që personat me aftësi të kufizuara të mos mbeten jashtë informimit publik për shëndetin. Kjo do të rrisë ndërgjegjësimin, përdorimin e shërbimeve dhe parandalimin e </w:t>
      </w:r>
      <w:r w:rsidR="00C200FF" w:rsidRPr="00CB13F7">
        <w:rPr>
          <w:rFonts w:eastAsia="Times New Roman"/>
          <w:lang w:eastAsia="en-US"/>
        </w:rPr>
        <w:t xml:space="preserve">ndërlikimeve </w:t>
      </w:r>
      <w:r w:rsidRPr="00CB13F7">
        <w:rPr>
          <w:rFonts w:eastAsia="Times New Roman"/>
          <w:lang w:eastAsia="en-US"/>
        </w:rPr>
        <w:t>shëndetësore që shpesh lidhen me mungesën e aksesit në informacion.</w:t>
      </w:r>
    </w:p>
    <w:p w14:paraId="52792CD8" w14:textId="73287762" w:rsidR="003B43D4" w:rsidRPr="00CB13F7" w:rsidRDefault="492D6B23" w:rsidP="661F9D2E">
      <w:pPr>
        <w:spacing w:before="120" w:after="120" w:line="276" w:lineRule="auto"/>
        <w:jc w:val="both"/>
        <w:rPr>
          <w:rFonts w:eastAsia="Times New Roman"/>
          <w:lang w:eastAsia="en-US"/>
        </w:rPr>
      </w:pPr>
      <w:r w:rsidRPr="00CB13F7">
        <w:rPr>
          <w:rFonts w:eastAsia="Times New Roman"/>
          <w:lang w:eastAsia="en-US"/>
        </w:rPr>
        <w:t xml:space="preserve">Ky objektiv synon krijimin e një sistemi shëndetësor ku vlerësimi nuk bazohet vetëm në sasinë e shërbimeve për personat me aftësi të kufizuara, por edhe në funksionalitetin dhe efektivitetin e tyre për përdoruesit. </w:t>
      </w:r>
      <w:r w:rsidR="7150E16E" w:rsidRPr="00CB13F7">
        <w:rPr>
          <w:rFonts w:eastAsia="Times New Roman"/>
          <w:lang w:eastAsia="en-US"/>
        </w:rPr>
        <w:t>Përmes zhvillimit të kapaciteteve profesionale, aksesueshmërisë fizike dhe komunikimit të përshtatur, personi me aftësi të kufizuara trajtohet si pacient i barabartë, me të drejtë</w:t>
      </w:r>
      <w:r w:rsidR="1E1EDECF" w:rsidRPr="00CB13F7">
        <w:rPr>
          <w:rFonts w:eastAsia="Times New Roman"/>
          <w:lang w:eastAsia="en-US"/>
        </w:rPr>
        <w:t>n</w:t>
      </w:r>
      <w:r w:rsidR="7150E16E" w:rsidRPr="00CB13F7">
        <w:rPr>
          <w:rFonts w:eastAsia="Times New Roman"/>
          <w:lang w:eastAsia="en-US"/>
        </w:rPr>
        <w:t xml:space="preserve"> për informacion, zgjedhje dhe pjesëmarrje. </w:t>
      </w:r>
    </w:p>
    <w:p w14:paraId="0DBA4522" w14:textId="77777777" w:rsidR="003B43D4" w:rsidRPr="00CB13F7" w:rsidRDefault="003B43D4" w:rsidP="000717B9">
      <w:pPr>
        <w:spacing w:before="120" w:after="120" w:line="276" w:lineRule="auto"/>
        <w:jc w:val="both"/>
        <w:rPr>
          <w:rFonts w:eastAsia="Times New Roman"/>
          <w:lang w:eastAsia="en-US"/>
        </w:rPr>
      </w:pPr>
    </w:p>
    <w:p w14:paraId="3DFADF60" w14:textId="7F164DE5" w:rsidR="00FE05F4" w:rsidRPr="00CB13F7" w:rsidRDefault="002B3406" w:rsidP="00BA2B1D">
      <w:pPr>
        <w:spacing w:before="120" w:after="120" w:line="276" w:lineRule="auto"/>
        <w:jc w:val="both"/>
        <w:rPr>
          <w:rFonts w:eastAsia="Times New Roman"/>
          <w:b/>
          <w:bCs/>
          <w:lang w:eastAsia="en-US"/>
        </w:rPr>
      </w:pPr>
      <w:r w:rsidRPr="00CB13F7">
        <w:rPr>
          <w:rFonts w:eastAsia="Times New Roman"/>
          <w:b/>
          <w:bCs/>
          <w:lang w:eastAsia="en-US"/>
        </w:rPr>
        <w:t>4.7</w:t>
      </w:r>
      <w:r w:rsidR="000717B9" w:rsidRPr="00CB13F7">
        <w:rPr>
          <w:rFonts w:eastAsia="Times New Roman"/>
          <w:b/>
          <w:bCs/>
          <w:lang w:eastAsia="en-US"/>
        </w:rPr>
        <w:t xml:space="preserve"> </w:t>
      </w:r>
      <w:r w:rsidRPr="00CB13F7">
        <w:rPr>
          <w:rFonts w:eastAsia="Times New Roman"/>
          <w:b/>
          <w:bCs/>
          <w:lang w:eastAsia="en-US"/>
        </w:rPr>
        <w:t>Përfshirja</w:t>
      </w:r>
      <w:r w:rsidR="006C3BD6" w:rsidRPr="00CB13F7">
        <w:rPr>
          <w:rFonts w:eastAsia="Times New Roman"/>
          <w:b/>
          <w:bCs/>
          <w:lang w:eastAsia="en-US"/>
        </w:rPr>
        <w:t xml:space="preserve"> në jetën publike dhe politike </w:t>
      </w:r>
    </w:p>
    <w:p w14:paraId="5C583E4A" w14:textId="15B73B90" w:rsidR="006C3BD6" w:rsidRPr="00CB13F7" w:rsidRDefault="002B3406" w:rsidP="00BA2B1D">
      <w:pPr>
        <w:spacing w:before="120" w:after="120" w:line="276" w:lineRule="auto"/>
        <w:jc w:val="both"/>
        <w:rPr>
          <w:rFonts w:eastAsia="Times New Roman"/>
          <w:b/>
          <w:bCs/>
          <w:lang w:eastAsia="en-US"/>
        </w:rPr>
      </w:pPr>
      <w:r w:rsidRPr="00CB13F7">
        <w:rPr>
          <w:rFonts w:eastAsia="Times New Roman"/>
          <w:b/>
          <w:bCs/>
          <w:lang w:eastAsia="en-US"/>
        </w:rPr>
        <w:t>4.7.1</w:t>
      </w:r>
      <w:r w:rsidR="000717B9" w:rsidRPr="00CB13F7">
        <w:rPr>
          <w:rFonts w:eastAsia="Times New Roman"/>
          <w:b/>
          <w:bCs/>
          <w:lang w:eastAsia="en-US"/>
        </w:rPr>
        <w:t xml:space="preserve"> </w:t>
      </w:r>
      <w:r w:rsidRPr="00CB13F7">
        <w:rPr>
          <w:rFonts w:eastAsia="Times New Roman"/>
          <w:b/>
          <w:bCs/>
          <w:lang w:eastAsia="en-US"/>
        </w:rPr>
        <w:t>Korniza</w:t>
      </w:r>
      <w:r w:rsidR="006C3BD6" w:rsidRPr="00CB13F7">
        <w:rPr>
          <w:rFonts w:eastAsia="Times New Roman"/>
          <w:b/>
          <w:bCs/>
          <w:lang w:eastAsia="en-US"/>
        </w:rPr>
        <w:t xml:space="preserve"> strategjike</w:t>
      </w:r>
    </w:p>
    <w:p w14:paraId="405A839C" w14:textId="25EE11C1" w:rsidR="006C3BD6" w:rsidRPr="00CB13F7" w:rsidRDefault="3CAF5978" w:rsidP="661F9D2E">
      <w:pPr>
        <w:spacing w:before="120" w:after="120" w:line="276" w:lineRule="auto"/>
        <w:jc w:val="both"/>
        <w:rPr>
          <w:rFonts w:eastAsia="Times New Roman"/>
          <w:lang w:eastAsia="en-US"/>
        </w:rPr>
      </w:pPr>
      <w:r w:rsidRPr="00CB13F7">
        <w:rPr>
          <w:rFonts w:eastAsia="Times New Roman"/>
          <w:lang w:eastAsia="en-US"/>
        </w:rPr>
        <w:t xml:space="preserve">Fusha e përfshirjes në jetën publike dhe politike në </w:t>
      </w:r>
      <w:r w:rsidR="47BC562C" w:rsidRPr="00CB13F7">
        <w:rPr>
          <w:rFonts w:eastAsia="Times New Roman"/>
          <w:lang w:eastAsia="en-US"/>
        </w:rPr>
        <w:t xml:space="preserve"> Planin Kombëtar të Veprimit për Personat me Aftësi të Kufizuara 2026-2030</w:t>
      </w:r>
      <w:r w:rsidRPr="00CB13F7">
        <w:rPr>
          <w:rFonts w:eastAsia="Times New Roman"/>
          <w:lang w:eastAsia="en-US"/>
        </w:rPr>
        <w:t xml:space="preserve"> synon të garantojë që personat me aftësi të kufizuara të mos mbeten vetëm përfitues të politikave publike, por të jenë pjesëmarrës aktivë në vendimmarrje, përfaqësim dhe në jetën demokratike, kulturore e sportive të vendit. Qasja e </w:t>
      </w:r>
      <w:r w:rsidR="1B400FCB" w:rsidRPr="00CB13F7">
        <w:rPr>
          <w:rFonts w:eastAsia="Times New Roman"/>
          <w:lang w:eastAsia="en-US"/>
        </w:rPr>
        <w:t xml:space="preserve">Planit </w:t>
      </w:r>
      <w:r w:rsidRPr="00CB13F7">
        <w:rPr>
          <w:rFonts w:eastAsia="Times New Roman"/>
          <w:lang w:eastAsia="en-US"/>
        </w:rPr>
        <w:t>bazohet në parimin se demokracia funksionale dhe gjithëpërfshirëse, kërkon pjesëmarrje reale të çdo qytetari dhe se aftësia e kufizuar nuk duhet të përbëjë pengesë për ushtrimin e të drejtave politike, përfaqësimin në institucione apo pjesëmarrjen në jetën kulturore e komunitare.</w:t>
      </w:r>
    </w:p>
    <w:p w14:paraId="6B77D2A2" w14:textId="77777777"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Në nivel ndërkombëtar, kjo fushë mbështetet drejtpërdrejt në Konventën e OKB-së për të Drejtat e Personave me Aftësi të Kufizuara</w:t>
      </w:r>
      <w:r w:rsidRPr="00CB13F7">
        <w:rPr>
          <w:rFonts w:eastAsia="Times New Roman"/>
          <w:vertAlign w:val="superscript"/>
          <w:lang w:eastAsia="en-US"/>
        </w:rPr>
        <w:footnoteReference w:id="78"/>
      </w:r>
      <w:r w:rsidRPr="00CB13F7">
        <w:rPr>
          <w:rFonts w:eastAsia="Times New Roman"/>
          <w:lang w:eastAsia="en-US"/>
        </w:rPr>
        <w:t xml:space="preserve">, e cila garanton të drejtën e personave me aftësi të kufizuara për të marrë pjesë në jetën politike dhe publike në baza të barabarta me të tjerët, duke përfshirë të drejtën për të votuar, për t’u zgjedhur, për të marrë pjesë në administrimin e çështjeve publike dhe në organizatat e shoqërisë civile. Konventa kërkon që shtetet të sigurojnë procedura, ambiente dhe </w:t>
      </w:r>
      <w:r w:rsidRPr="00CB13F7">
        <w:rPr>
          <w:rFonts w:eastAsia="Times New Roman"/>
          <w:lang w:eastAsia="en-US"/>
        </w:rPr>
        <w:lastRenderedPageBreak/>
        <w:t xml:space="preserve">materiale zgjedhore të aksesueshme, të kuptueshme dhe të lehta për t’u përdorur, si dhe të mundësojnë votimin e pavarur dhe sekret për çdo person me aftësi të kufizuara. Në të njëjtën kohë, ajo thekson edhe të drejtën për pjesëmarrje në jetën kulturore, rekreative dhe sportive si pjesë e barazisë dhe përfshirjes sociale. </w:t>
      </w:r>
    </w:p>
    <w:p w14:paraId="6ED87E52" w14:textId="72046CBB" w:rsidR="006C3BD6" w:rsidRPr="00CB13F7" w:rsidRDefault="3CAF5978" w:rsidP="00BA2B1D">
      <w:pPr>
        <w:spacing w:before="120" w:after="120" w:line="276" w:lineRule="auto"/>
        <w:jc w:val="both"/>
        <w:rPr>
          <w:rFonts w:eastAsia="Times New Roman"/>
          <w:lang w:eastAsia="en-US"/>
        </w:rPr>
      </w:pPr>
      <w:r w:rsidRPr="00CB13F7">
        <w:rPr>
          <w:rFonts w:eastAsia="Times New Roman"/>
          <w:lang w:eastAsia="en-US"/>
        </w:rPr>
        <w:t>Këto standarde përforcohen nga politikat e Bashkimit Evropian për përfshirjen sociale dhe nga Strategjia</w:t>
      </w:r>
      <w:r w:rsidR="619DB8D8" w:rsidRPr="00CB13F7">
        <w:rPr>
          <w:rFonts w:eastAsia="Times New Roman"/>
          <w:lang w:eastAsia="en-US"/>
        </w:rPr>
        <w:t xml:space="preserve"> e BE për të Drejtat e Personave me Aftësi të Kufizuara 2021-2030</w:t>
      </w:r>
      <w:r w:rsidR="006C3BD6" w:rsidRPr="00CB13F7">
        <w:rPr>
          <w:rFonts w:eastAsia="Times New Roman"/>
          <w:vertAlign w:val="superscript"/>
          <w:lang w:eastAsia="en-US"/>
        </w:rPr>
        <w:footnoteReference w:id="79"/>
      </w:r>
      <w:r w:rsidRPr="00CB13F7">
        <w:rPr>
          <w:rFonts w:eastAsia="Times New Roman"/>
          <w:lang w:eastAsia="en-US"/>
        </w:rPr>
        <w:t>, e cila vendos si prioritet rritjen e pjesëmarrjes demokratike, aksesin në procese zgjedhore, përfaqësimin në vendimmarrje dhe eliminimin e barrierave në kulturë, sport dhe aktivitete komunitare. Në këtë kuadër, pjesëmarrja politike dhe publike shihet si element i qytetarisë aktive dhe i barazisë, dhe jo vetëm si e drejtë formale.</w:t>
      </w:r>
    </w:p>
    <w:p w14:paraId="0272F82B" w14:textId="617CA134" w:rsidR="006C3BD6" w:rsidRPr="00CB13F7" w:rsidRDefault="3CAF5978" w:rsidP="00BA2B1D">
      <w:pPr>
        <w:spacing w:before="120" w:after="120" w:line="276" w:lineRule="auto"/>
        <w:jc w:val="both"/>
        <w:rPr>
          <w:rFonts w:eastAsia="Times New Roman"/>
          <w:lang w:eastAsia="en-US"/>
        </w:rPr>
      </w:pPr>
      <w:r w:rsidRPr="00CB13F7">
        <w:rPr>
          <w:rFonts w:eastAsia="Times New Roman"/>
          <w:lang w:eastAsia="en-US"/>
        </w:rPr>
        <w:t xml:space="preserve">Në nivel kombëtar, kjo fushë lidhet me kuadrin ligjor dhe strategjik të Shqipërisë për demokracinë vendore dhe pjesëmarrjen qytetare, përfshirë Kodin Zgjedhor dhe legjislacionin për vetëqeverisjen vendore, të cilat garantojnë ushtrimin e të drejtës së votës dhe pjesëmarrjen në organet vendimmarrëse. Në mënyrë të veçantë, </w:t>
      </w:r>
      <w:r w:rsidR="194F02BD" w:rsidRPr="00CB13F7">
        <w:rPr>
          <w:rFonts w:eastAsia="Times New Roman"/>
          <w:lang w:eastAsia="en-US"/>
        </w:rPr>
        <w:t xml:space="preserve">Plani </w:t>
      </w:r>
      <w:r w:rsidRPr="00CB13F7">
        <w:rPr>
          <w:rFonts w:eastAsia="Times New Roman"/>
          <w:lang w:eastAsia="en-US"/>
        </w:rPr>
        <w:t xml:space="preserve">lidhet me Strategjinë </w:t>
      </w:r>
      <w:r w:rsidR="26F31970" w:rsidRPr="00CB13F7">
        <w:rPr>
          <w:rFonts w:eastAsia="Times New Roman"/>
          <w:lang w:eastAsia="en-US"/>
        </w:rPr>
        <w:t>Evropiane</w:t>
      </w:r>
      <w:r w:rsidRPr="00CB13F7">
        <w:rPr>
          <w:rFonts w:eastAsia="Times New Roman"/>
          <w:lang w:eastAsia="en-US"/>
        </w:rPr>
        <w:t xml:space="preserve"> për të Drejtat e Personave me Aftësi të Kufizuara, e cila thekson rëndësinë e përfaqësimit dhe fuqizimit të organizatave të personave me aftësi të kufizuara, si dhe me procesin e përafrimit me </w:t>
      </w:r>
      <w:r w:rsidRPr="00CB13F7">
        <w:rPr>
          <w:rFonts w:eastAsia="Times New Roman"/>
          <w:i/>
          <w:iCs/>
          <w:lang w:eastAsia="en-US"/>
        </w:rPr>
        <w:t>acquis</w:t>
      </w:r>
      <w:r w:rsidRPr="00CB13F7">
        <w:rPr>
          <w:rFonts w:eastAsia="Times New Roman"/>
          <w:lang w:eastAsia="en-US"/>
        </w:rPr>
        <w:t xml:space="preserve"> të Bashkimit Evropian në fushën e të drejtave themelore dhe antidiskriminimit.</w:t>
      </w:r>
    </w:p>
    <w:p w14:paraId="0FA73E26" w14:textId="74FE7FE5"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 xml:space="preserve">Përfshirja në jetën publike shtrihet edhe përtej proceseve zgjedhore, duke përfshirë pjesëmarrjen në kulturë, art dhe sport. Në këtë drejtim, </w:t>
      </w:r>
      <w:r w:rsidR="00C759E0" w:rsidRPr="00CB13F7">
        <w:rPr>
          <w:rFonts w:eastAsia="Times New Roman"/>
          <w:lang w:eastAsia="en-US"/>
        </w:rPr>
        <w:t xml:space="preserve">Plani </w:t>
      </w:r>
      <w:r w:rsidRPr="00CB13F7">
        <w:rPr>
          <w:rFonts w:eastAsia="Times New Roman"/>
          <w:lang w:eastAsia="en-US"/>
        </w:rPr>
        <w:t>mbështetet në Strategjinë Kombëtare për Kulturën 2021</w:t>
      </w:r>
      <w:r w:rsidR="00C759E0" w:rsidRPr="00CB13F7">
        <w:rPr>
          <w:rFonts w:eastAsia="Times New Roman"/>
          <w:lang w:eastAsia="en-US"/>
        </w:rPr>
        <w:t>-</w:t>
      </w:r>
      <w:r w:rsidRPr="00CB13F7">
        <w:rPr>
          <w:rFonts w:eastAsia="Times New Roman"/>
          <w:lang w:eastAsia="en-US"/>
        </w:rPr>
        <w:t>2025</w:t>
      </w:r>
      <w:r w:rsidRPr="00CB13F7">
        <w:rPr>
          <w:rFonts w:eastAsia="Times New Roman"/>
          <w:vertAlign w:val="superscript"/>
          <w:lang w:eastAsia="en-US"/>
        </w:rPr>
        <w:footnoteReference w:id="80"/>
      </w:r>
      <w:r w:rsidRPr="00CB13F7">
        <w:rPr>
          <w:rFonts w:eastAsia="Times New Roman"/>
          <w:lang w:eastAsia="en-US"/>
        </w:rPr>
        <w:t xml:space="preserve"> dhe Planin Kombëtar për Trashëgiminë Kulturore</w:t>
      </w:r>
      <w:r w:rsidR="00C759E0" w:rsidRPr="00CB13F7">
        <w:rPr>
          <w:rFonts w:eastAsia="Times New Roman"/>
          <w:lang w:eastAsia="en-US"/>
        </w:rPr>
        <w:t xml:space="preserve"> dhe Arsimin Artistik</w:t>
      </w:r>
      <w:r w:rsidRPr="00CB13F7">
        <w:rPr>
          <w:rFonts w:eastAsia="Times New Roman"/>
          <w:vertAlign w:val="superscript"/>
          <w:lang w:eastAsia="en-US"/>
        </w:rPr>
        <w:footnoteReference w:id="81"/>
      </w:r>
      <w:r w:rsidRPr="00CB13F7">
        <w:rPr>
          <w:rFonts w:eastAsia="Times New Roman"/>
          <w:lang w:eastAsia="en-US"/>
        </w:rPr>
        <w:t>, të cilat synojnë zgjerimin e aksesit në aktivitete kulturore dhe artistike për të gjithë qytetarët. Po ashtu, Strategjia Kombëtare e Sportit 2021</w:t>
      </w:r>
      <w:r w:rsidR="00C759E0" w:rsidRPr="00CB13F7">
        <w:rPr>
          <w:rFonts w:eastAsia="Times New Roman"/>
          <w:lang w:eastAsia="en-US"/>
        </w:rPr>
        <w:t>-</w:t>
      </w:r>
      <w:r w:rsidRPr="00CB13F7">
        <w:rPr>
          <w:rFonts w:eastAsia="Times New Roman"/>
          <w:lang w:eastAsia="en-US"/>
        </w:rPr>
        <w:t>2025</w:t>
      </w:r>
      <w:r w:rsidRPr="00CB13F7">
        <w:rPr>
          <w:rFonts w:eastAsia="Times New Roman"/>
          <w:vertAlign w:val="superscript"/>
          <w:lang w:eastAsia="en-US"/>
        </w:rPr>
        <w:footnoteReference w:id="82"/>
      </w:r>
      <w:r w:rsidRPr="00CB13F7">
        <w:rPr>
          <w:rFonts w:eastAsia="Times New Roman"/>
          <w:lang w:eastAsia="en-US"/>
        </w:rPr>
        <w:t xml:space="preserve"> promovon sportin gjithëpërfshirës dhe pjesëmarrjen e personave me aftësi të kufizuara në aktivitete sportive, duke e konsideruar sportin si instrument të integrimit social dhe të mirëqenies.</w:t>
      </w:r>
    </w:p>
    <w:p w14:paraId="32BFDBFA" w14:textId="43C110E3" w:rsidR="00263F75" w:rsidRPr="00CB13F7" w:rsidRDefault="004B7F63" w:rsidP="00BA2B1D">
      <w:pPr>
        <w:spacing w:before="120" w:after="120" w:line="276" w:lineRule="auto"/>
        <w:jc w:val="both"/>
        <w:rPr>
          <w:b/>
          <w:bCs/>
          <w:lang w:eastAsia="en-US"/>
        </w:rPr>
      </w:pPr>
      <w:r w:rsidRPr="00CB13F7">
        <w:rPr>
          <w:rFonts w:eastAsia="Times New Roman"/>
          <w:lang w:eastAsia="en-US"/>
        </w:rPr>
        <w:t xml:space="preserve">Zbatimi i objektivave të kësaj </w:t>
      </w:r>
      <w:r w:rsidR="006C3BD6" w:rsidRPr="00CB13F7">
        <w:rPr>
          <w:rFonts w:eastAsia="Times New Roman"/>
          <w:lang w:eastAsia="en-US"/>
        </w:rPr>
        <w:t>fush</w:t>
      </w:r>
      <w:r w:rsidRPr="00CB13F7">
        <w:rPr>
          <w:rFonts w:eastAsia="Times New Roman"/>
          <w:lang w:eastAsia="en-US"/>
        </w:rPr>
        <w:t>e,</w:t>
      </w:r>
      <w:r w:rsidR="006C3BD6" w:rsidRPr="00CB13F7">
        <w:rPr>
          <w:rFonts w:eastAsia="Times New Roman"/>
          <w:lang w:eastAsia="en-US"/>
        </w:rPr>
        <w:t xml:space="preserve"> ndërton një lidhje të drejtpërdrejtë midis të drejtave politike, përfaqësimit demokratik dhe përfshirjes sociale. Plani synon të krijojë kushte që personat me aftësi të kufizuara të votojnë në mënyrë të pavarur, të marrin pjesë në proceset vendimmarrëse, të përfaqësojnë interesat e tyre në institucione dhe organizata, si dhe të jenë pjesë aktive e jetës kulturore, artistike dhe sportive të vendit. Në këtë mënyrë, përfshirja publike dhe politike trajtohet jo vetëm si e drejtë qytetare, por si element thelbësor i barazisë, dinjitetit dhe demokracisë funksionale.</w:t>
      </w:r>
    </w:p>
    <w:p w14:paraId="0566D03A" w14:textId="60B1AA68" w:rsidR="00263F75" w:rsidRPr="00CB13F7" w:rsidRDefault="002B3406" w:rsidP="00BA2B1D">
      <w:pPr>
        <w:spacing w:before="120" w:after="120" w:line="276" w:lineRule="auto"/>
        <w:jc w:val="both"/>
        <w:rPr>
          <w:b/>
          <w:bCs/>
          <w:lang w:eastAsia="en-US"/>
        </w:rPr>
      </w:pPr>
      <w:r w:rsidRPr="00CB13F7">
        <w:rPr>
          <w:b/>
          <w:bCs/>
          <w:lang w:eastAsia="en-US"/>
        </w:rPr>
        <w:t>4.7.2</w:t>
      </w:r>
      <w:r w:rsidR="00B90620" w:rsidRPr="00CB13F7">
        <w:rPr>
          <w:b/>
          <w:bCs/>
          <w:lang w:eastAsia="en-US"/>
        </w:rPr>
        <w:t xml:space="preserve"> </w:t>
      </w:r>
      <w:r w:rsidRPr="00CB13F7">
        <w:rPr>
          <w:b/>
          <w:bCs/>
          <w:lang w:eastAsia="en-US"/>
        </w:rPr>
        <w:t>Qëllimi</w:t>
      </w:r>
      <w:r w:rsidR="00263F75" w:rsidRPr="00CB13F7">
        <w:rPr>
          <w:b/>
          <w:bCs/>
          <w:lang w:eastAsia="en-US"/>
        </w:rPr>
        <w:t>, objektivat dhe masat prioritare</w:t>
      </w:r>
    </w:p>
    <w:p w14:paraId="544F02B5" w14:textId="3CA4699D" w:rsidR="00FE05F4" w:rsidRPr="00CB13F7" w:rsidRDefault="00FE05F4" w:rsidP="00BA2B1D">
      <w:pPr>
        <w:spacing w:before="120" w:after="120" w:line="276" w:lineRule="auto"/>
        <w:jc w:val="both"/>
        <w:rPr>
          <w:b/>
          <w:lang w:eastAsia="en-US"/>
        </w:rPr>
      </w:pPr>
      <w:r w:rsidRPr="00CB13F7">
        <w:rPr>
          <w:b/>
          <w:bCs/>
          <w:lang w:eastAsia="en-US"/>
        </w:rPr>
        <w:lastRenderedPageBreak/>
        <w:t>Qëllimi politik:</w:t>
      </w:r>
      <w:r w:rsidRPr="00CB13F7">
        <w:rPr>
          <w:bCs/>
          <w:lang w:eastAsia="en-US"/>
        </w:rPr>
        <w:t xml:space="preserve"> </w:t>
      </w:r>
      <w:r w:rsidR="006B46C0" w:rsidRPr="006B46C0">
        <w:rPr>
          <w:bCs/>
          <w:i/>
          <w:iCs/>
          <w:lang w:eastAsia="en-US"/>
        </w:rPr>
        <w:t>G</w:t>
      </w:r>
      <w:r w:rsidR="00C759E0" w:rsidRPr="006B46C0">
        <w:rPr>
          <w:bCs/>
          <w:i/>
          <w:iCs/>
          <w:lang w:eastAsia="en-US"/>
        </w:rPr>
        <w:t xml:space="preserve">arantimi </w:t>
      </w:r>
      <w:r w:rsidRPr="006B46C0">
        <w:rPr>
          <w:bCs/>
          <w:i/>
          <w:iCs/>
          <w:lang w:eastAsia="en-US"/>
        </w:rPr>
        <w:t>i përfshirjes së plotë të personave me aftësi të kufizuara në jetën publike dhe politike në Shqipëri dhe mundësimi i mbrojtjes së interesave të tyre</w:t>
      </w:r>
      <w:r w:rsidR="00C759E0" w:rsidRPr="006B46C0">
        <w:rPr>
          <w:bCs/>
          <w:i/>
          <w:iCs/>
          <w:lang w:eastAsia="en-US"/>
        </w:rPr>
        <w:t>.</w:t>
      </w:r>
    </w:p>
    <w:p w14:paraId="7627B816" w14:textId="77777777" w:rsidR="009B3EC8" w:rsidRPr="00CB13F7" w:rsidRDefault="009B3EC8" w:rsidP="00BA2B1D">
      <w:pPr>
        <w:spacing w:before="120" w:after="120" w:line="276" w:lineRule="auto"/>
        <w:jc w:val="both"/>
        <w:rPr>
          <w:bCs/>
          <w:lang w:eastAsia="en-US"/>
        </w:rPr>
      </w:pPr>
      <w:r w:rsidRPr="00CB13F7">
        <w:rPr>
          <w:bCs/>
          <w:lang w:eastAsia="en-US"/>
        </w:rPr>
        <w:t>P</w:t>
      </w:r>
      <w:r w:rsidR="000D7236" w:rsidRPr="00CB13F7">
        <w:rPr>
          <w:bCs/>
          <w:lang w:eastAsia="en-US"/>
        </w:rPr>
        <w:t>ë</w:t>
      </w:r>
      <w:r w:rsidRPr="00CB13F7">
        <w:rPr>
          <w:bCs/>
          <w:lang w:eastAsia="en-US"/>
        </w:rPr>
        <w:t>r arritjen e q</w:t>
      </w:r>
      <w:r w:rsidR="000D7236" w:rsidRPr="00CB13F7">
        <w:rPr>
          <w:bCs/>
          <w:lang w:eastAsia="en-US"/>
        </w:rPr>
        <w:t>ë</w:t>
      </w:r>
      <w:r w:rsidRPr="00CB13F7">
        <w:rPr>
          <w:bCs/>
          <w:lang w:eastAsia="en-US"/>
        </w:rPr>
        <w:t>llimit m</w:t>
      </w:r>
      <w:r w:rsidR="000D7236" w:rsidRPr="00CB13F7">
        <w:rPr>
          <w:bCs/>
          <w:lang w:eastAsia="en-US"/>
        </w:rPr>
        <w:t>ë</w:t>
      </w:r>
      <w:r w:rsidRPr="00CB13F7">
        <w:rPr>
          <w:bCs/>
          <w:lang w:eastAsia="en-US"/>
        </w:rPr>
        <w:t xml:space="preserve"> sip</w:t>
      </w:r>
      <w:r w:rsidR="000D7236" w:rsidRPr="00CB13F7">
        <w:rPr>
          <w:bCs/>
          <w:lang w:eastAsia="en-US"/>
        </w:rPr>
        <w:t>ë</w:t>
      </w:r>
      <w:r w:rsidRPr="00CB13F7">
        <w:rPr>
          <w:bCs/>
          <w:lang w:eastAsia="en-US"/>
        </w:rPr>
        <w:t>r, jan</w:t>
      </w:r>
      <w:r w:rsidR="000D7236" w:rsidRPr="00CB13F7">
        <w:rPr>
          <w:bCs/>
          <w:lang w:eastAsia="en-US"/>
        </w:rPr>
        <w:t>ë</w:t>
      </w:r>
      <w:r w:rsidRPr="00CB13F7">
        <w:rPr>
          <w:bCs/>
          <w:lang w:eastAsia="en-US"/>
        </w:rPr>
        <w:t xml:space="preserve"> parashikuar 2 objektiva specifik</w:t>
      </w:r>
      <w:r w:rsidR="000D7236" w:rsidRPr="00CB13F7">
        <w:rPr>
          <w:bCs/>
          <w:lang w:eastAsia="en-US"/>
        </w:rPr>
        <w:t>ë</w:t>
      </w:r>
      <w:r w:rsidRPr="00CB13F7">
        <w:rPr>
          <w:bCs/>
          <w:lang w:eastAsia="en-US"/>
        </w:rPr>
        <w:t>, 4 masa prioritare dhe 10 nd</w:t>
      </w:r>
      <w:r w:rsidR="000D7236" w:rsidRPr="00CB13F7">
        <w:rPr>
          <w:bCs/>
          <w:lang w:eastAsia="en-US"/>
        </w:rPr>
        <w:t>ë</w:t>
      </w:r>
      <w:r w:rsidRPr="00CB13F7">
        <w:rPr>
          <w:bCs/>
          <w:lang w:eastAsia="en-US"/>
        </w:rPr>
        <w:t>rhyrje konkrete t</w:t>
      </w:r>
      <w:r w:rsidR="000D7236" w:rsidRPr="00CB13F7">
        <w:rPr>
          <w:bCs/>
          <w:lang w:eastAsia="en-US"/>
        </w:rPr>
        <w:t>ë</w:t>
      </w:r>
      <w:r w:rsidRPr="00CB13F7">
        <w:rPr>
          <w:bCs/>
          <w:lang w:eastAsia="en-US"/>
        </w:rPr>
        <w:t xml:space="preserve"> buxhetuara.</w:t>
      </w:r>
    </w:p>
    <w:p w14:paraId="6CCE1821" w14:textId="0541452D" w:rsidR="006C3BD6" w:rsidRPr="00CB13F7" w:rsidRDefault="3CAF5978" w:rsidP="00BA2B1D">
      <w:pPr>
        <w:spacing w:before="120" w:after="120" w:line="276" w:lineRule="auto"/>
        <w:jc w:val="both"/>
        <w:rPr>
          <w:rFonts w:eastAsia="Times New Roman"/>
          <w:b/>
          <w:bCs/>
          <w:lang w:eastAsia="en-US"/>
        </w:rPr>
      </w:pPr>
      <w:r w:rsidRPr="00CB13F7">
        <w:rPr>
          <w:rFonts w:eastAsia="Times New Roman"/>
          <w:b/>
          <w:bCs/>
          <w:lang w:eastAsia="en-US"/>
        </w:rPr>
        <w:t>Objektivi specifik 1</w:t>
      </w:r>
      <w:r w:rsidR="5FC9F8B4" w:rsidRPr="00CB13F7">
        <w:rPr>
          <w:rFonts w:eastAsia="Times New Roman"/>
          <w:b/>
          <w:bCs/>
          <w:lang w:eastAsia="en-US"/>
        </w:rPr>
        <w:t xml:space="preserve">: </w:t>
      </w:r>
      <w:r w:rsidR="216FD4E5" w:rsidRPr="006B46C0">
        <w:rPr>
          <w:rFonts w:eastAsia="Times New Roman"/>
          <w:i/>
          <w:iCs/>
          <w:lang w:eastAsia="en-US"/>
        </w:rPr>
        <w:t>R</w:t>
      </w:r>
      <w:r w:rsidR="5FC9F8B4" w:rsidRPr="006B46C0">
        <w:rPr>
          <w:rFonts w:eastAsia="Times New Roman"/>
          <w:i/>
          <w:iCs/>
          <w:lang w:eastAsia="en-US"/>
        </w:rPr>
        <w:t xml:space="preserve">ritja </w:t>
      </w:r>
      <w:r w:rsidRPr="006B46C0">
        <w:rPr>
          <w:rFonts w:eastAsia="Times New Roman"/>
          <w:i/>
          <w:iCs/>
          <w:lang w:eastAsia="en-US"/>
        </w:rPr>
        <w:t>e numrit të personave me aftësi të kufizuara në procesin e votimit, dhënia e mundësisë për të mbrojtur interesat e tyre dhe për të marrë pjesë në vendimmarrje</w:t>
      </w:r>
      <w:r w:rsidRPr="00CB13F7">
        <w:rPr>
          <w:rFonts w:eastAsia="Times New Roman"/>
          <w:lang w:eastAsia="en-US"/>
        </w:rPr>
        <w:t>.</w:t>
      </w:r>
    </w:p>
    <w:p w14:paraId="398098A8" w14:textId="77777777" w:rsidR="006C3BD6" w:rsidRPr="00CB13F7" w:rsidRDefault="006C3BD6"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0E37F592" w14:textId="3CAA840D" w:rsidR="00DD0457" w:rsidRPr="00CB13F7" w:rsidRDefault="006C3BD6" w:rsidP="00DD0457">
      <w:pPr>
        <w:pStyle w:val="ListParagraph"/>
        <w:numPr>
          <w:ilvl w:val="1"/>
          <w:numId w:val="49"/>
        </w:numPr>
        <w:spacing w:before="120" w:after="120" w:line="276" w:lineRule="auto"/>
        <w:ind w:left="720"/>
        <w:jc w:val="both"/>
        <w:rPr>
          <w:rFonts w:eastAsia="Times New Roman"/>
          <w:lang w:eastAsia="en-US"/>
        </w:rPr>
      </w:pPr>
      <w:r w:rsidRPr="00CB13F7">
        <w:rPr>
          <w:rFonts w:eastAsia="Times New Roman"/>
          <w:lang w:eastAsia="en-US"/>
        </w:rPr>
        <w:t>Përmirësime ligjore për të mundësuar pjesëmarrjen në votime të të gjithë votuesve me aftësi të kufizuara</w:t>
      </w:r>
      <w:r w:rsidR="00DD0457" w:rsidRPr="00CB13F7">
        <w:rPr>
          <w:rFonts w:eastAsia="Times New Roman"/>
          <w:lang w:eastAsia="en-US"/>
        </w:rPr>
        <w:t>;</w:t>
      </w:r>
    </w:p>
    <w:p w14:paraId="156D49D0" w14:textId="205D05CD" w:rsidR="006C3BD6" w:rsidRPr="00CB13F7" w:rsidRDefault="006C3BD6" w:rsidP="00DD0457">
      <w:pPr>
        <w:pStyle w:val="ListParagraph"/>
        <w:numPr>
          <w:ilvl w:val="1"/>
          <w:numId w:val="49"/>
        </w:numPr>
        <w:spacing w:before="120" w:after="120" w:line="276" w:lineRule="auto"/>
        <w:ind w:left="720"/>
        <w:jc w:val="both"/>
        <w:rPr>
          <w:rFonts w:eastAsia="Times New Roman"/>
          <w:lang w:eastAsia="en-US"/>
        </w:rPr>
      </w:pPr>
      <w:r w:rsidRPr="00CB13F7">
        <w:rPr>
          <w:rFonts w:eastAsia="Times New Roman"/>
          <w:lang w:eastAsia="en-US"/>
        </w:rPr>
        <w:t>Rritje e ndërgjegjësimit për pjesëmarrjen e personave me aftësi të kufizuara në proceset zgjedhore, jo vetëm si votues.</w:t>
      </w:r>
    </w:p>
    <w:p w14:paraId="1CB56FCE" w14:textId="7BEE2C28" w:rsidR="006C3BD6" w:rsidRPr="00CB13F7" w:rsidRDefault="03FF50EA" w:rsidP="00BA2B1D">
      <w:pPr>
        <w:spacing w:before="120" w:after="120" w:line="276" w:lineRule="auto"/>
        <w:jc w:val="both"/>
        <w:rPr>
          <w:rFonts w:eastAsia="Times New Roman"/>
          <w:lang w:eastAsia="en-US"/>
        </w:rPr>
      </w:pPr>
      <w:r w:rsidRPr="00CB13F7">
        <w:rPr>
          <w:rFonts w:eastAsia="Times New Roman"/>
          <w:lang w:eastAsia="en-US"/>
        </w:rPr>
        <w:t xml:space="preserve">Ky objektiv synon të garantojë që e drejta e votës për personat me aftësi të kufizuara të mos mbetet thjesht një garanci formale, por të jetë e zbatueshme në çdo nivel. </w:t>
      </w:r>
      <w:r w:rsidR="3CAF5978" w:rsidRPr="00CB13F7">
        <w:rPr>
          <w:rFonts w:eastAsia="Times New Roman"/>
          <w:lang w:eastAsia="en-US"/>
        </w:rPr>
        <w:t>Në praktikë, një pjesë e konsiderueshme e personave me aftësi të kufizuara hasin pengesa për të marrë pjesë në proceset zgjedhore, të lidhura me mungesën e informacionit të përshtatur, pamundësinë fizike për të shkuar në qendrat e votimit, procedurat administrative jo fleksibël dhe mungesën e mbështetjes së personalizuar. Plani synon të adresojë këto pengesa në mënyrë sistematike, duke ndërhyrë njëkohësisht në legjislacion, procedura, informacion dhe ndërgjegjësim.</w:t>
      </w:r>
    </w:p>
    <w:p w14:paraId="778EF0FF" w14:textId="77777777"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Në radhë të parë, ndërhyrjet fokusohen në përmirësimin e kuadrit ligjor dhe administrativ zgjedhor. Parashikohet që njësitë e vetëqeverisjes vendore të kenë detyrimin të dërgojnë në Komisionin Qendror të Zgjedhjeve të dhëna mbi zgjedhësit me aftësi të kufizuara dhe nevojat konkrete të tyre për pjesëmarrje në votim. Kjo do të mundësojë planifikim paraprak të aksesueshmërisë dhe mbështetjes së nevojshme. Paralelisht, do të përmirësohen dispozitat e Kodit Zgjedhor dhe procedurat administrative për të siguruar që personat që nuk mund të largohen nga vendbanimi të kenë mundësi reale për të votuar, duke reduktuar kështu përjashtimin faktik nga procesi zgjedhor.</w:t>
      </w:r>
    </w:p>
    <w:p w14:paraId="41C06B8F" w14:textId="77777777"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 xml:space="preserve">Një element i rëndësishëm i reformës është sigurimi i votimit të pavarur për personat me aftësi të kufizuara intelektuale dhe </w:t>
      </w:r>
      <w:r w:rsidR="002B3406" w:rsidRPr="00CB13F7">
        <w:rPr>
          <w:rFonts w:eastAsia="Times New Roman"/>
          <w:lang w:eastAsia="en-US"/>
        </w:rPr>
        <w:t>psiko-sociale</w:t>
      </w:r>
      <w:r w:rsidRPr="00CB13F7">
        <w:rPr>
          <w:rFonts w:eastAsia="Times New Roman"/>
          <w:lang w:eastAsia="en-US"/>
        </w:rPr>
        <w:t>. Kjo do të realizohet përmes përshtatjes së materialeve zgjedhore në formate të thjeshtuara dhe të kuptueshme, në mënyrë që informacioni mbi procedurat dhe alternativat zgjedhore të jetë i aksesueshëm dhe të mos kërkojë ndërmjetësim nga persona të tjerë. Synimi është që çdo zgjedhës të mund të votojë në mënyrë autonome dhe me votë të fshehtë.</w:t>
      </w:r>
    </w:p>
    <w:p w14:paraId="0DEB2FA2" w14:textId="5D4F4C4F"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 xml:space="preserve">Njëkohësisht, sistemi i të dhënave të Komisionit Qendror të Zgjedhjeve do të </w:t>
      </w:r>
      <w:r w:rsidR="004A279B" w:rsidRPr="00CB13F7">
        <w:rPr>
          <w:rFonts w:eastAsia="Times New Roman"/>
          <w:lang w:eastAsia="en-US"/>
        </w:rPr>
        <w:t xml:space="preserve">riorganizohet </w:t>
      </w:r>
      <w:r w:rsidRPr="00CB13F7">
        <w:rPr>
          <w:rFonts w:eastAsia="Times New Roman"/>
          <w:lang w:eastAsia="en-US"/>
        </w:rPr>
        <w:t xml:space="preserve">për të prodhuar statistika mbi pjesëmarrjen e personave me aftësi të kufizuara, duke përfshirë numrin e qendrave të votimit të aksesueshme dhe numrin e votuesve që marrin pjesë. Kjo do të krijojë një bazë të qëndrueshme </w:t>
      </w:r>
      <w:r w:rsidR="006C59B3" w:rsidRPr="00CB13F7">
        <w:rPr>
          <w:rFonts w:eastAsia="Times New Roman"/>
          <w:lang w:eastAsia="en-US"/>
        </w:rPr>
        <w:t xml:space="preserve">të dhënash </w:t>
      </w:r>
      <w:r w:rsidRPr="00CB13F7">
        <w:rPr>
          <w:rFonts w:eastAsia="Times New Roman"/>
          <w:lang w:eastAsia="en-US"/>
        </w:rPr>
        <w:t>për monitorimin e progresit dhe përmirësimin e vazhdueshëm të procesit zgjedhor.</w:t>
      </w:r>
    </w:p>
    <w:p w14:paraId="128F15CC" w14:textId="77777777"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 xml:space="preserve">Përtej ndryshimeve ligjore, plani synon të ndryshojë edhe qasjen sociale ndaj pjesëmarrjes politike. Përmes fushatave ndërgjegjësuese të zhvilluara në bashkëpunim me organizatat e personave me </w:t>
      </w:r>
      <w:r w:rsidRPr="00CB13F7">
        <w:rPr>
          <w:rFonts w:eastAsia="Times New Roman"/>
          <w:lang w:eastAsia="en-US"/>
        </w:rPr>
        <w:lastRenderedPageBreak/>
        <w:t xml:space="preserve">aftësi të kufizuara, do të promovohet pjesëmarrja aktive në zgjedhje dhe njohja e të drejtave politike. Këto aktivitete do të synojnë të kapërcejnë </w:t>
      </w:r>
      <w:r w:rsidR="002B3406" w:rsidRPr="00CB13F7">
        <w:rPr>
          <w:rFonts w:eastAsia="Times New Roman"/>
          <w:lang w:eastAsia="en-US"/>
        </w:rPr>
        <w:t>vetë-përjashtimin</w:t>
      </w:r>
      <w:r w:rsidRPr="00CB13F7">
        <w:rPr>
          <w:rFonts w:eastAsia="Times New Roman"/>
          <w:lang w:eastAsia="en-US"/>
        </w:rPr>
        <w:t xml:space="preserve"> dhe perceptimin se procesi politik nuk është i arritshëm për këtë kategori qytetarësh.</w:t>
      </w:r>
    </w:p>
    <w:p w14:paraId="1643F294" w14:textId="462F56E1" w:rsidR="006C3BD6" w:rsidRPr="00CB13F7" w:rsidRDefault="006C3BD6" w:rsidP="00BA2B1D">
      <w:pPr>
        <w:spacing w:before="120" w:after="120" w:line="276" w:lineRule="auto"/>
        <w:jc w:val="both"/>
        <w:rPr>
          <w:rFonts w:eastAsia="Times New Roman"/>
          <w:lang w:eastAsia="en-US"/>
        </w:rPr>
      </w:pPr>
      <w:r w:rsidRPr="00CB13F7">
        <w:rPr>
          <w:rFonts w:eastAsia="Times New Roman"/>
          <w:lang w:eastAsia="en-US"/>
        </w:rPr>
        <w:t xml:space="preserve">Plani parashikon </w:t>
      </w:r>
      <w:r w:rsidR="00AA53AC" w:rsidRPr="00CB13F7">
        <w:rPr>
          <w:rFonts w:eastAsia="Times New Roman"/>
          <w:lang w:eastAsia="en-US"/>
        </w:rPr>
        <w:t xml:space="preserve">edhe </w:t>
      </w:r>
      <w:r w:rsidRPr="00CB13F7">
        <w:rPr>
          <w:rFonts w:eastAsia="Times New Roman"/>
          <w:lang w:eastAsia="en-US"/>
        </w:rPr>
        <w:t>ndërtimin e kapaciteteve të personave me aftësi të kufizuara për t’u përfshirë në administrimin e zgjedhjeve, si anëtarë komisionesh apo vëzhgues, duke kaluar nga roli pasiv i votuesit në rolin aktiv të pjesëmarrësit në procesin demokratik. Një hap më tej është promovimi i përfaqësimit në organet e vetëqeverisjes vendore, përmes analizës së mundësisë së kuotave për kandidimin dhe pjesëmarrjen në këshillat bashkiakë, në mënyrë të ngjashme me mekanizmat e barazisë gjinore.</w:t>
      </w:r>
    </w:p>
    <w:p w14:paraId="47BDC579" w14:textId="4DE5A7A3" w:rsidR="006C3BD6" w:rsidRPr="00CB13F7" w:rsidRDefault="00184AFC" w:rsidP="00BA2B1D">
      <w:pPr>
        <w:spacing w:before="120" w:after="120" w:line="276" w:lineRule="auto"/>
        <w:jc w:val="both"/>
        <w:rPr>
          <w:rFonts w:eastAsia="Times New Roman"/>
          <w:lang w:eastAsia="en-US"/>
        </w:rPr>
      </w:pPr>
      <w:r w:rsidRPr="00CB13F7">
        <w:rPr>
          <w:rFonts w:eastAsia="Times New Roman"/>
          <w:lang w:eastAsia="en-US"/>
        </w:rPr>
        <w:t>Objektivi</w:t>
      </w:r>
      <w:r w:rsidR="004B7F63" w:rsidRPr="00CB13F7">
        <w:rPr>
          <w:rFonts w:eastAsia="Times New Roman"/>
          <w:lang w:eastAsia="en-US"/>
        </w:rPr>
        <w:t xml:space="preserve"> </w:t>
      </w:r>
      <w:r w:rsidR="006C3BD6" w:rsidRPr="00CB13F7">
        <w:rPr>
          <w:rFonts w:eastAsia="Times New Roman"/>
          <w:lang w:eastAsia="en-US"/>
        </w:rPr>
        <w:t xml:space="preserve">synon të transformojë pjesëmarrjen politike të personave me aftësi të kufizuara nga një e drejtë teorike në një pjesëmarrje reale dhe aktive. Përmes përmirësimit të legjislacionit, aksesit në votim, informacionit të përshtatur, ndërgjegjësimit dhe përfaqësimit në vendimmarrje, </w:t>
      </w:r>
      <w:r w:rsidR="0089502A" w:rsidRPr="00CB13F7">
        <w:rPr>
          <w:rFonts w:eastAsia="Times New Roman"/>
          <w:lang w:eastAsia="en-US"/>
        </w:rPr>
        <w:t xml:space="preserve">Plani </w:t>
      </w:r>
      <w:r w:rsidR="006C3BD6" w:rsidRPr="00CB13F7">
        <w:rPr>
          <w:rFonts w:eastAsia="Times New Roman"/>
          <w:lang w:eastAsia="en-US"/>
        </w:rPr>
        <w:t>parashikon që personat me aftësi të kufizuara të kenë mundësi të barabarta për të ndikuar në politikat publike dhe për të mbrojtur interesat e tyre si qytetarë të plotë.</w:t>
      </w:r>
    </w:p>
    <w:p w14:paraId="564D8527" w14:textId="7B2102E6" w:rsidR="00FA475B" w:rsidRPr="00CB13F7" w:rsidRDefault="2E20D2F0" w:rsidP="661F9D2E">
      <w:pPr>
        <w:pStyle w:val="NormalWeb"/>
        <w:spacing w:before="120" w:beforeAutospacing="0" w:after="120" w:afterAutospacing="0" w:line="276" w:lineRule="auto"/>
        <w:jc w:val="both"/>
        <w:rPr>
          <w:b/>
          <w:bCs/>
          <w:lang w:val="sq-AL"/>
        </w:rPr>
      </w:pPr>
      <w:r w:rsidRPr="00CB13F7">
        <w:rPr>
          <w:b/>
          <w:bCs/>
          <w:lang w:val="sq-AL"/>
        </w:rPr>
        <w:t xml:space="preserve">Objektivi </w:t>
      </w:r>
      <w:r w:rsidR="72C7209D" w:rsidRPr="00CB13F7">
        <w:rPr>
          <w:b/>
          <w:bCs/>
          <w:lang w:val="sq-AL"/>
        </w:rPr>
        <w:t xml:space="preserve">specifik </w:t>
      </w:r>
      <w:r w:rsidRPr="00CB13F7">
        <w:rPr>
          <w:b/>
          <w:bCs/>
          <w:lang w:val="sq-AL"/>
        </w:rPr>
        <w:t>2</w:t>
      </w:r>
      <w:r w:rsidR="065FB9A2" w:rsidRPr="00CB13F7">
        <w:rPr>
          <w:b/>
          <w:bCs/>
          <w:lang w:val="sq-AL"/>
        </w:rPr>
        <w:t xml:space="preserve">: </w:t>
      </w:r>
      <w:r w:rsidR="755ADB40" w:rsidRPr="006B46C0">
        <w:rPr>
          <w:i/>
          <w:iCs/>
          <w:lang w:val="sq-AL"/>
        </w:rPr>
        <w:t>P</w:t>
      </w:r>
      <w:r w:rsidR="065FB9A2" w:rsidRPr="00CB13F7">
        <w:rPr>
          <w:i/>
          <w:iCs/>
          <w:lang w:val="sq-AL"/>
        </w:rPr>
        <w:t xml:space="preserve">romovimi </w:t>
      </w:r>
      <w:r w:rsidRPr="00CB13F7">
        <w:rPr>
          <w:i/>
          <w:iCs/>
          <w:lang w:val="sq-AL"/>
        </w:rPr>
        <w:t>i punës së artistëve me aftësi të kufizuara dhe përfshirja e personave me aftësi të kufizuara në jetën artistike, për të marrë pjesë në aktivitete dhe evenimente sportive kombëtare dhe ndërkombëtare.</w:t>
      </w:r>
    </w:p>
    <w:p w14:paraId="2EF80DAD" w14:textId="77777777" w:rsidR="00425781" w:rsidRPr="00CB13F7" w:rsidRDefault="00FA475B" w:rsidP="00425781">
      <w:pPr>
        <w:pStyle w:val="NormalWeb"/>
        <w:spacing w:before="120" w:beforeAutospacing="0" w:after="120" w:afterAutospacing="0" w:line="276" w:lineRule="auto"/>
        <w:jc w:val="both"/>
        <w:rPr>
          <w:lang w:val="sq-AL"/>
        </w:rPr>
      </w:pPr>
      <w:r w:rsidRPr="00CB13F7">
        <w:rPr>
          <w:b/>
          <w:bCs/>
          <w:i/>
          <w:iCs/>
          <w:lang w:val="sq-AL"/>
        </w:rPr>
        <w:t xml:space="preserve">Masa prioritare </w:t>
      </w:r>
    </w:p>
    <w:p w14:paraId="05C85DDB" w14:textId="28F3E07E" w:rsidR="00425781" w:rsidRPr="00CB13F7" w:rsidRDefault="00FA475B" w:rsidP="00425781">
      <w:pPr>
        <w:pStyle w:val="NormalWeb"/>
        <w:numPr>
          <w:ilvl w:val="0"/>
          <w:numId w:val="50"/>
        </w:numPr>
        <w:spacing w:before="120" w:beforeAutospacing="0" w:after="120" w:afterAutospacing="0" w:line="276" w:lineRule="auto"/>
        <w:jc w:val="both"/>
        <w:rPr>
          <w:lang w:val="sq-AL"/>
        </w:rPr>
      </w:pPr>
      <w:r w:rsidRPr="00CB13F7">
        <w:rPr>
          <w:lang w:val="sq-AL"/>
        </w:rPr>
        <w:t xml:space="preserve">Rritje e aksesit për pjesëmarrje </w:t>
      </w:r>
      <w:r w:rsidR="00425781" w:rsidRPr="00CB13F7">
        <w:rPr>
          <w:lang w:val="sq-AL"/>
        </w:rPr>
        <w:t xml:space="preserve">të </w:t>
      </w:r>
      <w:r w:rsidRPr="00CB13F7">
        <w:rPr>
          <w:lang w:val="sq-AL"/>
        </w:rPr>
        <w:t>PAK në aktivitete kulturore e sportive</w:t>
      </w:r>
      <w:r w:rsidR="00425781" w:rsidRPr="00CB13F7">
        <w:rPr>
          <w:lang w:val="sq-AL"/>
        </w:rPr>
        <w:t>;</w:t>
      </w:r>
    </w:p>
    <w:p w14:paraId="676C66FA" w14:textId="73866472" w:rsidR="00FA475B" w:rsidRPr="00CB13F7" w:rsidRDefault="00FA475B" w:rsidP="00425781">
      <w:pPr>
        <w:pStyle w:val="NormalWeb"/>
        <w:numPr>
          <w:ilvl w:val="0"/>
          <w:numId w:val="50"/>
        </w:numPr>
        <w:spacing w:before="120" w:beforeAutospacing="0" w:after="120" w:afterAutospacing="0" w:line="276" w:lineRule="auto"/>
        <w:jc w:val="both"/>
        <w:rPr>
          <w:lang w:val="sq-AL"/>
        </w:rPr>
      </w:pPr>
      <w:r w:rsidRPr="00CB13F7">
        <w:rPr>
          <w:lang w:val="sq-AL"/>
        </w:rPr>
        <w:t>Ngritja dhe fuqizimi i kapaciteteve</w:t>
      </w:r>
      <w:r w:rsidR="00425781" w:rsidRPr="00CB13F7">
        <w:rPr>
          <w:lang w:val="sq-AL"/>
        </w:rPr>
        <w:t>.</w:t>
      </w:r>
    </w:p>
    <w:p w14:paraId="44B7658E" w14:textId="76EDD55A" w:rsidR="00FA475B" w:rsidRPr="00CB13F7" w:rsidRDefault="00FA475B" w:rsidP="006B46C0">
      <w:pPr>
        <w:pStyle w:val="NormalWeb"/>
        <w:spacing w:before="120" w:beforeAutospacing="0" w:after="120" w:afterAutospacing="0" w:line="276" w:lineRule="auto"/>
        <w:jc w:val="both"/>
        <w:rPr>
          <w:lang w:val="sq-AL"/>
        </w:rPr>
      </w:pPr>
      <w:r w:rsidRPr="00CB13F7">
        <w:rPr>
          <w:lang w:val="sq-AL"/>
        </w:rPr>
        <w:t>Objektivi specifik 2 synon të sigurojë përfshirjen e plotë dhe të barabartë të personave me aftësi të kufizuara në jetën artistike, kulturore dhe sportive, duke promovuar talentin dhe punën e artistëve me aftësi të kufizuara</w:t>
      </w:r>
      <w:r w:rsidR="00425781" w:rsidRPr="00CB13F7">
        <w:rPr>
          <w:lang w:val="sq-AL"/>
        </w:rPr>
        <w:t>,</w:t>
      </w:r>
      <w:r w:rsidRPr="00CB13F7">
        <w:rPr>
          <w:lang w:val="sq-AL"/>
        </w:rPr>
        <w:t xml:space="preserve"> si dhe duke rritur mundësitë për pjesëmarrje aktive në aktivitete dhe evenimente kombëtare e ndërkombëtare. Aktualisht, pjesëmarrja e kësaj kategorie mbetet e kufizuar për shkak të barrierave fizike, institucionale dhe sociale, mungesës së programeve të përshtatura dhe kapaciteteve profesionale të pamjaftueshme, si dhe mungesës së të dhënave të strukturuara mbi përfshirjen e tyre.</w:t>
      </w:r>
    </w:p>
    <w:p w14:paraId="4ABFBF2B" w14:textId="3A15AFF9" w:rsidR="00FA475B" w:rsidRPr="00CB13F7" w:rsidRDefault="00FA475B" w:rsidP="006B46C0">
      <w:pPr>
        <w:pStyle w:val="NormalWeb"/>
        <w:spacing w:before="120" w:beforeAutospacing="0" w:after="120" w:afterAutospacing="0" w:line="276" w:lineRule="auto"/>
        <w:jc w:val="both"/>
        <w:rPr>
          <w:lang w:val="sq-AL"/>
        </w:rPr>
      </w:pPr>
      <w:r w:rsidRPr="00CB13F7">
        <w:rPr>
          <w:lang w:val="sq-AL"/>
        </w:rPr>
        <w:t>Nëpërmjet rritjes së aksesit në aktivitete kulturore dhe sportive, institucionalizimit të bashkëpunimit me organizatat e personave me aftësi të kufizuara, përmirësimit të sistemit të mbledhjes së të dhënave dhe zgjerimit të qendrave gjithëpërfshirëse</w:t>
      </w:r>
      <w:r w:rsidR="00A316C6" w:rsidRPr="00CB13F7">
        <w:rPr>
          <w:lang w:val="sq-AL"/>
        </w:rPr>
        <w:t xml:space="preserve">. Ky </w:t>
      </w:r>
      <w:r w:rsidRPr="00CB13F7">
        <w:rPr>
          <w:lang w:val="sq-AL"/>
        </w:rPr>
        <w:t>objektiv synon të krijojë kushte të barabarta pjesëmarrjeje. Paralelisht, përmes ngritjes së kapaciteteve profesionale, trajnimit të mësuesve dhe përfshirjes së personave me aftësi të kufizuara në strukturat vendimmarrëse sportive, synohet përmirësimi i cilësisë së shërbimeve dhe përfaqësimi i drejtpërdrejtë i tyre.</w:t>
      </w:r>
    </w:p>
    <w:p w14:paraId="648BFB9E" w14:textId="13C0F0A7" w:rsidR="006C3BD6" w:rsidRPr="00CB13F7" w:rsidRDefault="2E20D2F0" w:rsidP="006B46C0">
      <w:pPr>
        <w:pStyle w:val="NormalWeb"/>
        <w:spacing w:before="120" w:beforeAutospacing="0" w:after="120" w:afterAutospacing="0" w:line="276" w:lineRule="auto"/>
        <w:jc w:val="both"/>
        <w:rPr>
          <w:lang w:val="sq-AL"/>
        </w:rPr>
      </w:pPr>
      <w:r w:rsidRPr="00CB13F7">
        <w:rPr>
          <w:lang w:val="sq-AL"/>
        </w:rPr>
        <w:t>Zbatimi i këtij objektivi pritet të kontribuojë në fuqizimin social të personave me aftësi të kufizuara, rritjen e dukshmërisë së tyre në shoqëri dhe garantimin e ushtrimit të të drejtës për pjesëmarrje në jetën kulturore, rekreative dhe sportive në kushte të barabarta me të</w:t>
      </w:r>
      <w:r w:rsidR="0F54EE07" w:rsidRPr="00CB13F7">
        <w:rPr>
          <w:lang w:val="sq-AL"/>
        </w:rPr>
        <w:t>.</w:t>
      </w:r>
      <w:r w:rsidRPr="00CB13F7">
        <w:rPr>
          <w:lang w:val="sq-AL"/>
        </w:rPr>
        <w:t xml:space="preserve"> </w:t>
      </w:r>
    </w:p>
    <w:p w14:paraId="6940BEDA" w14:textId="670069DD" w:rsidR="00E87FBC" w:rsidRPr="00CB13F7" w:rsidRDefault="002E1CAF" w:rsidP="006B46C0">
      <w:pPr>
        <w:spacing w:before="120" w:after="120" w:line="276" w:lineRule="auto"/>
        <w:jc w:val="both"/>
        <w:rPr>
          <w:rFonts w:eastAsia="Times New Roman"/>
          <w:b/>
          <w:bCs/>
          <w:lang w:eastAsia="en-US"/>
        </w:rPr>
      </w:pPr>
      <w:r w:rsidRPr="00CB13F7">
        <w:rPr>
          <w:rFonts w:eastAsia="Times New Roman"/>
          <w:b/>
          <w:bCs/>
          <w:lang w:eastAsia="en-US"/>
        </w:rPr>
        <w:lastRenderedPageBreak/>
        <w:t>4.8</w:t>
      </w:r>
      <w:r w:rsidR="00D90D80" w:rsidRPr="00CB13F7">
        <w:rPr>
          <w:rFonts w:eastAsia="Times New Roman"/>
          <w:b/>
          <w:bCs/>
          <w:lang w:eastAsia="en-US"/>
        </w:rPr>
        <w:t xml:space="preserve"> </w:t>
      </w:r>
      <w:r w:rsidR="00E87FBC" w:rsidRPr="00CB13F7">
        <w:rPr>
          <w:rFonts w:eastAsia="Times New Roman"/>
          <w:b/>
          <w:bCs/>
          <w:lang w:eastAsia="en-US"/>
        </w:rPr>
        <w:t xml:space="preserve">Bashkëpunimi dhe Koordinimi Ndërinstitucional </w:t>
      </w:r>
    </w:p>
    <w:p w14:paraId="73E6A4F5" w14:textId="15EA36FA" w:rsidR="00E87FBC" w:rsidRPr="00CB13F7" w:rsidRDefault="002B3406" w:rsidP="006B46C0">
      <w:pPr>
        <w:spacing w:before="120" w:after="120" w:line="276" w:lineRule="auto"/>
        <w:jc w:val="both"/>
        <w:rPr>
          <w:rFonts w:eastAsia="Times New Roman"/>
          <w:b/>
          <w:bCs/>
          <w:lang w:eastAsia="en-US"/>
        </w:rPr>
      </w:pPr>
      <w:r w:rsidRPr="00CB13F7">
        <w:rPr>
          <w:rFonts w:eastAsia="Times New Roman"/>
          <w:b/>
          <w:bCs/>
          <w:lang w:eastAsia="en-US"/>
        </w:rPr>
        <w:t>4.8.1</w:t>
      </w:r>
      <w:r w:rsidR="00D90D80" w:rsidRPr="00CB13F7">
        <w:rPr>
          <w:rFonts w:eastAsia="Times New Roman"/>
          <w:b/>
          <w:bCs/>
          <w:lang w:eastAsia="en-US"/>
        </w:rPr>
        <w:t xml:space="preserve"> </w:t>
      </w:r>
      <w:r w:rsidRPr="00CB13F7">
        <w:rPr>
          <w:rFonts w:eastAsia="Times New Roman"/>
          <w:b/>
          <w:bCs/>
          <w:lang w:eastAsia="en-US"/>
        </w:rPr>
        <w:t>Korniza</w:t>
      </w:r>
      <w:r w:rsidR="00E87FBC" w:rsidRPr="00CB13F7">
        <w:rPr>
          <w:rFonts w:eastAsia="Times New Roman"/>
          <w:b/>
          <w:bCs/>
          <w:lang w:eastAsia="en-US"/>
        </w:rPr>
        <w:t xml:space="preserve"> Strategjike</w:t>
      </w:r>
    </w:p>
    <w:p w14:paraId="72533D31" w14:textId="0A747206" w:rsidR="00E87FBC" w:rsidRPr="00CB13F7" w:rsidRDefault="2CEDA48E" w:rsidP="006B46C0">
      <w:pPr>
        <w:spacing w:before="120" w:after="120" w:line="276" w:lineRule="auto"/>
        <w:jc w:val="both"/>
        <w:rPr>
          <w:rFonts w:eastAsia="Times New Roman"/>
          <w:lang w:eastAsia="en-US"/>
        </w:rPr>
      </w:pPr>
      <w:r w:rsidRPr="00CB13F7">
        <w:rPr>
          <w:rFonts w:eastAsia="Times New Roman"/>
          <w:lang w:eastAsia="en-US"/>
        </w:rPr>
        <w:t xml:space="preserve">Korniza strategjike e fushës së bashkëpunimit dhe koordinimit ndërinstitucional në Planin </w:t>
      </w:r>
      <w:r w:rsidR="3643C739" w:rsidRPr="00CB13F7">
        <w:rPr>
          <w:rFonts w:eastAsia="Times New Roman"/>
          <w:lang w:eastAsia="en-US"/>
        </w:rPr>
        <w:t>Kombëtar të</w:t>
      </w:r>
      <w:r w:rsidRPr="00CB13F7">
        <w:rPr>
          <w:rFonts w:eastAsia="Times New Roman"/>
          <w:lang w:eastAsia="en-US"/>
        </w:rPr>
        <w:t xml:space="preserve"> Veprimit </w:t>
      </w:r>
      <w:r w:rsidR="7CC4ABD3" w:rsidRPr="00CB13F7">
        <w:rPr>
          <w:rFonts w:eastAsia="Times New Roman"/>
          <w:lang w:eastAsia="en-US"/>
        </w:rPr>
        <w:t xml:space="preserve">për Personat me Aftësi të Kufizuara </w:t>
      </w:r>
      <w:r w:rsidRPr="00CB13F7">
        <w:rPr>
          <w:rFonts w:eastAsia="Times New Roman"/>
          <w:lang w:eastAsia="en-US"/>
        </w:rPr>
        <w:t>2026</w:t>
      </w:r>
      <w:r w:rsidR="0F54EE07" w:rsidRPr="00CB13F7">
        <w:rPr>
          <w:rFonts w:eastAsia="Times New Roman"/>
          <w:lang w:eastAsia="en-US"/>
        </w:rPr>
        <w:t>-</w:t>
      </w:r>
      <w:r w:rsidRPr="00CB13F7">
        <w:rPr>
          <w:rFonts w:eastAsia="Times New Roman"/>
          <w:lang w:eastAsia="en-US"/>
        </w:rPr>
        <w:t>2030 mbështetet mbi parimin themelor se realizimi i të drejtave të personave me aftësi të kufizuara nuk është përgjegjësi e një sektori të vetëm, por një detyrim ndërsektorial i të gjithë shtetit. Kjo qasje buron drejtpërdrejt nga Konventa e OKB për të Drejtat e Personave me Aftësi të Kufizuara (</w:t>
      </w:r>
      <w:r w:rsidR="280024DB" w:rsidRPr="00CB13F7">
        <w:rPr>
          <w:rFonts w:eastAsia="Times New Roman"/>
          <w:lang w:eastAsia="en-US"/>
        </w:rPr>
        <w:t xml:space="preserve"> KDPAK</w:t>
      </w:r>
      <w:r w:rsidR="00E87FBC" w:rsidRPr="00CB13F7">
        <w:rPr>
          <w:rFonts w:eastAsia="Times New Roman"/>
          <w:vertAlign w:val="superscript"/>
          <w:lang w:eastAsia="en-US"/>
        </w:rPr>
        <w:footnoteReference w:id="83"/>
      </w:r>
      <w:r w:rsidRPr="00CB13F7">
        <w:rPr>
          <w:lang w:eastAsia="en-US"/>
        </w:rPr>
        <w:t>￼</w:t>
      </w:r>
      <w:r w:rsidRPr="00CB13F7">
        <w:rPr>
          <w:rFonts w:eastAsia="Times New Roman"/>
          <w:lang w:eastAsia="en-US"/>
        </w:rPr>
        <w:t xml:space="preserve">, e cila kërkon që shtetet të sigurojnë koordinim institucional horizontal dhe vertikal për zbatimin efektiv të konventës, përfshirë krijimin e mekanizmave koordinues, monitorues dhe konsultues me organizatat e personave me aftësi të kufizuara (neni 33 i </w:t>
      </w:r>
      <w:r w:rsidR="2444DE99" w:rsidRPr="00CB13F7">
        <w:rPr>
          <w:rFonts w:eastAsia="Times New Roman"/>
          <w:lang w:eastAsia="en-US"/>
        </w:rPr>
        <w:t xml:space="preserve"> KDPAK</w:t>
      </w:r>
      <w:r w:rsidRPr="00CB13F7">
        <w:rPr>
          <w:rFonts w:eastAsia="Times New Roman"/>
          <w:lang w:eastAsia="en-US"/>
        </w:rPr>
        <w:t>). Konventa vendos si standard pjesëmarrjen aktive të organizatave përfaqësuese të personave me aftësi të kufizuara në hartimin, zbatimin dhe monitorimin e politikave publike.</w:t>
      </w:r>
    </w:p>
    <w:p w14:paraId="7E5F7A1B" w14:textId="207F1DD3" w:rsidR="00E87FBC" w:rsidRPr="00CB13F7" w:rsidRDefault="2CEDA48E" w:rsidP="661F9D2E">
      <w:pPr>
        <w:spacing w:before="120" w:after="120" w:line="276" w:lineRule="auto"/>
        <w:jc w:val="both"/>
        <w:rPr>
          <w:rFonts w:eastAsia="Times New Roman"/>
          <w:lang w:eastAsia="en-US"/>
        </w:rPr>
      </w:pPr>
      <w:r w:rsidRPr="00CB13F7">
        <w:rPr>
          <w:rFonts w:eastAsia="Times New Roman"/>
          <w:lang w:eastAsia="en-US"/>
        </w:rPr>
        <w:t xml:space="preserve">Në këtë kuadër, fusha e bashkëpunimit institucional në </w:t>
      </w:r>
      <w:r w:rsidR="2C1AD599" w:rsidRPr="00CB13F7">
        <w:rPr>
          <w:rFonts w:eastAsia="Times New Roman"/>
          <w:lang w:eastAsia="en-US"/>
        </w:rPr>
        <w:t xml:space="preserve">Plan </w:t>
      </w:r>
      <w:r w:rsidRPr="00CB13F7">
        <w:rPr>
          <w:rFonts w:eastAsia="Times New Roman"/>
          <w:lang w:eastAsia="en-US"/>
        </w:rPr>
        <w:t xml:space="preserve">synon të </w:t>
      </w:r>
      <w:r w:rsidR="25DFF55D" w:rsidRPr="00CB13F7">
        <w:rPr>
          <w:rFonts w:eastAsia="Times New Roman"/>
          <w:lang w:eastAsia="en-US"/>
        </w:rPr>
        <w:t>shndërrojë parimin “asgjë për ne pa ne” në veprime konkrete</w:t>
      </w:r>
      <w:r w:rsidRPr="00CB13F7">
        <w:rPr>
          <w:rFonts w:eastAsia="Times New Roman"/>
          <w:lang w:eastAsia="en-US"/>
        </w:rPr>
        <w:t xml:space="preserve">, duke e shndërruar konsultimin me organizatat e personave me aftësi të kufizuara nga një praktikë formale në një mekanizëm të strukturuar vendimmarrjeje. Rekomandimet e Komitetit të </w:t>
      </w:r>
      <w:r w:rsidR="2981B85A" w:rsidRPr="00CB13F7">
        <w:rPr>
          <w:rFonts w:eastAsia="Times New Roman"/>
        </w:rPr>
        <w:t xml:space="preserve"> KDPAK</w:t>
      </w:r>
      <w:r w:rsidRPr="00CB13F7">
        <w:rPr>
          <w:rFonts w:eastAsia="Times New Roman"/>
          <w:lang w:eastAsia="en-US"/>
        </w:rPr>
        <w:t xml:space="preserve"> për Shqipërinë kanë theksuar nevojën për forcimin e koordinimit ndërinstitucional, përmirësimin e rolit të mekanizmave kombëtarë të monitorimit dhe mbledhjen sistematike të të dhënave mbi aftësinë e kufizuar për politika të bazuara në evidencë.</w:t>
      </w:r>
    </w:p>
    <w:p w14:paraId="2FDC6102" w14:textId="47A7EA7D"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Në nivel evropian, kjo qasje përputhet me Strategjinë e BE</w:t>
      </w:r>
      <w:r w:rsidR="5151E14A" w:rsidRPr="00CB13F7">
        <w:rPr>
          <w:rFonts w:eastAsia="Times New Roman"/>
          <w:lang w:eastAsia="en-US"/>
        </w:rPr>
        <w:t>-së</w:t>
      </w:r>
      <w:r w:rsidRPr="00CB13F7">
        <w:rPr>
          <w:rFonts w:eastAsia="Times New Roman"/>
          <w:lang w:eastAsia="en-US"/>
        </w:rPr>
        <w:t xml:space="preserve"> për të Drejtat e Personave me Aftësi të Kufizuara 2021</w:t>
      </w:r>
      <w:r w:rsidR="0849B9B3" w:rsidRPr="00CB13F7">
        <w:rPr>
          <w:rFonts w:eastAsia="Times New Roman"/>
          <w:lang w:eastAsia="en-US"/>
        </w:rPr>
        <w:t>-</w:t>
      </w:r>
      <w:r w:rsidRPr="00CB13F7">
        <w:rPr>
          <w:rFonts w:eastAsia="Times New Roman"/>
          <w:lang w:eastAsia="en-US"/>
        </w:rPr>
        <w:t>2030</w:t>
      </w:r>
      <w:r w:rsidR="00E87FBC" w:rsidRPr="00CB13F7">
        <w:rPr>
          <w:rFonts w:eastAsia="Times New Roman"/>
          <w:vertAlign w:val="superscript"/>
          <w:lang w:eastAsia="en-US"/>
        </w:rPr>
        <w:footnoteReference w:id="84"/>
      </w:r>
      <w:r w:rsidRPr="00CB13F7">
        <w:rPr>
          <w:rFonts w:eastAsia="Times New Roman"/>
          <w:lang w:eastAsia="en-US"/>
        </w:rPr>
        <w:t xml:space="preserve">, e cila thekson se zbatimi i politikave për aftësinë e kufizuar kërkon integrim të dimensionit të aftësisë së kufizuar në të gjitha politikat publike </w:t>
      </w:r>
      <w:r w:rsidR="03EED094" w:rsidRPr="00CB13F7">
        <w:rPr>
          <w:rFonts w:eastAsia="Times New Roman"/>
          <w:lang w:eastAsia="en-US"/>
        </w:rPr>
        <w:t>-</w:t>
      </w:r>
      <w:r w:rsidRPr="00CB13F7">
        <w:rPr>
          <w:rFonts w:eastAsia="Times New Roman"/>
          <w:lang w:eastAsia="en-US"/>
        </w:rPr>
        <w:t xml:space="preserve"> dhe një koordinim të fortë institucional midis sektorëve të punësimit, arsimit, mbrojtjes sociale, drejtësisë, shëndetësisë dhe </w:t>
      </w:r>
      <w:r w:rsidR="1FA65D21" w:rsidRPr="00CB13F7">
        <w:rPr>
          <w:rFonts w:eastAsia="Times New Roman"/>
          <w:lang w:eastAsia="en-US"/>
        </w:rPr>
        <w:t>vetë</w:t>
      </w:r>
      <w:r w:rsidRPr="00CB13F7">
        <w:rPr>
          <w:rFonts w:eastAsia="Times New Roman"/>
          <w:lang w:eastAsia="en-US"/>
        </w:rPr>
        <w:t>qeverisjes vendore. Strategjia e BE</w:t>
      </w:r>
      <w:r w:rsidR="03EED094" w:rsidRPr="00CB13F7">
        <w:rPr>
          <w:rFonts w:eastAsia="Times New Roman"/>
          <w:lang w:eastAsia="en-US"/>
        </w:rPr>
        <w:t>-së</w:t>
      </w:r>
      <w:r w:rsidRPr="00CB13F7">
        <w:rPr>
          <w:rFonts w:eastAsia="Times New Roman"/>
          <w:lang w:eastAsia="en-US"/>
        </w:rPr>
        <w:t xml:space="preserve"> kërkon </w:t>
      </w:r>
      <w:r w:rsidR="03EED094" w:rsidRPr="00CB13F7">
        <w:rPr>
          <w:rFonts w:eastAsia="Times New Roman"/>
          <w:lang w:eastAsia="en-US"/>
        </w:rPr>
        <w:t xml:space="preserve"> </w:t>
      </w:r>
      <w:r w:rsidRPr="00CB13F7">
        <w:rPr>
          <w:rFonts w:eastAsia="Times New Roman"/>
          <w:lang w:eastAsia="en-US"/>
        </w:rPr>
        <w:t>zhvillimin e sistemeve të të dhënave të harmonizuara dhe të krahasueshme për monitorimin e progresit.</w:t>
      </w:r>
    </w:p>
    <w:p w14:paraId="348265AA" w14:textId="57D7853B"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Kjo lidhet drejtpërdrejt edhe me Shtyllën Evropiane të të Drejtave Sociale</w:t>
      </w:r>
      <w:r w:rsidR="00E87FBC" w:rsidRPr="00CB13F7">
        <w:rPr>
          <w:rFonts w:eastAsia="Times New Roman"/>
          <w:vertAlign w:val="superscript"/>
          <w:lang w:eastAsia="en-US"/>
        </w:rPr>
        <w:footnoteReference w:id="85"/>
      </w:r>
      <w:r w:rsidRPr="00CB13F7">
        <w:rPr>
          <w:rFonts w:eastAsia="Times New Roman"/>
          <w:lang w:eastAsia="en-US"/>
        </w:rPr>
        <w:t xml:space="preserve"> dhe me programet e BE</w:t>
      </w:r>
      <w:r w:rsidR="03EED094" w:rsidRPr="00CB13F7">
        <w:rPr>
          <w:rFonts w:eastAsia="Times New Roman"/>
          <w:lang w:eastAsia="en-US"/>
        </w:rPr>
        <w:t>-së</w:t>
      </w:r>
      <w:r w:rsidRPr="00CB13F7">
        <w:rPr>
          <w:rFonts w:eastAsia="Times New Roman"/>
          <w:lang w:eastAsia="en-US"/>
        </w:rPr>
        <w:t xml:space="preserve"> për përfshirjen sociale, të cilat kërkojnë politika të koordinuara ndërsektoriale për reduktimin e varfërisë dhe përjashtimit social dhe për garantimin e aksesit të barabartë në shërbime publike. </w:t>
      </w:r>
    </w:p>
    <w:p w14:paraId="0982FFBB" w14:textId="0FDB9827"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Në nivel global, fusha përputhet me Objektivat e Zhvillimit të Qëndrueshëm (</w:t>
      </w:r>
      <w:r w:rsidR="7CCBCF77" w:rsidRPr="00CB13F7">
        <w:rPr>
          <w:rFonts w:eastAsia="Times New Roman"/>
          <w:lang w:eastAsia="en-US"/>
        </w:rPr>
        <w:t>OZHQ</w:t>
      </w:r>
      <w:r w:rsidRPr="00CB13F7">
        <w:rPr>
          <w:rFonts w:eastAsia="Times New Roman"/>
          <w:lang w:eastAsia="en-US"/>
        </w:rPr>
        <w:t xml:space="preserve">), veçanërisht </w:t>
      </w:r>
      <w:r w:rsidR="03EED094" w:rsidRPr="00CB13F7">
        <w:rPr>
          <w:rFonts w:eastAsia="Times New Roman"/>
          <w:lang w:eastAsia="en-US"/>
        </w:rPr>
        <w:t xml:space="preserve">objektivin </w:t>
      </w:r>
      <w:r w:rsidRPr="00CB13F7">
        <w:rPr>
          <w:rFonts w:eastAsia="Times New Roman"/>
          <w:lang w:eastAsia="en-US"/>
        </w:rPr>
        <w:t>10 (reduktimi i pabarazive</w:t>
      </w:r>
      <w:r w:rsidR="03EED094" w:rsidRPr="00CB13F7">
        <w:rPr>
          <w:rFonts w:eastAsia="Times New Roman"/>
          <w:lang w:eastAsia="en-US"/>
        </w:rPr>
        <w:t xml:space="preserve"> dhe</w:t>
      </w:r>
      <w:r w:rsidRPr="00CB13F7">
        <w:rPr>
          <w:rFonts w:eastAsia="Times New Roman"/>
          <w:lang w:eastAsia="en-US"/>
        </w:rPr>
        <w:t xml:space="preserve"> 16 (institucione efektive, </w:t>
      </w:r>
      <w:r w:rsidR="03EED094" w:rsidRPr="00CB13F7">
        <w:rPr>
          <w:rFonts w:eastAsia="Times New Roman"/>
          <w:lang w:eastAsia="en-US"/>
        </w:rPr>
        <w:t xml:space="preserve">transparente </w:t>
      </w:r>
      <w:r w:rsidRPr="00CB13F7">
        <w:rPr>
          <w:rFonts w:eastAsia="Times New Roman"/>
          <w:lang w:eastAsia="en-US"/>
        </w:rPr>
        <w:t>dhe gjithëpërfshirëse)</w:t>
      </w:r>
      <w:r w:rsidR="03EED094" w:rsidRPr="00CB13F7">
        <w:rPr>
          <w:rFonts w:eastAsia="Times New Roman"/>
          <w:lang w:eastAsia="en-US"/>
        </w:rPr>
        <w:t>, si</w:t>
      </w:r>
      <w:r w:rsidRPr="00CB13F7">
        <w:rPr>
          <w:rFonts w:eastAsia="Times New Roman"/>
          <w:lang w:eastAsia="en-US"/>
        </w:rPr>
        <w:t xml:space="preserve"> dhe </w:t>
      </w:r>
      <w:r w:rsidR="03EED094" w:rsidRPr="00CB13F7">
        <w:rPr>
          <w:rFonts w:eastAsia="Times New Roman"/>
          <w:lang w:eastAsia="en-US"/>
        </w:rPr>
        <w:t xml:space="preserve">objektivin </w:t>
      </w:r>
      <w:r w:rsidRPr="00CB13F7">
        <w:rPr>
          <w:rFonts w:eastAsia="Times New Roman"/>
          <w:lang w:eastAsia="en-US"/>
        </w:rPr>
        <w:t>17 (partneritete për zhvillim). Këto objektiva kërkojnë institucione funksionale, koordinim ndërinstitucional dhe sisteme të qëndrueshme statistikore për monitorimin e progresit social.</w:t>
      </w:r>
    </w:p>
    <w:p w14:paraId="01995BAA" w14:textId="77777777"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lastRenderedPageBreak/>
        <w:t>Në nivel kombëtar, kjo fushë lidhet drejtpërdrejt me: (i) Strategjinë Kombëtare për Zhvillim dhe Integrim (SKZHI)</w:t>
      </w:r>
      <w:r w:rsidRPr="00CB13F7">
        <w:rPr>
          <w:rFonts w:eastAsia="Times New Roman"/>
          <w:vertAlign w:val="superscript"/>
          <w:lang w:eastAsia="en-US"/>
        </w:rPr>
        <w:footnoteReference w:id="86"/>
      </w:r>
      <w:r w:rsidRPr="00CB13F7">
        <w:rPr>
          <w:rFonts w:eastAsia="Times New Roman"/>
          <w:lang w:eastAsia="en-US"/>
        </w:rPr>
        <w:t>, që vendos qeverisjen e mirë, koordinimin institucional dhe politikat e bazuara në evidencë si shtylla të zhvillimit; (ii) Dokumentin e Politikave të Përfshirjes Sociale</w:t>
      </w:r>
      <w:r w:rsidRPr="00CB13F7">
        <w:rPr>
          <w:rFonts w:eastAsia="Times New Roman"/>
          <w:vertAlign w:val="superscript"/>
          <w:lang w:eastAsia="en-US"/>
        </w:rPr>
        <w:footnoteReference w:id="87"/>
      </w:r>
      <w:r w:rsidRPr="00CB13F7">
        <w:rPr>
          <w:rFonts w:eastAsia="Times New Roman"/>
          <w:lang w:eastAsia="en-US"/>
        </w:rPr>
        <w:t>, i cili kërkon harmonizim ndërmjet politikave sociale, ekonomike dhe territoriale; (iii) Procesin e integrimit evropian, veçanërisht Kapitullin 19 (Politikat sociale dhe punësimi) dhe Kapitullin 23 (Gjyqësori dhe të drejtat themelore).</w:t>
      </w:r>
    </w:p>
    <w:p w14:paraId="010E7D6A" w14:textId="00ABD33F" w:rsidR="002E1CAF" w:rsidRPr="00CB13F7" w:rsidRDefault="2CEDA48E" w:rsidP="00BA2B1D">
      <w:pPr>
        <w:spacing w:before="120" w:after="120" w:line="276" w:lineRule="auto"/>
        <w:jc w:val="both"/>
        <w:rPr>
          <w:rFonts w:eastAsia="Times New Roman"/>
          <w:lang w:eastAsia="en-US"/>
        </w:rPr>
      </w:pPr>
      <w:r w:rsidRPr="00CB13F7">
        <w:rPr>
          <w:rFonts w:eastAsia="Times New Roman"/>
          <w:lang w:eastAsia="en-US"/>
        </w:rPr>
        <w:t>Brenda këtij konteksti, Plani</w:t>
      </w:r>
      <w:r w:rsidR="006B46C0">
        <w:rPr>
          <w:rFonts w:eastAsia="Times New Roman"/>
          <w:lang w:eastAsia="en-US"/>
        </w:rPr>
        <w:t xml:space="preserve"> </w:t>
      </w:r>
      <w:r w:rsidRPr="00CB13F7">
        <w:rPr>
          <w:rFonts w:eastAsia="Times New Roman"/>
          <w:lang w:eastAsia="en-US"/>
        </w:rPr>
        <w:t>synon të ndërtojë një arkitekturë funksionale qeverisëse për aftësinë e kufizuar, ku: (i) ministritë e linjës të integrojnë dimensionin e aftësisë së kufizuar në politikat sektoriale; (ii) pushteti vendor të jetë aktor kyç në zbatimin e shërbimeve dhe planeve sociale vendore; (iii) Këshilli Kombëtar i Aftësisë së Kufizuar të funksionojë si mekanizëm koordinues dhe këshillimor; (iv) sistemi statistikor të prodhojë të dhëna të besueshme për monitorim; (v) organizatat e personave me aftësi të kufizuara të jenë partnerë të përhershëm në hartimin dhe vlerësimin e politikave.</w:t>
      </w:r>
    </w:p>
    <w:p w14:paraId="23EDFB17" w14:textId="473B677C" w:rsidR="00E87FBC" w:rsidRPr="00CB13F7" w:rsidRDefault="002B3406" w:rsidP="00BA2B1D">
      <w:pPr>
        <w:spacing w:before="120" w:after="120" w:line="276" w:lineRule="auto"/>
        <w:jc w:val="both"/>
        <w:rPr>
          <w:rFonts w:eastAsia="Times New Roman"/>
          <w:lang w:eastAsia="en-US"/>
        </w:rPr>
      </w:pPr>
      <w:r w:rsidRPr="00CB13F7">
        <w:rPr>
          <w:rFonts w:eastAsia="Times New Roman"/>
          <w:b/>
          <w:bCs/>
          <w:lang w:eastAsia="en-US"/>
        </w:rPr>
        <w:t>4.8.2</w:t>
      </w:r>
      <w:r w:rsidR="005435F6" w:rsidRPr="00CB13F7">
        <w:rPr>
          <w:rFonts w:eastAsia="Times New Roman"/>
          <w:lang w:eastAsia="en-US"/>
        </w:rPr>
        <w:t xml:space="preserve"> </w:t>
      </w:r>
      <w:r w:rsidRPr="00CB13F7">
        <w:rPr>
          <w:b/>
          <w:bCs/>
          <w:lang w:eastAsia="en-US"/>
        </w:rPr>
        <w:t>Qëllimi</w:t>
      </w:r>
      <w:r w:rsidR="00E87FBC" w:rsidRPr="00CB13F7">
        <w:rPr>
          <w:b/>
          <w:bCs/>
          <w:lang w:eastAsia="en-US"/>
        </w:rPr>
        <w:t>, objektivat dhe masat prioritare</w:t>
      </w:r>
    </w:p>
    <w:p w14:paraId="7BC661F1" w14:textId="2BF584D0" w:rsidR="00E87FBC" w:rsidRPr="00CB13F7" w:rsidRDefault="5250BB85" w:rsidP="00BA2B1D">
      <w:pPr>
        <w:spacing w:before="120" w:after="120" w:line="276" w:lineRule="auto"/>
        <w:jc w:val="both"/>
        <w:rPr>
          <w:rFonts w:eastAsia="Times New Roman"/>
          <w:b/>
          <w:bCs/>
          <w:lang w:eastAsia="en-US"/>
        </w:rPr>
      </w:pPr>
      <w:r w:rsidRPr="00CB13F7">
        <w:rPr>
          <w:rFonts w:eastAsia="Times New Roman"/>
          <w:b/>
          <w:bCs/>
          <w:lang w:eastAsia="en-US"/>
        </w:rPr>
        <w:t xml:space="preserve">Qëllimi politik: </w:t>
      </w:r>
      <w:r w:rsidR="0B2FA6B0" w:rsidRPr="00CB13F7">
        <w:rPr>
          <w:rFonts w:eastAsia="Times New Roman"/>
          <w:i/>
          <w:iCs/>
          <w:lang w:eastAsia="en-US"/>
        </w:rPr>
        <w:t>K</w:t>
      </w:r>
      <w:r w:rsidR="2B4F010C" w:rsidRPr="00CB13F7">
        <w:rPr>
          <w:rFonts w:eastAsia="Times New Roman"/>
          <w:i/>
          <w:iCs/>
          <w:lang w:eastAsia="en-US"/>
        </w:rPr>
        <w:t xml:space="preserve">rijimi </w:t>
      </w:r>
      <w:r w:rsidRPr="00CB13F7">
        <w:rPr>
          <w:rFonts w:eastAsia="Times New Roman"/>
          <w:i/>
          <w:iCs/>
          <w:lang w:eastAsia="en-US"/>
        </w:rPr>
        <w:t>i sinergjive ndërmjet institucioneve dhe sektorëve të ndryshëm për nxitjen dhe monitorimin e të drejtave të personave me aftësi të kufizuara në mënyrë të plotë, të vazhdueshme dhe të qëndrueshme.</w:t>
      </w:r>
    </w:p>
    <w:p w14:paraId="04A855ED" w14:textId="77777777" w:rsidR="009B3EC8" w:rsidRPr="00CB13F7" w:rsidRDefault="009B3EC8" w:rsidP="00BA2B1D">
      <w:pPr>
        <w:spacing w:before="120" w:after="120" w:line="276" w:lineRule="auto"/>
        <w:jc w:val="both"/>
        <w:rPr>
          <w:rFonts w:eastAsia="Times New Roman"/>
          <w:lang w:eastAsia="en-US"/>
        </w:rPr>
      </w:pPr>
      <w:r w:rsidRPr="00CB13F7">
        <w:rPr>
          <w:rFonts w:eastAsia="Times New Roman"/>
          <w:lang w:eastAsia="en-US"/>
        </w:rPr>
        <w:t>N</w:t>
      </w:r>
      <w:r w:rsidR="000D7236" w:rsidRPr="00CB13F7">
        <w:rPr>
          <w:rFonts w:eastAsia="Times New Roman"/>
          <w:lang w:eastAsia="en-US"/>
        </w:rPr>
        <w:t>ë</w:t>
      </w:r>
      <w:r w:rsidRPr="00CB13F7">
        <w:rPr>
          <w:rFonts w:eastAsia="Times New Roman"/>
          <w:lang w:eastAsia="en-US"/>
        </w:rPr>
        <w:t xml:space="preserve"> fush</w:t>
      </w:r>
      <w:r w:rsidR="000D7236" w:rsidRPr="00CB13F7">
        <w:rPr>
          <w:rFonts w:eastAsia="Times New Roman"/>
          <w:lang w:eastAsia="en-US"/>
        </w:rPr>
        <w:t>ë</w:t>
      </w:r>
      <w:r w:rsidRPr="00CB13F7">
        <w:rPr>
          <w:rFonts w:eastAsia="Times New Roman"/>
          <w:lang w:eastAsia="en-US"/>
        </w:rPr>
        <w:t>n e bashk</w:t>
      </w:r>
      <w:r w:rsidR="000D7236" w:rsidRPr="00CB13F7">
        <w:rPr>
          <w:rFonts w:eastAsia="Times New Roman"/>
          <w:lang w:eastAsia="en-US"/>
        </w:rPr>
        <w:t>ë</w:t>
      </w:r>
      <w:r w:rsidRPr="00CB13F7">
        <w:rPr>
          <w:rFonts w:eastAsia="Times New Roman"/>
          <w:lang w:eastAsia="en-US"/>
        </w:rPr>
        <w:t>punimit, jan</w:t>
      </w:r>
      <w:r w:rsidR="000D7236" w:rsidRPr="00CB13F7">
        <w:rPr>
          <w:rFonts w:eastAsia="Times New Roman"/>
          <w:lang w:eastAsia="en-US"/>
        </w:rPr>
        <w:t>ë</w:t>
      </w:r>
      <w:r w:rsidRPr="00CB13F7">
        <w:rPr>
          <w:rFonts w:eastAsia="Times New Roman"/>
          <w:lang w:eastAsia="en-US"/>
        </w:rPr>
        <w:t xml:space="preserve"> parashikuar 4 objektiva specifik</w:t>
      </w:r>
      <w:r w:rsidR="000D7236" w:rsidRPr="00CB13F7">
        <w:rPr>
          <w:rFonts w:eastAsia="Times New Roman"/>
          <w:lang w:eastAsia="en-US"/>
        </w:rPr>
        <w:t>ë</w:t>
      </w:r>
      <w:r w:rsidRPr="00CB13F7">
        <w:rPr>
          <w:rFonts w:eastAsia="Times New Roman"/>
          <w:lang w:eastAsia="en-US"/>
        </w:rPr>
        <w:t>, 6 masa prioritare dhe 18 nd</w:t>
      </w:r>
      <w:r w:rsidR="000D7236" w:rsidRPr="00CB13F7">
        <w:rPr>
          <w:rFonts w:eastAsia="Times New Roman"/>
          <w:lang w:eastAsia="en-US"/>
        </w:rPr>
        <w:t>ë</w:t>
      </w:r>
      <w:r w:rsidRPr="00CB13F7">
        <w:rPr>
          <w:rFonts w:eastAsia="Times New Roman"/>
          <w:lang w:eastAsia="en-US"/>
        </w:rPr>
        <w:t>rhyrje konkrete.</w:t>
      </w:r>
    </w:p>
    <w:p w14:paraId="48F50817" w14:textId="04F4F25D" w:rsidR="00E87FBC" w:rsidRPr="00CB13F7" w:rsidRDefault="2CEDA48E" w:rsidP="00BA2B1D">
      <w:pPr>
        <w:spacing w:before="120" w:after="120" w:line="276" w:lineRule="auto"/>
        <w:jc w:val="both"/>
        <w:rPr>
          <w:rFonts w:eastAsia="Times New Roman"/>
          <w:b/>
          <w:bCs/>
          <w:lang w:eastAsia="en-US"/>
        </w:rPr>
      </w:pPr>
      <w:r w:rsidRPr="00CB13F7">
        <w:rPr>
          <w:rFonts w:eastAsia="Times New Roman"/>
          <w:b/>
          <w:bCs/>
          <w:lang w:eastAsia="en-US"/>
        </w:rPr>
        <w:t>Objektivi Specifik 1</w:t>
      </w:r>
      <w:r w:rsidR="61D0777C" w:rsidRPr="00CB13F7">
        <w:rPr>
          <w:rFonts w:eastAsia="Times New Roman"/>
          <w:b/>
          <w:bCs/>
          <w:i/>
          <w:iCs/>
          <w:lang w:eastAsia="en-US"/>
        </w:rPr>
        <w:t>:</w:t>
      </w:r>
      <w:r w:rsidR="61D0777C" w:rsidRPr="00CB13F7">
        <w:rPr>
          <w:rFonts w:eastAsia="Times New Roman"/>
          <w:i/>
          <w:iCs/>
          <w:lang w:eastAsia="en-US"/>
        </w:rPr>
        <w:t xml:space="preserve"> </w:t>
      </w:r>
      <w:r w:rsidR="78DA643E" w:rsidRPr="00CB13F7">
        <w:rPr>
          <w:rFonts w:eastAsia="Times New Roman"/>
          <w:i/>
          <w:iCs/>
          <w:lang w:eastAsia="en-US"/>
        </w:rPr>
        <w:t>F</w:t>
      </w:r>
      <w:r w:rsidR="61D0777C" w:rsidRPr="00CB13F7">
        <w:rPr>
          <w:rFonts w:eastAsia="Times New Roman"/>
          <w:i/>
          <w:iCs/>
          <w:lang w:eastAsia="en-US"/>
        </w:rPr>
        <w:t xml:space="preserve">orcimi </w:t>
      </w:r>
      <w:r w:rsidRPr="00CB13F7">
        <w:rPr>
          <w:rFonts w:eastAsia="Times New Roman"/>
          <w:i/>
          <w:iCs/>
          <w:lang w:eastAsia="en-US"/>
        </w:rPr>
        <w:t>i bashkëpunimit institucional ndërmjet strukturave qendrore dhe pushtetit vendor dhe ndërveprimi me organizatat e personave me aftësi të kufizuara (OPAK) në të gjitha nivelet</w:t>
      </w:r>
      <w:r w:rsidR="61D0777C" w:rsidRPr="00CB13F7">
        <w:rPr>
          <w:rFonts w:eastAsia="Times New Roman"/>
          <w:i/>
          <w:iCs/>
          <w:lang w:eastAsia="en-US"/>
        </w:rPr>
        <w:t>.</w:t>
      </w:r>
    </w:p>
    <w:p w14:paraId="7B442D86" w14:textId="77777777" w:rsidR="00E87FBC" w:rsidRPr="00CB13F7" w:rsidRDefault="00E87FBC" w:rsidP="00BA2B1D">
      <w:pPr>
        <w:spacing w:before="120" w:after="120" w:line="276" w:lineRule="auto"/>
        <w:jc w:val="both"/>
        <w:rPr>
          <w:rFonts w:eastAsia="Times New Roman"/>
          <w:b/>
          <w:bCs/>
          <w:i/>
          <w:iCs/>
          <w:lang w:eastAsia="en-US"/>
        </w:rPr>
      </w:pPr>
      <w:r w:rsidRPr="00CB13F7">
        <w:rPr>
          <w:rFonts w:eastAsia="Times New Roman"/>
          <w:b/>
          <w:bCs/>
          <w:i/>
          <w:iCs/>
          <w:lang w:eastAsia="en-US"/>
        </w:rPr>
        <w:t>Masat prioritare</w:t>
      </w:r>
    </w:p>
    <w:p w14:paraId="4822B15E" w14:textId="0ADD5ECF" w:rsidR="00130C0A" w:rsidRPr="00CB13F7" w:rsidRDefault="002B3406" w:rsidP="00130C0A">
      <w:pPr>
        <w:pStyle w:val="ListParagraph"/>
        <w:numPr>
          <w:ilvl w:val="1"/>
          <w:numId w:val="53"/>
        </w:numPr>
        <w:spacing w:before="120" w:after="120" w:line="276" w:lineRule="auto"/>
        <w:jc w:val="both"/>
        <w:rPr>
          <w:rFonts w:eastAsia="Times New Roman"/>
          <w:lang w:eastAsia="en-US"/>
        </w:rPr>
      </w:pPr>
      <w:r w:rsidRPr="00CB13F7">
        <w:rPr>
          <w:rFonts w:eastAsia="Times New Roman"/>
          <w:lang w:eastAsia="en-US"/>
        </w:rPr>
        <w:t>Orientimi</w:t>
      </w:r>
      <w:r w:rsidR="00E87FBC" w:rsidRPr="00CB13F7">
        <w:rPr>
          <w:rFonts w:eastAsia="Times New Roman"/>
          <w:lang w:eastAsia="en-US"/>
        </w:rPr>
        <w:t xml:space="preserve"> i bashkive për të fuqizuar bashkëpunimin me MSHMS</w:t>
      </w:r>
      <w:r w:rsidR="00130C0A" w:rsidRPr="00CB13F7">
        <w:rPr>
          <w:rFonts w:eastAsia="Times New Roman"/>
          <w:lang w:eastAsia="en-US"/>
        </w:rPr>
        <w:t>;</w:t>
      </w:r>
    </w:p>
    <w:p w14:paraId="01935F5A" w14:textId="698AD42F" w:rsidR="00E87FBC" w:rsidRPr="00CB13F7" w:rsidRDefault="00E87FBC" w:rsidP="00130C0A">
      <w:pPr>
        <w:pStyle w:val="ListParagraph"/>
        <w:numPr>
          <w:ilvl w:val="1"/>
          <w:numId w:val="53"/>
        </w:numPr>
        <w:spacing w:before="120" w:after="120" w:line="276" w:lineRule="auto"/>
        <w:jc w:val="both"/>
        <w:rPr>
          <w:rFonts w:eastAsia="Times New Roman"/>
          <w:lang w:eastAsia="en-US"/>
        </w:rPr>
      </w:pPr>
      <w:r w:rsidRPr="00CB13F7">
        <w:rPr>
          <w:rFonts w:eastAsia="Times New Roman"/>
          <w:lang w:eastAsia="en-US"/>
        </w:rPr>
        <w:t>Fuqizimi i rolit të bashkive dhe promovimi i tyre në njohjen dhe përmbushjen e nevojave të personave me aftësi të kufizuara në territorin e tyre</w:t>
      </w:r>
      <w:r w:rsidR="00130C0A" w:rsidRPr="00CB13F7">
        <w:rPr>
          <w:rFonts w:eastAsia="Times New Roman"/>
          <w:lang w:eastAsia="en-US"/>
        </w:rPr>
        <w:t>.</w:t>
      </w:r>
    </w:p>
    <w:p w14:paraId="0DBDA1F1" w14:textId="049496F6"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 xml:space="preserve">Ky objektiv synon të adresojë një nga sfidat më të rëndësishme të politikave për aftësinë e kufizuar në Shqipëri: hendekun midis politikave kombëtare dhe zbatimit të tyre në nivel lokal. Megjithëse kuadri ligjor dhe strategjik për të drejtat e personave me aftësi të kufizuara ekziston në nivel qendror, përfitimet reale për individin materializohen kryesisht në komunitetin ku ai jeton: në bashki, njësi administrative, shkollë, qendër shëndetësore apo shërbim social. Për këtë arsye, </w:t>
      </w:r>
      <w:r w:rsidR="00182D1A" w:rsidRPr="00CB13F7">
        <w:rPr>
          <w:rFonts w:eastAsia="Times New Roman"/>
          <w:lang w:eastAsia="en-US"/>
        </w:rPr>
        <w:t xml:space="preserve">Plani </w:t>
      </w:r>
      <w:r w:rsidRPr="00CB13F7">
        <w:rPr>
          <w:rFonts w:eastAsia="Times New Roman"/>
          <w:lang w:eastAsia="en-US"/>
        </w:rPr>
        <w:t>e vendos pushtetin vendor në qendër të zbatimit të politikave.</w:t>
      </w:r>
    </w:p>
    <w:p w14:paraId="3EFA4E67" w14:textId="7C31BD5D"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Së pari, </w:t>
      </w:r>
      <w:r w:rsidR="34799D02" w:rsidRPr="00CB13F7">
        <w:rPr>
          <w:rFonts w:eastAsia="Times New Roman"/>
          <w:lang w:eastAsia="en-US"/>
        </w:rPr>
        <w:t xml:space="preserve">ai </w:t>
      </w:r>
      <w:r w:rsidRPr="00CB13F7">
        <w:rPr>
          <w:rFonts w:eastAsia="Times New Roman"/>
          <w:lang w:eastAsia="en-US"/>
        </w:rPr>
        <w:t xml:space="preserve">synon të institucionalizojë bashkëpunimin ndërmjet ministrisë përgjegjëse për aftësinë e kufizuar dhe njësive të </w:t>
      </w:r>
      <w:r w:rsidR="1A94D3D6" w:rsidRPr="00CB13F7">
        <w:rPr>
          <w:rFonts w:eastAsia="Times New Roman"/>
          <w:lang w:eastAsia="en-US"/>
        </w:rPr>
        <w:t>vet</w:t>
      </w:r>
      <w:r w:rsidR="0BD558E0" w:rsidRPr="00CB13F7">
        <w:rPr>
          <w:rFonts w:eastAsia="Times New Roman"/>
          <w:lang w:eastAsia="en-US"/>
        </w:rPr>
        <w:t>ë</w:t>
      </w:r>
      <w:r w:rsidRPr="00CB13F7">
        <w:rPr>
          <w:rFonts w:eastAsia="Times New Roman"/>
          <w:lang w:eastAsia="en-US"/>
        </w:rPr>
        <w:t xml:space="preserve">qeverisjes vendore përmes hartimit të planeve sociale vendore. Kjo do të thotë që politikat për aftësinë e kufizuar nuk do të mbeten më dokumente kombëtare të </w:t>
      </w:r>
      <w:r w:rsidRPr="00CB13F7">
        <w:rPr>
          <w:rFonts w:eastAsia="Times New Roman"/>
          <w:lang w:eastAsia="en-US"/>
        </w:rPr>
        <w:lastRenderedPageBreak/>
        <w:t>përgjithshme, por do të përkthehen në plane konkrete territoriale, të bazuara në nevojat reale të komunitetit. Bashkitë do të duhet të identifikojnë personat me aftësi të kufizuara në territor, pengesat që hasin dhe shërbimet që mungojnë, duke i integruar këto në planifikimin lokal dhe në buxhetet e tyre. Në këtë mënyrë krijohet një lidhje e drejtpërdrejtë midis planifikimit social dhe financimit publik.</w:t>
      </w:r>
    </w:p>
    <w:p w14:paraId="17494903" w14:textId="5FE0152E"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Një element kyç është edhe mbështetja financiare progresive për pushtetin vendor. Aktualisht</w:t>
      </w:r>
      <w:r w:rsidR="414838F3" w:rsidRPr="00CB13F7">
        <w:rPr>
          <w:rFonts w:eastAsia="Times New Roman"/>
          <w:lang w:eastAsia="en-US"/>
        </w:rPr>
        <w:t>,</w:t>
      </w:r>
      <w:r w:rsidRPr="00CB13F7">
        <w:rPr>
          <w:rFonts w:eastAsia="Times New Roman"/>
          <w:lang w:eastAsia="en-US"/>
        </w:rPr>
        <w:t xml:space="preserve"> shumë bashki nuk arrijnë të ofrojnë shërbime për shkak të mungesës së burimeve financiare dhe kapaciteteve. Për këtë arsye, </w:t>
      </w:r>
      <w:r w:rsidR="303E752E" w:rsidRPr="00CB13F7">
        <w:rPr>
          <w:rFonts w:eastAsia="Times New Roman"/>
          <w:lang w:eastAsia="en-US"/>
        </w:rPr>
        <w:t xml:space="preserve">Plani </w:t>
      </w:r>
      <w:r w:rsidRPr="00CB13F7">
        <w:rPr>
          <w:rFonts w:eastAsia="Times New Roman"/>
          <w:lang w:eastAsia="en-US"/>
        </w:rPr>
        <w:t xml:space="preserve">parashikon rritjen graduale të financimit dhe orientimin e tij drejt shtimit të tipologjive të shërbimeve (shërbime komunitare, mbështetje në familje, këshillim, ndërmjetësim social). Kjo synon të zhvendosë sistemin nga një model i centralizuar drejt një sistemi të decentralizuar të shërbimeve sociale, </w:t>
      </w:r>
      <w:r w:rsidR="1B433244" w:rsidRPr="00CB13F7">
        <w:rPr>
          <w:rFonts w:eastAsia="Times New Roman"/>
          <w:lang w:eastAsia="en-US"/>
        </w:rPr>
        <w:t xml:space="preserve">me bazë </w:t>
      </w:r>
      <w:r w:rsidRPr="00CB13F7">
        <w:rPr>
          <w:rFonts w:eastAsia="Times New Roman"/>
          <w:lang w:eastAsia="en-US"/>
        </w:rPr>
        <w:t xml:space="preserve"> komunit</w:t>
      </w:r>
      <w:r w:rsidR="5E0654CB" w:rsidRPr="00CB13F7">
        <w:rPr>
          <w:rFonts w:eastAsia="Times New Roman"/>
          <w:lang w:eastAsia="en-US"/>
        </w:rPr>
        <w:t>are</w:t>
      </w:r>
      <w:r w:rsidRPr="00CB13F7">
        <w:rPr>
          <w:rFonts w:eastAsia="Times New Roman"/>
          <w:lang w:eastAsia="en-US"/>
        </w:rPr>
        <w:t xml:space="preserve"> </w:t>
      </w:r>
      <w:r w:rsidR="00E87FBC" w:rsidRPr="00CB13F7">
        <w:rPr>
          <w:rFonts w:eastAsia="Times New Roman"/>
          <w:lang w:eastAsia="en-US"/>
        </w:rPr>
        <w:t>Në të njëjtën kohë, objektivi nuk fokusohet vetëm tek financimi, por edhe tek kapacitetet institucionale. Përmes hartimit të një guide metodologjike për vlerësimin e nevojave, bashkitë do të kenë një instrument të standardizuar për të analizuar situatën e personave me aftësi të kufizuara në territor. Kjo është thelbësore sepse aktualisht shumë politika lokale bazohen në kërkesa individuale dhe jo në evidencë. Me këtë ndërhyrje synohet që planifikimi social të bëhet i bazuar në të dhëna dhe jo vetëm në reagim ndaj problematikave.</w:t>
      </w:r>
    </w:p>
    <w:p w14:paraId="7182B8E6" w14:textId="4188EF2B"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Një dimension shumë i rëndësishëm i objektivit është përfshirja e organizatave të personave me aftësi të kufizuara. Plani synon që bashkëpunimi mes bashkive dhe OPAK të mos jetë </w:t>
      </w:r>
      <w:r w:rsidR="660E248B" w:rsidRPr="00CB13F7">
        <w:rPr>
          <w:rFonts w:eastAsia="Times New Roman"/>
          <w:lang w:eastAsia="en-US"/>
        </w:rPr>
        <w:t>i rastësishëm</w:t>
      </w:r>
      <w:r w:rsidRPr="00CB13F7">
        <w:rPr>
          <w:rFonts w:eastAsia="Times New Roman"/>
          <w:lang w:eastAsia="en-US"/>
        </w:rPr>
        <w:t xml:space="preserve">, </w:t>
      </w:r>
      <w:r w:rsidR="660E248B" w:rsidRPr="00CB13F7">
        <w:rPr>
          <w:rFonts w:eastAsia="Times New Roman"/>
          <w:lang w:eastAsia="en-US"/>
        </w:rPr>
        <w:t xml:space="preserve">por i konsoliduar </w:t>
      </w:r>
      <w:r w:rsidRPr="00CB13F7">
        <w:rPr>
          <w:rFonts w:eastAsia="Times New Roman"/>
          <w:lang w:eastAsia="en-US"/>
        </w:rPr>
        <w:t xml:space="preserve">dhe i strukturuar përmes marrëveshjeve bashkëpunimi dhe takimeve periodike konsultuese. Kjo e </w:t>
      </w:r>
      <w:r w:rsidR="7F2B5EFF" w:rsidRPr="00CB13F7">
        <w:rPr>
          <w:rFonts w:eastAsia="Times New Roman"/>
          <w:lang w:eastAsia="en-US"/>
        </w:rPr>
        <w:t>transformon</w:t>
      </w:r>
      <w:r w:rsidR="35BE74DB" w:rsidRPr="00CB13F7">
        <w:rPr>
          <w:rFonts w:eastAsia="Times New Roman"/>
          <w:lang w:eastAsia="en-US"/>
        </w:rPr>
        <w:t xml:space="preserve"> </w:t>
      </w:r>
      <w:r w:rsidRPr="00CB13F7">
        <w:rPr>
          <w:rFonts w:eastAsia="Times New Roman"/>
          <w:lang w:eastAsia="en-US"/>
        </w:rPr>
        <w:t>konsultimin nga një praktikë formale në një mekanizëm real pjesëmarrjeje, ku personat me aftësi të kufizuara kontribuojnë në identifikimin e nevojave, monitorimin e shërbimeve dhe vlerësimin e politikave lokale.</w:t>
      </w:r>
    </w:p>
    <w:p w14:paraId="3EFC5454" w14:textId="3D4C2DE5"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Po ashtu, përmes promovimit të praktikave të mira dhe shpalljes së bashkive më të mira për realizimin e të drejtave të personave me aftësi të kufizuara, </w:t>
      </w:r>
      <w:r w:rsidR="7F2B5EFF" w:rsidRPr="00CB13F7">
        <w:rPr>
          <w:rFonts w:eastAsia="Times New Roman"/>
          <w:lang w:eastAsia="en-US"/>
        </w:rPr>
        <w:t xml:space="preserve">Plani </w:t>
      </w:r>
      <w:r w:rsidRPr="00CB13F7">
        <w:rPr>
          <w:rFonts w:eastAsia="Times New Roman"/>
          <w:lang w:eastAsia="en-US"/>
        </w:rPr>
        <w:t>synon të krijojë një mekanizëm motivues institucional. Kjo ndërhyrje nuk ka vetëm karakter simbolik</w:t>
      </w:r>
      <w:r w:rsidR="047D9ADE" w:rsidRPr="00CB13F7">
        <w:rPr>
          <w:rFonts w:eastAsia="Times New Roman"/>
          <w:lang w:eastAsia="en-US"/>
        </w:rPr>
        <w:t>,</w:t>
      </w:r>
      <w:r w:rsidRPr="00CB13F7">
        <w:rPr>
          <w:rFonts w:eastAsia="Times New Roman"/>
          <w:lang w:eastAsia="en-US"/>
        </w:rPr>
        <w:t xml:space="preserve"> ajo synon të nxisë konkurrencë pozitive ndërmjet bashkive, duke i orientuar ato drejt përmirësimit të aksesueshmërisë, shërbimeve dhe përfshirjes sociale.</w:t>
      </w:r>
    </w:p>
    <w:p w14:paraId="2356A187" w14:textId="2E898BE6" w:rsidR="00E87FBC" w:rsidRPr="006B46C0" w:rsidRDefault="2CEDA48E" w:rsidP="00BA2B1D">
      <w:pPr>
        <w:spacing w:before="120" w:after="120" w:line="276" w:lineRule="auto"/>
        <w:jc w:val="both"/>
        <w:rPr>
          <w:rFonts w:eastAsia="Times New Roman"/>
          <w:b/>
          <w:bCs/>
          <w:i/>
          <w:iCs/>
          <w:lang w:eastAsia="en-US"/>
        </w:rPr>
      </w:pPr>
      <w:r w:rsidRPr="00CB13F7">
        <w:rPr>
          <w:rFonts w:eastAsia="Times New Roman"/>
          <w:b/>
          <w:bCs/>
          <w:lang w:eastAsia="en-US"/>
        </w:rPr>
        <w:t>Objektivi Specifik</w:t>
      </w:r>
      <w:r w:rsidR="7F2B5EFF" w:rsidRPr="00CB13F7">
        <w:rPr>
          <w:rFonts w:eastAsia="Times New Roman"/>
          <w:b/>
          <w:bCs/>
          <w:lang w:eastAsia="en-US"/>
        </w:rPr>
        <w:t>:</w:t>
      </w:r>
      <w:r w:rsidRPr="00CB13F7">
        <w:rPr>
          <w:rFonts w:eastAsia="Times New Roman"/>
          <w:lang w:eastAsia="en-US"/>
        </w:rPr>
        <w:t xml:space="preserve"> </w:t>
      </w:r>
      <w:r w:rsidR="72EF13AE" w:rsidRPr="006B46C0">
        <w:rPr>
          <w:rFonts w:eastAsia="Times New Roman"/>
          <w:i/>
          <w:iCs/>
          <w:lang w:eastAsia="en-US"/>
        </w:rPr>
        <w:t>P</w:t>
      </w:r>
      <w:r w:rsidR="7F2B5EFF" w:rsidRPr="006B46C0">
        <w:rPr>
          <w:rFonts w:eastAsia="Times New Roman"/>
          <w:i/>
          <w:iCs/>
          <w:lang w:eastAsia="en-US"/>
        </w:rPr>
        <w:t xml:space="preserve">ërmirësimi </w:t>
      </w:r>
      <w:r w:rsidRPr="006B46C0">
        <w:rPr>
          <w:rFonts w:eastAsia="Times New Roman"/>
          <w:i/>
          <w:iCs/>
          <w:lang w:eastAsia="en-US"/>
        </w:rPr>
        <w:t>i funksionimit të KKAK lidhur me koordinimin e politikave publike në nivel horizontal dhe vertikal për personat me aftësi të kufizuara</w:t>
      </w:r>
      <w:r w:rsidR="7F2B5EFF" w:rsidRPr="006B46C0">
        <w:rPr>
          <w:rFonts w:eastAsia="Times New Roman"/>
          <w:i/>
          <w:iCs/>
          <w:lang w:eastAsia="en-US"/>
        </w:rPr>
        <w:t>.</w:t>
      </w:r>
    </w:p>
    <w:p w14:paraId="2DFBCB97" w14:textId="3092B494" w:rsidR="00E87FBC" w:rsidRPr="00CB13F7" w:rsidRDefault="00E87FBC" w:rsidP="00BA2B1D">
      <w:pPr>
        <w:spacing w:before="120" w:after="120" w:line="276" w:lineRule="auto"/>
        <w:jc w:val="both"/>
        <w:rPr>
          <w:rFonts w:eastAsia="Times New Roman"/>
          <w:lang w:eastAsia="en-US"/>
        </w:rPr>
      </w:pPr>
      <w:r w:rsidRPr="00CB13F7">
        <w:rPr>
          <w:rFonts w:eastAsia="Times New Roman"/>
          <w:b/>
          <w:bCs/>
          <w:i/>
          <w:iCs/>
          <w:lang w:eastAsia="en-US"/>
        </w:rPr>
        <w:t>Masat prioritare</w:t>
      </w:r>
    </w:p>
    <w:p w14:paraId="47562399" w14:textId="6CAC1248" w:rsidR="001673BE" w:rsidRPr="00CB13F7" w:rsidRDefault="00E87FBC" w:rsidP="001673BE">
      <w:pPr>
        <w:pStyle w:val="ListParagraph"/>
        <w:numPr>
          <w:ilvl w:val="0"/>
          <w:numId w:val="54"/>
        </w:numPr>
        <w:spacing w:before="120" w:after="120" w:line="276" w:lineRule="auto"/>
        <w:jc w:val="both"/>
        <w:rPr>
          <w:rFonts w:eastAsia="Times New Roman"/>
          <w:lang w:eastAsia="en-US"/>
        </w:rPr>
      </w:pPr>
      <w:r w:rsidRPr="00CB13F7">
        <w:rPr>
          <w:rFonts w:eastAsia="Times New Roman"/>
          <w:lang w:eastAsia="en-US"/>
        </w:rPr>
        <w:t>Ndjekje dhe monitorim i ndryshimeve legjislative në fushën e aftësisë së kufizuar</w:t>
      </w:r>
      <w:r w:rsidR="001673BE" w:rsidRPr="00CB13F7">
        <w:rPr>
          <w:rFonts w:eastAsia="Times New Roman"/>
          <w:lang w:eastAsia="en-US"/>
        </w:rPr>
        <w:t>;</w:t>
      </w:r>
    </w:p>
    <w:p w14:paraId="36FBCAA1" w14:textId="20464EF7" w:rsidR="00E87FBC" w:rsidRPr="00CB13F7" w:rsidRDefault="002B3406" w:rsidP="001673BE">
      <w:pPr>
        <w:pStyle w:val="ListParagraph"/>
        <w:numPr>
          <w:ilvl w:val="0"/>
          <w:numId w:val="54"/>
        </w:numPr>
        <w:spacing w:before="120" w:after="120" w:line="276" w:lineRule="auto"/>
        <w:jc w:val="both"/>
        <w:rPr>
          <w:rFonts w:eastAsia="Times New Roman"/>
          <w:lang w:eastAsia="en-US"/>
        </w:rPr>
      </w:pPr>
      <w:r w:rsidRPr="00CB13F7">
        <w:rPr>
          <w:rFonts w:eastAsia="Times New Roman"/>
          <w:lang w:eastAsia="en-US"/>
        </w:rPr>
        <w:t>Ndërtimi</w:t>
      </w:r>
      <w:r w:rsidR="00E87FBC" w:rsidRPr="00CB13F7">
        <w:rPr>
          <w:rFonts w:eastAsia="Times New Roman"/>
          <w:lang w:eastAsia="en-US"/>
        </w:rPr>
        <w:t xml:space="preserve"> dhe zbatimi i një plani vjetor aktivitetesh të Këshillit Kombëtar të Aftësisë së Kufizuar (KKAK)</w:t>
      </w:r>
      <w:r w:rsidR="001673BE" w:rsidRPr="00CB13F7">
        <w:rPr>
          <w:rFonts w:eastAsia="Times New Roman"/>
          <w:lang w:eastAsia="en-US"/>
        </w:rPr>
        <w:t>.</w:t>
      </w:r>
      <w:r w:rsidR="00E87FBC" w:rsidRPr="00CB13F7">
        <w:rPr>
          <w:vertAlign w:val="superscript"/>
          <w:lang w:eastAsia="en-US"/>
        </w:rPr>
        <w:footnoteReference w:id="88"/>
      </w:r>
    </w:p>
    <w:p w14:paraId="3AE22F67" w14:textId="21FC4904"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lastRenderedPageBreak/>
        <w:t>Ky objektiv trajton një problem strukturor të politikave për aftësinë e kufizuar</w:t>
      </w:r>
      <w:r w:rsidR="00820C60" w:rsidRPr="00CB13F7">
        <w:rPr>
          <w:rFonts w:eastAsia="Times New Roman"/>
          <w:lang w:eastAsia="en-US"/>
        </w:rPr>
        <w:t>,</w:t>
      </w:r>
      <w:r w:rsidRPr="00CB13F7">
        <w:rPr>
          <w:rFonts w:eastAsia="Times New Roman"/>
          <w:lang w:eastAsia="en-US"/>
        </w:rPr>
        <w:t xml:space="preserve"> mungesën e koordinimit ndërinstitucional. Politikat që prekin personat me aftësi të kufizuara nuk i përkasin vetëm një ministrie</w:t>
      </w:r>
      <w:r w:rsidR="00820C60" w:rsidRPr="00CB13F7">
        <w:rPr>
          <w:rFonts w:eastAsia="Times New Roman"/>
          <w:lang w:eastAsia="en-US"/>
        </w:rPr>
        <w:t>. A</w:t>
      </w:r>
      <w:r w:rsidRPr="00CB13F7">
        <w:rPr>
          <w:rFonts w:eastAsia="Times New Roman"/>
          <w:lang w:eastAsia="en-US"/>
        </w:rPr>
        <w:t>to shtrihen në arsim, shëndetësi, drejtësi, punësim, transport, strehim, mbrojtje sociale dhe qeverisje vendore. Për pasojë, pa një mekanizëm funksional koordinimi, masat mbeten të fragmentuara, ndërhyjnë mbi njëra-tjetrën ose lënë boshllëqe të rëndësishme.</w:t>
      </w:r>
    </w:p>
    <w:p w14:paraId="7094209C" w14:textId="5D3B8FA2"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 xml:space="preserve">Pikërisht për këtë arsye, </w:t>
      </w:r>
      <w:r w:rsidR="001673BE" w:rsidRPr="00CB13F7">
        <w:rPr>
          <w:rFonts w:eastAsia="Times New Roman"/>
          <w:lang w:eastAsia="en-US"/>
        </w:rPr>
        <w:t xml:space="preserve">Plani </w:t>
      </w:r>
      <w:r w:rsidRPr="00CB13F7">
        <w:rPr>
          <w:rFonts w:eastAsia="Times New Roman"/>
          <w:lang w:eastAsia="en-US"/>
        </w:rPr>
        <w:t>e vendos në qendër forcimin real të Këshillit Kombëtar të Aftësisë së Kufizuar (KKAK), duke e transformuar atë nga një strukturë kryesisht konsultative në një mekanizëm aktiv koordinimi, monitorimi dhe orientimi politikash.</w:t>
      </w:r>
    </w:p>
    <w:p w14:paraId="7E501A95" w14:textId="14743591"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 xml:space="preserve">Së pari, objektivi synon të përmirësojë koordinimin horizontal të politikave përmes monitorimit të ndryshimeve legjislative. Rishikimi i </w:t>
      </w:r>
      <w:r w:rsidR="00F411E1" w:rsidRPr="00CB13F7">
        <w:rPr>
          <w:rFonts w:eastAsia="Times New Roman"/>
          <w:lang w:eastAsia="en-US"/>
        </w:rPr>
        <w:t xml:space="preserve">Ligjit </w:t>
      </w:r>
      <w:r w:rsidRPr="00CB13F7">
        <w:rPr>
          <w:rFonts w:eastAsia="Times New Roman"/>
          <w:lang w:eastAsia="en-US"/>
        </w:rPr>
        <w:t xml:space="preserve">kuadër për </w:t>
      </w:r>
      <w:r w:rsidR="00F411E1" w:rsidRPr="00CB13F7">
        <w:rPr>
          <w:rFonts w:eastAsia="Times New Roman"/>
          <w:lang w:eastAsia="en-US"/>
        </w:rPr>
        <w:t xml:space="preserve">Përfshirjen </w:t>
      </w:r>
      <w:r w:rsidRPr="00CB13F7">
        <w:rPr>
          <w:rFonts w:eastAsia="Times New Roman"/>
          <w:lang w:eastAsia="en-US"/>
        </w:rPr>
        <w:t xml:space="preserve">dhe </w:t>
      </w:r>
      <w:r w:rsidR="00F411E1" w:rsidRPr="00CB13F7">
        <w:rPr>
          <w:rFonts w:eastAsia="Times New Roman"/>
          <w:lang w:eastAsia="en-US"/>
        </w:rPr>
        <w:t xml:space="preserve">Aksesueshmërinë </w:t>
      </w:r>
      <w:r w:rsidRPr="00CB13F7">
        <w:rPr>
          <w:rFonts w:eastAsia="Times New Roman"/>
          <w:lang w:eastAsia="en-US"/>
        </w:rPr>
        <w:t>dhe përafrimi me Direktivën (BE) 2019/882 mbi kërkesat e aksesueshmërisë për produktet dhe shërbimet</w:t>
      </w:r>
      <w:r w:rsidRPr="00CB13F7">
        <w:rPr>
          <w:rFonts w:eastAsia="Times New Roman"/>
          <w:vertAlign w:val="superscript"/>
          <w:lang w:eastAsia="en-US"/>
        </w:rPr>
        <w:footnoteReference w:id="89"/>
      </w:r>
      <w:r w:rsidRPr="00CB13F7">
        <w:rPr>
          <w:rFonts w:eastAsia="Times New Roman"/>
          <w:lang w:eastAsia="en-US"/>
        </w:rPr>
        <w:t xml:space="preserve"> do të shërbejë jo vetëm për harmonizim me </w:t>
      </w:r>
      <w:r w:rsidRPr="00CB13F7">
        <w:rPr>
          <w:rFonts w:eastAsia="Times New Roman"/>
          <w:i/>
          <w:iCs/>
          <w:lang w:eastAsia="en-US"/>
        </w:rPr>
        <w:t>acquis</w:t>
      </w:r>
      <w:r w:rsidRPr="00CB13F7">
        <w:rPr>
          <w:rFonts w:eastAsia="Times New Roman"/>
          <w:lang w:eastAsia="en-US"/>
        </w:rPr>
        <w:t>-n e BE-së, por edhe për të qartësuar përgjegjësitë institucionale. Në praktikë kjo do të thotë që çdo ministri, para se të ndërmarrë ndryshime ligjore sektoriale, duhet të marrë në konsideratë ndikimin mbi personat me aftësi të kufizuara dhe të informojë KKAK. Kjo krijon një filtër të politikave publike, që shmang vendimmarrjet e izoluara dhe garanton integrimin e dimensionit të aftësisë së kufizuar në të gjitha politikat.</w:t>
      </w:r>
    </w:p>
    <w:p w14:paraId="6BF63731" w14:textId="6DC8CAFF"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Po aq i rëndësishëm është edhe koordinimi vertikal, midis nivelit qendror dhe atij vendor. Përmes </w:t>
      </w:r>
      <w:r w:rsidR="18B70206" w:rsidRPr="00CB13F7">
        <w:rPr>
          <w:rFonts w:eastAsia="Times New Roman"/>
          <w:lang w:eastAsia="en-US"/>
        </w:rPr>
        <w:t xml:space="preserve">takimeve </w:t>
      </w:r>
      <w:r w:rsidRPr="00CB13F7">
        <w:rPr>
          <w:rFonts w:eastAsia="Times New Roman"/>
          <w:lang w:eastAsia="en-US"/>
        </w:rPr>
        <w:t xml:space="preserve">në njësitë e vetëqeverisjes vendore dhe mbledhjes së të dhënave mbi zbatimin e </w:t>
      </w:r>
      <w:r w:rsidR="495DB676" w:rsidRPr="00CB13F7">
        <w:rPr>
          <w:rFonts w:eastAsia="Times New Roman"/>
          <w:lang w:eastAsia="en-US"/>
        </w:rPr>
        <w:t>Planit</w:t>
      </w:r>
      <w:r w:rsidRPr="00CB13F7">
        <w:rPr>
          <w:rFonts w:eastAsia="Times New Roman"/>
          <w:lang w:eastAsia="en-US"/>
        </w:rPr>
        <w:t>, KKAK do të krijojë një pasqyrë reale të situatës në terren. Kjo është thelbësore sepse shpesh ekziston një diferencë e madhe midis politikave të miratuara dhe realitetit lokal. Informacioni i mbledhur do të përdoret për të orientuar vendimmarrjen në nivel qendror dhe për të identifikuar pengesat konkrete që hasin bashkitë.</w:t>
      </w:r>
    </w:p>
    <w:p w14:paraId="087615AC" w14:textId="4B208DAD"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Ndërtimi i një plani vjetor aktivitetesh për KKAK synon </w:t>
      </w:r>
      <w:r w:rsidR="495DB676" w:rsidRPr="00CB13F7">
        <w:rPr>
          <w:rFonts w:eastAsia="Times New Roman"/>
          <w:lang w:eastAsia="en-US"/>
        </w:rPr>
        <w:t xml:space="preserve"> </w:t>
      </w:r>
      <w:r w:rsidRPr="00CB13F7">
        <w:rPr>
          <w:rFonts w:eastAsia="Times New Roman"/>
          <w:lang w:eastAsia="en-US"/>
        </w:rPr>
        <w:t>të vendosë një cikël të rregullt pune. Takimet periodike me ministritë e linjës në fillim të çdo viti do të shërbejnë për koordinimin e prioriteteve, shmangien e mbivendosjeve dhe planifikimin e përbashkët të ndërhyrjeve. Për herë të parë, planifikimi për aftësinë e kufizuar synohet të bëhet ndërsektorial, dhe jo thjesht si një përgjegjësi e një institucioni të vetëm.</w:t>
      </w:r>
    </w:p>
    <w:p w14:paraId="2A1FCF23" w14:textId="068DA97D"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 xml:space="preserve">Një element i rëndësishëm i këtij objektivi është edhe përfshirja e organizatave të personave me aftësi të kufizuara, përfshirë ato që nuk janë anëtare të KKAK. Kjo e zgjeron konsultimin publik dhe e afron politikëbërjen me përvojën reale të përfituesve. Në këtë mënyrë, KKAK shndërrohet në një platformë dialogu ndërmjet institucioneve dhe komunitetit, duke rritur </w:t>
      </w:r>
      <w:r w:rsidR="00944636" w:rsidRPr="00CB13F7">
        <w:rPr>
          <w:rFonts w:eastAsia="Times New Roman"/>
          <w:lang w:eastAsia="en-US"/>
        </w:rPr>
        <w:t xml:space="preserve">transparencën </w:t>
      </w:r>
      <w:r w:rsidRPr="00CB13F7">
        <w:rPr>
          <w:rFonts w:eastAsia="Times New Roman"/>
          <w:lang w:eastAsia="en-US"/>
        </w:rPr>
        <w:t>dhe legjitimitetin e politikave.</w:t>
      </w:r>
    </w:p>
    <w:p w14:paraId="1E53CC4E" w14:textId="61BD74C0"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lastRenderedPageBreak/>
        <w:t xml:space="preserve">Përgatitja e raporteve vjetore të aktiviteteve dhe rezultateve synon të krijojë një mekanizëm llogaridhënieje. Raportimi periodik do të mundësojë vlerësimin e progresit të </w:t>
      </w:r>
      <w:r w:rsidR="00944636" w:rsidRPr="00CB13F7">
        <w:rPr>
          <w:rFonts w:eastAsia="Times New Roman"/>
          <w:lang w:eastAsia="en-US"/>
        </w:rPr>
        <w:t xml:space="preserve">Planit </w:t>
      </w:r>
      <w:r w:rsidRPr="00CB13F7">
        <w:rPr>
          <w:rFonts w:eastAsia="Times New Roman"/>
          <w:lang w:eastAsia="en-US"/>
        </w:rPr>
        <w:t xml:space="preserve">të </w:t>
      </w:r>
      <w:r w:rsidR="00944636" w:rsidRPr="00CB13F7">
        <w:rPr>
          <w:rFonts w:eastAsia="Times New Roman"/>
          <w:lang w:eastAsia="en-US"/>
        </w:rPr>
        <w:t>Veprimit</w:t>
      </w:r>
      <w:r w:rsidRPr="00CB13F7">
        <w:rPr>
          <w:rFonts w:eastAsia="Times New Roman"/>
          <w:lang w:eastAsia="en-US"/>
        </w:rPr>
        <w:t>, identifikimin e vonesave dhe përshtatjen e politikave sipas nevojave reale.</w:t>
      </w:r>
    </w:p>
    <w:p w14:paraId="76CD15F1" w14:textId="375DF3CE" w:rsidR="00E87FBC" w:rsidRPr="00CB13F7" w:rsidRDefault="00184AFC" w:rsidP="00BA2B1D">
      <w:pPr>
        <w:spacing w:before="120" w:after="120" w:line="276" w:lineRule="auto"/>
        <w:jc w:val="both"/>
        <w:rPr>
          <w:rFonts w:eastAsia="Times New Roman"/>
          <w:lang w:eastAsia="en-US"/>
        </w:rPr>
      </w:pPr>
      <w:r w:rsidRPr="00CB13F7">
        <w:rPr>
          <w:rFonts w:eastAsia="Times New Roman"/>
          <w:lang w:eastAsia="en-US"/>
        </w:rPr>
        <w:t>K</w:t>
      </w:r>
      <w:r w:rsidR="00E87FBC" w:rsidRPr="00CB13F7">
        <w:rPr>
          <w:rFonts w:eastAsia="Times New Roman"/>
          <w:lang w:eastAsia="en-US"/>
        </w:rPr>
        <w:t>y objektiv synon të krijojë një sistem të qëndrueshëm koordinimi publik për aftësinë e kufizuar. KKAK pritet të funksionojë si nyja qendrore e sistemit: një strukturë që lidh ministritë, pushtetin vendor dhe organizatat e personave me aftësi të kufizuara, duke garantuar që politikat të mos jenë të shpërndara në sektorë të veçantë, por të ndërtohen dhe zbatohen në mënyrë të integruar dhe të monitorueshme.</w:t>
      </w:r>
    </w:p>
    <w:p w14:paraId="34CFB96F" w14:textId="6FB666B6" w:rsidR="00E87FBC" w:rsidRPr="00CB13F7" w:rsidRDefault="2CEDA48E" w:rsidP="00BA2B1D">
      <w:pPr>
        <w:spacing w:before="120" w:after="120" w:line="276" w:lineRule="auto"/>
        <w:jc w:val="both"/>
        <w:rPr>
          <w:rFonts w:eastAsia="Times New Roman"/>
          <w:b/>
          <w:bCs/>
          <w:lang w:eastAsia="en-US"/>
        </w:rPr>
      </w:pPr>
      <w:r w:rsidRPr="00CB13F7">
        <w:rPr>
          <w:rFonts w:eastAsia="Times New Roman"/>
          <w:b/>
          <w:bCs/>
          <w:lang w:eastAsia="en-US"/>
        </w:rPr>
        <w:t>Objektivi Specifik 3</w:t>
      </w:r>
      <w:r w:rsidR="27B97477" w:rsidRPr="00CB13F7">
        <w:rPr>
          <w:rFonts w:eastAsia="Times New Roman"/>
          <w:b/>
          <w:bCs/>
          <w:lang w:eastAsia="en-US"/>
        </w:rPr>
        <w:t xml:space="preserve">: </w:t>
      </w:r>
      <w:r w:rsidR="49071F59" w:rsidRPr="006B46C0">
        <w:rPr>
          <w:rFonts w:eastAsia="Times New Roman"/>
          <w:i/>
          <w:iCs/>
          <w:lang w:eastAsia="en-US"/>
        </w:rPr>
        <w:t>N</w:t>
      </w:r>
      <w:r w:rsidR="27B97477" w:rsidRPr="00CB13F7">
        <w:rPr>
          <w:rFonts w:eastAsia="Times New Roman"/>
          <w:i/>
          <w:iCs/>
          <w:lang w:eastAsia="en-US"/>
        </w:rPr>
        <w:t xml:space="preserve">gritja </w:t>
      </w:r>
      <w:r w:rsidRPr="00CB13F7">
        <w:rPr>
          <w:rFonts w:eastAsia="Times New Roman"/>
          <w:i/>
          <w:iCs/>
          <w:lang w:eastAsia="en-US"/>
        </w:rPr>
        <w:t xml:space="preserve">e një sistemi statistikor të qëndrueshëm për matjen e indikatorëve të monitorimit, në përputhje me treguesit </w:t>
      </w:r>
      <w:r w:rsidR="7CCBCF77" w:rsidRPr="00CB13F7">
        <w:rPr>
          <w:rFonts w:eastAsia="Times New Roman"/>
          <w:i/>
          <w:iCs/>
          <w:lang w:eastAsia="en-US"/>
        </w:rPr>
        <w:t>OZHQ</w:t>
      </w:r>
      <w:r w:rsidRPr="00CB13F7">
        <w:rPr>
          <w:rFonts w:eastAsia="Times New Roman"/>
          <w:i/>
          <w:iCs/>
          <w:lang w:eastAsia="en-US"/>
        </w:rPr>
        <w:t xml:space="preserve"> për aftësinë e kufizuar</w:t>
      </w:r>
      <w:r w:rsidR="27B97477" w:rsidRPr="00CB13F7">
        <w:rPr>
          <w:rFonts w:eastAsia="Times New Roman"/>
          <w:i/>
          <w:iCs/>
          <w:lang w:eastAsia="en-US"/>
        </w:rPr>
        <w:t>.</w:t>
      </w:r>
    </w:p>
    <w:p w14:paraId="2009ACF8" w14:textId="77777777" w:rsidR="00820C60" w:rsidRPr="00CB13F7" w:rsidRDefault="00E87FBC"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 prioritare </w:t>
      </w:r>
    </w:p>
    <w:p w14:paraId="2E3D712C" w14:textId="443F887B" w:rsidR="00E87FBC" w:rsidRPr="00CB13F7" w:rsidRDefault="00E87FBC" w:rsidP="000626E8">
      <w:pPr>
        <w:pStyle w:val="ListParagraph"/>
        <w:numPr>
          <w:ilvl w:val="0"/>
          <w:numId w:val="55"/>
        </w:numPr>
        <w:spacing w:before="120" w:after="120" w:line="276" w:lineRule="auto"/>
        <w:jc w:val="both"/>
        <w:rPr>
          <w:rFonts w:eastAsia="Times New Roman"/>
          <w:lang w:eastAsia="en-US"/>
        </w:rPr>
      </w:pPr>
      <w:r w:rsidRPr="00CB13F7">
        <w:rPr>
          <w:rFonts w:eastAsia="Times New Roman"/>
          <w:lang w:eastAsia="en-US"/>
        </w:rPr>
        <w:t>Përmirësimi i akteve ligjore dhe nënligjore për mbledhjen, analizën dhe përdorimin e të dhënave mbi aftësinë e kufizuar</w:t>
      </w:r>
      <w:r w:rsidR="000626E8" w:rsidRPr="00CB13F7">
        <w:rPr>
          <w:rFonts w:eastAsia="Times New Roman"/>
          <w:lang w:eastAsia="en-US"/>
        </w:rPr>
        <w:t>.</w:t>
      </w:r>
    </w:p>
    <w:p w14:paraId="062B7EFA" w14:textId="438F555E"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Ky objektiv adreson një nga pengesat më të mëdha në hartimin dhe monitorimin e politikave për personat me aftësi të kufizuara: mungesën e të dhënave të besueshme, të krahasueshme dhe të integruara. Në praktikë, shumë politika publike janë ndërtuar pa një </w:t>
      </w:r>
      <w:r w:rsidR="72280BC7" w:rsidRPr="00CB13F7">
        <w:rPr>
          <w:rFonts w:eastAsia="Times New Roman"/>
          <w:lang w:eastAsia="en-US"/>
        </w:rPr>
        <w:t>vlerësim të plotë</w:t>
      </w:r>
      <w:r w:rsidRPr="00CB13F7">
        <w:rPr>
          <w:rFonts w:eastAsia="Times New Roman"/>
          <w:lang w:eastAsia="en-US"/>
        </w:rPr>
        <w:t xml:space="preserve"> të situatës së personave me aftësi të kufizuara, sepse informacioni ekzistues është i fragmentuar, shpesh administrativ dhe jo gjithmonë i harmonizuar midis institucioneve.</w:t>
      </w:r>
    </w:p>
    <w:p w14:paraId="4DB2F611" w14:textId="77777777"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Plani synon të kalojë nga një sistem i shpërndarë informacioni në një sistem statistikor kombëtar të integruar për aftësinë e kufizuar. Rishikimi i kuadrit nënligjor për mbledhjen e statistikave do të përcaktojë detyrime të qarta për institucionet publike mbi mënyrën e mbledhjes, përpunimit dhe raportimit të të dhënave, si dhe lidhjen e tyre me monitorimin e Planit të Veprimit. Raportimi vjetor në Këshillin Kombëtar të Aftësisë së Kufizuar do të krijojë për herë të parë një mekanizëm të rregullt monitorimi të bazuar në evidencë dhe jo vetëm në raportime përshkruese.</w:t>
      </w:r>
    </w:p>
    <w:p w14:paraId="6596BB52" w14:textId="3DA8F599"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Një </w:t>
      </w:r>
      <w:r w:rsidR="37C11E08" w:rsidRPr="00CB13F7">
        <w:rPr>
          <w:rFonts w:eastAsia="Times New Roman"/>
          <w:lang w:eastAsia="en-US"/>
        </w:rPr>
        <w:t xml:space="preserve">element </w:t>
      </w:r>
      <w:r w:rsidRPr="00CB13F7">
        <w:rPr>
          <w:rFonts w:eastAsia="Times New Roman"/>
          <w:lang w:eastAsia="en-US"/>
        </w:rPr>
        <w:t xml:space="preserve">kyç i objektivit është integrimi i aftësisë së kufizuar në statistikat kombëtare. Përfshirja e të dhënave për aftësinë e kufizuar në anketa të mëdha kombëtare të INSTAT </w:t>
      </w:r>
      <w:r w:rsidR="00E87FBC" w:rsidRPr="00CB13F7">
        <w:rPr>
          <w:rFonts w:eastAsia="Times New Roman"/>
          <w:vertAlign w:val="superscript"/>
          <w:lang w:eastAsia="en-US"/>
        </w:rPr>
        <w:footnoteReference w:id="90"/>
      </w:r>
      <w:r w:rsidRPr="00CB13F7">
        <w:rPr>
          <w:rFonts w:eastAsia="Times New Roman"/>
          <w:lang w:eastAsia="en-US"/>
        </w:rPr>
        <w:t xml:space="preserve"> si Anketa e të Ardhurave dhe Nivelit të Jetesës, Anketa e Buxhetit të Familjes dhe Anketa e Forcave të Punës  do të mundësojë matjen reale të varfërisë, punësimit, përjashtimit social dhe pabarazive. Kjo është thelbësore sepse aktualisht këto indikatorë shpesh maten për popullsinë në përgjithësi, pa dalluar ndikimin specifik që aftësia e kufizuar ka në jetesën ekonomike dhe sociale.</w:t>
      </w:r>
    </w:p>
    <w:p w14:paraId="629D2E20" w14:textId="77777777"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Trajnimi i pikave fokale në ministri synon të standardizojë mënyrën e mbledhjes së të dhënave. Aktualisht institucionet përdorin metoda të ndryshme, çka e bën të vështirë krahasimin dhe analizën. Përmes trajnimeve dhe udhëzimeve të përbashkëta do të sigurohet përdorimi i një metodologjie të harmonizuar, duke rritur cilësinë dhe besueshmërinë e informacionit.</w:t>
      </w:r>
    </w:p>
    <w:p w14:paraId="42FF6CB3" w14:textId="77777777"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lastRenderedPageBreak/>
        <w:t>Një hap thelbësor është ngritja e Grupit Ndërinstitucional të Statistikave të Përfshirjes Sociale. Ky grup do të funksionojë si mekanizëm teknik bashkëpunimi ndërmjet institucioneve që prodhojnë të dhëna (mbrojtje sociale, punësim, arsim, shëndetësi, drejtësi, strehim). Për herë të parë, të dhënat administrative do të analizohen në mënyrë të integruar dhe ndërsektoriale, duke mundësuar krijimin e treguesve kompleksë që lidhen me gjininë, moshën, përkatësinë etnike dhe aftësinë e kufizuar.</w:t>
      </w:r>
    </w:p>
    <w:p w14:paraId="5BF9D828" w14:textId="15E2BDEF"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Kjo qasje do të lidhë drejtpërdrejt politikat kombëtare me treguesit e Objektivave të Zhvillimit të Qëndrueshëm (</w:t>
      </w:r>
      <w:r w:rsidR="7CCBCF77" w:rsidRPr="00CB13F7">
        <w:rPr>
          <w:rFonts w:eastAsia="Times New Roman"/>
          <w:lang w:eastAsia="en-US"/>
        </w:rPr>
        <w:t>OZHQ</w:t>
      </w:r>
      <w:r w:rsidRPr="00CB13F7">
        <w:rPr>
          <w:rFonts w:eastAsia="Times New Roman"/>
          <w:lang w:eastAsia="en-US"/>
        </w:rPr>
        <w:t>), të cilët kërkojnë matjen e përfshirjes sociale të personave me aftësi të kufizuara në fusha si varfëria, arsimi, punësimi, shëndeti dhe pjesëmarrja sociale. Pra, sistemi statistikor nuk do të shërbejë vetëm për raportim ndërkombëtar, por do të bëhet një instrument vendimmarrjeje për politikat publike.</w:t>
      </w:r>
    </w:p>
    <w:p w14:paraId="1AE65B2A" w14:textId="369D3B03"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Në thelb, ky objektiv synon të ndërtojë një politikë për aftësinë e kufizuar të bazuar </w:t>
      </w:r>
      <w:r w:rsidR="42844211" w:rsidRPr="00CB13F7">
        <w:rPr>
          <w:rFonts w:eastAsia="Times New Roman"/>
          <w:lang w:eastAsia="en-US"/>
        </w:rPr>
        <w:t xml:space="preserve"> në të dhëna dhe fakte të mbështetura</w:t>
      </w:r>
      <w:r w:rsidRPr="00CB13F7">
        <w:rPr>
          <w:rFonts w:eastAsia="Times New Roman"/>
          <w:lang w:eastAsia="en-US"/>
        </w:rPr>
        <w:t xml:space="preserve">. </w:t>
      </w:r>
      <w:r w:rsidR="42844211" w:rsidRPr="00CB13F7">
        <w:rPr>
          <w:rFonts w:eastAsia="Times New Roman"/>
          <w:lang w:eastAsia="en-US"/>
        </w:rPr>
        <w:t xml:space="preserve">Këto të </w:t>
      </w:r>
      <w:r w:rsidRPr="00CB13F7">
        <w:rPr>
          <w:rFonts w:eastAsia="Times New Roman"/>
          <w:lang w:eastAsia="en-US"/>
        </w:rPr>
        <w:t xml:space="preserve">dhënat do të përdoren për planifikim më të saktë të buxheteve, për targetim më të mirë të shërbimeve dhe për vlerësimin real të ndikimit të reformave. Në këtë mënyrë, monitorimi i </w:t>
      </w:r>
      <w:r w:rsidR="42844211" w:rsidRPr="00CB13F7">
        <w:rPr>
          <w:rFonts w:eastAsia="Times New Roman"/>
          <w:lang w:eastAsia="en-US"/>
        </w:rPr>
        <w:t xml:space="preserve">Planit </w:t>
      </w:r>
      <w:r w:rsidRPr="00CB13F7">
        <w:rPr>
          <w:rFonts w:eastAsia="Times New Roman"/>
          <w:lang w:eastAsia="en-US"/>
        </w:rPr>
        <w:t xml:space="preserve">të </w:t>
      </w:r>
      <w:r w:rsidR="42844211" w:rsidRPr="00CB13F7">
        <w:rPr>
          <w:rFonts w:eastAsia="Times New Roman"/>
          <w:lang w:eastAsia="en-US"/>
        </w:rPr>
        <w:t xml:space="preserve">Veprimit </w:t>
      </w:r>
      <w:r w:rsidRPr="00CB13F7">
        <w:rPr>
          <w:rFonts w:eastAsia="Times New Roman"/>
          <w:lang w:eastAsia="en-US"/>
        </w:rPr>
        <w:t>nuk do të jetë vetëm formal, por do të mbështetet në tregues konkretë që matin ndryshimin real në jetën e personave me aftësi të kufizuara.</w:t>
      </w:r>
    </w:p>
    <w:p w14:paraId="12440B90" w14:textId="48EDBCFA" w:rsidR="00E87FBC" w:rsidRPr="00CB13F7" w:rsidRDefault="2CEDA48E" w:rsidP="00BA2B1D">
      <w:pPr>
        <w:spacing w:before="120" w:after="120" w:line="276" w:lineRule="auto"/>
        <w:jc w:val="both"/>
        <w:rPr>
          <w:rFonts w:eastAsia="Times New Roman"/>
          <w:b/>
          <w:bCs/>
          <w:lang w:eastAsia="en-US"/>
        </w:rPr>
      </w:pPr>
      <w:r w:rsidRPr="00CB13F7">
        <w:rPr>
          <w:rFonts w:eastAsia="Times New Roman"/>
          <w:b/>
          <w:bCs/>
          <w:lang w:eastAsia="en-US"/>
        </w:rPr>
        <w:t>Objektivi Specifik 4</w:t>
      </w:r>
      <w:r w:rsidR="42844211" w:rsidRPr="00CB13F7">
        <w:rPr>
          <w:rFonts w:eastAsia="Times New Roman"/>
          <w:b/>
          <w:bCs/>
          <w:lang w:eastAsia="en-US"/>
        </w:rPr>
        <w:t xml:space="preserve">: </w:t>
      </w:r>
      <w:r w:rsidR="09424B1A" w:rsidRPr="006B46C0">
        <w:rPr>
          <w:rFonts w:eastAsia="Times New Roman"/>
          <w:i/>
          <w:iCs/>
          <w:lang w:eastAsia="en-US"/>
        </w:rPr>
        <w:t>N</w:t>
      </w:r>
      <w:r w:rsidR="42844211" w:rsidRPr="00CB13F7">
        <w:rPr>
          <w:rFonts w:eastAsia="Times New Roman"/>
          <w:i/>
          <w:iCs/>
          <w:lang w:eastAsia="en-US"/>
        </w:rPr>
        <w:t xml:space="preserve">xitja </w:t>
      </w:r>
      <w:r w:rsidRPr="00CB13F7">
        <w:rPr>
          <w:rFonts w:eastAsia="Times New Roman"/>
          <w:i/>
          <w:iCs/>
          <w:lang w:eastAsia="en-US"/>
        </w:rPr>
        <w:t>e bashkëpunimit rajonal për zbatimin e KDPAK</w:t>
      </w:r>
      <w:r w:rsidR="42844211" w:rsidRPr="00CB13F7">
        <w:rPr>
          <w:rFonts w:eastAsia="Times New Roman"/>
          <w:i/>
          <w:iCs/>
          <w:lang w:eastAsia="en-US"/>
        </w:rPr>
        <w:t>.</w:t>
      </w:r>
    </w:p>
    <w:p w14:paraId="577C5AB8" w14:textId="77777777" w:rsidR="00820C60" w:rsidRPr="00CB13F7" w:rsidRDefault="00E87FBC" w:rsidP="00BA2B1D">
      <w:pPr>
        <w:spacing w:before="120" w:after="120" w:line="276" w:lineRule="auto"/>
        <w:jc w:val="both"/>
        <w:rPr>
          <w:rFonts w:eastAsia="Times New Roman"/>
          <w:b/>
          <w:bCs/>
          <w:i/>
          <w:iCs/>
          <w:lang w:eastAsia="en-US"/>
        </w:rPr>
      </w:pPr>
      <w:r w:rsidRPr="00CB13F7">
        <w:rPr>
          <w:rFonts w:eastAsia="Times New Roman"/>
          <w:b/>
          <w:bCs/>
          <w:i/>
          <w:iCs/>
          <w:lang w:eastAsia="en-US"/>
        </w:rPr>
        <w:t xml:space="preserve">Masa prioritare </w:t>
      </w:r>
    </w:p>
    <w:p w14:paraId="58B122A7" w14:textId="244CBB94" w:rsidR="00E87FBC" w:rsidRPr="00CB13F7" w:rsidRDefault="00E87FBC" w:rsidP="00FE0EBF">
      <w:pPr>
        <w:pStyle w:val="ListParagraph"/>
        <w:numPr>
          <w:ilvl w:val="0"/>
          <w:numId w:val="56"/>
        </w:numPr>
        <w:spacing w:before="120" w:after="120" w:line="276" w:lineRule="auto"/>
        <w:jc w:val="both"/>
        <w:rPr>
          <w:rFonts w:eastAsia="Times New Roman"/>
          <w:lang w:eastAsia="en-US"/>
        </w:rPr>
      </w:pPr>
      <w:r w:rsidRPr="00CB13F7">
        <w:rPr>
          <w:rFonts w:eastAsia="Times New Roman"/>
          <w:lang w:eastAsia="en-US"/>
        </w:rPr>
        <w:t>Organizimi dhe pjesëmarrja në aktivitete ndërkombëtare për shkëmbimin e praktikave dhe përmirësimin e politikave për aftësinë e kufizuar</w:t>
      </w:r>
      <w:r w:rsidR="00FE0EBF" w:rsidRPr="00CB13F7">
        <w:rPr>
          <w:rFonts w:eastAsia="Times New Roman"/>
          <w:lang w:eastAsia="en-US"/>
        </w:rPr>
        <w:t>.</w:t>
      </w:r>
    </w:p>
    <w:p w14:paraId="1E8B4A65" w14:textId="6377A952"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Ky objektiv synon të forcojë dimensionin ndërkombëtar të politikave për aftësinë e kufizuar dhe </w:t>
      </w:r>
      <w:r w:rsidR="5A6A09F0" w:rsidRPr="00CB13F7">
        <w:rPr>
          <w:rFonts w:eastAsia="Times New Roman"/>
          <w:lang w:eastAsia="en-US"/>
        </w:rPr>
        <w:t xml:space="preserve">të </w:t>
      </w:r>
      <w:r w:rsidRPr="00CB13F7">
        <w:rPr>
          <w:rFonts w:eastAsia="Times New Roman"/>
          <w:lang w:eastAsia="en-US"/>
        </w:rPr>
        <w:t>vendosë zbatimin e Konventës për të Drejtat e Personave me Aftësi të Kufizuara në një kontekst bashkëpunimi rajonal dhe evropian. Në praktikë, shumë nga reformat më të rëndësishme për aftësinë e kufizuar</w:t>
      </w:r>
      <w:r w:rsidR="3F481F9D" w:rsidRPr="00CB13F7">
        <w:rPr>
          <w:rFonts w:eastAsia="Times New Roman"/>
          <w:lang w:eastAsia="en-US"/>
        </w:rPr>
        <w:t xml:space="preserve">, </w:t>
      </w:r>
      <w:r w:rsidRPr="00CB13F7">
        <w:rPr>
          <w:rFonts w:eastAsia="Times New Roman"/>
          <w:lang w:eastAsia="en-US"/>
        </w:rPr>
        <w:t xml:space="preserve">si jetesa e pavarur, vendimmarrja e mbështetur, </w:t>
      </w:r>
      <w:r w:rsidR="1AFA2652" w:rsidRPr="00CB13F7">
        <w:rPr>
          <w:rFonts w:eastAsia="Times New Roman"/>
          <w:lang w:eastAsia="en-US"/>
        </w:rPr>
        <w:t>deinstitucionalizimi</w:t>
      </w:r>
      <w:r w:rsidRPr="00CB13F7">
        <w:rPr>
          <w:rFonts w:eastAsia="Times New Roman"/>
          <w:lang w:eastAsia="en-US"/>
        </w:rPr>
        <w:t xml:space="preserve"> apo shërbimet komunitare</w:t>
      </w:r>
      <w:r w:rsidR="3F481F9D" w:rsidRPr="00CB13F7">
        <w:rPr>
          <w:rFonts w:eastAsia="Times New Roman"/>
          <w:lang w:eastAsia="en-US"/>
        </w:rPr>
        <w:t xml:space="preserve">, </w:t>
      </w:r>
      <w:r w:rsidRPr="00CB13F7">
        <w:rPr>
          <w:rFonts w:eastAsia="Times New Roman"/>
          <w:lang w:eastAsia="en-US"/>
        </w:rPr>
        <w:t xml:space="preserve">janë fusha relativisht të reja për </w:t>
      </w:r>
      <w:r w:rsidR="3FC4D3D6" w:rsidRPr="00CB13F7">
        <w:rPr>
          <w:rFonts w:eastAsia="Times New Roman"/>
          <w:lang w:eastAsia="en-US"/>
        </w:rPr>
        <w:t xml:space="preserve">institucionet e </w:t>
      </w:r>
      <w:r w:rsidRPr="00CB13F7">
        <w:rPr>
          <w:rFonts w:eastAsia="Times New Roman"/>
          <w:lang w:eastAsia="en-US"/>
        </w:rPr>
        <w:t>administrat</w:t>
      </w:r>
      <w:r w:rsidR="1710B10D" w:rsidRPr="00CB13F7">
        <w:rPr>
          <w:rFonts w:eastAsia="Times New Roman"/>
          <w:lang w:eastAsia="en-US"/>
        </w:rPr>
        <w:t>ës</w:t>
      </w:r>
      <w:r w:rsidRPr="00CB13F7">
        <w:rPr>
          <w:rFonts w:eastAsia="Times New Roman"/>
          <w:lang w:eastAsia="en-US"/>
        </w:rPr>
        <w:t xml:space="preserve"> publike dhe kërkojnë jo vetëm legjislacion, por edhe modele funksionale të provuara.</w:t>
      </w:r>
    </w:p>
    <w:p w14:paraId="60B1C37B" w14:textId="06BF24A5" w:rsidR="00E87FBC" w:rsidRPr="00CB13F7" w:rsidRDefault="00E87FBC" w:rsidP="00BA2B1D">
      <w:pPr>
        <w:spacing w:before="120" w:after="120" w:line="276" w:lineRule="auto"/>
        <w:jc w:val="both"/>
        <w:rPr>
          <w:rFonts w:eastAsia="Times New Roman"/>
          <w:lang w:eastAsia="en-US"/>
        </w:rPr>
      </w:pPr>
      <w:r w:rsidRPr="00CB13F7">
        <w:rPr>
          <w:rFonts w:eastAsia="Times New Roman"/>
          <w:lang w:eastAsia="en-US"/>
        </w:rPr>
        <w:t xml:space="preserve">Plani i </w:t>
      </w:r>
      <w:r w:rsidR="006B2585" w:rsidRPr="00CB13F7">
        <w:rPr>
          <w:rFonts w:eastAsia="Times New Roman"/>
          <w:lang w:eastAsia="en-US"/>
        </w:rPr>
        <w:t xml:space="preserve">Veprimit </w:t>
      </w:r>
      <w:r w:rsidRPr="00CB13F7">
        <w:rPr>
          <w:rFonts w:eastAsia="Times New Roman"/>
          <w:lang w:eastAsia="en-US"/>
        </w:rPr>
        <w:t>parashikon që Shqipëria të mos veprojë e izoluar, por të mësojë sistematikisht nga përvojat e vendeve të tjera. Organizimi periodik i konferencave rajonale do të krijojë një hapësirë të përhershme shkëmbimi midis institucioneve shtetërore, pushtetit vendor dhe organizatave të personave me aftësi të kufizuara. Këto aktivitete do të fokusohen në fusha konkrete reformash, si transformimi i institucioneve rezidenciale në shërbime komunitare, zhvillimi i mekanizmave të vendimmarrjes së mbështetur apo mbështetja e sipërmarrjes sociale, duke ndihmuar në shmangien e gabimeve të bëra në vende të tjera dhe në përshtatjen e praktikave të suksesshme.</w:t>
      </w:r>
    </w:p>
    <w:p w14:paraId="1EA527C4" w14:textId="0D1E4967"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Pjesëmarrja në konferenca dhe rrjete rajonale dhe të Bashkimit Evropian do të shërbejë si mekanizëm për harmonizimin gradual të politikave kombëtare me standardet evropiane. Përmes këtij procesi, institucionet shqiptare do të kenë akses në udhëzime teknike, metodologji monitorimi </w:t>
      </w:r>
      <w:r w:rsidRPr="00CB13F7">
        <w:rPr>
          <w:rFonts w:eastAsia="Times New Roman"/>
          <w:lang w:eastAsia="en-US"/>
        </w:rPr>
        <w:lastRenderedPageBreak/>
        <w:t>dhe modele financimi të përdorura në vende të tjera, gjë që ndihmon në përmirësimin e cilësisë së reformave dhe në përgatitjen për procesin e integrimit evropian.</w:t>
      </w:r>
    </w:p>
    <w:p w14:paraId="40F35B20" w14:textId="5DF2BB26" w:rsidR="00E87FBC" w:rsidRPr="00CB13F7" w:rsidRDefault="2CEDA48E" w:rsidP="00BA2B1D">
      <w:pPr>
        <w:spacing w:before="120" w:after="120" w:line="276" w:lineRule="auto"/>
        <w:jc w:val="both"/>
        <w:rPr>
          <w:rFonts w:eastAsia="Times New Roman"/>
          <w:lang w:eastAsia="en-US"/>
        </w:rPr>
      </w:pPr>
      <w:r w:rsidRPr="00CB13F7">
        <w:rPr>
          <w:rFonts w:eastAsia="Times New Roman"/>
          <w:lang w:eastAsia="en-US"/>
        </w:rPr>
        <w:t xml:space="preserve">Një rol të veçantë kanë </w:t>
      </w:r>
      <w:r w:rsidR="224C2A02" w:rsidRPr="00CB13F7">
        <w:rPr>
          <w:rFonts w:eastAsia="Times New Roman"/>
          <w:lang w:eastAsia="en-US"/>
        </w:rPr>
        <w:t xml:space="preserve">bashkëpunimet </w:t>
      </w:r>
      <w:r w:rsidRPr="00CB13F7">
        <w:rPr>
          <w:rFonts w:eastAsia="Times New Roman"/>
          <w:lang w:eastAsia="en-US"/>
        </w:rPr>
        <w:t xml:space="preserve">studimore, të cilat synojnë transferimin praktik të njohurive. Përfshirja në këto </w:t>
      </w:r>
      <w:r w:rsidR="224C2A02" w:rsidRPr="00CB13F7">
        <w:rPr>
          <w:rFonts w:eastAsia="Times New Roman"/>
          <w:lang w:eastAsia="en-US"/>
        </w:rPr>
        <w:t xml:space="preserve">takime </w:t>
      </w:r>
      <w:r w:rsidRPr="00CB13F7">
        <w:rPr>
          <w:rFonts w:eastAsia="Times New Roman"/>
          <w:lang w:eastAsia="en-US"/>
        </w:rPr>
        <w:t xml:space="preserve">jo vetëm </w:t>
      </w:r>
      <w:r w:rsidR="224C2A02" w:rsidRPr="00CB13F7">
        <w:rPr>
          <w:rFonts w:eastAsia="Times New Roman"/>
          <w:lang w:eastAsia="en-US"/>
        </w:rPr>
        <w:t xml:space="preserve">të </w:t>
      </w:r>
      <w:r w:rsidRPr="00CB13F7">
        <w:rPr>
          <w:rFonts w:eastAsia="Times New Roman"/>
          <w:lang w:eastAsia="en-US"/>
        </w:rPr>
        <w:t xml:space="preserve">administratës qendrore, por edhe e bashkive dhe organizatave të personave me aftësi të kufizuara, është </w:t>
      </w:r>
      <w:r w:rsidR="224C2A02" w:rsidRPr="00CB13F7">
        <w:rPr>
          <w:rFonts w:eastAsia="Times New Roman"/>
          <w:lang w:eastAsia="en-US"/>
        </w:rPr>
        <w:t xml:space="preserve">e rëndësishme </w:t>
      </w:r>
      <w:r w:rsidRPr="00CB13F7">
        <w:rPr>
          <w:rFonts w:eastAsia="Times New Roman"/>
          <w:lang w:eastAsia="en-US"/>
        </w:rPr>
        <w:t>sepse shumë reforma</w:t>
      </w:r>
      <w:r w:rsidR="5250BB85" w:rsidRPr="00CB13F7">
        <w:rPr>
          <w:rFonts w:eastAsia="Times New Roman"/>
          <w:lang w:eastAsia="en-US"/>
        </w:rPr>
        <w:t xml:space="preserve">, </w:t>
      </w:r>
      <w:r w:rsidRPr="00CB13F7">
        <w:rPr>
          <w:rFonts w:eastAsia="Times New Roman"/>
          <w:lang w:eastAsia="en-US"/>
        </w:rPr>
        <w:t>veçanërisht shërbimet sociale komunitare</w:t>
      </w:r>
      <w:r w:rsidR="5250BB85" w:rsidRPr="00CB13F7">
        <w:rPr>
          <w:rFonts w:eastAsia="Times New Roman"/>
          <w:lang w:eastAsia="en-US"/>
        </w:rPr>
        <w:t xml:space="preserve">, </w:t>
      </w:r>
      <w:r w:rsidRPr="00CB13F7">
        <w:rPr>
          <w:rFonts w:eastAsia="Times New Roman"/>
          <w:lang w:eastAsia="en-US"/>
        </w:rPr>
        <w:t xml:space="preserve">zbatohen në nivel vendor. Përmes këtyre </w:t>
      </w:r>
      <w:r w:rsidR="224C2A02" w:rsidRPr="00CB13F7">
        <w:rPr>
          <w:rFonts w:eastAsia="Times New Roman"/>
          <w:lang w:eastAsia="en-US"/>
        </w:rPr>
        <w:t>takimeve</w:t>
      </w:r>
      <w:r w:rsidRPr="00CB13F7">
        <w:rPr>
          <w:rFonts w:eastAsia="Times New Roman"/>
          <w:lang w:eastAsia="en-US"/>
        </w:rPr>
        <w:t>, aktorët lokalë do të kenë mundësi të shohin drejtpërdrejt modele funksionale dhe të kuptojnë aspektet praktike të zbatimit, si organizimi i shërbimeve, financimi, monitorimi dhe përfshirja e komunitetit.</w:t>
      </w:r>
    </w:p>
    <w:p w14:paraId="1E43FF86" w14:textId="069E6CD2" w:rsidR="00126489" w:rsidRPr="00CB13F7" w:rsidRDefault="00184AFC" w:rsidP="00BA2B1D">
      <w:pPr>
        <w:spacing w:before="120" w:after="120" w:line="276" w:lineRule="auto"/>
        <w:jc w:val="both"/>
        <w:rPr>
          <w:rFonts w:eastAsia="Times New Roman"/>
          <w:b/>
          <w:bCs/>
          <w:lang w:eastAsia="en-US"/>
        </w:rPr>
      </w:pPr>
      <w:r w:rsidRPr="00CB13F7">
        <w:rPr>
          <w:rFonts w:eastAsia="Times New Roman"/>
          <w:lang w:eastAsia="en-US"/>
        </w:rPr>
        <w:t>K</w:t>
      </w:r>
      <w:r w:rsidR="00E87FBC" w:rsidRPr="00CB13F7">
        <w:rPr>
          <w:rFonts w:eastAsia="Times New Roman"/>
          <w:lang w:eastAsia="en-US"/>
        </w:rPr>
        <w:t>y objektiv synon të ndërtojë një politikë për aftësinë e kufizuar që zhvillohet përmes bashkëpunimit dhe jo vetëm përmes përpjekjeve të brendshme. Bashkëpunimi rajonal do të ndihmojë në rritjen e kapaciteteve institucionale, përshpejtimin e reformave dhe përmirësimin e cilësisë së shërbimeve, duke siguruar që zbatimi i Konventës të mos mbetet një proces formal, por të përkthehet në ndryshime konkrete në jetën e personave me aftësi të kufizuara.</w:t>
      </w:r>
      <w:r w:rsidR="00610EB4" w:rsidRPr="00CB13F7">
        <w:rPr>
          <w:rFonts w:eastAsia="Times New Roman"/>
          <w:lang w:eastAsia="en-US"/>
        </w:rPr>
        <w:t xml:space="preserve"> </w:t>
      </w:r>
    </w:p>
    <w:p w14:paraId="31AE7FB0" w14:textId="77777777" w:rsidR="00E87FBC" w:rsidRPr="00CB13F7" w:rsidRDefault="002B3406" w:rsidP="00BA2B1D">
      <w:pPr>
        <w:spacing w:before="120" w:after="120" w:line="276" w:lineRule="auto"/>
        <w:jc w:val="both"/>
        <w:rPr>
          <w:rFonts w:eastAsia="Times New Roman"/>
          <w:b/>
          <w:bCs/>
          <w:lang w:eastAsia="en-US"/>
        </w:rPr>
      </w:pPr>
      <w:r w:rsidRPr="00CB13F7">
        <w:rPr>
          <w:rFonts w:eastAsia="Times New Roman"/>
          <w:b/>
          <w:bCs/>
          <w:lang w:eastAsia="en-US"/>
        </w:rPr>
        <w:t>5. ZBATIMI</w:t>
      </w:r>
      <w:r w:rsidR="00610EB4" w:rsidRPr="00CB13F7">
        <w:rPr>
          <w:rFonts w:eastAsia="Times New Roman"/>
          <w:b/>
          <w:bCs/>
          <w:lang w:eastAsia="en-US"/>
        </w:rPr>
        <w:t>, P</w:t>
      </w:r>
      <w:r w:rsidR="003443E2" w:rsidRPr="00CB13F7">
        <w:rPr>
          <w:rFonts w:eastAsia="Times New Roman"/>
          <w:b/>
          <w:bCs/>
          <w:lang w:eastAsia="en-US"/>
        </w:rPr>
        <w:t>Ë</w:t>
      </w:r>
      <w:r w:rsidR="00610EB4" w:rsidRPr="00CB13F7">
        <w:rPr>
          <w:rFonts w:eastAsia="Times New Roman"/>
          <w:b/>
          <w:bCs/>
          <w:lang w:eastAsia="en-US"/>
        </w:rPr>
        <w:t>RGJEGJ</w:t>
      </w:r>
      <w:r w:rsidR="003443E2" w:rsidRPr="00CB13F7">
        <w:rPr>
          <w:rFonts w:eastAsia="Times New Roman"/>
          <w:b/>
          <w:bCs/>
          <w:lang w:eastAsia="en-US"/>
        </w:rPr>
        <w:t>Ë</w:t>
      </w:r>
      <w:r w:rsidR="00610EB4" w:rsidRPr="00CB13F7">
        <w:rPr>
          <w:rFonts w:eastAsia="Times New Roman"/>
          <w:b/>
          <w:bCs/>
          <w:lang w:eastAsia="en-US"/>
        </w:rPr>
        <w:t>SIA E INSTITUCIONEVE, LLOGARIDH</w:t>
      </w:r>
      <w:r w:rsidR="003443E2" w:rsidRPr="00CB13F7">
        <w:rPr>
          <w:rFonts w:eastAsia="Times New Roman"/>
          <w:b/>
          <w:bCs/>
          <w:lang w:eastAsia="en-US"/>
        </w:rPr>
        <w:t>Ë</w:t>
      </w:r>
      <w:r w:rsidR="00610EB4" w:rsidRPr="00CB13F7">
        <w:rPr>
          <w:rFonts w:eastAsia="Times New Roman"/>
          <w:b/>
          <w:bCs/>
          <w:lang w:eastAsia="en-US"/>
        </w:rPr>
        <w:t>NIA, RAPORTIMI DHE MONITORIMI</w:t>
      </w:r>
    </w:p>
    <w:p w14:paraId="0E654BC5" w14:textId="77777777" w:rsidR="00126489" w:rsidRPr="00CB13F7" w:rsidRDefault="00126489" w:rsidP="00BA2B1D">
      <w:pPr>
        <w:spacing w:before="120" w:after="120" w:line="276" w:lineRule="auto"/>
        <w:jc w:val="both"/>
        <w:rPr>
          <w:rFonts w:eastAsia="Times New Roman"/>
          <w:b/>
          <w:bCs/>
          <w:lang w:eastAsia="en-US"/>
        </w:rPr>
      </w:pPr>
      <w:r w:rsidRPr="00CB13F7">
        <w:rPr>
          <w:rFonts w:eastAsia="Times New Roman"/>
          <w:b/>
          <w:bCs/>
          <w:lang w:eastAsia="en-US"/>
        </w:rPr>
        <w:t>5.1 Përgjegjësia e institucioneve</w:t>
      </w:r>
    </w:p>
    <w:p w14:paraId="5F188D52" w14:textId="6EF9C7AA"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Zbatimi i PKVPAK 2026</w:t>
      </w:r>
      <w:r w:rsidR="003C6608" w:rsidRPr="00CB13F7">
        <w:rPr>
          <w:rFonts w:eastAsia="Times New Roman"/>
          <w:lang w:eastAsia="en-US"/>
        </w:rPr>
        <w:t>-</w:t>
      </w:r>
      <w:r w:rsidRPr="00CB13F7">
        <w:rPr>
          <w:rFonts w:eastAsia="Times New Roman"/>
          <w:lang w:eastAsia="en-US"/>
        </w:rPr>
        <w:t>2030 mbështetet në parimin e përgjegjësisë së përbashkët ndërinstitucionale, duke marrë në konsideratë natyrën ndërsektoriale të politikave për personat me aftësi të kufizuara. Çështjet e aftësisë së kufizuar nuk kufizohen vetëm në sistemin e mbrojtjes sociale, por lidhen drejtpërdrejt me arsimin, shëndetësinë, drejtësinë, infrastrukturën, kulturën, sportin, punësimin dhe shërbimet publike në tërësi. Për rrjedhojë, të gjitha institucionet publike mbajnë përgjegjësi për integrimin e standardeve të përfshirjes dhe mosdiskriminimit në politikat dhe shërbimet që ofrojnë për qytetarët.</w:t>
      </w:r>
    </w:p>
    <w:p w14:paraId="4BF26AF0" w14:textId="76F6F717"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MSHMS, si ministria përgjegjëse për çështjet e aftësisë së kufizuar do t</w:t>
      </w:r>
      <w:r w:rsidR="00407F9E" w:rsidRPr="00CB13F7">
        <w:rPr>
          <w:rFonts w:eastAsia="Times New Roman"/>
          <w:lang w:eastAsia="en-US"/>
        </w:rPr>
        <w:t>ë</w:t>
      </w:r>
      <w:r w:rsidRPr="00CB13F7">
        <w:rPr>
          <w:rFonts w:eastAsia="Times New Roman"/>
          <w:lang w:eastAsia="en-US"/>
        </w:rPr>
        <w:t xml:space="preserve"> luaj</w:t>
      </w:r>
      <w:r w:rsidR="00407F9E" w:rsidRPr="00CB13F7">
        <w:rPr>
          <w:rFonts w:eastAsia="Times New Roman"/>
          <w:lang w:eastAsia="en-US"/>
        </w:rPr>
        <w:t>ë</w:t>
      </w:r>
      <w:r w:rsidRPr="00CB13F7">
        <w:rPr>
          <w:rFonts w:eastAsia="Times New Roman"/>
          <w:lang w:eastAsia="en-US"/>
        </w:rPr>
        <w:t xml:space="preserve"> funksionin koordinues n</w:t>
      </w:r>
      <w:r w:rsidR="00407F9E" w:rsidRPr="00CB13F7">
        <w:rPr>
          <w:rFonts w:eastAsia="Times New Roman"/>
          <w:lang w:eastAsia="en-US"/>
        </w:rPr>
        <w:t>ë</w:t>
      </w:r>
      <w:r w:rsidRPr="00CB13F7">
        <w:rPr>
          <w:rFonts w:eastAsia="Times New Roman"/>
          <w:lang w:eastAsia="en-US"/>
        </w:rPr>
        <w:t xml:space="preserve"> nivel kombëtar dhe do t</w:t>
      </w:r>
      <w:r w:rsidR="00407F9E" w:rsidRPr="00CB13F7">
        <w:rPr>
          <w:rFonts w:eastAsia="Times New Roman"/>
          <w:lang w:eastAsia="en-US"/>
        </w:rPr>
        <w:t>ë</w:t>
      </w:r>
      <w:r w:rsidRPr="00CB13F7">
        <w:rPr>
          <w:rFonts w:eastAsia="Times New Roman"/>
          <w:lang w:eastAsia="en-US"/>
        </w:rPr>
        <w:t xml:space="preserve"> siguroj</w:t>
      </w:r>
      <w:r w:rsidR="00407F9E" w:rsidRPr="00CB13F7">
        <w:rPr>
          <w:rFonts w:eastAsia="Times New Roman"/>
          <w:lang w:eastAsia="en-US"/>
        </w:rPr>
        <w:t>ë</w:t>
      </w:r>
      <w:r w:rsidRPr="00CB13F7">
        <w:rPr>
          <w:rFonts w:eastAsia="Times New Roman"/>
          <w:lang w:eastAsia="en-US"/>
        </w:rPr>
        <w:t xml:space="preserve"> drejtimin strategjik të </w:t>
      </w:r>
      <w:r w:rsidR="00491BA0" w:rsidRPr="00CB13F7">
        <w:rPr>
          <w:rFonts w:eastAsia="Times New Roman"/>
          <w:lang w:eastAsia="en-US"/>
        </w:rPr>
        <w:t>Planit</w:t>
      </w:r>
      <w:r w:rsidRPr="00CB13F7">
        <w:rPr>
          <w:rFonts w:eastAsia="Times New Roman"/>
          <w:lang w:eastAsia="en-US"/>
        </w:rPr>
        <w:t>. Ajo do t</w:t>
      </w:r>
      <w:r w:rsidR="00407F9E" w:rsidRPr="00CB13F7">
        <w:rPr>
          <w:rFonts w:eastAsia="Times New Roman"/>
          <w:lang w:eastAsia="en-US"/>
        </w:rPr>
        <w:t>ë</w:t>
      </w:r>
      <w:r w:rsidRPr="00CB13F7">
        <w:rPr>
          <w:rFonts w:eastAsia="Times New Roman"/>
          <w:lang w:eastAsia="en-US"/>
        </w:rPr>
        <w:t xml:space="preserve"> harmonizoj</w:t>
      </w:r>
      <w:r w:rsidR="00407F9E" w:rsidRPr="00CB13F7">
        <w:rPr>
          <w:rFonts w:eastAsia="Times New Roman"/>
          <w:lang w:eastAsia="en-US"/>
        </w:rPr>
        <w:t>ë</w:t>
      </w:r>
      <w:r w:rsidRPr="00CB13F7">
        <w:rPr>
          <w:rFonts w:eastAsia="Times New Roman"/>
          <w:lang w:eastAsia="en-US"/>
        </w:rPr>
        <w:t xml:space="preserve"> ndërhyrjet sektoriale, do t</w:t>
      </w:r>
      <w:r w:rsidR="00407F9E" w:rsidRPr="00CB13F7">
        <w:rPr>
          <w:rFonts w:eastAsia="Times New Roman"/>
          <w:lang w:eastAsia="en-US"/>
        </w:rPr>
        <w:t>ë</w:t>
      </w:r>
      <w:r w:rsidRPr="00CB13F7">
        <w:rPr>
          <w:rFonts w:eastAsia="Times New Roman"/>
          <w:lang w:eastAsia="en-US"/>
        </w:rPr>
        <w:t xml:space="preserve"> ndjek</w:t>
      </w:r>
      <w:r w:rsidR="00407F9E" w:rsidRPr="00CB13F7">
        <w:rPr>
          <w:rFonts w:eastAsia="Times New Roman"/>
          <w:lang w:eastAsia="en-US"/>
        </w:rPr>
        <w:t>ë</w:t>
      </w:r>
      <w:r w:rsidRPr="00CB13F7">
        <w:rPr>
          <w:rFonts w:eastAsia="Times New Roman"/>
          <w:lang w:eastAsia="en-US"/>
        </w:rPr>
        <w:t xml:space="preserve"> progresin e zbatimit dhe do t</w:t>
      </w:r>
      <w:r w:rsidR="00407F9E" w:rsidRPr="00CB13F7">
        <w:rPr>
          <w:rFonts w:eastAsia="Times New Roman"/>
          <w:lang w:eastAsia="en-US"/>
        </w:rPr>
        <w:t>ë</w:t>
      </w:r>
      <w:r w:rsidRPr="00CB13F7">
        <w:rPr>
          <w:rFonts w:eastAsia="Times New Roman"/>
          <w:lang w:eastAsia="en-US"/>
        </w:rPr>
        <w:t xml:space="preserve"> siguroj</w:t>
      </w:r>
      <w:r w:rsidR="00407F9E" w:rsidRPr="00CB13F7">
        <w:rPr>
          <w:rFonts w:eastAsia="Times New Roman"/>
          <w:lang w:eastAsia="en-US"/>
        </w:rPr>
        <w:t>ë</w:t>
      </w:r>
      <w:r w:rsidRPr="00CB13F7">
        <w:rPr>
          <w:rFonts w:eastAsia="Times New Roman"/>
          <w:lang w:eastAsia="en-US"/>
        </w:rPr>
        <w:t xml:space="preserve"> konsolidimin e informacionit në nivel kombëtar. Në këtë kuadër, MSHMS do t</w:t>
      </w:r>
      <w:r w:rsidR="00407F9E" w:rsidRPr="00CB13F7">
        <w:rPr>
          <w:rFonts w:eastAsia="Times New Roman"/>
          <w:lang w:eastAsia="en-US"/>
        </w:rPr>
        <w:t>ë</w:t>
      </w:r>
      <w:r w:rsidRPr="00CB13F7">
        <w:rPr>
          <w:rFonts w:eastAsia="Times New Roman"/>
          <w:lang w:eastAsia="en-US"/>
        </w:rPr>
        <w:t xml:space="preserve"> bashkërendoj</w:t>
      </w:r>
      <w:r w:rsidR="00407F9E" w:rsidRPr="00CB13F7">
        <w:rPr>
          <w:rFonts w:eastAsia="Times New Roman"/>
          <w:lang w:eastAsia="en-US"/>
        </w:rPr>
        <w:t>ë</w:t>
      </w:r>
      <w:r w:rsidRPr="00CB13F7">
        <w:rPr>
          <w:rFonts w:eastAsia="Times New Roman"/>
          <w:lang w:eastAsia="en-US"/>
        </w:rPr>
        <w:t xml:space="preserve"> veprimtarinë e ministrive të linjës, do t</w:t>
      </w:r>
      <w:r w:rsidR="00407F9E" w:rsidRPr="00CB13F7">
        <w:rPr>
          <w:rFonts w:eastAsia="Times New Roman"/>
          <w:lang w:eastAsia="en-US"/>
        </w:rPr>
        <w:t>ë</w:t>
      </w:r>
      <w:r w:rsidRPr="00CB13F7">
        <w:rPr>
          <w:rFonts w:eastAsia="Times New Roman"/>
          <w:lang w:eastAsia="en-US"/>
        </w:rPr>
        <w:t xml:space="preserve"> përgatis</w:t>
      </w:r>
      <w:r w:rsidR="00407F9E" w:rsidRPr="00CB13F7">
        <w:rPr>
          <w:rFonts w:eastAsia="Times New Roman"/>
          <w:lang w:eastAsia="en-US"/>
        </w:rPr>
        <w:t>ë</w:t>
      </w:r>
      <w:r w:rsidRPr="00CB13F7">
        <w:rPr>
          <w:rFonts w:eastAsia="Times New Roman"/>
          <w:lang w:eastAsia="en-US"/>
        </w:rPr>
        <w:t xml:space="preserve"> udhëzime metodologjike për zbatimin dhe raportimin, si dhe raportet periodike për strukturat qeveritare apo mekanizmat ndërkombëtarë të monitorimit të të drejtave të njeriut.</w:t>
      </w:r>
    </w:p>
    <w:p w14:paraId="2DFD6576" w14:textId="77777777"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Këshilli Kombëtar për Aftësinë e Kufizuar do t</w:t>
      </w:r>
      <w:r w:rsidR="00407F9E" w:rsidRPr="00CB13F7">
        <w:rPr>
          <w:rFonts w:eastAsia="Times New Roman"/>
          <w:lang w:eastAsia="en-US"/>
        </w:rPr>
        <w:t>ë</w:t>
      </w:r>
      <w:r w:rsidRPr="00CB13F7">
        <w:rPr>
          <w:rFonts w:eastAsia="Times New Roman"/>
          <w:lang w:eastAsia="en-US"/>
        </w:rPr>
        <w:t xml:space="preserve"> luaj</w:t>
      </w:r>
      <w:r w:rsidR="00407F9E" w:rsidRPr="00CB13F7">
        <w:rPr>
          <w:rFonts w:eastAsia="Times New Roman"/>
          <w:lang w:eastAsia="en-US"/>
        </w:rPr>
        <w:t>ë</w:t>
      </w:r>
      <w:r w:rsidRPr="00CB13F7">
        <w:rPr>
          <w:rFonts w:eastAsia="Times New Roman"/>
          <w:lang w:eastAsia="en-US"/>
        </w:rPr>
        <w:t xml:space="preserve"> rol këshillimor dhe mbikëqyrës në nivel strategjik, duke mundësuar koordinimin horizontal dhe vertikal të politikave dhe duke garantuar pjesëmarrjen e organizatave përfaqësuese të personave me aftësi të kufizuara në procese. Veprimtaria e tij do t</w:t>
      </w:r>
      <w:r w:rsidR="00407F9E" w:rsidRPr="00CB13F7">
        <w:rPr>
          <w:rFonts w:eastAsia="Times New Roman"/>
          <w:lang w:eastAsia="en-US"/>
        </w:rPr>
        <w:t>ë</w:t>
      </w:r>
      <w:r w:rsidRPr="00CB13F7">
        <w:rPr>
          <w:rFonts w:eastAsia="Times New Roman"/>
          <w:lang w:eastAsia="en-US"/>
        </w:rPr>
        <w:t xml:space="preserve"> vijoj</w:t>
      </w:r>
      <w:r w:rsidR="00407F9E" w:rsidRPr="00CB13F7">
        <w:rPr>
          <w:rFonts w:eastAsia="Times New Roman"/>
          <w:lang w:eastAsia="en-US"/>
        </w:rPr>
        <w:t>ë</w:t>
      </w:r>
      <w:r w:rsidRPr="00CB13F7">
        <w:rPr>
          <w:rFonts w:eastAsia="Times New Roman"/>
          <w:lang w:eastAsia="en-US"/>
        </w:rPr>
        <w:t xml:space="preserve"> t</w:t>
      </w:r>
      <w:r w:rsidR="00407F9E" w:rsidRPr="00CB13F7">
        <w:rPr>
          <w:rFonts w:eastAsia="Times New Roman"/>
          <w:lang w:eastAsia="en-US"/>
        </w:rPr>
        <w:t>ë</w:t>
      </w:r>
      <w:r w:rsidRPr="00CB13F7">
        <w:rPr>
          <w:rFonts w:eastAsia="Times New Roman"/>
          <w:lang w:eastAsia="en-US"/>
        </w:rPr>
        <w:t xml:space="preserve"> mbështetet nga Sekretariati Teknik dhe nga pikat fokale të ngritura në institucionet e linjës, të cilat do t</w:t>
      </w:r>
      <w:r w:rsidR="00407F9E" w:rsidRPr="00CB13F7">
        <w:rPr>
          <w:rFonts w:eastAsia="Times New Roman"/>
          <w:lang w:eastAsia="en-US"/>
        </w:rPr>
        <w:t>ë</w:t>
      </w:r>
      <w:r w:rsidRPr="00CB13F7">
        <w:rPr>
          <w:rFonts w:eastAsia="Times New Roman"/>
          <w:lang w:eastAsia="en-US"/>
        </w:rPr>
        <w:t xml:space="preserve"> ndjekin zbatimin e masave dhe komunikimin institucional. Çdo ministri dhe institucion qendror do t</w:t>
      </w:r>
      <w:r w:rsidR="00407F9E" w:rsidRPr="00CB13F7">
        <w:rPr>
          <w:rFonts w:eastAsia="Times New Roman"/>
          <w:lang w:eastAsia="en-US"/>
        </w:rPr>
        <w:t>ë</w:t>
      </w:r>
      <w:r w:rsidRPr="00CB13F7">
        <w:rPr>
          <w:rFonts w:eastAsia="Times New Roman"/>
          <w:lang w:eastAsia="en-US"/>
        </w:rPr>
        <w:t xml:space="preserve"> jet</w:t>
      </w:r>
      <w:r w:rsidR="00407F9E" w:rsidRPr="00CB13F7">
        <w:rPr>
          <w:rFonts w:eastAsia="Times New Roman"/>
          <w:lang w:eastAsia="en-US"/>
        </w:rPr>
        <w:t>ë</w:t>
      </w:r>
      <w:r w:rsidRPr="00CB13F7">
        <w:rPr>
          <w:rFonts w:eastAsia="Times New Roman"/>
          <w:lang w:eastAsia="en-US"/>
        </w:rPr>
        <w:t xml:space="preserve"> përgjegjës për zbatimin e masave që lidhen me fushën e kompetencës së tij, përfshirë planifikimin e burimeve financiare, integrimin e kërkesave </w:t>
      </w:r>
      <w:r w:rsidRPr="00CB13F7">
        <w:rPr>
          <w:rFonts w:eastAsia="Times New Roman"/>
          <w:lang w:eastAsia="en-US"/>
        </w:rPr>
        <w:lastRenderedPageBreak/>
        <w:t>të aksesueshmërisë dhe raportimin periodik të rezultateve. Objektivat e planit duhet të reflektohen në dokumentet e planifikimit dhe në programet buxhetore të institucioneve përgjegjëse.</w:t>
      </w:r>
    </w:p>
    <w:p w14:paraId="6D2A2566" w14:textId="7AA02CE4" w:rsidR="00126489" w:rsidRPr="00CB13F7" w:rsidRDefault="77CF3EB4" w:rsidP="00BA2B1D">
      <w:pPr>
        <w:spacing w:before="120" w:after="120" w:line="276" w:lineRule="auto"/>
        <w:jc w:val="both"/>
        <w:rPr>
          <w:rFonts w:eastAsia="Times New Roman"/>
          <w:lang w:eastAsia="en-US"/>
        </w:rPr>
      </w:pPr>
      <w:r w:rsidRPr="00CB13F7">
        <w:rPr>
          <w:rFonts w:eastAsia="Times New Roman"/>
          <w:lang w:eastAsia="en-US"/>
        </w:rPr>
        <w:t xml:space="preserve">Njësitë e </w:t>
      </w:r>
      <w:r w:rsidR="5CCC2E1A" w:rsidRPr="00CB13F7">
        <w:rPr>
          <w:rFonts w:eastAsia="Times New Roman"/>
          <w:lang w:eastAsia="en-US"/>
        </w:rPr>
        <w:t>vet</w:t>
      </w:r>
      <w:r w:rsidR="0273864D" w:rsidRPr="00CB13F7">
        <w:rPr>
          <w:rFonts w:eastAsia="Times New Roman"/>
          <w:lang w:eastAsia="en-US"/>
        </w:rPr>
        <w:t>ë</w:t>
      </w:r>
      <w:r w:rsidRPr="00CB13F7">
        <w:rPr>
          <w:rFonts w:eastAsia="Times New Roman"/>
          <w:lang w:eastAsia="en-US"/>
        </w:rPr>
        <w:t xml:space="preserve">qeverisjes vendore kanë rol </w:t>
      </w:r>
      <w:r w:rsidR="732CD39F" w:rsidRPr="00CB13F7">
        <w:rPr>
          <w:rFonts w:eastAsia="Times New Roman"/>
          <w:lang w:eastAsia="en-US"/>
        </w:rPr>
        <w:t xml:space="preserve">të rëndësishëm </w:t>
      </w:r>
      <w:r w:rsidRPr="00CB13F7">
        <w:rPr>
          <w:rFonts w:eastAsia="Times New Roman"/>
          <w:lang w:eastAsia="en-US"/>
        </w:rPr>
        <w:t xml:space="preserve">në zbatimin praktik të planit, sidomos në realizimin e </w:t>
      </w:r>
      <w:r w:rsidR="1AFA2652" w:rsidRPr="00CB13F7">
        <w:rPr>
          <w:rFonts w:eastAsia="Times New Roman"/>
          <w:lang w:eastAsia="en-US"/>
        </w:rPr>
        <w:t>aksesueshmërisë në</w:t>
      </w:r>
      <w:r w:rsidRPr="00CB13F7">
        <w:rPr>
          <w:rFonts w:eastAsia="Times New Roman"/>
          <w:lang w:eastAsia="en-US"/>
        </w:rPr>
        <w:t xml:space="preserve"> institucione publike, ofrimin e shërbimeve komunitare dhe nxitjen e përfshirjes në jetën shoqërore. Bashkitë do t</w:t>
      </w:r>
      <w:r w:rsidR="6FC691D5" w:rsidRPr="00CB13F7">
        <w:rPr>
          <w:rFonts w:eastAsia="Times New Roman"/>
          <w:lang w:eastAsia="en-US"/>
        </w:rPr>
        <w:t>ë</w:t>
      </w:r>
      <w:r w:rsidRPr="00CB13F7">
        <w:rPr>
          <w:rFonts w:eastAsia="Times New Roman"/>
          <w:lang w:eastAsia="en-US"/>
        </w:rPr>
        <w:t xml:space="preserve"> planifikojnë dhe realizojnë ndërhyrje për eliminimin e barrierave infrastrukturore dhe atyre n</w:t>
      </w:r>
      <w:r w:rsidR="6FC691D5" w:rsidRPr="00CB13F7">
        <w:rPr>
          <w:rFonts w:eastAsia="Times New Roman"/>
          <w:lang w:eastAsia="en-US"/>
        </w:rPr>
        <w:t>ë</w:t>
      </w:r>
      <w:r w:rsidRPr="00CB13F7">
        <w:rPr>
          <w:rFonts w:eastAsia="Times New Roman"/>
          <w:lang w:eastAsia="en-US"/>
        </w:rPr>
        <w:t xml:space="preserve"> komunikim dhe do t</w:t>
      </w:r>
      <w:r w:rsidR="6FC691D5" w:rsidRPr="00CB13F7">
        <w:rPr>
          <w:rFonts w:eastAsia="Times New Roman"/>
          <w:lang w:eastAsia="en-US"/>
        </w:rPr>
        <w:t>ë</w:t>
      </w:r>
      <w:r w:rsidRPr="00CB13F7">
        <w:rPr>
          <w:rFonts w:eastAsia="Times New Roman"/>
          <w:lang w:eastAsia="en-US"/>
        </w:rPr>
        <w:t xml:space="preserve"> bashkëpunojnë me organizatat e personave me aftësi të kufizuara në nivel lokal për identifikimin e nevojave t</w:t>
      </w:r>
      <w:r w:rsidR="6FC691D5" w:rsidRPr="00CB13F7">
        <w:rPr>
          <w:rFonts w:eastAsia="Times New Roman"/>
          <w:lang w:eastAsia="en-US"/>
        </w:rPr>
        <w:t>ë</w:t>
      </w:r>
      <w:r w:rsidRPr="00CB13F7">
        <w:rPr>
          <w:rFonts w:eastAsia="Times New Roman"/>
          <w:lang w:eastAsia="en-US"/>
        </w:rPr>
        <w:t xml:space="preserve"> komunitetit.</w:t>
      </w:r>
    </w:p>
    <w:p w14:paraId="04E9A97A" w14:textId="07121E88"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Në kuadër të realizimit t</w:t>
      </w:r>
      <w:r w:rsidR="00407F9E" w:rsidRPr="00CB13F7">
        <w:rPr>
          <w:rFonts w:eastAsia="Times New Roman"/>
          <w:lang w:eastAsia="en-US"/>
        </w:rPr>
        <w:t>ë</w:t>
      </w:r>
      <w:r w:rsidRPr="00CB13F7">
        <w:rPr>
          <w:rFonts w:eastAsia="Times New Roman"/>
          <w:lang w:eastAsia="en-US"/>
        </w:rPr>
        <w:t xml:space="preserve"> aksesueshmërisë, parashikohet ngritja e një strukture të specializuar për monitorimin dhe kontrollin e standardeve të aksesueshmërisë, e cila do të bashkërendojë veprimet e institucioneve qendrore dhe vendore. Nevoja për një mekanizëm të tillë lidhet me mungesën e deritanishme të një autoriteti koordinues dhe të kontrollit sistematik të standardeve t</w:t>
      </w:r>
      <w:r w:rsidR="00407F9E" w:rsidRPr="00CB13F7">
        <w:rPr>
          <w:rFonts w:eastAsia="Times New Roman"/>
          <w:lang w:eastAsia="en-US"/>
        </w:rPr>
        <w:t>ë</w:t>
      </w:r>
      <w:r w:rsidRPr="00CB13F7">
        <w:rPr>
          <w:rFonts w:eastAsia="Times New Roman"/>
          <w:lang w:eastAsia="en-US"/>
        </w:rPr>
        <w:t xml:space="preserve"> aksesueshm</w:t>
      </w:r>
      <w:r w:rsidR="00407F9E" w:rsidRPr="00CB13F7">
        <w:rPr>
          <w:rFonts w:eastAsia="Times New Roman"/>
          <w:lang w:eastAsia="en-US"/>
        </w:rPr>
        <w:t>ë</w:t>
      </w:r>
      <w:r w:rsidRPr="00CB13F7">
        <w:rPr>
          <w:rFonts w:eastAsia="Times New Roman"/>
          <w:lang w:eastAsia="en-US"/>
        </w:rPr>
        <w:t>ris</w:t>
      </w:r>
      <w:r w:rsidR="00407F9E" w:rsidRPr="00CB13F7">
        <w:rPr>
          <w:rFonts w:eastAsia="Times New Roman"/>
          <w:lang w:eastAsia="en-US"/>
        </w:rPr>
        <w:t>ë</w:t>
      </w:r>
      <w:r w:rsidRPr="00CB13F7">
        <w:rPr>
          <w:rFonts w:eastAsia="Times New Roman"/>
          <w:lang w:eastAsia="en-US"/>
        </w:rPr>
        <w:t xml:space="preserve">, </w:t>
      </w:r>
      <w:r w:rsidR="0072289D" w:rsidRPr="00CB13F7">
        <w:rPr>
          <w:rFonts w:eastAsia="Times New Roman"/>
          <w:lang w:eastAsia="en-US"/>
        </w:rPr>
        <w:t xml:space="preserve">e cila </w:t>
      </w:r>
      <w:r w:rsidRPr="00CB13F7">
        <w:rPr>
          <w:rFonts w:eastAsia="Times New Roman"/>
          <w:lang w:eastAsia="en-US"/>
        </w:rPr>
        <w:t>ka kufizuar zbatimin praktik të legjislacionit ekzistues. Kjo strukturë do të kontribuojë në verifikimin teknik të investimeve publike dhe në standardizimin e zbatimit të kërkesave të aksesueshmërisë.</w:t>
      </w:r>
    </w:p>
    <w:p w14:paraId="037EBD0F" w14:textId="127E6807"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Organizatat e personave me aftësi të kufizuara do t</w:t>
      </w:r>
      <w:r w:rsidR="00407F9E" w:rsidRPr="00CB13F7">
        <w:rPr>
          <w:rFonts w:eastAsia="Times New Roman"/>
          <w:lang w:eastAsia="en-US"/>
        </w:rPr>
        <w:t>ë</w:t>
      </w:r>
      <w:r w:rsidRPr="00CB13F7">
        <w:rPr>
          <w:rFonts w:eastAsia="Times New Roman"/>
          <w:lang w:eastAsia="en-US"/>
        </w:rPr>
        <w:t xml:space="preserve"> përfshihen në mënyrë të vazhdueshme në proceset e konsultimit, zbatimit dhe vlerësimit të politikave, duke siguruar që ndërhyrjet p</w:t>
      </w:r>
      <w:r w:rsidR="00407F9E" w:rsidRPr="00CB13F7">
        <w:rPr>
          <w:rFonts w:eastAsia="Times New Roman"/>
          <w:lang w:eastAsia="en-US"/>
        </w:rPr>
        <w:t>ë</w:t>
      </w:r>
      <w:r w:rsidRPr="00CB13F7">
        <w:rPr>
          <w:rFonts w:eastAsia="Times New Roman"/>
          <w:lang w:eastAsia="en-US"/>
        </w:rPr>
        <w:t>rmes fondeve publike të reflektojnë nevojat reale të personave me aft</w:t>
      </w:r>
      <w:r w:rsidR="00407F9E" w:rsidRPr="00CB13F7">
        <w:rPr>
          <w:rFonts w:eastAsia="Times New Roman"/>
          <w:lang w:eastAsia="en-US"/>
        </w:rPr>
        <w:t>ë</w:t>
      </w:r>
      <w:r w:rsidRPr="00CB13F7">
        <w:rPr>
          <w:rFonts w:eastAsia="Times New Roman"/>
          <w:lang w:eastAsia="en-US"/>
        </w:rPr>
        <w:t>si t</w:t>
      </w:r>
      <w:r w:rsidR="00407F9E" w:rsidRPr="00CB13F7">
        <w:rPr>
          <w:rFonts w:eastAsia="Times New Roman"/>
          <w:lang w:eastAsia="en-US"/>
        </w:rPr>
        <w:t>ë</w:t>
      </w:r>
      <w:r w:rsidRPr="00CB13F7">
        <w:rPr>
          <w:rFonts w:eastAsia="Times New Roman"/>
          <w:lang w:eastAsia="en-US"/>
        </w:rPr>
        <w:t xml:space="preserve"> kufizuara.</w:t>
      </w:r>
    </w:p>
    <w:p w14:paraId="3027AB5D" w14:textId="77777777" w:rsidR="00126489" w:rsidRPr="00CB13F7" w:rsidRDefault="00126489" w:rsidP="00BA2B1D">
      <w:pPr>
        <w:spacing w:before="120" w:after="120" w:line="276" w:lineRule="auto"/>
        <w:jc w:val="both"/>
        <w:rPr>
          <w:rFonts w:eastAsia="Times New Roman"/>
          <w:b/>
          <w:bCs/>
          <w:lang w:eastAsia="en-US"/>
        </w:rPr>
      </w:pPr>
      <w:r w:rsidRPr="00CB13F7">
        <w:rPr>
          <w:rFonts w:eastAsia="Times New Roman"/>
          <w:b/>
          <w:bCs/>
          <w:lang w:eastAsia="en-US"/>
        </w:rPr>
        <w:t>5.2 Raportimi dhe Monitorimi</w:t>
      </w:r>
    </w:p>
    <w:p w14:paraId="7CE5CA20" w14:textId="752BF570"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Monitorimi i PKVPAK 2026</w:t>
      </w:r>
      <w:r w:rsidR="0072289D" w:rsidRPr="00CB13F7">
        <w:rPr>
          <w:rFonts w:eastAsia="Times New Roman"/>
          <w:lang w:eastAsia="en-US"/>
        </w:rPr>
        <w:t>-</w:t>
      </w:r>
      <w:r w:rsidRPr="00CB13F7">
        <w:rPr>
          <w:rFonts w:eastAsia="Times New Roman"/>
          <w:lang w:eastAsia="en-US"/>
        </w:rPr>
        <w:t>2030 do të mbështetet në një sistem të strukturuar dhe të detyrueshëm raportimi, i cili synon të kalojë nga raportimi formal i aktiviteteve drejt vlerësimit të rezultateve dhe ndikimit të politikave. Përvoja e periudhës së mëparshme ka treguar se, pavarësisht ekzistencës së kuadrit ligjor, mungesa e mekanizmave të koordinuar të kontrollit, statistikave të integruara dhe raportimit të rregullt, ka kufizuar zbatimin efektiv të politikave. Institucionet përgjegjëse do të raportojnë në mënyrë periodike mbi realizimin e masave, treguesve dhe përdorimin e burimeve financiare. Pikat fokale të ngritura në ministri dhe institucione do të mbledhin dhe verifikojnë të dhënat përkatëse dhe do t’i përcjellin ato tek institucioni koordinues. Ministria përgjegjëse do të përpunojë informacionin e ardhur nga sektorët dhe do të hartojë raportin kombëtar të progresit, i cili do të analizojë ecurinë e indikatorëve, vështirësitë e hasura dhe nevojën për masa korrigjuese.</w:t>
      </w:r>
    </w:p>
    <w:p w14:paraId="1688286F" w14:textId="77777777"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Këshilli Kombëtar për Aftësinë e Kufizuar do t</w:t>
      </w:r>
      <w:r w:rsidR="00407F9E" w:rsidRPr="00CB13F7">
        <w:rPr>
          <w:rFonts w:eastAsia="Times New Roman"/>
          <w:lang w:eastAsia="en-US"/>
        </w:rPr>
        <w:t>ë</w:t>
      </w:r>
      <w:r w:rsidRPr="00CB13F7">
        <w:rPr>
          <w:rFonts w:eastAsia="Times New Roman"/>
          <w:lang w:eastAsia="en-US"/>
        </w:rPr>
        <w:t xml:space="preserve"> shqyrtoj</w:t>
      </w:r>
      <w:r w:rsidR="00407F9E" w:rsidRPr="00CB13F7">
        <w:rPr>
          <w:rFonts w:eastAsia="Times New Roman"/>
          <w:lang w:eastAsia="en-US"/>
        </w:rPr>
        <w:t>ë</w:t>
      </w:r>
      <w:r w:rsidRPr="00CB13F7">
        <w:rPr>
          <w:rFonts w:eastAsia="Times New Roman"/>
          <w:lang w:eastAsia="en-US"/>
        </w:rPr>
        <w:t xml:space="preserve"> periodikisht progresin e planit dhe do t</w:t>
      </w:r>
      <w:r w:rsidR="00407F9E" w:rsidRPr="00CB13F7">
        <w:rPr>
          <w:rFonts w:eastAsia="Times New Roman"/>
          <w:lang w:eastAsia="en-US"/>
        </w:rPr>
        <w:t>ë</w:t>
      </w:r>
      <w:r w:rsidRPr="00CB13F7">
        <w:rPr>
          <w:rFonts w:eastAsia="Times New Roman"/>
          <w:lang w:eastAsia="en-US"/>
        </w:rPr>
        <w:t xml:space="preserve"> rekomandoj</w:t>
      </w:r>
      <w:r w:rsidR="00407F9E" w:rsidRPr="00CB13F7">
        <w:rPr>
          <w:rFonts w:eastAsia="Times New Roman"/>
          <w:lang w:eastAsia="en-US"/>
        </w:rPr>
        <w:t>ë</w:t>
      </w:r>
      <w:r w:rsidRPr="00CB13F7">
        <w:rPr>
          <w:rFonts w:eastAsia="Times New Roman"/>
          <w:lang w:eastAsia="en-US"/>
        </w:rPr>
        <w:t xml:space="preserve"> ndërhyrje për përmirësimin e zbatimit, duke siguruar një mekanizëm mbikëqyrjeje institucionale dhe pjesëmarrje të organizatave përfaqësuese t</w:t>
      </w:r>
      <w:r w:rsidR="00407F9E" w:rsidRPr="00CB13F7">
        <w:rPr>
          <w:rFonts w:eastAsia="Times New Roman"/>
          <w:lang w:eastAsia="en-US"/>
        </w:rPr>
        <w:t>ë</w:t>
      </w:r>
      <w:r w:rsidRPr="00CB13F7">
        <w:rPr>
          <w:rFonts w:eastAsia="Times New Roman"/>
          <w:lang w:eastAsia="en-US"/>
        </w:rPr>
        <w:t xml:space="preserve"> fush</w:t>
      </w:r>
      <w:r w:rsidR="00407F9E" w:rsidRPr="00CB13F7">
        <w:rPr>
          <w:rFonts w:eastAsia="Times New Roman"/>
          <w:lang w:eastAsia="en-US"/>
        </w:rPr>
        <w:t>ë</w:t>
      </w:r>
      <w:r w:rsidRPr="00CB13F7">
        <w:rPr>
          <w:rFonts w:eastAsia="Times New Roman"/>
          <w:lang w:eastAsia="en-US"/>
        </w:rPr>
        <w:t>s s</w:t>
      </w:r>
      <w:r w:rsidR="00407F9E" w:rsidRPr="00CB13F7">
        <w:rPr>
          <w:rFonts w:eastAsia="Times New Roman"/>
          <w:lang w:eastAsia="en-US"/>
        </w:rPr>
        <w:t>ë</w:t>
      </w:r>
      <w:r w:rsidRPr="00CB13F7">
        <w:rPr>
          <w:rFonts w:eastAsia="Times New Roman"/>
          <w:lang w:eastAsia="en-US"/>
        </w:rPr>
        <w:t xml:space="preserve"> aft</w:t>
      </w:r>
      <w:r w:rsidR="00407F9E" w:rsidRPr="00CB13F7">
        <w:rPr>
          <w:rFonts w:eastAsia="Times New Roman"/>
          <w:lang w:eastAsia="en-US"/>
        </w:rPr>
        <w:t>ë</w:t>
      </w:r>
      <w:r w:rsidRPr="00CB13F7">
        <w:rPr>
          <w:rFonts w:eastAsia="Times New Roman"/>
          <w:lang w:eastAsia="en-US"/>
        </w:rPr>
        <w:t>sis</w:t>
      </w:r>
      <w:r w:rsidR="00407F9E" w:rsidRPr="00CB13F7">
        <w:rPr>
          <w:rFonts w:eastAsia="Times New Roman"/>
          <w:lang w:eastAsia="en-US"/>
        </w:rPr>
        <w:t>ë</w:t>
      </w:r>
      <w:r w:rsidRPr="00CB13F7">
        <w:rPr>
          <w:rFonts w:eastAsia="Times New Roman"/>
          <w:lang w:eastAsia="en-US"/>
        </w:rPr>
        <w:t xml:space="preserve"> s</w:t>
      </w:r>
      <w:r w:rsidR="00407F9E" w:rsidRPr="00CB13F7">
        <w:rPr>
          <w:rFonts w:eastAsia="Times New Roman"/>
          <w:lang w:eastAsia="en-US"/>
        </w:rPr>
        <w:t>ë</w:t>
      </w:r>
      <w:r w:rsidRPr="00CB13F7">
        <w:rPr>
          <w:rFonts w:eastAsia="Times New Roman"/>
          <w:lang w:eastAsia="en-US"/>
        </w:rPr>
        <w:t xml:space="preserve"> kufizuar.</w:t>
      </w:r>
    </w:p>
    <w:p w14:paraId="0083F914" w14:textId="77777777"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Për të garantuar transparëncë dhe llogaridhënie, raportet e progresit do të publikohen dhe do të konsultohen me organizatat e personave me aftësi të kufizuara dhe aktorët e tjerë të interesit.</w:t>
      </w:r>
    </w:p>
    <w:p w14:paraId="61F72411" w14:textId="3DB0A0EF" w:rsidR="00126489" w:rsidRPr="00CB13F7" w:rsidRDefault="00126489" w:rsidP="00BA2B1D">
      <w:pPr>
        <w:spacing w:before="120" w:after="120" w:line="276" w:lineRule="auto"/>
        <w:jc w:val="both"/>
        <w:rPr>
          <w:rFonts w:eastAsia="Times New Roman"/>
          <w:lang w:eastAsia="en-US"/>
        </w:rPr>
      </w:pPr>
      <w:r w:rsidRPr="00CB13F7">
        <w:rPr>
          <w:rFonts w:eastAsia="Times New Roman"/>
          <w:lang w:eastAsia="en-US"/>
        </w:rPr>
        <w:t>Në kuadër të zbatimit t</w:t>
      </w:r>
      <w:r w:rsidR="00407F9E" w:rsidRPr="00CB13F7">
        <w:rPr>
          <w:rFonts w:eastAsia="Times New Roman"/>
          <w:lang w:eastAsia="en-US"/>
        </w:rPr>
        <w:t>ë</w:t>
      </w:r>
      <w:r w:rsidRPr="00CB13F7">
        <w:rPr>
          <w:rFonts w:eastAsia="Times New Roman"/>
          <w:lang w:eastAsia="en-US"/>
        </w:rPr>
        <w:t xml:space="preserve"> </w:t>
      </w:r>
      <w:r w:rsidR="00C7473E" w:rsidRPr="00CB13F7">
        <w:rPr>
          <w:rFonts w:eastAsia="Times New Roman"/>
          <w:lang w:eastAsia="en-US"/>
        </w:rPr>
        <w:t>Planit</w:t>
      </w:r>
      <w:r w:rsidRPr="00CB13F7">
        <w:rPr>
          <w:rFonts w:eastAsia="Times New Roman"/>
          <w:lang w:eastAsia="en-US"/>
        </w:rPr>
        <w:t xml:space="preserve">, do të zhvillohet një sistem i integruar statistikor për aftësinë e kufizuar, i cili do të mundësojë mbledhjen dhe analizën e të dhënave në mënyrë të vazhdueshme </w:t>
      </w:r>
      <w:r w:rsidRPr="00CB13F7">
        <w:rPr>
          <w:rFonts w:eastAsia="Times New Roman"/>
          <w:lang w:eastAsia="en-US"/>
        </w:rPr>
        <w:lastRenderedPageBreak/>
        <w:t>dhe do të mbështesë hartimin e politikave, të bazuara në evidencë. Raportimi do të realizohet çdo vit, ndërsa një vlerësim i ndërmjetëm dhe një vlerësim përfundimtar do të kryhen gjatë dhe në përfundim të periudhës së zbatimit.</w:t>
      </w:r>
    </w:p>
    <w:p w14:paraId="612F9C08" w14:textId="72638C56" w:rsidR="00126489" w:rsidRPr="00CB13F7" w:rsidRDefault="77CF3EB4" w:rsidP="00BA2B1D">
      <w:pPr>
        <w:spacing w:before="120" w:after="120" w:line="276" w:lineRule="auto"/>
        <w:jc w:val="both"/>
        <w:rPr>
          <w:rFonts w:eastAsia="Times New Roman"/>
          <w:lang w:eastAsia="en-US"/>
        </w:rPr>
      </w:pPr>
      <w:r w:rsidRPr="00CB13F7">
        <w:rPr>
          <w:rFonts w:eastAsia="Times New Roman"/>
          <w:lang w:eastAsia="en-US"/>
        </w:rPr>
        <w:t>Struktura e re e aksesueshmërisë do të kryejë monitorim teknik të standardeve në infrastrukturë, shërbime dhe informacion dhe do të raportojë shkeljet apo mospërputhjet, duke rekomanduar masa korrigjuese për institucionet përgjegjëse. Ky mekanizëm synon të sigurojë që aksesueshmëria të zbatohet në praktikë dhe të kthehet nga një kërkesë formale ligjore në një standard real dhe të verifikueshëm për institucionet publike</w:t>
      </w:r>
      <w:r w:rsidR="69817004" w:rsidRPr="00CB13F7">
        <w:rPr>
          <w:rFonts w:eastAsia="Times New Roman"/>
          <w:lang w:eastAsia="en-US"/>
        </w:rPr>
        <w:t>.</w:t>
      </w:r>
      <w:r w:rsidRPr="00CB13F7">
        <w:rPr>
          <w:rFonts w:eastAsia="Times New Roman"/>
          <w:lang w:eastAsia="en-US"/>
        </w:rPr>
        <w:t xml:space="preserve"> </w:t>
      </w:r>
    </w:p>
    <w:p w14:paraId="7A81CDDF" w14:textId="44028CA0" w:rsidR="00126489" w:rsidRPr="00CB13F7" w:rsidRDefault="77CF3EB4" w:rsidP="00BA2B1D">
      <w:pPr>
        <w:spacing w:before="120" w:after="120" w:line="276" w:lineRule="auto"/>
        <w:jc w:val="both"/>
        <w:rPr>
          <w:rFonts w:eastAsia="Times New Roman"/>
          <w:lang w:eastAsia="en-US"/>
        </w:rPr>
      </w:pPr>
      <w:r w:rsidRPr="00CB13F7">
        <w:rPr>
          <w:rFonts w:eastAsia="Times New Roman"/>
          <w:lang w:eastAsia="en-US"/>
        </w:rPr>
        <w:t>Në tërësi, sistemi i ri i raportimit dhe monitorimit synon të forcojë llogaridhënien institucionale, të rrisë transpar</w:t>
      </w:r>
      <w:r w:rsidR="088CA9CE" w:rsidRPr="00CB13F7">
        <w:rPr>
          <w:rFonts w:eastAsia="Times New Roman"/>
          <w:lang w:eastAsia="en-US"/>
        </w:rPr>
        <w:t>e</w:t>
      </w:r>
      <w:r w:rsidRPr="00CB13F7">
        <w:rPr>
          <w:rFonts w:eastAsia="Times New Roman"/>
          <w:lang w:eastAsia="en-US"/>
        </w:rPr>
        <w:t>ncën dhe të garantojë që politikat për personat me aftësi të kufizuara të përkthehen në përmirësime konkrete dhe të matshme në jetën e tyre të përditshme.</w:t>
      </w:r>
    </w:p>
    <w:p w14:paraId="6AA364AA" w14:textId="77777777" w:rsidR="00C11581" w:rsidRPr="00CB13F7" w:rsidRDefault="00C11581" w:rsidP="00BA2B1D">
      <w:pPr>
        <w:spacing w:before="120" w:after="120" w:line="276" w:lineRule="auto"/>
        <w:jc w:val="both"/>
        <w:rPr>
          <w:rFonts w:eastAsia="Times New Roman"/>
          <w:lang w:eastAsia="en-US"/>
        </w:rPr>
      </w:pPr>
    </w:p>
    <w:p w14:paraId="4FC22AF6" w14:textId="77777777" w:rsidR="00C11581" w:rsidRPr="00CB13F7" w:rsidRDefault="00C11581" w:rsidP="00BA2B1D">
      <w:pPr>
        <w:spacing w:before="120" w:after="120" w:line="276" w:lineRule="auto"/>
        <w:jc w:val="both"/>
        <w:rPr>
          <w:rFonts w:eastAsia="Times New Roman"/>
          <w:lang w:eastAsia="en-US"/>
        </w:rPr>
      </w:pPr>
    </w:p>
    <w:p w14:paraId="7A5BFD81" w14:textId="77777777" w:rsidR="00C11581" w:rsidRPr="00CB13F7" w:rsidRDefault="00C11581" w:rsidP="00BA2B1D">
      <w:pPr>
        <w:spacing w:before="120" w:after="120" w:line="276" w:lineRule="auto"/>
        <w:jc w:val="both"/>
        <w:rPr>
          <w:rFonts w:eastAsia="Times New Roman"/>
          <w:lang w:eastAsia="en-US"/>
        </w:rPr>
      </w:pPr>
    </w:p>
    <w:p w14:paraId="43F63E31" w14:textId="77777777" w:rsidR="00C11581" w:rsidRPr="00CB13F7" w:rsidRDefault="00C11581" w:rsidP="00BA2B1D">
      <w:pPr>
        <w:spacing w:before="120" w:after="120" w:line="276" w:lineRule="auto"/>
        <w:jc w:val="both"/>
        <w:rPr>
          <w:rFonts w:eastAsia="Times New Roman"/>
          <w:lang w:eastAsia="en-US"/>
        </w:rPr>
      </w:pPr>
    </w:p>
    <w:p w14:paraId="7C7EBE9C" w14:textId="77777777" w:rsidR="00C11581" w:rsidRPr="00CB13F7" w:rsidRDefault="00C11581" w:rsidP="00BA2B1D">
      <w:pPr>
        <w:spacing w:before="120" w:after="120" w:line="276" w:lineRule="auto"/>
        <w:jc w:val="both"/>
        <w:rPr>
          <w:rFonts w:eastAsia="Times New Roman"/>
          <w:lang w:eastAsia="en-US"/>
        </w:rPr>
      </w:pPr>
    </w:p>
    <w:p w14:paraId="6CC2665D" w14:textId="77777777" w:rsidR="00C11581" w:rsidRPr="00CB13F7" w:rsidRDefault="00C11581" w:rsidP="00BA2B1D">
      <w:pPr>
        <w:spacing w:before="120" w:after="120" w:line="276" w:lineRule="auto"/>
        <w:jc w:val="both"/>
        <w:rPr>
          <w:rFonts w:eastAsia="Times New Roman"/>
          <w:lang w:eastAsia="en-US"/>
        </w:rPr>
      </w:pPr>
    </w:p>
    <w:p w14:paraId="5C97F585" w14:textId="77777777" w:rsidR="007D728E" w:rsidRPr="00CB13F7" w:rsidRDefault="007D728E" w:rsidP="007D728E">
      <w:pPr>
        <w:rPr>
          <w:rFonts w:eastAsia="Times New Roman"/>
          <w:lang w:eastAsia="en-US"/>
        </w:rPr>
        <w:sectPr w:rsidR="007D728E" w:rsidRPr="00CB13F7">
          <w:footerReference w:type="default" r:id="rId9"/>
          <w:pgSz w:w="12240" w:h="15840"/>
          <w:pgMar w:top="1440" w:right="1440" w:bottom="1440" w:left="1440" w:header="720" w:footer="720" w:gutter="0"/>
          <w:cols w:space="720"/>
          <w:docGrid w:linePitch="360"/>
        </w:sectPr>
      </w:pPr>
    </w:p>
    <w:p w14:paraId="0B676C5B" w14:textId="77777777" w:rsidR="0058320F" w:rsidRPr="00CB13F7" w:rsidRDefault="0058320F" w:rsidP="0058320F">
      <w:pPr>
        <w:spacing w:before="120" w:after="120" w:line="276" w:lineRule="auto"/>
        <w:jc w:val="both"/>
        <w:rPr>
          <w:rFonts w:eastAsia="Times New Roman"/>
          <w:b/>
          <w:bCs/>
          <w:lang w:eastAsia="en-US"/>
        </w:rPr>
      </w:pPr>
      <w:r w:rsidRPr="00CB13F7">
        <w:rPr>
          <w:rFonts w:eastAsia="Times New Roman"/>
          <w:b/>
          <w:bCs/>
          <w:lang w:eastAsia="en-US"/>
        </w:rPr>
        <w:lastRenderedPageBreak/>
        <w:t>6. INDIKATORËT</w:t>
      </w:r>
    </w:p>
    <w:p w14:paraId="03C05F73" w14:textId="77777777" w:rsidR="0058320F" w:rsidRPr="00CB13F7" w:rsidRDefault="0058320F" w:rsidP="007D728E">
      <w:pPr>
        <w:rPr>
          <w:rFonts w:eastAsia="Times New Roman"/>
          <w:lang w:eastAsia="en-US"/>
        </w:rPr>
      </w:pPr>
    </w:p>
    <w:p w14:paraId="4CB2CE54" w14:textId="5B1D07C8" w:rsidR="007D728E" w:rsidRPr="00CB13F7" w:rsidRDefault="007D728E" w:rsidP="007D728E">
      <w:pPr>
        <w:rPr>
          <w:rFonts w:eastAsia="Times New Roman"/>
          <w:lang w:eastAsia="en-US"/>
        </w:rPr>
      </w:pPr>
      <w:r w:rsidRPr="00CB13F7">
        <w:rPr>
          <w:rFonts w:eastAsia="Times New Roman"/>
          <w:lang w:eastAsia="en-US"/>
        </w:rPr>
        <w:t>6.1</w:t>
      </w:r>
      <w:r w:rsidR="00333E2A" w:rsidRPr="00CB13F7">
        <w:rPr>
          <w:rFonts w:eastAsia="Times New Roman"/>
          <w:lang w:eastAsia="en-US"/>
        </w:rPr>
        <w:t xml:space="preserve"> </w:t>
      </w:r>
      <w:r w:rsidRPr="00CB13F7">
        <w:rPr>
          <w:rFonts w:eastAsia="Times New Roman"/>
          <w:b/>
          <w:bCs/>
          <w:lang w:eastAsia="en-US"/>
        </w:rPr>
        <w:t>Aksesueshmëria</w:t>
      </w:r>
    </w:p>
    <w:p w14:paraId="02A24349" w14:textId="77777777" w:rsidR="007D728E" w:rsidRPr="00CB13F7" w:rsidRDefault="007D728E" w:rsidP="007D728E">
      <w:pPr>
        <w:rPr>
          <w:rFonts w:eastAsia="Times New Roman"/>
          <w:lang w:eastAsia="en-US"/>
        </w:rPr>
      </w:pPr>
    </w:p>
    <w:tbl>
      <w:tblPr>
        <w:tblW w:w="13672" w:type="dxa"/>
        <w:tblInd w:w="93" w:type="dxa"/>
        <w:tblLayout w:type="fixed"/>
        <w:tblLook w:val="04A0" w:firstRow="1" w:lastRow="0" w:firstColumn="1" w:lastColumn="0" w:noHBand="0" w:noVBand="1"/>
      </w:tblPr>
      <w:tblGrid>
        <w:gridCol w:w="802"/>
        <w:gridCol w:w="1068"/>
        <w:gridCol w:w="1207"/>
        <w:gridCol w:w="1095"/>
        <w:gridCol w:w="889"/>
        <w:gridCol w:w="709"/>
        <w:gridCol w:w="1276"/>
        <w:gridCol w:w="1275"/>
        <w:gridCol w:w="1418"/>
        <w:gridCol w:w="3933"/>
      </w:tblGrid>
      <w:tr w:rsidR="007D728E" w:rsidRPr="00CB13F7" w14:paraId="39F86709" w14:textId="77777777" w:rsidTr="661F9D2E">
        <w:trPr>
          <w:trHeight w:val="545"/>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25FC0809"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275" w:type="dxa"/>
            <w:gridSpan w:val="2"/>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50CD03CF"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Objektivat</w:t>
            </w:r>
          </w:p>
        </w:tc>
        <w:tc>
          <w:tcPr>
            <w:tcW w:w="1984" w:type="dxa"/>
            <w:gridSpan w:val="2"/>
            <w:tcBorders>
              <w:top w:val="single" w:sz="4" w:space="0" w:color="000000" w:themeColor="text1"/>
              <w:left w:val="nil"/>
              <w:bottom w:val="single" w:sz="4" w:space="0" w:color="000000" w:themeColor="text1"/>
              <w:right w:val="nil"/>
            </w:tcBorders>
            <w:shd w:val="clear" w:color="auto" w:fill="C0E5F3"/>
            <w:hideMark/>
          </w:tcPr>
          <w:p w14:paraId="6417F211"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Treguesi</w:t>
            </w:r>
          </w:p>
        </w:tc>
        <w:tc>
          <w:tcPr>
            <w:tcW w:w="709"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05AE562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Vlera bazë</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0C2C3086"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2027</w:t>
            </w:r>
          </w:p>
        </w:tc>
        <w:tc>
          <w:tcPr>
            <w:tcW w:w="1275" w:type="dxa"/>
            <w:tcBorders>
              <w:top w:val="single" w:sz="4" w:space="0" w:color="000000" w:themeColor="text1"/>
              <w:left w:val="nil"/>
              <w:bottom w:val="single" w:sz="4" w:space="0" w:color="000000" w:themeColor="text1"/>
              <w:right w:val="nil"/>
            </w:tcBorders>
            <w:shd w:val="clear" w:color="auto" w:fill="C0E5F3"/>
            <w:hideMark/>
          </w:tcPr>
          <w:p w14:paraId="164E3F0D"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2030</w:t>
            </w:r>
          </w:p>
        </w:tc>
        <w:tc>
          <w:tcPr>
            <w:tcW w:w="1418" w:type="dxa"/>
            <w:tcBorders>
              <w:top w:val="single" w:sz="4" w:space="0" w:color="000000" w:themeColor="text1"/>
              <w:left w:val="nil"/>
              <w:bottom w:val="single" w:sz="4" w:space="0" w:color="000000" w:themeColor="text1"/>
              <w:right w:val="nil"/>
            </w:tcBorders>
            <w:shd w:val="clear" w:color="auto" w:fill="C0E5F3"/>
            <w:hideMark/>
          </w:tcPr>
          <w:p w14:paraId="52D59C4E"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Burimet dhe mjetet e verifikimit</w:t>
            </w:r>
          </w:p>
        </w:tc>
        <w:tc>
          <w:tcPr>
            <w:tcW w:w="3933"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67DA3A38"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7D728E" w:rsidRPr="00CB13F7" w14:paraId="311D00A0" w14:textId="77777777" w:rsidTr="661F9D2E">
        <w:trPr>
          <w:trHeight w:val="675"/>
        </w:trPr>
        <w:tc>
          <w:tcPr>
            <w:tcW w:w="802" w:type="dxa"/>
            <w:tcBorders>
              <w:top w:val="nil"/>
              <w:left w:val="single" w:sz="4" w:space="0" w:color="000000" w:themeColor="text1"/>
              <w:bottom w:val="nil"/>
              <w:right w:val="single" w:sz="4" w:space="0" w:color="000000" w:themeColor="text1"/>
            </w:tcBorders>
            <w:shd w:val="clear" w:color="auto" w:fill="D8F1D0"/>
            <w:hideMark/>
          </w:tcPr>
          <w:p w14:paraId="0995A54E" w14:textId="77777777" w:rsidR="007D728E" w:rsidRPr="00CB13F7" w:rsidRDefault="007D728E" w:rsidP="007D728E">
            <w:pPr>
              <w:rPr>
                <w:rFonts w:eastAsia="Times New Roman"/>
                <w:b/>
                <w:bCs/>
                <w:sz w:val="16"/>
                <w:szCs w:val="16"/>
                <w:lang w:eastAsia="en-US"/>
              </w:rPr>
            </w:pPr>
          </w:p>
        </w:tc>
        <w:tc>
          <w:tcPr>
            <w:tcW w:w="2275" w:type="dxa"/>
            <w:gridSpan w:val="2"/>
            <w:vMerge w:val="restart"/>
            <w:tcBorders>
              <w:top w:val="single" w:sz="4" w:space="0" w:color="000000" w:themeColor="text1"/>
              <w:left w:val="nil"/>
              <w:right w:val="single" w:sz="4" w:space="0" w:color="000000" w:themeColor="text1"/>
            </w:tcBorders>
            <w:shd w:val="clear" w:color="auto" w:fill="D8F1D0"/>
            <w:hideMark/>
          </w:tcPr>
          <w:p w14:paraId="4CF35D6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Te realizohet aksesueshmëria në mjedise, shërbime, produkte, transport informacion dhe </w:t>
            </w:r>
            <w:r w:rsidR="002B3406" w:rsidRPr="00CB13F7">
              <w:rPr>
                <w:rFonts w:eastAsia="Times New Roman"/>
                <w:sz w:val="16"/>
                <w:szCs w:val="16"/>
                <w:lang w:eastAsia="en-US"/>
              </w:rPr>
              <w:t>turizëm</w:t>
            </w:r>
            <w:r w:rsidRPr="00CB13F7">
              <w:rPr>
                <w:rFonts w:eastAsia="Times New Roman"/>
                <w:sz w:val="16"/>
                <w:szCs w:val="16"/>
                <w:lang w:eastAsia="en-US"/>
              </w:rPr>
              <w:t xml:space="preserve"> për personat me aftësi të kufizuara. </w:t>
            </w:r>
          </w:p>
        </w:tc>
        <w:tc>
          <w:tcPr>
            <w:tcW w:w="1984" w:type="dxa"/>
            <w:gridSpan w:val="2"/>
            <w:vMerge w:val="restart"/>
            <w:tcBorders>
              <w:top w:val="single" w:sz="4" w:space="0" w:color="000000" w:themeColor="text1"/>
              <w:left w:val="nil"/>
              <w:right w:val="nil"/>
            </w:tcBorders>
            <w:shd w:val="clear" w:color="auto" w:fill="D8F1D0"/>
            <w:hideMark/>
          </w:tcPr>
          <w:p w14:paraId="2F54125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Mjedisi ndërtimor i aksesueshëm garanton pjesëmarrjen e personave me aftësi te kufizuara në të gjitha fushat e jetës shoqërore. </w:t>
            </w:r>
          </w:p>
        </w:tc>
        <w:tc>
          <w:tcPr>
            <w:tcW w:w="709" w:type="dxa"/>
            <w:vMerge w:val="restart"/>
            <w:tcBorders>
              <w:top w:val="nil"/>
              <w:left w:val="single" w:sz="4" w:space="0" w:color="000000" w:themeColor="text1"/>
              <w:bottom w:val="nil"/>
              <w:right w:val="single" w:sz="4" w:space="0" w:color="000000" w:themeColor="text1"/>
            </w:tcBorders>
            <w:shd w:val="clear" w:color="auto" w:fill="D8F1D0"/>
            <w:hideMark/>
          </w:tcPr>
          <w:p w14:paraId="4751459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w:t>
            </w:r>
          </w:p>
        </w:tc>
        <w:tc>
          <w:tcPr>
            <w:tcW w:w="1276" w:type="dxa"/>
            <w:vMerge w:val="restart"/>
            <w:tcBorders>
              <w:top w:val="nil"/>
              <w:left w:val="single" w:sz="4" w:space="0" w:color="000000" w:themeColor="text1"/>
              <w:bottom w:val="nil"/>
              <w:right w:val="single" w:sz="4" w:space="0" w:color="000000" w:themeColor="text1"/>
            </w:tcBorders>
            <w:shd w:val="clear" w:color="auto" w:fill="D8F1D0"/>
            <w:hideMark/>
          </w:tcPr>
          <w:p w14:paraId="13E86AF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10 % nga vlera bazë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5 % nga vlera bazë</w:t>
            </w:r>
          </w:p>
        </w:tc>
        <w:tc>
          <w:tcPr>
            <w:tcW w:w="1275" w:type="dxa"/>
            <w:vMerge w:val="restart"/>
            <w:tcBorders>
              <w:top w:val="nil"/>
              <w:left w:val="single" w:sz="4" w:space="0" w:color="000000" w:themeColor="text1"/>
              <w:bottom w:val="nil"/>
              <w:right w:val="nil"/>
            </w:tcBorders>
            <w:shd w:val="clear" w:color="auto" w:fill="D8F1D0"/>
            <w:hideMark/>
          </w:tcPr>
          <w:p w14:paraId="565CFBF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30 % nga vlera bazë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25 % nga vlera bazë</w:t>
            </w:r>
          </w:p>
        </w:tc>
        <w:tc>
          <w:tcPr>
            <w:tcW w:w="1418" w:type="dxa"/>
            <w:vMerge w:val="restart"/>
            <w:tcBorders>
              <w:top w:val="nil"/>
              <w:left w:val="single" w:sz="4" w:space="0" w:color="000000" w:themeColor="text1"/>
              <w:bottom w:val="nil"/>
              <w:right w:val="nil"/>
            </w:tcBorders>
            <w:shd w:val="clear" w:color="auto" w:fill="D8F1D0"/>
            <w:hideMark/>
          </w:tcPr>
          <w:p w14:paraId="483A47C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MTKS;</w:t>
            </w:r>
            <w:r w:rsidRPr="00CB13F7">
              <w:rPr>
                <w:rFonts w:eastAsia="Times New Roman"/>
                <w:color w:val="000000"/>
                <w:sz w:val="16"/>
                <w:szCs w:val="16"/>
                <w:lang w:eastAsia="en-US"/>
              </w:rPr>
              <w:br/>
              <w:t>MIE;</w:t>
            </w:r>
            <w:r w:rsidRPr="00CB13F7">
              <w:rPr>
                <w:rFonts w:eastAsia="Times New Roman"/>
                <w:color w:val="000000"/>
                <w:sz w:val="16"/>
                <w:szCs w:val="16"/>
                <w:lang w:eastAsia="en-US"/>
              </w:rPr>
              <w:br/>
              <w:t>MEI;</w:t>
            </w:r>
            <w:r w:rsidRPr="00CB13F7">
              <w:rPr>
                <w:rFonts w:eastAsia="Times New Roman"/>
                <w:color w:val="000000"/>
                <w:sz w:val="16"/>
                <w:szCs w:val="16"/>
                <w:lang w:eastAsia="en-US"/>
              </w:rPr>
              <w:br/>
              <w:t xml:space="preserve">MSHMS; </w:t>
            </w:r>
            <w:r w:rsidRPr="00CB13F7">
              <w:rPr>
                <w:rFonts w:eastAsia="Times New Roman"/>
                <w:color w:val="000000"/>
                <w:sz w:val="16"/>
                <w:szCs w:val="16"/>
                <w:lang w:eastAsia="en-US"/>
              </w:rPr>
              <w:br/>
              <w:t>UP;</w:t>
            </w:r>
            <w:r w:rsidRPr="00CB13F7">
              <w:rPr>
                <w:rFonts w:eastAsia="Times New Roman"/>
                <w:color w:val="000000"/>
                <w:sz w:val="16"/>
                <w:szCs w:val="16"/>
                <w:lang w:eastAsia="en-US"/>
              </w:rPr>
              <w:br/>
              <w:t>NJQV;</w:t>
            </w:r>
            <w:r w:rsidRPr="00CB13F7">
              <w:rPr>
                <w:rFonts w:eastAsia="Times New Roman"/>
                <w:color w:val="000000"/>
                <w:sz w:val="16"/>
                <w:szCs w:val="16"/>
                <w:lang w:eastAsia="en-US"/>
              </w:rPr>
              <w:br/>
              <w:t>Shoqatat e ndërtuesve Kompanitë e shërbimeve elektronike;</w:t>
            </w:r>
            <w:r w:rsidRPr="00CB13F7">
              <w:rPr>
                <w:rFonts w:eastAsia="Times New Roman"/>
                <w:color w:val="000000"/>
                <w:sz w:val="16"/>
                <w:szCs w:val="16"/>
                <w:lang w:eastAsia="en-US"/>
              </w:rPr>
              <w:br/>
              <w:t>OJQ;</w:t>
            </w:r>
            <w:r w:rsidRPr="00CB13F7">
              <w:rPr>
                <w:rFonts w:eastAsia="Times New Roman"/>
                <w:color w:val="000000"/>
                <w:sz w:val="16"/>
                <w:szCs w:val="16"/>
                <w:lang w:eastAsia="en-US"/>
              </w:rPr>
              <w:br/>
              <w:t>Raporte monitorimesh;</w:t>
            </w:r>
          </w:p>
        </w:tc>
        <w:tc>
          <w:tcPr>
            <w:tcW w:w="3933" w:type="dxa"/>
            <w:vMerge w:val="restart"/>
            <w:tcBorders>
              <w:top w:val="nil"/>
              <w:left w:val="single" w:sz="4" w:space="0" w:color="000000" w:themeColor="text1"/>
              <w:bottom w:val="nil"/>
              <w:right w:val="single" w:sz="4" w:space="0" w:color="000000" w:themeColor="text1"/>
            </w:tcBorders>
            <w:shd w:val="clear" w:color="auto" w:fill="D8F1D0"/>
            <w:hideMark/>
          </w:tcPr>
          <w:p w14:paraId="7EE1A251" w14:textId="6C2470F8" w:rsidR="007D728E" w:rsidRPr="00CB13F7" w:rsidRDefault="7CCBCF77" w:rsidP="661F9D2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3</w:t>
            </w:r>
            <w:r w:rsidR="007D728E" w:rsidRPr="00CB13F7">
              <w:br/>
            </w:r>
            <w:r w:rsidR="0080D2BD" w:rsidRPr="00CB13F7">
              <w:rPr>
                <w:rFonts w:eastAsia="Times New Roman"/>
                <w:color w:val="000000" w:themeColor="text1"/>
                <w:sz w:val="16"/>
                <w:szCs w:val="16"/>
                <w:lang w:eastAsia="en-US"/>
              </w:rPr>
              <w:t>Konventa e OKB-së për të Drejtat e Personave me Aftësi të Kufizuara (</w:t>
            </w:r>
            <w:r w:rsidR="3F241FCC" w:rsidRPr="00CB13F7">
              <w:rPr>
                <w:rFonts w:eastAsia="Times New Roman"/>
              </w:rPr>
              <w:t xml:space="preserve"> </w:t>
            </w:r>
            <w:r w:rsidR="3F241FCC" w:rsidRPr="00CB13F7">
              <w:rPr>
                <w:rFonts w:eastAsia="Times New Roman"/>
                <w:sz w:val="16"/>
                <w:szCs w:val="16"/>
              </w:rPr>
              <w:t>KDPAK</w:t>
            </w:r>
            <w:r w:rsidR="0080D2BD" w:rsidRPr="00CB13F7">
              <w:rPr>
                <w:rFonts w:eastAsia="Times New Roman"/>
                <w:color w:val="000000" w:themeColor="text1"/>
                <w:sz w:val="16"/>
                <w:szCs w:val="16"/>
                <w:lang w:eastAsia="en-US"/>
              </w:rPr>
              <w:t xml:space="preserve">); </w:t>
            </w:r>
            <w:r w:rsidR="007D728E" w:rsidRPr="00CB13F7">
              <w:br/>
            </w:r>
            <w:r w:rsidR="0080D2BD" w:rsidRPr="00CB13F7">
              <w:rPr>
                <w:rFonts w:eastAsia="Times New Roman"/>
                <w:color w:val="000000" w:themeColor="text1"/>
                <w:sz w:val="16"/>
                <w:szCs w:val="16"/>
                <w:lang w:eastAsia="en-US"/>
              </w:rPr>
              <w:t>Strategjia e BE-së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(aksesueshmëri, </w:t>
            </w:r>
            <w:r w:rsidR="1AFA2652" w:rsidRPr="00CB13F7">
              <w:rPr>
                <w:rFonts w:eastAsia="Times New Roman"/>
                <w:color w:val="000000" w:themeColor="text1"/>
                <w:sz w:val="16"/>
                <w:szCs w:val="16"/>
                <w:lang w:eastAsia="en-US"/>
              </w:rPr>
              <w:t>mos-diskriminim</w:t>
            </w:r>
            <w:r w:rsidR="0080D2BD" w:rsidRPr="00CB13F7">
              <w:rPr>
                <w:rFonts w:eastAsia="Times New Roman"/>
                <w:color w:val="000000" w:themeColor="text1"/>
                <w:sz w:val="16"/>
                <w:szCs w:val="16"/>
                <w:lang w:eastAsia="en-US"/>
              </w:rPr>
              <w:t xml:space="preserve">, shërbime të barabarta); </w:t>
            </w:r>
            <w:r w:rsidR="007D728E" w:rsidRPr="00CB13F7">
              <w:br/>
            </w:r>
            <w:r w:rsidR="0080D2BD" w:rsidRPr="00CB13F7">
              <w:rPr>
                <w:rFonts w:eastAsia="Times New Roman"/>
                <w:color w:val="000000" w:themeColor="text1"/>
                <w:sz w:val="16"/>
                <w:szCs w:val="16"/>
                <w:lang w:eastAsia="en-US"/>
              </w:rPr>
              <w:t xml:space="preserve">Direktiva (BE) 2019/882 E Parlamentit Evropian dhe e </w:t>
            </w:r>
            <w:r w:rsidR="1AFA2652" w:rsidRPr="00CB13F7">
              <w:rPr>
                <w:rFonts w:eastAsia="Times New Roman"/>
                <w:color w:val="000000" w:themeColor="text1"/>
                <w:sz w:val="16"/>
                <w:szCs w:val="16"/>
                <w:lang w:eastAsia="en-US"/>
              </w:rPr>
              <w:t>Këshillit</w:t>
            </w:r>
            <w:r w:rsidR="0080D2BD" w:rsidRPr="00CB13F7">
              <w:rPr>
                <w:rFonts w:eastAsia="Times New Roman"/>
                <w:color w:val="000000" w:themeColor="text1"/>
                <w:sz w:val="16"/>
                <w:szCs w:val="16"/>
                <w:lang w:eastAsia="en-US"/>
              </w:rPr>
              <w:t xml:space="preserve"> “Mbi kërkesat e aksesueshmërisë për produktet dhe shërbimet”; </w:t>
            </w:r>
            <w:r w:rsidR="007D728E" w:rsidRPr="00CB13F7">
              <w:br/>
            </w:r>
            <w:r w:rsidR="0080D2BD" w:rsidRPr="00CB13F7">
              <w:rPr>
                <w:rFonts w:eastAsia="Times New Roman"/>
                <w:color w:val="000000" w:themeColor="text1"/>
                <w:sz w:val="16"/>
                <w:szCs w:val="16"/>
                <w:lang w:eastAsia="en-US"/>
              </w:rPr>
              <w:t xml:space="preserve">Akti </w:t>
            </w:r>
            <w:r w:rsidR="1AFA2652" w:rsidRPr="00CB13F7">
              <w:rPr>
                <w:rFonts w:eastAsia="Times New Roman"/>
                <w:color w:val="000000" w:themeColor="text1"/>
                <w:sz w:val="16"/>
                <w:szCs w:val="16"/>
                <w:lang w:eastAsia="en-US"/>
              </w:rPr>
              <w:t>Evropian</w:t>
            </w:r>
            <w:r w:rsidR="0080D2BD" w:rsidRPr="00CB13F7">
              <w:rPr>
                <w:rFonts w:eastAsia="Times New Roman"/>
                <w:color w:val="000000" w:themeColor="text1"/>
                <w:sz w:val="16"/>
                <w:szCs w:val="16"/>
                <w:lang w:eastAsia="en-US"/>
              </w:rPr>
              <w:t xml:space="preserve"> i Aksesueshmërisë (European Accessibility Act </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 2019); Direktiva për Aksesueshmërinë e Uebit (2016);</w:t>
            </w:r>
            <w:r w:rsidR="007D728E" w:rsidRPr="00CB13F7">
              <w:br/>
            </w:r>
            <w:r w:rsidR="0080D2BD" w:rsidRPr="00CB13F7">
              <w:rPr>
                <w:rFonts w:eastAsia="Times New Roman"/>
                <w:color w:val="000000" w:themeColor="text1"/>
                <w:sz w:val="16"/>
                <w:szCs w:val="16"/>
                <w:lang w:eastAsia="en-US"/>
              </w:rPr>
              <w:t xml:space="preserve">Strategjia Kombëtare për Mbrojtjen Sociale </w:t>
            </w:r>
            <w:r w:rsidR="007D728E" w:rsidRPr="00CB13F7">
              <w:br/>
            </w:r>
            <w:r w:rsidR="0080D2BD" w:rsidRPr="00CB13F7">
              <w:rPr>
                <w:rFonts w:eastAsia="Times New Roman"/>
                <w:color w:val="000000" w:themeColor="text1"/>
                <w:sz w:val="16"/>
                <w:szCs w:val="16"/>
                <w:lang w:eastAsia="en-US"/>
              </w:rPr>
              <w:t>Ligji nr. 93/2014 “Për përfshirjen dhe aksesueshmërinë e personave me aftësi të kufizuara”;</w:t>
            </w:r>
            <w:r w:rsidR="007D728E" w:rsidRPr="00CB13F7">
              <w:br/>
            </w:r>
            <w:r w:rsidR="0080D2BD" w:rsidRPr="00CB13F7">
              <w:rPr>
                <w:rFonts w:eastAsia="Times New Roman"/>
                <w:color w:val="000000" w:themeColor="text1"/>
                <w:sz w:val="16"/>
                <w:szCs w:val="16"/>
                <w:lang w:eastAsia="en-US"/>
              </w:rPr>
              <w:t>Ligji për mbrojtjen nga diskriminimi;</w:t>
            </w:r>
            <w:r w:rsidR="007D728E" w:rsidRPr="00CB13F7">
              <w:br/>
            </w:r>
            <w:r w:rsidR="0080D2BD" w:rsidRPr="00CB13F7">
              <w:rPr>
                <w:rFonts w:eastAsia="Times New Roman"/>
                <w:color w:val="000000" w:themeColor="text1"/>
                <w:sz w:val="16"/>
                <w:szCs w:val="16"/>
                <w:lang w:eastAsia="en-US"/>
              </w:rPr>
              <w:t>Standardet për ndërtimin e objekteve publike me akses për persona me aftësi të kufizuara;</w:t>
            </w:r>
          </w:p>
        </w:tc>
      </w:tr>
      <w:tr w:rsidR="007D728E" w:rsidRPr="00CB13F7" w14:paraId="0A3D9D1B" w14:textId="77777777" w:rsidTr="661F9D2E">
        <w:trPr>
          <w:trHeight w:val="1930"/>
        </w:trPr>
        <w:tc>
          <w:tcPr>
            <w:tcW w:w="802" w:type="dxa"/>
            <w:tcBorders>
              <w:top w:val="nil"/>
              <w:left w:val="single" w:sz="4" w:space="0" w:color="000000" w:themeColor="text1"/>
              <w:bottom w:val="nil"/>
              <w:right w:val="single" w:sz="4" w:space="0" w:color="000000" w:themeColor="text1"/>
            </w:tcBorders>
            <w:shd w:val="clear" w:color="auto" w:fill="D8F1D0"/>
            <w:hideMark/>
          </w:tcPr>
          <w:p w14:paraId="40ADD610" w14:textId="77777777" w:rsidR="007D728E" w:rsidRPr="00CB13F7" w:rsidRDefault="007D728E" w:rsidP="007D728E">
            <w:pPr>
              <w:rPr>
                <w:rFonts w:eastAsia="Times New Roman"/>
                <w:color w:val="000000"/>
                <w:sz w:val="16"/>
                <w:szCs w:val="16"/>
                <w:lang w:eastAsia="en-US"/>
              </w:rPr>
            </w:pPr>
            <w:r w:rsidRPr="00CB13F7">
              <w:rPr>
                <w:rFonts w:eastAsia="Times New Roman"/>
                <w:b/>
                <w:bCs/>
                <w:sz w:val="16"/>
                <w:szCs w:val="16"/>
                <w:lang w:eastAsia="en-US"/>
              </w:rPr>
              <w:t xml:space="preserve">Qëllimi i politikës </w:t>
            </w:r>
          </w:p>
        </w:tc>
        <w:tc>
          <w:tcPr>
            <w:tcW w:w="2275" w:type="dxa"/>
            <w:gridSpan w:val="2"/>
            <w:vMerge/>
            <w:hideMark/>
          </w:tcPr>
          <w:p w14:paraId="67F9F8C7" w14:textId="77777777" w:rsidR="007D728E" w:rsidRPr="00CB13F7" w:rsidRDefault="007D728E" w:rsidP="007D728E">
            <w:pPr>
              <w:rPr>
                <w:rFonts w:eastAsia="Times New Roman"/>
                <w:color w:val="000000"/>
                <w:sz w:val="16"/>
                <w:szCs w:val="16"/>
                <w:lang w:eastAsia="en-US"/>
              </w:rPr>
            </w:pPr>
          </w:p>
        </w:tc>
        <w:tc>
          <w:tcPr>
            <w:tcW w:w="1984" w:type="dxa"/>
            <w:gridSpan w:val="2"/>
            <w:vMerge/>
            <w:hideMark/>
          </w:tcPr>
          <w:p w14:paraId="7BC9E9BE" w14:textId="77777777" w:rsidR="007D728E" w:rsidRPr="00CB13F7" w:rsidRDefault="007D728E" w:rsidP="007D728E">
            <w:pPr>
              <w:rPr>
                <w:rFonts w:eastAsia="Times New Roman"/>
                <w:color w:val="000000"/>
                <w:sz w:val="16"/>
                <w:szCs w:val="16"/>
                <w:lang w:eastAsia="en-US"/>
              </w:rPr>
            </w:pPr>
          </w:p>
        </w:tc>
        <w:tc>
          <w:tcPr>
            <w:tcW w:w="709" w:type="dxa"/>
            <w:vMerge/>
            <w:hideMark/>
          </w:tcPr>
          <w:p w14:paraId="0C191D1B" w14:textId="77777777" w:rsidR="007D728E" w:rsidRPr="00CB13F7" w:rsidRDefault="007D728E" w:rsidP="007D728E">
            <w:pPr>
              <w:rPr>
                <w:rFonts w:eastAsia="Times New Roman"/>
                <w:color w:val="000000"/>
                <w:sz w:val="16"/>
                <w:szCs w:val="16"/>
                <w:lang w:eastAsia="en-US"/>
              </w:rPr>
            </w:pPr>
          </w:p>
        </w:tc>
        <w:tc>
          <w:tcPr>
            <w:tcW w:w="1276" w:type="dxa"/>
            <w:vMerge/>
            <w:hideMark/>
          </w:tcPr>
          <w:p w14:paraId="3A7E4AAF" w14:textId="77777777" w:rsidR="007D728E" w:rsidRPr="00CB13F7" w:rsidRDefault="007D728E" w:rsidP="007D728E">
            <w:pPr>
              <w:rPr>
                <w:rFonts w:eastAsia="Times New Roman"/>
                <w:color w:val="000000"/>
                <w:sz w:val="16"/>
                <w:szCs w:val="16"/>
                <w:lang w:eastAsia="en-US"/>
              </w:rPr>
            </w:pPr>
          </w:p>
        </w:tc>
        <w:tc>
          <w:tcPr>
            <w:tcW w:w="1275" w:type="dxa"/>
            <w:vMerge/>
            <w:hideMark/>
          </w:tcPr>
          <w:p w14:paraId="1A03E60E" w14:textId="77777777" w:rsidR="007D728E" w:rsidRPr="00CB13F7" w:rsidRDefault="007D728E" w:rsidP="007D728E">
            <w:pPr>
              <w:rPr>
                <w:rFonts w:eastAsia="Times New Roman"/>
                <w:color w:val="000000"/>
                <w:sz w:val="16"/>
                <w:szCs w:val="16"/>
                <w:lang w:eastAsia="en-US"/>
              </w:rPr>
            </w:pPr>
          </w:p>
        </w:tc>
        <w:tc>
          <w:tcPr>
            <w:tcW w:w="1418" w:type="dxa"/>
            <w:vMerge/>
            <w:hideMark/>
          </w:tcPr>
          <w:p w14:paraId="229D6FB2" w14:textId="77777777" w:rsidR="007D728E" w:rsidRPr="00CB13F7" w:rsidRDefault="007D728E" w:rsidP="007D728E">
            <w:pPr>
              <w:rPr>
                <w:rFonts w:eastAsia="Times New Roman"/>
                <w:color w:val="000000"/>
                <w:sz w:val="16"/>
                <w:szCs w:val="16"/>
                <w:lang w:eastAsia="en-US"/>
              </w:rPr>
            </w:pPr>
          </w:p>
        </w:tc>
        <w:tc>
          <w:tcPr>
            <w:tcW w:w="3933" w:type="dxa"/>
            <w:vMerge/>
            <w:hideMark/>
          </w:tcPr>
          <w:p w14:paraId="0CD2B385" w14:textId="77777777" w:rsidR="007D728E" w:rsidRPr="00CB13F7" w:rsidRDefault="007D728E" w:rsidP="007D728E">
            <w:pPr>
              <w:rPr>
                <w:rFonts w:eastAsia="Times New Roman"/>
                <w:color w:val="000000"/>
                <w:sz w:val="16"/>
                <w:szCs w:val="16"/>
                <w:lang w:eastAsia="en-US"/>
              </w:rPr>
            </w:pPr>
          </w:p>
        </w:tc>
      </w:tr>
      <w:tr w:rsidR="007D728E" w:rsidRPr="00CB13F7" w14:paraId="778F6DC9" w14:textId="77777777" w:rsidTr="661F9D2E">
        <w:trPr>
          <w:trHeight w:val="73"/>
        </w:trPr>
        <w:tc>
          <w:tcPr>
            <w:tcW w:w="802" w:type="dxa"/>
            <w:tcBorders>
              <w:top w:val="nil"/>
              <w:left w:val="single" w:sz="4" w:space="0" w:color="000000" w:themeColor="text1"/>
              <w:bottom w:val="nil"/>
              <w:right w:val="single" w:sz="4" w:space="0" w:color="000000" w:themeColor="text1"/>
            </w:tcBorders>
            <w:shd w:val="clear" w:color="auto" w:fill="D8F1D0"/>
            <w:hideMark/>
          </w:tcPr>
          <w:p w14:paraId="78C0D99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275" w:type="dxa"/>
            <w:gridSpan w:val="2"/>
            <w:tcBorders>
              <w:top w:val="nil"/>
              <w:left w:val="nil"/>
              <w:bottom w:val="nil"/>
              <w:right w:val="single" w:sz="4" w:space="0" w:color="000000" w:themeColor="text1"/>
            </w:tcBorders>
            <w:shd w:val="clear" w:color="auto" w:fill="D8F1D0"/>
            <w:hideMark/>
          </w:tcPr>
          <w:p w14:paraId="19686C5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984" w:type="dxa"/>
            <w:gridSpan w:val="2"/>
            <w:tcBorders>
              <w:top w:val="nil"/>
              <w:left w:val="nil"/>
              <w:bottom w:val="nil"/>
              <w:right w:val="nil"/>
            </w:tcBorders>
            <w:shd w:val="clear" w:color="auto" w:fill="D8F1D0"/>
            <w:hideMark/>
          </w:tcPr>
          <w:p w14:paraId="5610400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709" w:type="dxa"/>
            <w:vMerge/>
            <w:hideMark/>
          </w:tcPr>
          <w:p w14:paraId="48746BBC" w14:textId="77777777" w:rsidR="007D728E" w:rsidRPr="00CB13F7" w:rsidRDefault="007D728E" w:rsidP="007D728E">
            <w:pPr>
              <w:rPr>
                <w:rFonts w:eastAsia="Times New Roman"/>
                <w:color w:val="000000"/>
                <w:sz w:val="16"/>
                <w:szCs w:val="16"/>
                <w:lang w:eastAsia="en-US"/>
              </w:rPr>
            </w:pPr>
          </w:p>
        </w:tc>
        <w:tc>
          <w:tcPr>
            <w:tcW w:w="1276" w:type="dxa"/>
            <w:vMerge/>
            <w:hideMark/>
          </w:tcPr>
          <w:p w14:paraId="3555F16D" w14:textId="77777777" w:rsidR="007D728E" w:rsidRPr="00CB13F7" w:rsidRDefault="007D728E" w:rsidP="007D728E">
            <w:pPr>
              <w:rPr>
                <w:rFonts w:eastAsia="Times New Roman"/>
                <w:color w:val="000000"/>
                <w:sz w:val="16"/>
                <w:szCs w:val="16"/>
                <w:lang w:eastAsia="en-US"/>
              </w:rPr>
            </w:pPr>
          </w:p>
        </w:tc>
        <w:tc>
          <w:tcPr>
            <w:tcW w:w="1275" w:type="dxa"/>
            <w:vMerge/>
            <w:hideMark/>
          </w:tcPr>
          <w:p w14:paraId="3D1BAC2E" w14:textId="77777777" w:rsidR="007D728E" w:rsidRPr="00CB13F7" w:rsidRDefault="007D728E" w:rsidP="007D728E">
            <w:pPr>
              <w:rPr>
                <w:rFonts w:eastAsia="Times New Roman"/>
                <w:color w:val="000000"/>
                <w:sz w:val="16"/>
                <w:szCs w:val="16"/>
                <w:lang w:eastAsia="en-US"/>
              </w:rPr>
            </w:pPr>
          </w:p>
        </w:tc>
        <w:tc>
          <w:tcPr>
            <w:tcW w:w="1418" w:type="dxa"/>
            <w:vMerge/>
            <w:hideMark/>
          </w:tcPr>
          <w:p w14:paraId="69A9226C" w14:textId="77777777" w:rsidR="007D728E" w:rsidRPr="00CB13F7" w:rsidRDefault="007D728E" w:rsidP="007D728E">
            <w:pPr>
              <w:rPr>
                <w:rFonts w:eastAsia="Times New Roman"/>
                <w:color w:val="000000"/>
                <w:sz w:val="16"/>
                <w:szCs w:val="16"/>
                <w:lang w:eastAsia="en-US"/>
              </w:rPr>
            </w:pPr>
          </w:p>
        </w:tc>
        <w:tc>
          <w:tcPr>
            <w:tcW w:w="3933" w:type="dxa"/>
            <w:vMerge/>
            <w:hideMark/>
          </w:tcPr>
          <w:p w14:paraId="189A6E8A" w14:textId="77777777" w:rsidR="007D728E" w:rsidRPr="00CB13F7" w:rsidRDefault="007D728E" w:rsidP="007D728E">
            <w:pPr>
              <w:rPr>
                <w:rFonts w:eastAsia="Times New Roman"/>
                <w:color w:val="000000"/>
                <w:sz w:val="16"/>
                <w:szCs w:val="16"/>
                <w:lang w:eastAsia="en-US"/>
              </w:rPr>
            </w:pPr>
          </w:p>
        </w:tc>
      </w:tr>
      <w:tr w:rsidR="007D728E" w:rsidRPr="00CB13F7" w14:paraId="4083F050" w14:textId="77777777" w:rsidTr="661F9D2E">
        <w:trPr>
          <w:trHeight w:val="470"/>
        </w:trPr>
        <w:tc>
          <w:tcPr>
            <w:tcW w:w="802" w:type="dxa"/>
            <w:vMerge w:val="restart"/>
            <w:tcBorders>
              <w:top w:val="single" w:sz="4" w:space="0" w:color="auto"/>
              <w:left w:val="single" w:sz="4" w:space="0" w:color="auto"/>
              <w:bottom w:val="single" w:sz="4" w:space="0" w:color="auto"/>
              <w:right w:val="single" w:sz="4" w:space="0" w:color="auto"/>
            </w:tcBorders>
            <w:shd w:val="clear" w:color="auto" w:fill="CAEDFA"/>
            <w:hideMark/>
          </w:tcPr>
          <w:p w14:paraId="5473A710" w14:textId="77777777" w:rsidR="007D728E" w:rsidRPr="00CB13F7" w:rsidRDefault="007D728E" w:rsidP="007D728E">
            <w:pPr>
              <w:jc w:val="center"/>
              <w:rPr>
                <w:rFonts w:eastAsia="Times New Roman"/>
                <w:b/>
                <w:bCs/>
                <w:color w:val="000000"/>
                <w:sz w:val="16"/>
                <w:szCs w:val="16"/>
                <w:lang w:eastAsia="en-US"/>
              </w:rPr>
            </w:pPr>
          </w:p>
          <w:p w14:paraId="73DCF1FE" w14:textId="77777777" w:rsidR="007D728E" w:rsidRPr="00CB13F7" w:rsidRDefault="007D728E" w:rsidP="007D728E">
            <w:pPr>
              <w:jc w:val="center"/>
              <w:rPr>
                <w:rFonts w:eastAsia="Times New Roman"/>
                <w:b/>
                <w:bCs/>
                <w:color w:val="000000"/>
                <w:sz w:val="16"/>
                <w:szCs w:val="16"/>
                <w:lang w:eastAsia="en-US"/>
              </w:rPr>
            </w:pPr>
          </w:p>
          <w:p w14:paraId="7E3C8DAA" w14:textId="77777777" w:rsidR="007D728E" w:rsidRPr="00CB13F7" w:rsidRDefault="007D728E" w:rsidP="007D728E">
            <w:pPr>
              <w:jc w:val="center"/>
              <w:rPr>
                <w:rFonts w:eastAsia="Times New Roman"/>
                <w:b/>
                <w:bCs/>
                <w:color w:val="000000"/>
                <w:sz w:val="16"/>
                <w:szCs w:val="16"/>
                <w:lang w:eastAsia="en-US"/>
              </w:rPr>
            </w:pPr>
          </w:p>
          <w:p w14:paraId="74139E47" w14:textId="77777777" w:rsidR="007D728E" w:rsidRPr="00CB13F7" w:rsidRDefault="007D728E" w:rsidP="007D728E">
            <w:pPr>
              <w:jc w:val="center"/>
              <w:rPr>
                <w:rFonts w:eastAsia="Times New Roman"/>
                <w:b/>
                <w:bCs/>
                <w:color w:val="000000"/>
                <w:sz w:val="16"/>
                <w:szCs w:val="16"/>
                <w:lang w:eastAsia="en-US"/>
              </w:rPr>
            </w:pPr>
          </w:p>
          <w:p w14:paraId="2FABFCCF" w14:textId="77777777" w:rsidR="007D728E" w:rsidRPr="00CB13F7" w:rsidRDefault="007D728E" w:rsidP="007D728E">
            <w:pPr>
              <w:jc w:val="center"/>
              <w:rPr>
                <w:rFonts w:eastAsia="Times New Roman"/>
                <w:b/>
                <w:bCs/>
                <w:color w:val="000000"/>
                <w:sz w:val="16"/>
                <w:szCs w:val="16"/>
                <w:lang w:eastAsia="en-US"/>
              </w:rPr>
            </w:pPr>
          </w:p>
          <w:p w14:paraId="740E6424" w14:textId="77777777" w:rsidR="007D728E" w:rsidRPr="00CB13F7" w:rsidRDefault="007D728E" w:rsidP="007D728E">
            <w:pPr>
              <w:jc w:val="center"/>
              <w:rPr>
                <w:rFonts w:eastAsia="Times New Roman"/>
                <w:b/>
                <w:bCs/>
                <w:color w:val="000000"/>
                <w:sz w:val="16"/>
                <w:szCs w:val="16"/>
                <w:lang w:eastAsia="en-US"/>
              </w:rPr>
            </w:pPr>
            <w:r w:rsidRPr="00CB13F7">
              <w:rPr>
                <w:rFonts w:eastAsia="Times New Roman"/>
                <w:b/>
                <w:bCs/>
                <w:color w:val="000000"/>
                <w:sz w:val="16"/>
                <w:szCs w:val="16"/>
                <w:lang w:eastAsia="en-US"/>
              </w:rPr>
              <w:t>Objektivi specifik/</w:t>
            </w:r>
          </w:p>
        </w:tc>
        <w:tc>
          <w:tcPr>
            <w:tcW w:w="2275" w:type="dxa"/>
            <w:gridSpan w:val="2"/>
            <w:vMerge w:val="restart"/>
            <w:tcBorders>
              <w:top w:val="single" w:sz="4" w:space="0" w:color="auto"/>
              <w:left w:val="single" w:sz="4" w:space="0" w:color="auto"/>
              <w:bottom w:val="single" w:sz="4" w:space="0" w:color="auto"/>
              <w:right w:val="single" w:sz="4" w:space="0" w:color="auto"/>
            </w:tcBorders>
            <w:shd w:val="clear" w:color="auto" w:fill="CAEDFA"/>
            <w:hideMark/>
          </w:tcPr>
          <w:p w14:paraId="6724BC3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Objektivi Specifik 1. </w:t>
            </w:r>
            <w:r w:rsidR="002B3406" w:rsidRPr="00CB13F7">
              <w:rPr>
                <w:rFonts w:eastAsia="Times New Roman"/>
                <w:sz w:val="16"/>
                <w:szCs w:val="16"/>
                <w:lang w:eastAsia="en-US"/>
              </w:rPr>
              <w:t>Aksesueshmëria në mjedisin ndërtimor, infrastrukturë dhe në produkte e shërbime: Të sigurohet aksesueshmëria e mjedisit të ndërtimor, si një parakusht për integrim për personat me aftësi të kufizuara, për pjesëmarrje në të gjitha fushat e jetës shoqërore, duke eliminuar barrierat ekzistuese dhe duke penguar shfaqjen e barrierave te reja.</w:t>
            </w:r>
          </w:p>
        </w:tc>
        <w:tc>
          <w:tcPr>
            <w:tcW w:w="1984" w:type="dxa"/>
            <w:gridSpan w:val="2"/>
            <w:vMerge w:val="restart"/>
            <w:tcBorders>
              <w:top w:val="single" w:sz="4" w:space="0" w:color="auto"/>
              <w:left w:val="single" w:sz="4" w:space="0" w:color="auto"/>
              <w:bottom w:val="single" w:sz="4" w:space="0" w:color="000000" w:themeColor="text1"/>
              <w:right w:val="nil"/>
            </w:tcBorders>
            <w:shd w:val="clear" w:color="auto" w:fill="CAEDFA"/>
            <w:hideMark/>
          </w:tcPr>
          <w:p w14:paraId="0754EBCA" w14:textId="77777777" w:rsidR="007D728E" w:rsidRPr="00CB13F7" w:rsidRDefault="002B3406" w:rsidP="007D728E">
            <w:pPr>
              <w:rPr>
                <w:rFonts w:eastAsia="Times New Roman"/>
                <w:sz w:val="16"/>
                <w:szCs w:val="16"/>
                <w:lang w:eastAsia="en-US"/>
              </w:rPr>
            </w:pPr>
            <w:r w:rsidRPr="00CB13F7">
              <w:rPr>
                <w:rFonts w:eastAsia="Times New Roman"/>
                <w:sz w:val="16"/>
                <w:szCs w:val="16"/>
                <w:lang w:eastAsia="en-US"/>
              </w:rPr>
              <w:t>Eliminimi</w:t>
            </w:r>
            <w:r w:rsidR="007D728E" w:rsidRPr="00CB13F7">
              <w:rPr>
                <w:rFonts w:eastAsia="Times New Roman"/>
                <w:sz w:val="16"/>
                <w:szCs w:val="16"/>
                <w:lang w:eastAsia="en-US"/>
              </w:rPr>
              <w:t xml:space="preserve"> i barrierave </w:t>
            </w:r>
            <w:r w:rsidRPr="00CB13F7">
              <w:rPr>
                <w:rFonts w:eastAsia="Times New Roman"/>
                <w:sz w:val="16"/>
                <w:szCs w:val="16"/>
                <w:lang w:eastAsia="en-US"/>
              </w:rPr>
              <w:t>ekzistuese</w:t>
            </w:r>
            <w:r w:rsidR="007D728E" w:rsidRPr="00CB13F7">
              <w:rPr>
                <w:rFonts w:eastAsia="Times New Roman"/>
                <w:sz w:val="16"/>
                <w:szCs w:val="16"/>
                <w:lang w:eastAsia="en-US"/>
              </w:rPr>
              <w:t xml:space="preserve"> në objektet e vlerësuara për nivelin e aksesueshmerisë </w:t>
            </w:r>
            <w:r w:rsidR="007D728E" w:rsidRPr="00CB13F7">
              <w:rPr>
                <w:rFonts w:eastAsia="Times New Roman"/>
                <w:sz w:val="16"/>
                <w:szCs w:val="16"/>
                <w:lang w:eastAsia="en-US"/>
              </w:rPr>
              <w:br/>
            </w:r>
            <w:r w:rsidR="007D728E" w:rsidRPr="00CB13F7">
              <w:rPr>
                <w:rFonts w:eastAsia="Times New Roman"/>
                <w:sz w:val="16"/>
                <w:szCs w:val="16"/>
                <w:lang w:eastAsia="en-US"/>
              </w:rPr>
              <w:br/>
              <w:t xml:space="preserve">Pengimi i shfaqjes së barrierave të reja në projektet në proces për marrjen e lejes së ndërtimit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AEDFA"/>
            <w:hideMark/>
          </w:tcPr>
          <w:p w14:paraId="5FE6502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AEDFA"/>
            <w:hideMark/>
          </w:tcPr>
          <w:p w14:paraId="219D51E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5 % nga vlera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20 % nga vlera bazë</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AEDFA"/>
            <w:hideMark/>
          </w:tcPr>
          <w:p w14:paraId="2B5C59D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35 % nga vlera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80 % nga vlera bazë</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AEDFA"/>
            <w:hideMark/>
          </w:tcPr>
          <w:p w14:paraId="10F08E0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MIE;</w:t>
            </w:r>
            <w:r w:rsidRPr="00CB13F7">
              <w:rPr>
                <w:rFonts w:eastAsia="Times New Roman"/>
                <w:sz w:val="16"/>
                <w:szCs w:val="16"/>
                <w:lang w:eastAsia="en-US"/>
              </w:rPr>
              <w:br/>
              <w:t>MEI;</w:t>
            </w:r>
            <w:r w:rsidRPr="00CB13F7">
              <w:rPr>
                <w:rFonts w:eastAsia="Times New Roman"/>
                <w:sz w:val="16"/>
                <w:szCs w:val="16"/>
                <w:lang w:eastAsia="en-US"/>
              </w:rPr>
              <w:br/>
              <w:t>MTKS;</w:t>
            </w:r>
            <w:r w:rsidRPr="00CB13F7">
              <w:rPr>
                <w:rFonts w:eastAsia="Times New Roman"/>
                <w:sz w:val="16"/>
                <w:szCs w:val="16"/>
                <w:lang w:eastAsia="en-US"/>
              </w:rPr>
              <w:br/>
              <w:t xml:space="preserve">MSHMS; </w:t>
            </w:r>
            <w:r w:rsidRPr="00CB13F7">
              <w:rPr>
                <w:rFonts w:eastAsia="Times New Roman"/>
                <w:sz w:val="16"/>
                <w:szCs w:val="16"/>
                <w:lang w:eastAsia="en-US"/>
              </w:rPr>
              <w:br/>
              <w:t>NJQV;</w:t>
            </w:r>
            <w:r w:rsidRPr="00CB13F7">
              <w:rPr>
                <w:rFonts w:eastAsia="Times New Roman"/>
                <w:sz w:val="16"/>
                <w:szCs w:val="16"/>
                <w:lang w:eastAsia="en-US"/>
              </w:rPr>
              <w:br/>
            </w:r>
            <w:r w:rsidR="002B3406" w:rsidRPr="00CB13F7">
              <w:rPr>
                <w:rFonts w:eastAsia="Times New Roman"/>
                <w:sz w:val="16"/>
                <w:szCs w:val="16"/>
                <w:lang w:eastAsia="en-US"/>
              </w:rPr>
              <w:t>Instituti</w:t>
            </w:r>
            <w:r w:rsidRPr="00CB13F7">
              <w:rPr>
                <w:rFonts w:eastAsia="Times New Roman"/>
                <w:sz w:val="16"/>
                <w:szCs w:val="16"/>
                <w:lang w:eastAsia="en-US"/>
              </w:rPr>
              <w:t xml:space="preserve"> i Ndërtimit;</w:t>
            </w:r>
            <w:r w:rsidRPr="00CB13F7">
              <w:rPr>
                <w:rFonts w:eastAsia="Times New Roman"/>
                <w:sz w:val="16"/>
                <w:szCs w:val="16"/>
                <w:lang w:eastAsia="en-US"/>
              </w:rPr>
              <w:br/>
              <w:t>Shoqata e ndërtuesve;</w:t>
            </w:r>
          </w:p>
        </w:tc>
        <w:tc>
          <w:tcPr>
            <w:tcW w:w="3933" w:type="dxa"/>
            <w:vMerge w:val="restart"/>
            <w:tcBorders>
              <w:top w:val="single" w:sz="4" w:space="0" w:color="auto"/>
              <w:left w:val="single" w:sz="4" w:space="0" w:color="auto"/>
              <w:bottom w:val="single" w:sz="4" w:space="0" w:color="auto"/>
              <w:right w:val="single" w:sz="4" w:space="0" w:color="auto"/>
            </w:tcBorders>
            <w:shd w:val="clear" w:color="auto" w:fill="CAEDFA"/>
            <w:hideMark/>
          </w:tcPr>
          <w:p w14:paraId="7784E64C" w14:textId="1883282D" w:rsidR="007D728E" w:rsidRPr="00CB13F7" w:rsidRDefault="007D728E" w:rsidP="007D728E">
            <w:pPr>
              <w:rPr>
                <w:rFonts w:eastAsia="Times New Roman"/>
                <w:sz w:val="16"/>
                <w:szCs w:val="16"/>
                <w:lang w:eastAsia="en-US"/>
              </w:rPr>
            </w:pPr>
            <w:r w:rsidRPr="00CB13F7">
              <w:rPr>
                <w:rFonts w:eastAsia="Times New Roman"/>
                <w:sz w:val="16"/>
                <w:szCs w:val="16"/>
                <w:lang w:eastAsia="en-US"/>
              </w:rPr>
              <w:t>Strategjia e BE-së 2021</w:t>
            </w:r>
            <w:r w:rsidR="00582B12" w:rsidRPr="00CB13F7">
              <w:rPr>
                <w:rFonts w:eastAsia="Times New Roman"/>
                <w:sz w:val="16"/>
                <w:szCs w:val="16"/>
                <w:lang w:eastAsia="en-US"/>
              </w:rPr>
              <w:t>-</w:t>
            </w:r>
            <w:r w:rsidRPr="00CB13F7">
              <w:rPr>
                <w:rFonts w:eastAsia="Times New Roman"/>
                <w:sz w:val="16"/>
                <w:szCs w:val="16"/>
                <w:lang w:eastAsia="en-US"/>
              </w:rPr>
              <w:t xml:space="preserve">2030 (aksesueshmëri, </w:t>
            </w:r>
            <w:r w:rsidR="002B3406" w:rsidRPr="00CB13F7">
              <w:rPr>
                <w:rFonts w:eastAsia="Times New Roman"/>
                <w:sz w:val="16"/>
                <w:szCs w:val="16"/>
                <w:lang w:eastAsia="en-US"/>
              </w:rPr>
              <w:t>mos-diskriminim</w:t>
            </w:r>
            <w:r w:rsidRPr="00CB13F7">
              <w:rPr>
                <w:rFonts w:eastAsia="Times New Roman"/>
                <w:sz w:val="16"/>
                <w:szCs w:val="16"/>
                <w:lang w:eastAsia="en-US"/>
              </w:rPr>
              <w:t>, shërbime të barabarta)</w:t>
            </w:r>
            <w:r w:rsidRPr="00CB13F7">
              <w:rPr>
                <w:rFonts w:eastAsia="Times New Roman"/>
                <w:sz w:val="16"/>
                <w:szCs w:val="16"/>
                <w:lang w:eastAsia="en-US"/>
              </w:rPr>
              <w:br/>
              <w:t xml:space="preserve">Direktiva (BE) 2019/882 E Parlamentit Evropian dhe e </w:t>
            </w:r>
            <w:r w:rsidR="002B3406" w:rsidRPr="00CB13F7">
              <w:rPr>
                <w:rFonts w:eastAsia="Times New Roman"/>
                <w:sz w:val="16"/>
                <w:szCs w:val="16"/>
                <w:lang w:eastAsia="en-US"/>
              </w:rPr>
              <w:t>Këshillit</w:t>
            </w:r>
            <w:r w:rsidRPr="00CB13F7">
              <w:rPr>
                <w:rFonts w:eastAsia="Times New Roman"/>
                <w:sz w:val="16"/>
                <w:szCs w:val="16"/>
                <w:lang w:eastAsia="en-US"/>
              </w:rPr>
              <w:t xml:space="preserve"> “Mbi kërkesat e aksesueshmërisë për produktet dhe shërbimet” </w:t>
            </w:r>
            <w:r w:rsidRPr="00CB13F7">
              <w:rPr>
                <w:rFonts w:eastAsia="Times New Roman"/>
                <w:sz w:val="16"/>
                <w:szCs w:val="16"/>
                <w:lang w:eastAsia="en-US"/>
              </w:rPr>
              <w:br/>
              <w:t xml:space="preserve">Akti </w:t>
            </w:r>
            <w:r w:rsidR="002B3406" w:rsidRPr="00CB13F7">
              <w:rPr>
                <w:rFonts w:eastAsia="Times New Roman"/>
                <w:sz w:val="16"/>
                <w:szCs w:val="16"/>
                <w:lang w:eastAsia="en-US"/>
              </w:rPr>
              <w:t>Evropian</w:t>
            </w:r>
            <w:r w:rsidRPr="00CB13F7">
              <w:rPr>
                <w:rFonts w:eastAsia="Times New Roman"/>
                <w:sz w:val="16"/>
                <w:szCs w:val="16"/>
                <w:lang w:eastAsia="en-US"/>
              </w:rPr>
              <w:t xml:space="preserve"> i Aksesueshmërisë (European Accessibility Act </w:t>
            </w:r>
            <w:r w:rsidR="00582B12" w:rsidRPr="00CB13F7">
              <w:rPr>
                <w:rFonts w:eastAsia="Times New Roman"/>
                <w:sz w:val="16"/>
                <w:szCs w:val="16"/>
                <w:lang w:eastAsia="en-US"/>
              </w:rPr>
              <w:t>-</w:t>
            </w:r>
            <w:r w:rsidRPr="00CB13F7">
              <w:rPr>
                <w:rFonts w:eastAsia="Times New Roman"/>
                <w:sz w:val="16"/>
                <w:szCs w:val="16"/>
                <w:lang w:eastAsia="en-US"/>
              </w:rPr>
              <w:t xml:space="preserve"> 2019); </w:t>
            </w:r>
            <w:r w:rsidRPr="00CB13F7">
              <w:rPr>
                <w:rFonts w:eastAsia="Times New Roman"/>
                <w:sz w:val="16"/>
                <w:szCs w:val="16"/>
                <w:lang w:eastAsia="en-US"/>
              </w:rPr>
              <w:br/>
              <w:t xml:space="preserve">Strategjia Kombëtare për Mbrojtjen Sociale </w:t>
            </w:r>
            <w:r w:rsidRPr="00CB13F7">
              <w:rPr>
                <w:rFonts w:eastAsia="Times New Roman"/>
                <w:sz w:val="16"/>
                <w:szCs w:val="16"/>
                <w:lang w:eastAsia="en-US"/>
              </w:rPr>
              <w:br/>
              <w:t>Ligji nr. 93/2014 “Për përfshirjen dhe aksesueshmërinë e personave me aftësi të kufizuara”;</w:t>
            </w:r>
            <w:r w:rsidRPr="00CB13F7">
              <w:rPr>
                <w:rFonts w:eastAsia="Times New Roman"/>
                <w:sz w:val="16"/>
                <w:szCs w:val="16"/>
                <w:lang w:eastAsia="en-US"/>
              </w:rPr>
              <w:br/>
              <w:t>Ligji për mbrojtjen nga diskriminimi;</w:t>
            </w:r>
            <w:r w:rsidRPr="00CB13F7">
              <w:rPr>
                <w:rFonts w:eastAsia="Times New Roman"/>
                <w:sz w:val="16"/>
                <w:szCs w:val="16"/>
                <w:lang w:eastAsia="en-US"/>
              </w:rPr>
              <w:br/>
              <w:t>Standardet për ndërtimin e objekteve publike me akses për persona me aftësi të kufizuara;</w:t>
            </w:r>
          </w:p>
        </w:tc>
      </w:tr>
      <w:tr w:rsidR="007D728E" w:rsidRPr="00CB13F7" w14:paraId="11E6EEC7" w14:textId="77777777" w:rsidTr="661F9D2E">
        <w:trPr>
          <w:trHeight w:val="464"/>
        </w:trPr>
        <w:tc>
          <w:tcPr>
            <w:tcW w:w="802" w:type="dxa"/>
            <w:vMerge/>
            <w:hideMark/>
          </w:tcPr>
          <w:p w14:paraId="20A70CE6"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43A6933E" w14:textId="77777777" w:rsidR="007D728E" w:rsidRPr="00CB13F7" w:rsidRDefault="007D728E" w:rsidP="007D728E">
            <w:pPr>
              <w:rPr>
                <w:rFonts w:eastAsia="Times New Roman"/>
                <w:sz w:val="16"/>
                <w:szCs w:val="16"/>
                <w:lang w:eastAsia="en-US"/>
              </w:rPr>
            </w:pPr>
          </w:p>
        </w:tc>
        <w:tc>
          <w:tcPr>
            <w:tcW w:w="1984" w:type="dxa"/>
            <w:gridSpan w:val="2"/>
            <w:vMerge/>
            <w:hideMark/>
          </w:tcPr>
          <w:p w14:paraId="686B9A7F" w14:textId="77777777" w:rsidR="007D728E" w:rsidRPr="00CB13F7" w:rsidRDefault="007D728E" w:rsidP="007D728E">
            <w:pPr>
              <w:rPr>
                <w:rFonts w:eastAsia="Times New Roman"/>
                <w:sz w:val="16"/>
                <w:szCs w:val="16"/>
                <w:lang w:eastAsia="en-US"/>
              </w:rPr>
            </w:pPr>
          </w:p>
        </w:tc>
        <w:tc>
          <w:tcPr>
            <w:tcW w:w="709" w:type="dxa"/>
            <w:vMerge/>
            <w:hideMark/>
          </w:tcPr>
          <w:p w14:paraId="0312E656" w14:textId="77777777" w:rsidR="007D728E" w:rsidRPr="00CB13F7" w:rsidRDefault="007D728E" w:rsidP="007D728E">
            <w:pPr>
              <w:rPr>
                <w:rFonts w:eastAsia="Times New Roman"/>
                <w:sz w:val="16"/>
                <w:szCs w:val="16"/>
                <w:lang w:eastAsia="en-US"/>
              </w:rPr>
            </w:pPr>
          </w:p>
        </w:tc>
        <w:tc>
          <w:tcPr>
            <w:tcW w:w="1276" w:type="dxa"/>
            <w:vMerge/>
            <w:hideMark/>
          </w:tcPr>
          <w:p w14:paraId="071B2FD0" w14:textId="77777777" w:rsidR="007D728E" w:rsidRPr="00CB13F7" w:rsidRDefault="007D728E" w:rsidP="007D728E">
            <w:pPr>
              <w:rPr>
                <w:rFonts w:eastAsia="Times New Roman"/>
                <w:sz w:val="16"/>
                <w:szCs w:val="16"/>
                <w:lang w:eastAsia="en-US"/>
              </w:rPr>
            </w:pPr>
          </w:p>
        </w:tc>
        <w:tc>
          <w:tcPr>
            <w:tcW w:w="1275" w:type="dxa"/>
            <w:vMerge/>
            <w:hideMark/>
          </w:tcPr>
          <w:p w14:paraId="3905E561" w14:textId="77777777" w:rsidR="007D728E" w:rsidRPr="00CB13F7" w:rsidRDefault="007D728E" w:rsidP="007D728E">
            <w:pPr>
              <w:rPr>
                <w:rFonts w:eastAsia="Times New Roman"/>
                <w:sz w:val="16"/>
                <w:szCs w:val="16"/>
                <w:lang w:eastAsia="en-US"/>
              </w:rPr>
            </w:pPr>
          </w:p>
        </w:tc>
        <w:tc>
          <w:tcPr>
            <w:tcW w:w="1418" w:type="dxa"/>
            <w:vMerge/>
            <w:hideMark/>
          </w:tcPr>
          <w:p w14:paraId="323D8828" w14:textId="77777777" w:rsidR="007D728E" w:rsidRPr="00CB13F7" w:rsidRDefault="007D728E" w:rsidP="007D728E">
            <w:pPr>
              <w:rPr>
                <w:rFonts w:eastAsia="Times New Roman"/>
                <w:sz w:val="16"/>
                <w:szCs w:val="16"/>
                <w:lang w:eastAsia="en-US"/>
              </w:rPr>
            </w:pPr>
          </w:p>
        </w:tc>
        <w:tc>
          <w:tcPr>
            <w:tcW w:w="3933" w:type="dxa"/>
            <w:vMerge/>
            <w:hideMark/>
          </w:tcPr>
          <w:p w14:paraId="7D9D2D7C" w14:textId="77777777" w:rsidR="007D728E" w:rsidRPr="00CB13F7" w:rsidRDefault="007D728E" w:rsidP="007D728E">
            <w:pPr>
              <w:rPr>
                <w:rFonts w:eastAsia="Times New Roman"/>
                <w:sz w:val="16"/>
                <w:szCs w:val="16"/>
                <w:lang w:eastAsia="en-US"/>
              </w:rPr>
            </w:pPr>
          </w:p>
        </w:tc>
      </w:tr>
      <w:tr w:rsidR="007D728E" w:rsidRPr="00CB13F7" w14:paraId="31194142" w14:textId="77777777" w:rsidTr="661F9D2E">
        <w:trPr>
          <w:trHeight w:val="505"/>
        </w:trPr>
        <w:tc>
          <w:tcPr>
            <w:tcW w:w="802" w:type="dxa"/>
            <w:vMerge/>
            <w:hideMark/>
          </w:tcPr>
          <w:p w14:paraId="6362FE04"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67B7C25B" w14:textId="77777777" w:rsidR="007D728E" w:rsidRPr="00CB13F7" w:rsidRDefault="007D728E" w:rsidP="007D728E">
            <w:pPr>
              <w:rPr>
                <w:rFonts w:eastAsia="Times New Roman"/>
                <w:sz w:val="16"/>
                <w:szCs w:val="16"/>
                <w:lang w:eastAsia="en-US"/>
              </w:rPr>
            </w:pPr>
          </w:p>
        </w:tc>
        <w:tc>
          <w:tcPr>
            <w:tcW w:w="1984" w:type="dxa"/>
            <w:gridSpan w:val="2"/>
            <w:vMerge/>
            <w:hideMark/>
          </w:tcPr>
          <w:p w14:paraId="0FA81446" w14:textId="77777777" w:rsidR="007D728E" w:rsidRPr="00CB13F7" w:rsidRDefault="007D728E" w:rsidP="007D728E">
            <w:pPr>
              <w:rPr>
                <w:rFonts w:eastAsia="Times New Roman"/>
                <w:sz w:val="16"/>
                <w:szCs w:val="16"/>
                <w:lang w:eastAsia="en-US"/>
              </w:rPr>
            </w:pPr>
          </w:p>
        </w:tc>
        <w:tc>
          <w:tcPr>
            <w:tcW w:w="709" w:type="dxa"/>
            <w:vMerge/>
            <w:hideMark/>
          </w:tcPr>
          <w:p w14:paraId="3E1E7488" w14:textId="77777777" w:rsidR="007D728E" w:rsidRPr="00CB13F7" w:rsidRDefault="007D728E" w:rsidP="007D728E">
            <w:pPr>
              <w:rPr>
                <w:rFonts w:eastAsia="Times New Roman"/>
                <w:sz w:val="16"/>
                <w:szCs w:val="16"/>
                <w:lang w:eastAsia="en-US"/>
              </w:rPr>
            </w:pPr>
          </w:p>
        </w:tc>
        <w:tc>
          <w:tcPr>
            <w:tcW w:w="1276" w:type="dxa"/>
            <w:vMerge/>
            <w:hideMark/>
          </w:tcPr>
          <w:p w14:paraId="31695A9A" w14:textId="77777777" w:rsidR="007D728E" w:rsidRPr="00CB13F7" w:rsidRDefault="007D728E" w:rsidP="007D728E">
            <w:pPr>
              <w:rPr>
                <w:rFonts w:eastAsia="Times New Roman"/>
                <w:sz w:val="16"/>
                <w:szCs w:val="16"/>
                <w:lang w:eastAsia="en-US"/>
              </w:rPr>
            </w:pPr>
          </w:p>
        </w:tc>
        <w:tc>
          <w:tcPr>
            <w:tcW w:w="1275" w:type="dxa"/>
            <w:vMerge/>
            <w:hideMark/>
          </w:tcPr>
          <w:p w14:paraId="31C58D94" w14:textId="77777777" w:rsidR="007D728E" w:rsidRPr="00CB13F7" w:rsidRDefault="007D728E" w:rsidP="007D728E">
            <w:pPr>
              <w:rPr>
                <w:rFonts w:eastAsia="Times New Roman"/>
                <w:sz w:val="16"/>
                <w:szCs w:val="16"/>
                <w:lang w:eastAsia="en-US"/>
              </w:rPr>
            </w:pPr>
          </w:p>
        </w:tc>
        <w:tc>
          <w:tcPr>
            <w:tcW w:w="1418" w:type="dxa"/>
            <w:vMerge/>
            <w:hideMark/>
          </w:tcPr>
          <w:p w14:paraId="02D5331F" w14:textId="77777777" w:rsidR="007D728E" w:rsidRPr="00CB13F7" w:rsidRDefault="007D728E" w:rsidP="007D728E">
            <w:pPr>
              <w:rPr>
                <w:rFonts w:eastAsia="Times New Roman"/>
                <w:sz w:val="16"/>
                <w:szCs w:val="16"/>
                <w:lang w:eastAsia="en-US"/>
              </w:rPr>
            </w:pPr>
          </w:p>
        </w:tc>
        <w:tc>
          <w:tcPr>
            <w:tcW w:w="3933" w:type="dxa"/>
            <w:vMerge/>
            <w:hideMark/>
          </w:tcPr>
          <w:p w14:paraId="4816E342" w14:textId="77777777" w:rsidR="007D728E" w:rsidRPr="00CB13F7" w:rsidRDefault="007D728E" w:rsidP="007D728E">
            <w:pPr>
              <w:rPr>
                <w:rFonts w:eastAsia="Times New Roman"/>
                <w:sz w:val="16"/>
                <w:szCs w:val="16"/>
                <w:lang w:eastAsia="en-US"/>
              </w:rPr>
            </w:pPr>
          </w:p>
        </w:tc>
      </w:tr>
      <w:tr w:rsidR="007D728E" w:rsidRPr="00CB13F7" w14:paraId="3C89ACD2" w14:textId="77777777" w:rsidTr="661F9D2E">
        <w:trPr>
          <w:trHeight w:val="1040"/>
        </w:trPr>
        <w:tc>
          <w:tcPr>
            <w:tcW w:w="802" w:type="dxa"/>
            <w:vMerge/>
            <w:hideMark/>
          </w:tcPr>
          <w:p w14:paraId="30E94922"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00A7741F" w14:textId="77777777" w:rsidR="007D728E" w:rsidRPr="00CB13F7" w:rsidRDefault="007D728E" w:rsidP="007D728E">
            <w:pPr>
              <w:rPr>
                <w:rFonts w:eastAsia="Times New Roman"/>
                <w:sz w:val="16"/>
                <w:szCs w:val="16"/>
                <w:lang w:eastAsia="en-US"/>
              </w:rPr>
            </w:pPr>
          </w:p>
        </w:tc>
        <w:tc>
          <w:tcPr>
            <w:tcW w:w="1984" w:type="dxa"/>
            <w:gridSpan w:val="2"/>
            <w:vMerge/>
            <w:hideMark/>
          </w:tcPr>
          <w:p w14:paraId="331E89C7" w14:textId="77777777" w:rsidR="007D728E" w:rsidRPr="00CB13F7" w:rsidRDefault="007D728E" w:rsidP="007D728E">
            <w:pPr>
              <w:rPr>
                <w:rFonts w:eastAsia="Times New Roman"/>
                <w:sz w:val="16"/>
                <w:szCs w:val="16"/>
                <w:lang w:eastAsia="en-US"/>
              </w:rPr>
            </w:pPr>
          </w:p>
        </w:tc>
        <w:tc>
          <w:tcPr>
            <w:tcW w:w="709" w:type="dxa"/>
            <w:vMerge/>
            <w:hideMark/>
          </w:tcPr>
          <w:p w14:paraId="359859D5" w14:textId="77777777" w:rsidR="007D728E" w:rsidRPr="00CB13F7" w:rsidRDefault="007D728E" w:rsidP="007D728E">
            <w:pPr>
              <w:rPr>
                <w:rFonts w:eastAsia="Times New Roman"/>
                <w:sz w:val="16"/>
                <w:szCs w:val="16"/>
                <w:lang w:eastAsia="en-US"/>
              </w:rPr>
            </w:pPr>
          </w:p>
        </w:tc>
        <w:tc>
          <w:tcPr>
            <w:tcW w:w="1276" w:type="dxa"/>
            <w:vMerge/>
            <w:hideMark/>
          </w:tcPr>
          <w:p w14:paraId="30BB0ABF" w14:textId="77777777" w:rsidR="007D728E" w:rsidRPr="00CB13F7" w:rsidRDefault="007D728E" w:rsidP="007D728E">
            <w:pPr>
              <w:rPr>
                <w:rFonts w:eastAsia="Times New Roman"/>
                <w:sz w:val="16"/>
                <w:szCs w:val="16"/>
                <w:lang w:eastAsia="en-US"/>
              </w:rPr>
            </w:pPr>
          </w:p>
        </w:tc>
        <w:tc>
          <w:tcPr>
            <w:tcW w:w="1275" w:type="dxa"/>
            <w:vMerge/>
            <w:hideMark/>
          </w:tcPr>
          <w:p w14:paraId="129812C3" w14:textId="77777777" w:rsidR="007D728E" w:rsidRPr="00CB13F7" w:rsidRDefault="007D728E" w:rsidP="007D728E">
            <w:pPr>
              <w:rPr>
                <w:rFonts w:eastAsia="Times New Roman"/>
                <w:sz w:val="16"/>
                <w:szCs w:val="16"/>
                <w:lang w:eastAsia="en-US"/>
              </w:rPr>
            </w:pPr>
          </w:p>
        </w:tc>
        <w:tc>
          <w:tcPr>
            <w:tcW w:w="1418" w:type="dxa"/>
            <w:vMerge/>
            <w:hideMark/>
          </w:tcPr>
          <w:p w14:paraId="6F14805A" w14:textId="77777777" w:rsidR="007D728E" w:rsidRPr="00CB13F7" w:rsidRDefault="007D728E" w:rsidP="007D728E">
            <w:pPr>
              <w:rPr>
                <w:rFonts w:eastAsia="Times New Roman"/>
                <w:sz w:val="16"/>
                <w:szCs w:val="16"/>
                <w:lang w:eastAsia="en-US"/>
              </w:rPr>
            </w:pPr>
          </w:p>
        </w:tc>
        <w:tc>
          <w:tcPr>
            <w:tcW w:w="3933" w:type="dxa"/>
            <w:vMerge/>
            <w:hideMark/>
          </w:tcPr>
          <w:p w14:paraId="008D01C6" w14:textId="77777777" w:rsidR="007D728E" w:rsidRPr="00CB13F7" w:rsidRDefault="007D728E" w:rsidP="007D728E">
            <w:pPr>
              <w:rPr>
                <w:rFonts w:eastAsia="Times New Roman"/>
                <w:sz w:val="16"/>
                <w:szCs w:val="16"/>
                <w:lang w:eastAsia="en-US"/>
              </w:rPr>
            </w:pPr>
          </w:p>
        </w:tc>
      </w:tr>
      <w:tr w:rsidR="007D728E" w:rsidRPr="00CB13F7" w14:paraId="50C99A15" w14:textId="77777777" w:rsidTr="661F9D2E">
        <w:trPr>
          <w:trHeight w:val="464"/>
        </w:trPr>
        <w:tc>
          <w:tcPr>
            <w:tcW w:w="802" w:type="dxa"/>
            <w:vMerge/>
            <w:hideMark/>
          </w:tcPr>
          <w:p w14:paraId="08B7CE5C"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0E7444BD" w14:textId="77777777" w:rsidR="007D728E" w:rsidRPr="00CB13F7" w:rsidRDefault="007D728E" w:rsidP="007D728E">
            <w:pPr>
              <w:rPr>
                <w:rFonts w:eastAsia="Times New Roman"/>
                <w:sz w:val="16"/>
                <w:szCs w:val="16"/>
                <w:lang w:eastAsia="en-US"/>
              </w:rPr>
            </w:pPr>
          </w:p>
        </w:tc>
        <w:tc>
          <w:tcPr>
            <w:tcW w:w="1984" w:type="dxa"/>
            <w:gridSpan w:val="2"/>
            <w:vMerge/>
            <w:hideMark/>
          </w:tcPr>
          <w:p w14:paraId="1D7DCBAC" w14:textId="77777777" w:rsidR="007D728E" w:rsidRPr="00CB13F7" w:rsidRDefault="007D728E" w:rsidP="007D728E">
            <w:pPr>
              <w:rPr>
                <w:rFonts w:eastAsia="Times New Roman"/>
                <w:sz w:val="16"/>
                <w:szCs w:val="16"/>
                <w:lang w:eastAsia="en-US"/>
              </w:rPr>
            </w:pPr>
          </w:p>
        </w:tc>
        <w:tc>
          <w:tcPr>
            <w:tcW w:w="709" w:type="dxa"/>
            <w:vMerge/>
            <w:hideMark/>
          </w:tcPr>
          <w:p w14:paraId="7DFB441F" w14:textId="77777777" w:rsidR="007D728E" w:rsidRPr="00CB13F7" w:rsidRDefault="007D728E" w:rsidP="007D728E">
            <w:pPr>
              <w:rPr>
                <w:rFonts w:eastAsia="Times New Roman"/>
                <w:sz w:val="16"/>
                <w:szCs w:val="16"/>
                <w:lang w:eastAsia="en-US"/>
              </w:rPr>
            </w:pPr>
          </w:p>
        </w:tc>
        <w:tc>
          <w:tcPr>
            <w:tcW w:w="1276" w:type="dxa"/>
            <w:vMerge/>
            <w:hideMark/>
          </w:tcPr>
          <w:p w14:paraId="2B7153C5" w14:textId="77777777" w:rsidR="007D728E" w:rsidRPr="00CB13F7" w:rsidRDefault="007D728E" w:rsidP="007D728E">
            <w:pPr>
              <w:rPr>
                <w:rFonts w:eastAsia="Times New Roman"/>
                <w:sz w:val="16"/>
                <w:szCs w:val="16"/>
                <w:lang w:eastAsia="en-US"/>
              </w:rPr>
            </w:pPr>
          </w:p>
        </w:tc>
        <w:tc>
          <w:tcPr>
            <w:tcW w:w="1275" w:type="dxa"/>
            <w:vMerge/>
            <w:hideMark/>
          </w:tcPr>
          <w:p w14:paraId="35A785CF" w14:textId="77777777" w:rsidR="007D728E" w:rsidRPr="00CB13F7" w:rsidRDefault="007D728E" w:rsidP="007D728E">
            <w:pPr>
              <w:rPr>
                <w:rFonts w:eastAsia="Times New Roman"/>
                <w:sz w:val="16"/>
                <w:szCs w:val="16"/>
                <w:lang w:eastAsia="en-US"/>
              </w:rPr>
            </w:pPr>
          </w:p>
        </w:tc>
        <w:tc>
          <w:tcPr>
            <w:tcW w:w="1418" w:type="dxa"/>
            <w:vMerge/>
            <w:hideMark/>
          </w:tcPr>
          <w:p w14:paraId="76C5167C" w14:textId="77777777" w:rsidR="007D728E" w:rsidRPr="00CB13F7" w:rsidRDefault="007D728E" w:rsidP="007D728E">
            <w:pPr>
              <w:rPr>
                <w:rFonts w:eastAsia="Times New Roman"/>
                <w:sz w:val="16"/>
                <w:szCs w:val="16"/>
                <w:lang w:eastAsia="en-US"/>
              </w:rPr>
            </w:pPr>
          </w:p>
        </w:tc>
        <w:tc>
          <w:tcPr>
            <w:tcW w:w="3933" w:type="dxa"/>
            <w:vMerge/>
            <w:hideMark/>
          </w:tcPr>
          <w:p w14:paraId="01FC8D69" w14:textId="77777777" w:rsidR="007D728E" w:rsidRPr="00CB13F7" w:rsidRDefault="007D728E" w:rsidP="007D728E">
            <w:pPr>
              <w:rPr>
                <w:rFonts w:eastAsia="Times New Roman"/>
                <w:sz w:val="16"/>
                <w:szCs w:val="16"/>
                <w:lang w:eastAsia="en-US"/>
              </w:rPr>
            </w:pPr>
          </w:p>
        </w:tc>
      </w:tr>
      <w:tr w:rsidR="007D728E" w:rsidRPr="00CB13F7" w14:paraId="196AC076" w14:textId="77777777" w:rsidTr="661F9D2E">
        <w:trPr>
          <w:trHeight w:val="675"/>
        </w:trPr>
        <w:tc>
          <w:tcPr>
            <w:tcW w:w="802" w:type="dxa"/>
            <w:vMerge/>
            <w:hideMark/>
          </w:tcPr>
          <w:p w14:paraId="61290686" w14:textId="77777777" w:rsidR="007D728E" w:rsidRPr="00CB13F7" w:rsidRDefault="007D728E" w:rsidP="007D728E">
            <w:pPr>
              <w:rPr>
                <w:rFonts w:eastAsia="Times New Roman"/>
                <w:b/>
                <w:bCs/>
                <w:color w:val="000000"/>
                <w:sz w:val="16"/>
                <w:szCs w:val="16"/>
                <w:lang w:eastAsia="en-US"/>
              </w:rPr>
            </w:pPr>
          </w:p>
        </w:tc>
        <w:tc>
          <w:tcPr>
            <w:tcW w:w="2275" w:type="dxa"/>
            <w:gridSpan w:val="2"/>
            <w:vMerge w:val="restart"/>
            <w:tcBorders>
              <w:top w:val="single" w:sz="4" w:space="0" w:color="auto"/>
              <w:left w:val="single" w:sz="4" w:space="0" w:color="auto"/>
              <w:bottom w:val="single" w:sz="4" w:space="0" w:color="auto"/>
              <w:right w:val="single" w:sz="4" w:space="0" w:color="auto"/>
            </w:tcBorders>
            <w:shd w:val="clear" w:color="auto" w:fill="CAEDFA"/>
            <w:hideMark/>
          </w:tcPr>
          <w:p w14:paraId="7DEC2CE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Objektivi Specifik 2: Aksesueshmëria në transport, në shërbime dhe mjete: Të përmirësohet niveli i aksesueshmërisë në transportin publik, si në mjetet edhe në </w:t>
            </w:r>
            <w:r w:rsidRPr="00CB13F7">
              <w:rPr>
                <w:rFonts w:eastAsia="Times New Roman"/>
                <w:sz w:val="16"/>
                <w:szCs w:val="16"/>
                <w:lang w:eastAsia="en-US"/>
              </w:rPr>
              <w:lastRenderedPageBreak/>
              <w:t>shërbime ndaj udhëtarëve me aftësi të kufizuara. Të mundësohet udhëtimi falas për personat me aftësi të kufizuara.</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CAEDFA"/>
            <w:hideMark/>
          </w:tcPr>
          <w:p w14:paraId="68846FA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 xml:space="preserve">Operatorët e transportit publik sigurojnë pajisje dhe shërbime të aksesueshme për PAK sipas standardeve të BE-së.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lastRenderedPageBreak/>
              <w:t xml:space="preserve">% e Stafit te trajnuar të zbatojë sjellje të respektueshme dhe ndihmuese ndaj udhëtarëve me aftësi të kufizuara </w:t>
            </w:r>
            <w:r w:rsidRPr="00CB13F7">
              <w:rPr>
                <w:rFonts w:eastAsia="Times New Roman"/>
                <w:sz w:val="16"/>
                <w:szCs w:val="16"/>
                <w:lang w:eastAsia="en-US"/>
              </w:rPr>
              <w:br/>
            </w:r>
            <w:r w:rsidRPr="00CB13F7">
              <w:rPr>
                <w:rFonts w:eastAsia="Times New Roman"/>
                <w:sz w:val="16"/>
                <w:szCs w:val="16"/>
                <w:lang w:eastAsia="en-US"/>
              </w:rPr>
              <w:br/>
              <w:t xml:space="preserve">Raport studimi për përgatitjen e kartës së transportit falas për personat me aftësi të kufizuara </w:t>
            </w:r>
          </w:p>
        </w:tc>
        <w:tc>
          <w:tcPr>
            <w:tcW w:w="709" w:type="dxa"/>
            <w:vMerge w:val="restart"/>
            <w:tcBorders>
              <w:top w:val="nil"/>
              <w:left w:val="single" w:sz="4" w:space="0" w:color="auto"/>
              <w:bottom w:val="single" w:sz="4" w:space="0" w:color="auto"/>
              <w:right w:val="single" w:sz="4" w:space="0" w:color="auto"/>
            </w:tcBorders>
            <w:shd w:val="clear" w:color="auto" w:fill="CAEDFA"/>
            <w:hideMark/>
          </w:tcPr>
          <w:p w14:paraId="3BBCB86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lastRenderedPageBreak/>
              <w:br/>
            </w:r>
            <w:r w:rsidRPr="00CB13F7">
              <w:rPr>
                <w:rFonts w:eastAsia="Times New Roman"/>
                <w:sz w:val="16"/>
                <w:szCs w:val="16"/>
                <w:lang w:eastAsia="en-US"/>
              </w:rPr>
              <w:br/>
              <w:t xml:space="preserve">N/A </w:t>
            </w:r>
          </w:p>
        </w:tc>
        <w:tc>
          <w:tcPr>
            <w:tcW w:w="1276" w:type="dxa"/>
            <w:vMerge w:val="restart"/>
            <w:tcBorders>
              <w:top w:val="nil"/>
              <w:left w:val="single" w:sz="4" w:space="0" w:color="auto"/>
              <w:bottom w:val="single" w:sz="4" w:space="0" w:color="auto"/>
              <w:right w:val="single" w:sz="4" w:space="0" w:color="auto"/>
            </w:tcBorders>
            <w:shd w:val="clear" w:color="auto" w:fill="CAEDFA"/>
            <w:hideMark/>
          </w:tcPr>
          <w:p w14:paraId="51FC2E7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10 % nga vlera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20 % nga vlera </w:t>
            </w:r>
            <w:r w:rsidRPr="00CB13F7">
              <w:rPr>
                <w:rFonts w:eastAsia="Times New Roman"/>
                <w:sz w:val="16"/>
                <w:szCs w:val="16"/>
                <w:lang w:eastAsia="en-US"/>
              </w:rPr>
              <w:lastRenderedPageBreak/>
              <w:t>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w:t>
            </w:r>
          </w:p>
        </w:tc>
        <w:tc>
          <w:tcPr>
            <w:tcW w:w="1275" w:type="dxa"/>
            <w:vMerge w:val="restart"/>
            <w:tcBorders>
              <w:top w:val="nil"/>
              <w:left w:val="single" w:sz="4" w:space="0" w:color="auto"/>
              <w:bottom w:val="single" w:sz="4" w:space="0" w:color="auto"/>
              <w:right w:val="single" w:sz="4" w:space="0" w:color="auto"/>
            </w:tcBorders>
            <w:shd w:val="clear" w:color="auto" w:fill="CAEDFA"/>
            <w:hideMark/>
          </w:tcPr>
          <w:p w14:paraId="528FC1F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30% nga vlera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20 % nga vlera </w:t>
            </w:r>
            <w:r w:rsidRPr="00CB13F7">
              <w:rPr>
                <w:rFonts w:eastAsia="Times New Roman"/>
                <w:sz w:val="16"/>
                <w:szCs w:val="16"/>
                <w:lang w:eastAsia="en-US"/>
              </w:rPr>
              <w:lastRenderedPageBreak/>
              <w:t>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w:t>
            </w:r>
          </w:p>
        </w:tc>
        <w:tc>
          <w:tcPr>
            <w:tcW w:w="1418" w:type="dxa"/>
            <w:vMerge w:val="restart"/>
            <w:tcBorders>
              <w:top w:val="nil"/>
              <w:left w:val="single" w:sz="4" w:space="0" w:color="auto"/>
              <w:bottom w:val="single" w:sz="4" w:space="0" w:color="auto"/>
              <w:right w:val="single" w:sz="4" w:space="0" w:color="auto"/>
            </w:tcBorders>
            <w:shd w:val="clear" w:color="auto" w:fill="CAEDFA"/>
            <w:hideMark/>
          </w:tcPr>
          <w:p w14:paraId="701194D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MIE;</w:t>
            </w:r>
            <w:r w:rsidRPr="00CB13F7">
              <w:rPr>
                <w:rFonts w:eastAsia="Times New Roman"/>
                <w:sz w:val="16"/>
                <w:szCs w:val="16"/>
                <w:lang w:eastAsia="en-US"/>
              </w:rPr>
              <w:br/>
              <w:t>MSHMS;</w:t>
            </w:r>
            <w:r w:rsidRPr="00CB13F7">
              <w:rPr>
                <w:rFonts w:eastAsia="Times New Roman"/>
                <w:sz w:val="16"/>
                <w:szCs w:val="16"/>
                <w:lang w:eastAsia="en-US"/>
              </w:rPr>
              <w:br/>
              <w:t>DPSHTRR;</w:t>
            </w:r>
            <w:r w:rsidRPr="00CB13F7">
              <w:rPr>
                <w:rFonts w:eastAsia="Times New Roman"/>
                <w:sz w:val="16"/>
                <w:szCs w:val="16"/>
                <w:lang w:eastAsia="en-US"/>
              </w:rPr>
              <w:br/>
              <w:t>NJQV;</w:t>
            </w:r>
            <w:r w:rsidRPr="00CB13F7">
              <w:rPr>
                <w:rFonts w:eastAsia="Times New Roman"/>
                <w:sz w:val="16"/>
                <w:szCs w:val="16"/>
                <w:lang w:eastAsia="en-US"/>
              </w:rPr>
              <w:br/>
              <w:t xml:space="preserve">Kompani </w:t>
            </w:r>
            <w:r w:rsidRPr="00CB13F7">
              <w:rPr>
                <w:rFonts w:eastAsia="Times New Roman"/>
                <w:sz w:val="16"/>
                <w:szCs w:val="16"/>
                <w:lang w:eastAsia="en-US"/>
              </w:rPr>
              <w:lastRenderedPageBreak/>
              <w:t>transporti/ taksish;</w:t>
            </w:r>
            <w:r w:rsidRPr="00CB13F7">
              <w:rPr>
                <w:rFonts w:eastAsia="Times New Roman"/>
                <w:sz w:val="16"/>
                <w:szCs w:val="16"/>
                <w:lang w:eastAsia="en-US"/>
              </w:rPr>
              <w:br/>
              <w:t>OJQ;</w:t>
            </w:r>
          </w:p>
        </w:tc>
        <w:tc>
          <w:tcPr>
            <w:tcW w:w="3933" w:type="dxa"/>
            <w:vMerge w:val="restart"/>
            <w:tcBorders>
              <w:top w:val="nil"/>
              <w:left w:val="single" w:sz="4" w:space="0" w:color="auto"/>
              <w:bottom w:val="single" w:sz="4" w:space="0" w:color="auto"/>
              <w:right w:val="single" w:sz="4" w:space="0" w:color="auto"/>
            </w:tcBorders>
            <w:shd w:val="clear" w:color="auto" w:fill="CAEDFA"/>
            <w:hideMark/>
          </w:tcPr>
          <w:p w14:paraId="6D881A6D" w14:textId="1DEBF5E1"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Strategjia e BE-së 2021</w:t>
            </w:r>
            <w:r w:rsidR="00582B12" w:rsidRPr="00CB13F7">
              <w:rPr>
                <w:rFonts w:eastAsia="Times New Roman"/>
                <w:sz w:val="16"/>
                <w:szCs w:val="16"/>
                <w:lang w:eastAsia="en-US"/>
              </w:rPr>
              <w:t>-</w:t>
            </w:r>
            <w:r w:rsidRPr="00CB13F7">
              <w:rPr>
                <w:rFonts w:eastAsia="Times New Roman"/>
                <w:sz w:val="16"/>
                <w:szCs w:val="16"/>
                <w:lang w:eastAsia="en-US"/>
              </w:rPr>
              <w:t xml:space="preserve">2030 (aksesueshmëri, </w:t>
            </w:r>
            <w:r w:rsidR="002B3406" w:rsidRPr="00CB13F7">
              <w:rPr>
                <w:rFonts w:eastAsia="Times New Roman"/>
                <w:sz w:val="16"/>
                <w:szCs w:val="16"/>
                <w:lang w:eastAsia="en-US"/>
              </w:rPr>
              <w:t>mos-diskriminim</w:t>
            </w:r>
            <w:r w:rsidRPr="00CB13F7">
              <w:rPr>
                <w:rFonts w:eastAsia="Times New Roman"/>
                <w:sz w:val="16"/>
                <w:szCs w:val="16"/>
                <w:lang w:eastAsia="en-US"/>
              </w:rPr>
              <w:t>, shërbime të barabarta);</w:t>
            </w:r>
            <w:r w:rsidRPr="00CB13F7">
              <w:rPr>
                <w:rFonts w:eastAsia="Times New Roman"/>
                <w:sz w:val="16"/>
                <w:szCs w:val="16"/>
                <w:lang w:eastAsia="en-US"/>
              </w:rPr>
              <w:br/>
              <w:t>Legjislacioni i BE-së për të Drejtat e Pasagjerëve</w:t>
            </w:r>
            <w:r w:rsidRPr="00CB13F7">
              <w:rPr>
                <w:rFonts w:eastAsia="Times New Roman"/>
                <w:sz w:val="16"/>
                <w:szCs w:val="16"/>
                <w:lang w:eastAsia="en-US"/>
              </w:rPr>
              <w:br/>
              <w:t>Aksesueshmëria Digjitale;</w:t>
            </w:r>
            <w:r w:rsidRPr="00CB13F7">
              <w:rPr>
                <w:rFonts w:eastAsia="Times New Roman"/>
                <w:sz w:val="16"/>
                <w:szCs w:val="16"/>
                <w:lang w:eastAsia="en-US"/>
              </w:rPr>
              <w:br/>
              <w:t>Bileta elektronike dhe aplikacione të aksesueshme; Informacion audio dhe vizual në kohë reale;</w:t>
            </w:r>
            <w:r w:rsidRPr="00CB13F7">
              <w:rPr>
                <w:rFonts w:eastAsia="Times New Roman"/>
                <w:sz w:val="16"/>
                <w:szCs w:val="16"/>
                <w:lang w:eastAsia="en-US"/>
              </w:rPr>
              <w:br/>
            </w:r>
            <w:r w:rsidRPr="00CB13F7">
              <w:rPr>
                <w:rFonts w:eastAsia="Times New Roman"/>
                <w:sz w:val="16"/>
                <w:szCs w:val="16"/>
                <w:lang w:eastAsia="en-US"/>
              </w:rPr>
              <w:lastRenderedPageBreak/>
              <w:t xml:space="preserve">Standarde </w:t>
            </w:r>
            <w:r w:rsidR="006B46C0">
              <w:rPr>
                <w:rFonts w:eastAsia="Times New Roman"/>
                <w:sz w:val="16"/>
                <w:szCs w:val="16"/>
                <w:lang w:eastAsia="en-US"/>
              </w:rPr>
              <w:t>W</w:t>
            </w:r>
            <w:r w:rsidRPr="00CB13F7">
              <w:rPr>
                <w:rFonts w:eastAsia="Times New Roman"/>
                <w:sz w:val="16"/>
                <w:szCs w:val="16"/>
                <w:lang w:eastAsia="en-US"/>
              </w:rPr>
              <w:t>CAG për faqet e transportit publik;</w:t>
            </w:r>
            <w:r w:rsidRPr="00CB13F7">
              <w:rPr>
                <w:rFonts w:eastAsia="Times New Roman"/>
                <w:sz w:val="16"/>
                <w:szCs w:val="16"/>
                <w:lang w:eastAsia="en-US"/>
              </w:rPr>
              <w:br/>
              <w:t>Parimi i “Design for All”;</w:t>
            </w:r>
            <w:r w:rsidRPr="00CB13F7">
              <w:rPr>
                <w:rFonts w:eastAsia="Times New Roman"/>
                <w:sz w:val="16"/>
                <w:szCs w:val="16"/>
                <w:lang w:eastAsia="en-US"/>
              </w:rPr>
              <w:br/>
              <w:t>Autobusë me platforma ngritëse;</w:t>
            </w:r>
            <w:r w:rsidRPr="00CB13F7">
              <w:rPr>
                <w:rFonts w:eastAsia="Times New Roman"/>
                <w:sz w:val="16"/>
                <w:szCs w:val="16"/>
                <w:lang w:eastAsia="en-US"/>
              </w:rPr>
              <w:br/>
              <w:t>Stacione me ashensorë dhe rampa;</w:t>
            </w:r>
            <w:r w:rsidRPr="00CB13F7">
              <w:rPr>
                <w:rFonts w:eastAsia="Times New Roman"/>
                <w:sz w:val="16"/>
                <w:szCs w:val="16"/>
                <w:lang w:eastAsia="en-US"/>
              </w:rPr>
              <w:br/>
              <w:t>Sinjalistikë me Braille dhe njoftime zanore.</w:t>
            </w:r>
          </w:p>
        </w:tc>
      </w:tr>
      <w:tr w:rsidR="007D728E" w:rsidRPr="00CB13F7" w14:paraId="2757E7C8" w14:textId="77777777" w:rsidTr="661F9D2E">
        <w:trPr>
          <w:trHeight w:val="464"/>
        </w:trPr>
        <w:tc>
          <w:tcPr>
            <w:tcW w:w="802" w:type="dxa"/>
            <w:vMerge/>
            <w:hideMark/>
          </w:tcPr>
          <w:p w14:paraId="2F6621E5"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7C2F1C6A" w14:textId="77777777" w:rsidR="007D728E" w:rsidRPr="00CB13F7" w:rsidRDefault="007D728E" w:rsidP="007D728E">
            <w:pPr>
              <w:rPr>
                <w:rFonts w:eastAsia="Times New Roman"/>
                <w:sz w:val="16"/>
                <w:szCs w:val="16"/>
                <w:lang w:eastAsia="en-US"/>
              </w:rPr>
            </w:pPr>
          </w:p>
        </w:tc>
        <w:tc>
          <w:tcPr>
            <w:tcW w:w="1984" w:type="dxa"/>
            <w:gridSpan w:val="2"/>
            <w:vMerge/>
            <w:hideMark/>
          </w:tcPr>
          <w:p w14:paraId="366200A0" w14:textId="77777777" w:rsidR="007D728E" w:rsidRPr="00CB13F7" w:rsidRDefault="007D728E" w:rsidP="007D728E">
            <w:pPr>
              <w:rPr>
                <w:rFonts w:eastAsia="Times New Roman"/>
                <w:sz w:val="16"/>
                <w:szCs w:val="16"/>
                <w:lang w:eastAsia="en-US"/>
              </w:rPr>
            </w:pPr>
          </w:p>
        </w:tc>
        <w:tc>
          <w:tcPr>
            <w:tcW w:w="709" w:type="dxa"/>
            <w:vMerge/>
            <w:hideMark/>
          </w:tcPr>
          <w:p w14:paraId="68BEC62D" w14:textId="77777777" w:rsidR="007D728E" w:rsidRPr="00CB13F7" w:rsidRDefault="007D728E" w:rsidP="007D728E">
            <w:pPr>
              <w:rPr>
                <w:rFonts w:eastAsia="Times New Roman"/>
                <w:sz w:val="16"/>
                <w:szCs w:val="16"/>
                <w:lang w:eastAsia="en-US"/>
              </w:rPr>
            </w:pPr>
          </w:p>
        </w:tc>
        <w:tc>
          <w:tcPr>
            <w:tcW w:w="1276" w:type="dxa"/>
            <w:vMerge/>
            <w:hideMark/>
          </w:tcPr>
          <w:p w14:paraId="79C59432" w14:textId="77777777" w:rsidR="007D728E" w:rsidRPr="00CB13F7" w:rsidRDefault="007D728E" w:rsidP="007D728E">
            <w:pPr>
              <w:rPr>
                <w:rFonts w:eastAsia="Times New Roman"/>
                <w:sz w:val="16"/>
                <w:szCs w:val="16"/>
                <w:lang w:eastAsia="en-US"/>
              </w:rPr>
            </w:pPr>
          </w:p>
        </w:tc>
        <w:tc>
          <w:tcPr>
            <w:tcW w:w="1275" w:type="dxa"/>
            <w:vMerge/>
            <w:hideMark/>
          </w:tcPr>
          <w:p w14:paraId="2BD338ED" w14:textId="77777777" w:rsidR="007D728E" w:rsidRPr="00CB13F7" w:rsidRDefault="007D728E" w:rsidP="007D728E">
            <w:pPr>
              <w:rPr>
                <w:rFonts w:eastAsia="Times New Roman"/>
                <w:sz w:val="16"/>
                <w:szCs w:val="16"/>
                <w:lang w:eastAsia="en-US"/>
              </w:rPr>
            </w:pPr>
          </w:p>
        </w:tc>
        <w:tc>
          <w:tcPr>
            <w:tcW w:w="1418" w:type="dxa"/>
            <w:vMerge/>
            <w:hideMark/>
          </w:tcPr>
          <w:p w14:paraId="613BB230" w14:textId="77777777" w:rsidR="007D728E" w:rsidRPr="00CB13F7" w:rsidRDefault="007D728E" w:rsidP="007D728E">
            <w:pPr>
              <w:rPr>
                <w:rFonts w:eastAsia="Times New Roman"/>
                <w:sz w:val="16"/>
                <w:szCs w:val="16"/>
                <w:lang w:eastAsia="en-US"/>
              </w:rPr>
            </w:pPr>
          </w:p>
        </w:tc>
        <w:tc>
          <w:tcPr>
            <w:tcW w:w="3933" w:type="dxa"/>
            <w:vMerge/>
            <w:hideMark/>
          </w:tcPr>
          <w:p w14:paraId="4A2FD053" w14:textId="77777777" w:rsidR="007D728E" w:rsidRPr="00CB13F7" w:rsidRDefault="007D728E" w:rsidP="007D728E">
            <w:pPr>
              <w:rPr>
                <w:rFonts w:eastAsia="Times New Roman"/>
                <w:sz w:val="16"/>
                <w:szCs w:val="16"/>
                <w:lang w:eastAsia="en-US"/>
              </w:rPr>
            </w:pPr>
          </w:p>
        </w:tc>
      </w:tr>
      <w:tr w:rsidR="007D728E" w:rsidRPr="00CB13F7" w14:paraId="6F9BD9FF" w14:textId="77777777" w:rsidTr="661F9D2E">
        <w:trPr>
          <w:trHeight w:val="464"/>
        </w:trPr>
        <w:tc>
          <w:tcPr>
            <w:tcW w:w="802" w:type="dxa"/>
            <w:vMerge/>
            <w:hideMark/>
          </w:tcPr>
          <w:p w14:paraId="72639F26"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72DD572F" w14:textId="77777777" w:rsidR="007D728E" w:rsidRPr="00CB13F7" w:rsidRDefault="007D728E" w:rsidP="007D728E">
            <w:pPr>
              <w:rPr>
                <w:rFonts w:eastAsia="Times New Roman"/>
                <w:sz w:val="16"/>
                <w:szCs w:val="16"/>
                <w:lang w:eastAsia="en-US"/>
              </w:rPr>
            </w:pPr>
          </w:p>
        </w:tc>
        <w:tc>
          <w:tcPr>
            <w:tcW w:w="1984" w:type="dxa"/>
            <w:gridSpan w:val="2"/>
            <w:vMerge/>
            <w:hideMark/>
          </w:tcPr>
          <w:p w14:paraId="306692F2" w14:textId="77777777" w:rsidR="007D728E" w:rsidRPr="00CB13F7" w:rsidRDefault="007D728E" w:rsidP="007D728E">
            <w:pPr>
              <w:rPr>
                <w:rFonts w:eastAsia="Times New Roman"/>
                <w:sz w:val="16"/>
                <w:szCs w:val="16"/>
                <w:lang w:eastAsia="en-US"/>
              </w:rPr>
            </w:pPr>
          </w:p>
        </w:tc>
        <w:tc>
          <w:tcPr>
            <w:tcW w:w="709" w:type="dxa"/>
            <w:vMerge/>
            <w:hideMark/>
          </w:tcPr>
          <w:p w14:paraId="6A2024E7" w14:textId="77777777" w:rsidR="007D728E" w:rsidRPr="00CB13F7" w:rsidRDefault="007D728E" w:rsidP="007D728E">
            <w:pPr>
              <w:rPr>
                <w:rFonts w:eastAsia="Times New Roman"/>
                <w:sz w:val="16"/>
                <w:szCs w:val="16"/>
                <w:lang w:eastAsia="en-US"/>
              </w:rPr>
            </w:pPr>
          </w:p>
        </w:tc>
        <w:tc>
          <w:tcPr>
            <w:tcW w:w="1276" w:type="dxa"/>
            <w:vMerge/>
            <w:hideMark/>
          </w:tcPr>
          <w:p w14:paraId="6E34ADB2" w14:textId="77777777" w:rsidR="007D728E" w:rsidRPr="00CB13F7" w:rsidRDefault="007D728E" w:rsidP="007D728E">
            <w:pPr>
              <w:rPr>
                <w:rFonts w:eastAsia="Times New Roman"/>
                <w:sz w:val="16"/>
                <w:szCs w:val="16"/>
                <w:lang w:eastAsia="en-US"/>
              </w:rPr>
            </w:pPr>
          </w:p>
        </w:tc>
        <w:tc>
          <w:tcPr>
            <w:tcW w:w="1275" w:type="dxa"/>
            <w:vMerge/>
            <w:hideMark/>
          </w:tcPr>
          <w:p w14:paraId="75F88890" w14:textId="77777777" w:rsidR="007D728E" w:rsidRPr="00CB13F7" w:rsidRDefault="007D728E" w:rsidP="007D728E">
            <w:pPr>
              <w:rPr>
                <w:rFonts w:eastAsia="Times New Roman"/>
                <w:sz w:val="16"/>
                <w:szCs w:val="16"/>
                <w:lang w:eastAsia="en-US"/>
              </w:rPr>
            </w:pPr>
          </w:p>
        </w:tc>
        <w:tc>
          <w:tcPr>
            <w:tcW w:w="1418" w:type="dxa"/>
            <w:vMerge/>
            <w:hideMark/>
          </w:tcPr>
          <w:p w14:paraId="5A9BE2BD" w14:textId="77777777" w:rsidR="007D728E" w:rsidRPr="00CB13F7" w:rsidRDefault="007D728E" w:rsidP="007D728E">
            <w:pPr>
              <w:rPr>
                <w:rFonts w:eastAsia="Times New Roman"/>
                <w:sz w:val="16"/>
                <w:szCs w:val="16"/>
                <w:lang w:eastAsia="en-US"/>
              </w:rPr>
            </w:pPr>
          </w:p>
        </w:tc>
        <w:tc>
          <w:tcPr>
            <w:tcW w:w="3933" w:type="dxa"/>
            <w:vMerge/>
            <w:hideMark/>
          </w:tcPr>
          <w:p w14:paraId="29565231" w14:textId="77777777" w:rsidR="007D728E" w:rsidRPr="00CB13F7" w:rsidRDefault="007D728E" w:rsidP="007D728E">
            <w:pPr>
              <w:rPr>
                <w:rFonts w:eastAsia="Times New Roman"/>
                <w:sz w:val="16"/>
                <w:szCs w:val="16"/>
                <w:lang w:eastAsia="en-US"/>
              </w:rPr>
            </w:pPr>
          </w:p>
        </w:tc>
      </w:tr>
      <w:tr w:rsidR="007D728E" w:rsidRPr="00CB13F7" w14:paraId="2E92091C" w14:textId="77777777" w:rsidTr="661F9D2E">
        <w:trPr>
          <w:trHeight w:val="464"/>
        </w:trPr>
        <w:tc>
          <w:tcPr>
            <w:tcW w:w="802" w:type="dxa"/>
            <w:vMerge/>
            <w:hideMark/>
          </w:tcPr>
          <w:p w14:paraId="4906EE51"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29F17BCF" w14:textId="77777777" w:rsidR="007D728E" w:rsidRPr="00CB13F7" w:rsidRDefault="007D728E" w:rsidP="007D728E">
            <w:pPr>
              <w:rPr>
                <w:rFonts w:eastAsia="Times New Roman"/>
                <w:sz w:val="16"/>
                <w:szCs w:val="16"/>
                <w:lang w:eastAsia="en-US"/>
              </w:rPr>
            </w:pPr>
          </w:p>
        </w:tc>
        <w:tc>
          <w:tcPr>
            <w:tcW w:w="1984" w:type="dxa"/>
            <w:gridSpan w:val="2"/>
            <w:vMerge/>
            <w:hideMark/>
          </w:tcPr>
          <w:p w14:paraId="30277AA2" w14:textId="77777777" w:rsidR="007D728E" w:rsidRPr="00CB13F7" w:rsidRDefault="007D728E" w:rsidP="007D728E">
            <w:pPr>
              <w:rPr>
                <w:rFonts w:eastAsia="Times New Roman"/>
                <w:sz w:val="16"/>
                <w:szCs w:val="16"/>
                <w:lang w:eastAsia="en-US"/>
              </w:rPr>
            </w:pPr>
          </w:p>
        </w:tc>
        <w:tc>
          <w:tcPr>
            <w:tcW w:w="709" w:type="dxa"/>
            <w:vMerge/>
            <w:hideMark/>
          </w:tcPr>
          <w:p w14:paraId="759868CC" w14:textId="77777777" w:rsidR="007D728E" w:rsidRPr="00CB13F7" w:rsidRDefault="007D728E" w:rsidP="007D728E">
            <w:pPr>
              <w:rPr>
                <w:rFonts w:eastAsia="Times New Roman"/>
                <w:sz w:val="16"/>
                <w:szCs w:val="16"/>
                <w:lang w:eastAsia="en-US"/>
              </w:rPr>
            </w:pPr>
          </w:p>
        </w:tc>
        <w:tc>
          <w:tcPr>
            <w:tcW w:w="1276" w:type="dxa"/>
            <w:vMerge/>
            <w:hideMark/>
          </w:tcPr>
          <w:p w14:paraId="72F9530A" w14:textId="77777777" w:rsidR="007D728E" w:rsidRPr="00CB13F7" w:rsidRDefault="007D728E" w:rsidP="007D728E">
            <w:pPr>
              <w:rPr>
                <w:rFonts w:eastAsia="Times New Roman"/>
                <w:sz w:val="16"/>
                <w:szCs w:val="16"/>
                <w:lang w:eastAsia="en-US"/>
              </w:rPr>
            </w:pPr>
          </w:p>
        </w:tc>
        <w:tc>
          <w:tcPr>
            <w:tcW w:w="1275" w:type="dxa"/>
            <w:vMerge/>
            <w:hideMark/>
          </w:tcPr>
          <w:p w14:paraId="61F3AD47" w14:textId="77777777" w:rsidR="007D728E" w:rsidRPr="00CB13F7" w:rsidRDefault="007D728E" w:rsidP="007D728E">
            <w:pPr>
              <w:rPr>
                <w:rFonts w:eastAsia="Times New Roman"/>
                <w:sz w:val="16"/>
                <w:szCs w:val="16"/>
                <w:lang w:eastAsia="en-US"/>
              </w:rPr>
            </w:pPr>
          </w:p>
        </w:tc>
        <w:tc>
          <w:tcPr>
            <w:tcW w:w="1418" w:type="dxa"/>
            <w:vMerge/>
            <w:hideMark/>
          </w:tcPr>
          <w:p w14:paraId="5C4B665E" w14:textId="77777777" w:rsidR="007D728E" w:rsidRPr="00CB13F7" w:rsidRDefault="007D728E" w:rsidP="007D728E">
            <w:pPr>
              <w:rPr>
                <w:rFonts w:eastAsia="Times New Roman"/>
                <w:sz w:val="16"/>
                <w:szCs w:val="16"/>
                <w:lang w:eastAsia="en-US"/>
              </w:rPr>
            </w:pPr>
          </w:p>
        </w:tc>
        <w:tc>
          <w:tcPr>
            <w:tcW w:w="3933" w:type="dxa"/>
            <w:vMerge/>
            <w:hideMark/>
          </w:tcPr>
          <w:p w14:paraId="53A2FB5D" w14:textId="77777777" w:rsidR="007D728E" w:rsidRPr="00CB13F7" w:rsidRDefault="007D728E" w:rsidP="007D728E">
            <w:pPr>
              <w:rPr>
                <w:rFonts w:eastAsia="Times New Roman"/>
                <w:sz w:val="16"/>
                <w:szCs w:val="16"/>
                <w:lang w:eastAsia="en-US"/>
              </w:rPr>
            </w:pPr>
          </w:p>
        </w:tc>
      </w:tr>
      <w:tr w:rsidR="007D728E" w:rsidRPr="00CB13F7" w14:paraId="3239EBB0" w14:textId="77777777" w:rsidTr="661F9D2E">
        <w:trPr>
          <w:trHeight w:val="464"/>
        </w:trPr>
        <w:tc>
          <w:tcPr>
            <w:tcW w:w="802" w:type="dxa"/>
            <w:vMerge/>
            <w:hideMark/>
          </w:tcPr>
          <w:p w14:paraId="33744759"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0EE1E273" w14:textId="77777777" w:rsidR="007D728E" w:rsidRPr="00CB13F7" w:rsidRDefault="007D728E" w:rsidP="007D728E">
            <w:pPr>
              <w:rPr>
                <w:rFonts w:eastAsia="Times New Roman"/>
                <w:sz w:val="16"/>
                <w:szCs w:val="16"/>
                <w:lang w:eastAsia="en-US"/>
              </w:rPr>
            </w:pPr>
          </w:p>
        </w:tc>
        <w:tc>
          <w:tcPr>
            <w:tcW w:w="1984" w:type="dxa"/>
            <w:gridSpan w:val="2"/>
            <w:vMerge/>
            <w:hideMark/>
          </w:tcPr>
          <w:p w14:paraId="0AB90356" w14:textId="77777777" w:rsidR="007D728E" w:rsidRPr="00CB13F7" w:rsidRDefault="007D728E" w:rsidP="007D728E">
            <w:pPr>
              <w:rPr>
                <w:rFonts w:eastAsia="Times New Roman"/>
                <w:sz w:val="16"/>
                <w:szCs w:val="16"/>
                <w:lang w:eastAsia="en-US"/>
              </w:rPr>
            </w:pPr>
          </w:p>
        </w:tc>
        <w:tc>
          <w:tcPr>
            <w:tcW w:w="709" w:type="dxa"/>
            <w:vMerge/>
            <w:hideMark/>
          </w:tcPr>
          <w:p w14:paraId="76C1BE80" w14:textId="77777777" w:rsidR="007D728E" w:rsidRPr="00CB13F7" w:rsidRDefault="007D728E" w:rsidP="007D728E">
            <w:pPr>
              <w:rPr>
                <w:rFonts w:eastAsia="Times New Roman"/>
                <w:sz w:val="16"/>
                <w:szCs w:val="16"/>
                <w:lang w:eastAsia="en-US"/>
              </w:rPr>
            </w:pPr>
          </w:p>
        </w:tc>
        <w:tc>
          <w:tcPr>
            <w:tcW w:w="1276" w:type="dxa"/>
            <w:vMerge/>
            <w:hideMark/>
          </w:tcPr>
          <w:p w14:paraId="01B6208D" w14:textId="77777777" w:rsidR="007D728E" w:rsidRPr="00CB13F7" w:rsidRDefault="007D728E" w:rsidP="007D728E">
            <w:pPr>
              <w:rPr>
                <w:rFonts w:eastAsia="Times New Roman"/>
                <w:sz w:val="16"/>
                <w:szCs w:val="16"/>
                <w:lang w:eastAsia="en-US"/>
              </w:rPr>
            </w:pPr>
          </w:p>
        </w:tc>
        <w:tc>
          <w:tcPr>
            <w:tcW w:w="1275" w:type="dxa"/>
            <w:vMerge/>
            <w:hideMark/>
          </w:tcPr>
          <w:p w14:paraId="430B71DA" w14:textId="77777777" w:rsidR="007D728E" w:rsidRPr="00CB13F7" w:rsidRDefault="007D728E" w:rsidP="007D728E">
            <w:pPr>
              <w:rPr>
                <w:rFonts w:eastAsia="Times New Roman"/>
                <w:sz w:val="16"/>
                <w:szCs w:val="16"/>
                <w:lang w:eastAsia="en-US"/>
              </w:rPr>
            </w:pPr>
          </w:p>
        </w:tc>
        <w:tc>
          <w:tcPr>
            <w:tcW w:w="1418" w:type="dxa"/>
            <w:vMerge/>
            <w:hideMark/>
          </w:tcPr>
          <w:p w14:paraId="291B8D9E" w14:textId="77777777" w:rsidR="007D728E" w:rsidRPr="00CB13F7" w:rsidRDefault="007D728E" w:rsidP="007D728E">
            <w:pPr>
              <w:rPr>
                <w:rFonts w:eastAsia="Times New Roman"/>
                <w:sz w:val="16"/>
                <w:szCs w:val="16"/>
                <w:lang w:eastAsia="en-US"/>
              </w:rPr>
            </w:pPr>
          </w:p>
        </w:tc>
        <w:tc>
          <w:tcPr>
            <w:tcW w:w="3933" w:type="dxa"/>
            <w:vMerge/>
            <w:hideMark/>
          </w:tcPr>
          <w:p w14:paraId="2114B394" w14:textId="77777777" w:rsidR="007D728E" w:rsidRPr="00CB13F7" w:rsidRDefault="007D728E" w:rsidP="007D728E">
            <w:pPr>
              <w:rPr>
                <w:rFonts w:eastAsia="Times New Roman"/>
                <w:sz w:val="16"/>
                <w:szCs w:val="16"/>
                <w:lang w:eastAsia="en-US"/>
              </w:rPr>
            </w:pPr>
          </w:p>
        </w:tc>
      </w:tr>
      <w:tr w:rsidR="007D728E" w:rsidRPr="00CB13F7" w14:paraId="7A0708F8" w14:textId="77777777" w:rsidTr="661F9D2E">
        <w:trPr>
          <w:trHeight w:val="464"/>
        </w:trPr>
        <w:tc>
          <w:tcPr>
            <w:tcW w:w="802" w:type="dxa"/>
            <w:vMerge/>
            <w:hideMark/>
          </w:tcPr>
          <w:p w14:paraId="73139E3E"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52AAB286" w14:textId="77777777" w:rsidR="007D728E" w:rsidRPr="00CB13F7" w:rsidRDefault="007D728E" w:rsidP="007D728E">
            <w:pPr>
              <w:rPr>
                <w:rFonts w:eastAsia="Times New Roman"/>
                <w:sz w:val="16"/>
                <w:szCs w:val="16"/>
                <w:lang w:eastAsia="en-US"/>
              </w:rPr>
            </w:pPr>
          </w:p>
        </w:tc>
        <w:tc>
          <w:tcPr>
            <w:tcW w:w="1984" w:type="dxa"/>
            <w:gridSpan w:val="2"/>
            <w:vMerge/>
            <w:hideMark/>
          </w:tcPr>
          <w:p w14:paraId="798F9E36" w14:textId="77777777" w:rsidR="007D728E" w:rsidRPr="00CB13F7" w:rsidRDefault="007D728E" w:rsidP="007D728E">
            <w:pPr>
              <w:rPr>
                <w:rFonts w:eastAsia="Times New Roman"/>
                <w:sz w:val="16"/>
                <w:szCs w:val="16"/>
                <w:lang w:eastAsia="en-US"/>
              </w:rPr>
            </w:pPr>
          </w:p>
        </w:tc>
        <w:tc>
          <w:tcPr>
            <w:tcW w:w="709" w:type="dxa"/>
            <w:vMerge/>
            <w:hideMark/>
          </w:tcPr>
          <w:p w14:paraId="15B56E2A" w14:textId="77777777" w:rsidR="007D728E" w:rsidRPr="00CB13F7" w:rsidRDefault="007D728E" w:rsidP="007D728E">
            <w:pPr>
              <w:rPr>
                <w:rFonts w:eastAsia="Times New Roman"/>
                <w:sz w:val="16"/>
                <w:szCs w:val="16"/>
                <w:lang w:eastAsia="en-US"/>
              </w:rPr>
            </w:pPr>
          </w:p>
        </w:tc>
        <w:tc>
          <w:tcPr>
            <w:tcW w:w="1276" w:type="dxa"/>
            <w:vMerge/>
            <w:hideMark/>
          </w:tcPr>
          <w:p w14:paraId="6C4FEDFD" w14:textId="77777777" w:rsidR="007D728E" w:rsidRPr="00CB13F7" w:rsidRDefault="007D728E" w:rsidP="007D728E">
            <w:pPr>
              <w:rPr>
                <w:rFonts w:eastAsia="Times New Roman"/>
                <w:sz w:val="16"/>
                <w:szCs w:val="16"/>
                <w:lang w:eastAsia="en-US"/>
              </w:rPr>
            </w:pPr>
          </w:p>
        </w:tc>
        <w:tc>
          <w:tcPr>
            <w:tcW w:w="1275" w:type="dxa"/>
            <w:vMerge/>
            <w:hideMark/>
          </w:tcPr>
          <w:p w14:paraId="5169ED9B" w14:textId="77777777" w:rsidR="007D728E" w:rsidRPr="00CB13F7" w:rsidRDefault="007D728E" w:rsidP="007D728E">
            <w:pPr>
              <w:rPr>
                <w:rFonts w:eastAsia="Times New Roman"/>
                <w:sz w:val="16"/>
                <w:szCs w:val="16"/>
                <w:lang w:eastAsia="en-US"/>
              </w:rPr>
            </w:pPr>
          </w:p>
        </w:tc>
        <w:tc>
          <w:tcPr>
            <w:tcW w:w="1418" w:type="dxa"/>
            <w:vMerge/>
            <w:hideMark/>
          </w:tcPr>
          <w:p w14:paraId="67CD4652" w14:textId="77777777" w:rsidR="007D728E" w:rsidRPr="00CB13F7" w:rsidRDefault="007D728E" w:rsidP="007D728E">
            <w:pPr>
              <w:rPr>
                <w:rFonts w:eastAsia="Times New Roman"/>
                <w:sz w:val="16"/>
                <w:szCs w:val="16"/>
                <w:lang w:eastAsia="en-US"/>
              </w:rPr>
            </w:pPr>
          </w:p>
        </w:tc>
        <w:tc>
          <w:tcPr>
            <w:tcW w:w="3933" w:type="dxa"/>
            <w:vMerge/>
            <w:hideMark/>
          </w:tcPr>
          <w:p w14:paraId="490FB106" w14:textId="77777777" w:rsidR="007D728E" w:rsidRPr="00CB13F7" w:rsidRDefault="007D728E" w:rsidP="007D728E">
            <w:pPr>
              <w:rPr>
                <w:rFonts w:eastAsia="Times New Roman"/>
                <w:sz w:val="16"/>
                <w:szCs w:val="16"/>
                <w:lang w:eastAsia="en-US"/>
              </w:rPr>
            </w:pPr>
          </w:p>
        </w:tc>
      </w:tr>
      <w:tr w:rsidR="007D728E" w:rsidRPr="00CB13F7" w14:paraId="4DF94699" w14:textId="77777777" w:rsidTr="661F9D2E">
        <w:trPr>
          <w:trHeight w:val="464"/>
        </w:trPr>
        <w:tc>
          <w:tcPr>
            <w:tcW w:w="802" w:type="dxa"/>
            <w:vMerge/>
            <w:hideMark/>
          </w:tcPr>
          <w:p w14:paraId="7AF01178"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66DB20B4" w14:textId="77777777" w:rsidR="007D728E" w:rsidRPr="00CB13F7" w:rsidRDefault="007D728E" w:rsidP="007D728E">
            <w:pPr>
              <w:rPr>
                <w:rFonts w:eastAsia="Times New Roman"/>
                <w:sz w:val="16"/>
                <w:szCs w:val="16"/>
                <w:lang w:eastAsia="en-US"/>
              </w:rPr>
            </w:pPr>
          </w:p>
        </w:tc>
        <w:tc>
          <w:tcPr>
            <w:tcW w:w="1984" w:type="dxa"/>
            <w:gridSpan w:val="2"/>
            <w:vMerge/>
            <w:hideMark/>
          </w:tcPr>
          <w:p w14:paraId="7F8279D2" w14:textId="77777777" w:rsidR="007D728E" w:rsidRPr="00CB13F7" w:rsidRDefault="007D728E" w:rsidP="007D728E">
            <w:pPr>
              <w:rPr>
                <w:rFonts w:eastAsia="Times New Roman"/>
                <w:sz w:val="16"/>
                <w:szCs w:val="16"/>
                <w:lang w:eastAsia="en-US"/>
              </w:rPr>
            </w:pPr>
          </w:p>
        </w:tc>
        <w:tc>
          <w:tcPr>
            <w:tcW w:w="709" w:type="dxa"/>
            <w:vMerge/>
            <w:hideMark/>
          </w:tcPr>
          <w:p w14:paraId="4B8864B9" w14:textId="77777777" w:rsidR="007D728E" w:rsidRPr="00CB13F7" w:rsidRDefault="007D728E" w:rsidP="007D728E">
            <w:pPr>
              <w:rPr>
                <w:rFonts w:eastAsia="Times New Roman"/>
                <w:sz w:val="16"/>
                <w:szCs w:val="16"/>
                <w:lang w:eastAsia="en-US"/>
              </w:rPr>
            </w:pPr>
          </w:p>
        </w:tc>
        <w:tc>
          <w:tcPr>
            <w:tcW w:w="1276" w:type="dxa"/>
            <w:vMerge/>
            <w:hideMark/>
          </w:tcPr>
          <w:p w14:paraId="4A8CFB93" w14:textId="77777777" w:rsidR="007D728E" w:rsidRPr="00CB13F7" w:rsidRDefault="007D728E" w:rsidP="007D728E">
            <w:pPr>
              <w:rPr>
                <w:rFonts w:eastAsia="Times New Roman"/>
                <w:sz w:val="16"/>
                <w:szCs w:val="16"/>
                <w:lang w:eastAsia="en-US"/>
              </w:rPr>
            </w:pPr>
          </w:p>
        </w:tc>
        <w:tc>
          <w:tcPr>
            <w:tcW w:w="1275" w:type="dxa"/>
            <w:vMerge/>
            <w:hideMark/>
          </w:tcPr>
          <w:p w14:paraId="1D9C2599" w14:textId="77777777" w:rsidR="007D728E" w:rsidRPr="00CB13F7" w:rsidRDefault="007D728E" w:rsidP="007D728E">
            <w:pPr>
              <w:rPr>
                <w:rFonts w:eastAsia="Times New Roman"/>
                <w:sz w:val="16"/>
                <w:szCs w:val="16"/>
                <w:lang w:eastAsia="en-US"/>
              </w:rPr>
            </w:pPr>
          </w:p>
        </w:tc>
        <w:tc>
          <w:tcPr>
            <w:tcW w:w="1418" w:type="dxa"/>
            <w:vMerge/>
            <w:hideMark/>
          </w:tcPr>
          <w:p w14:paraId="0A5B2757" w14:textId="77777777" w:rsidR="007D728E" w:rsidRPr="00CB13F7" w:rsidRDefault="007D728E" w:rsidP="007D728E">
            <w:pPr>
              <w:rPr>
                <w:rFonts w:eastAsia="Times New Roman"/>
                <w:sz w:val="16"/>
                <w:szCs w:val="16"/>
                <w:lang w:eastAsia="en-US"/>
              </w:rPr>
            </w:pPr>
          </w:p>
        </w:tc>
        <w:tc>
          <w:tcPr>
            <w:tcW w:w="3933" w:type="dxa"/>
            <w:vMerge/>
            <w:hideMark/>
          </w:tcPr>
          <w:p w14:paraId="6600F664" w14:textId="77777777" w:rsidR="007D728E" w:rsidRPr="00CB13F7" w:rsidRDefault="007D728E" w:rsidP="007D728E">
            <w:pPr>
              <w:rPr>
                <w:rFonts w:eastAsia="Times New Roman"/>
                <w:sz w:val="16"/>
                <w:szCs w:val="16"/>
                <w:lang w:eastAsia="en-US"/>
              </w:rPr>
            </w:pPr>
          </w:p>
        </w:tc>
      </w:tr>
      <w:tr w:rsidR="007D728E" w:rsidRPr="00CB13F7" w14:paraId="192D72A7" w14:textId="77777777" w:rsidTr="661F9D2E">
        <w:trPr>
          <w:trHeight w:val="464"/>
        </w:trPr>
        <w:tc>
          <w:tcPr>
            <w:tcW w:w="802" w:type="dxa"/>
            <w:vMerge/>
            <w:hideMark/>
          </w:tcPr>
          <w:p w14:paraId="6F16477A"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44C102BD" w14:textId="77777777" w:rsidR="007D728E" w:rsidRPr="00CB13F7" w:rsidRDefault="007D728E" w:rsidP="007D728E">
            <w:pPr>
              <w:rPr>
                <w:rFonts w:eastAsia="Times New Roman"/>
                <w:sz w:val="16"/>
                <w:szCs w:val="16"/>
                <w:lang w:eastAsia="en-US"/>
              </w:rPr>
            </w:pPr>
          </w:p>
        </w:tc>
        <w:tc>
          <w:tcPr>
            <w:tcW w:w="1984" w:type="dxa"/>
            <w:gridSpan w:val="2"/>
            <w:vMerge/>
            <w:hideMark/>
          </w:tcPr>
          <w:p w14:paraId="3B92EA65" w14:textId="77777777" w:rsidR="007D728E" w:rsidRPr="00CB13F7" w:rsidRDefault="007D728E" w:rsidP="007D728E">
            <w:pPr>
              <w:rPr>
                <w:rFonts w:eastAsia="Times New Roman"/>
                <w:sz w:val="16"/>
                <w:szCs w:val="16"/>
                <w:lang w:eastAsia="en-US"/>
              </w:rPr>
            </w:pPr>
          </w:p>
        </w:tc>
        <w:tc>
          <w:tcPr>
            <w:tcW w:w="709" w:type="dxa"/>
            <w:vMerge/>
            <w:hideMark/>
          </w:tcPr>
          <w:p w14:paraId="0E370773" w14:textId="77777777" w:rsidR="007D728E" w:rsidRPr="00CB13F7" w:rsidRDefault="007D728E" w:rsidP="007D728E">
            <w:pPr>
              <w:rPr>
                <w:rFonts w:eastAsia="Times New Roman"/>
                <w:sz w:val="16"/>
                <w:szCs w:val="16"/>
                <w:lang w:eastAsia="en-US"/>
              </w:rPr>
            </w:pPr>
          </w:p>
        </w:tc>
        <w:tc>
          <w:tcPr>
            <w:tcW w:w="1276" w:type="dxa"/>
            <w:vMerge/>
            <w:hideMark/>
          </w:tcPr>
          <w:p w14:paraId="702589B0" w14:textId="77777777" w:rsidR="007D728E" w:rsidRPr="00CB13F7" w:rsidRDefault="007D728E" w:rsidP="007D728E">
            <w:pPr>
              <w:rPr>
                <w:rFonts w:eastAsia="Times New Roman"/>
                <w:sz w:val="16"/>
                <w:szCs w:val="16"/>
                <w:lang w:eastAsia="en-US"/>
              </w:rPr>
            </w:pPr>
          </w:p>
        </w:tc>
        <w:tc>
          <w:tcPr>
            <w:tcW w:w="1275" w:type="dxa"/>
            <w:vMerge/>
            <w:hideMark/>
          </w:tcPr>
          <w:p w14:paraId="6B2006A4" w14:textId="77777777" w:rsidR="007D728E" w:rsidRPr="00CB13F7" w:rsidRDefault="007D728E" w:rsidP="007D728E">
            <w:pPr>
              <w:rPr>
                <w:rFonts w:eastAsia="Times New Roman"/>
                <w:sz w:val="16"/>
                <w:szCs w:val="16"/>
                <w:lang w:eastAsia="en-US"/>
              </w:rPr>
            </w:pPr>
          </w:p>
        </w:tc>
        <w:tc>
          <w:tcPr>
            <w:tcW w:w="1418" w:type="dxa"/>
            <w:vMerge/>
            <w:hideMark/>
          </w:tcPr>
          <w:p w14:paraId="46ABBC63" w14:textId="77777777" w:rsidR="007D728E" w:rsidRPr="00CB13F7" w:rsidRDefault="007D728E" w:rsidP="007D728E">
            <w:pPr>
              <w:rPr>
                <w:rFonts w:eastAsia="Times New Roman"/>
                <w:sz w:val="16"/>
                <w:szCs w:val="16"/>
                <w:lang w:eastAsia="en-US"/>
              </w:rPr>
            </w:pPr>
          </w:p>
        </w:tc>
        <w:tc>
          <w:tcPr>
            <w:tcW w:w="3933" w:type="dxa"/>
            <w:vMerge/>
            <w:hideMark/>
          </w:tcPr>
          <w:p w14:paraId="4566F0B7" w14:textId="77777777" w:rsidR="007D728E" w:rsidRPr="00CB13F7" w:rsidRDefault="007D728E" w:rsidP="007D728E">
            <w:pPr>
              <w:rPr>
                <w:rFonts w:eastAsia="Times New Roman"/>
                <w:sz w:val="16"/>
                <w:szCs w:val="16"/>
                <w:lang w:eastAsia="en-US"/>
              </w:rPr>
            </w:pPr>
          </w:p>
        </w:tc>
      </w:tr>
      <w:tr w:rsidR="007D728E" w:rsidRPr="00CB13F7" w14:paraId="66325437" w14:textId="77777777" w:rsidTr="661F9D2E">
        <w:trPr>
          <w:trHeight w:val="1065"/>
        </w:trPr>
        <w:tc>
          <w:tcPr>
            <w:tcW w:w="802" w:type="dxa"/>
            <w:vMerge/>
            <w:hideMark/>
          </w:tcPr>
          <w:p w14:paraId="7F941FCB" w14:textId="77777777" w:rsidR="007D728E" w:rsidRPr="00CB13F7" w:rsidRDefault="007D728E" w:rsidP="007D728E">
            <w:pPr>
              <w:rPr>
                <w:rFonts w:eastAsia="Times New Roman"/>
                <w:b/>
                <w:bCs/>
                <w:color w:val="000000"/>
                <w:sz w:val="16"/>
                <w:szCs w:val="16"/>
                <w:lang w:eastAsia="en-US"/>
              </w:rPr>
            </w:pPr>
          </w:p>
        </w:tc>
        <w:tc>
          <w:tcPr>
            <w:tcW w:w="2275" w:type="dxa"/>
            <w:gridSpan w:val="2"/>
            <w:vMerge w:val="restart"/>
            <w:tcBorders>
              <w:top w:val="single" w:sz="4" w:space="0" w:color="auto"/>
              <w:left w:val="single" w:sz="4" w:space="0" w:color="auto"/>
              <w:bottom w:val="single" w:sz="4" w:space="0" w:color="auto"/>
              <w:right w:val="single" w:sz="4" w:space="0" w:color="auto"/>
            </w:tcBorders>
            <w:shd w:val="clear" w:color="auto" w:fill="CAEDFA"/>
            <w:hideMark/>
          </w:tcPr>
          <w:p w14:paraId="7094B89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Objektivi specifik 3: Aksesueshmëria në informacion, komunikim dhe media: Të sigurohet akses i barabartë dhe gjithëpërfshirës në informacion, komunikim dhe media për të gjitha kategoritë e personave me aftësi të kufizuara, në të gjitha shërbimet dhe platformat e ofruara për publikun (sportele, portale dhe faqe interneti, pajisje dhe shërbime celulare, transmetime dhe programe televizive, publikime, takime dhe ngjarje publike), duke garantuar përdorimin e sistemeve të informacionit dhe komunikimit në kushte të barabarta me të tjerët.</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CAEDFA"/>
            <w:hideMark/>
          </w:tcPr>
          <w:p w14:paraId="147B4145" w14:textId="77777777" w:rsidR="007D728E" w:rsidRPr="00CB13F7" w:rsidRDefault="002B3406" w:rsidP="007D728E">
            <w:pPr>
              <w:rPr>
                <w:rFonts w:eastAsia="Times New Roman"/>
                <w:sz w:val="16"/>
                <w:szCs w:val="16"/>
                <w:lang w:eastAsia="en-US"/>
              </w:rPr>
            </w:pPr>
            <w:r w:rsidRPr="00CB13F7">
              <w:rPr>
                <w:rFonts w:eastAsia="Times New Roman"/>
                <w:sz w:val="16"/>
                <w:szCs w:val="16"/>
                <w:lang w:eastAsia="en-US"/>
              </w:rPr>
              <w:t>Raport vlerësim i ndryshimeve ligjore dhe nënligjore të miratuara për nivelin e përfshirjes se standarde të detyrueshme të aksesueshmërisë në informacion dhe komunikim në shërbimet publike në sportel</w:t>
            </w:r>
            <w:r w:rsidRPr="00CB13F7">
              <w:rPr>
                <w:rFonts w:eastAsia="Times New Roman"/>
                <w:sz w:val="16"/>
                <w:szCs w:val="16"/>
                <w:lang w:eastAsia="en-US"/>
              </w:rPr>
              <w:br/>
            </w:r>
            <w:r w:rsidRPr="00CB13F7">
              <w:rPr>
                <w:rFonts w:eastAsia="Times New Roman"/>
                <w:sz w:val="16"/>
                <w:szCs w:val="16"/>
                <w:lang w:eastAsia="en-US"/>
              </w:rPr>
              <w:br/>
              <w:t>Strategji komunikimi nga AMA me fokus tek aksesueshmëria për personat me aftësi të Kufizuara që të sigurojë bashkërendimin mes shërbimeve televizive dhe pajisjeve që u mundësojnë përdoruesve marrjen, dekodimin, shfaqjen e shërbimeve të aksesueshme.</w:t>
            </w:r>
          </w:p>
        </w:tc>
        <w:tc>
          <w:tcPr>
            <w:tcW w:w="709" w:type="dxa"/>
            <w:vMerge w:val="restart"/>
            <w:tcBorders>
              <w:top w:val="nil"/>
              <w:left w:val="single" w:sz="4" w:space="0" w:color="auto"/>
              <w:bottom w:val="single" w:sz="4" w:space="0" w:color="auto"/>
              <w:right w:val="single" w:sz="4" w:space="0" w:color="auto"/>
            </w:tcBorders>
            <w:shd w:val="clear" w:color="auto" w:fill="CAEDFA"/>
            <w:hideMark/>
          </w:tcPr>
          <w:p w14:paraId="5783ACA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1276" w:type="dxa"/>
            <w:vMerge w:val="restart"/>
            <w:tcBorders>
              <w:top w:val="nil"/>
              <w:left w:val="single" w:sz="4" w:space="0" w:color="auto"/>
              <w:bottom w:val="single" w:sz="4" w:space="0" w:color="auto"/>
              <w:right w:val="single" w:sz="4" w:space="0" w:color="auto"/>
            </w:tcBorders>
            <w:shd w:val="clear" w:color="auto" w:fill="CAEDFA"/>
            <w:hideMark/>
          </w:tcPr>
          <w:p w14:paraId="7182C85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w:t>
            </w:r>
          </w:p>
        </w:tc>
        <w:tc>
          <w:tcPr>
            <w:tcW w:w="1275" w:type="dxa"/>
            <w:vMerge w:val="restart"/>
            <w:tcBorders>
              <w:top w:val="nil"/>
              <w:left w:val="single" w:sz="4" w:space="0" w:color="auto"/>
              <w:bottom w:val="single" w:sz="4" w:space="0" w:color="auto"/>
              <w:right w:val="single" w:sz="4" w:space="0" w:color="auto"/>
            </w:tcBorders>
            <w:shd w:val="clear" w:color="auto" w:fill="CAEDFA"/>
            <w:hideMark/>
          </w:tcPr>
          <w:p w14:paraId="414DD89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w:t>
            </w:r>
          </w:p>
        </w:tc>
        <w:tc>
          <w:tcPr>
            <w:tcW w:w="1418" w:type="dxa"/>
            <w:vMerge w:val="restart"/>
            <w:tcBorders>
              <w:top w:val="nil"/>
              <w:left w:val="single" w:sz="4" w:space="0" w:color="auto"/>
              <w:bottom w:val="single" w:sz="4" w:space="0" w:color="auto"/>
              <w:right w:val="single" w:sz="4" w:space="0" w:color="auto"/>
            </w:tcBorders>
            <w:shd w:val="clear" w:color="auto" w:fill="CAEDFA"/>
            <w:hideMark/>
          </w:tcPr>
          <w:p w14:paraId="5BABF276" w14:textId="77777777" w:rsidR="006B46C0" w:rsidRDefault="007D728E" w:rsidP="007D728E">
            <w:pPr>
              <w:rPr>
                <w:rFonts w:eastAsia="Times New Roman"/>
                <w:sz w:val="16"/>
                <w:szCs w:val="16"/>
                <w:lang w:eastAsia="en-US"/>
              </w:rPr>
            </w:pPr>
            <w:r w:rsidRPr="00CB13F7">
              <w:rPr>
                <w:rFonts w:eastAsia="Times New Roman"/>
                <w:sz w:val="16"/>
                <w:szCs w:val="16"/>
                <w:lang w:eastAsia="en-US"/>
              </w:rPr>
              <w:t xml:space="preserve">MEI; </w:t>
            </w:r>
            <w:r w:rsidRPr="00CB13F7">
              <w:rPr>
                <w:rFonts w:eastAsia="Times New Roman"/>
                <w:sz w:val="16"/>
                <w:szCs w:val="16"/>
                <w:lang w:eastAsia="en-US"/>
              </w:rPr>
              <w:br/>
              <w:t>AKSHI;</w:t>
            </w:r>
            <w:r w:rsidRPr="00CB13F7">
              <w:rPr>
                <w:rFonts w:eastAsia="Times New Roman"/>
                <w:sz w:val="16"/>
                <w:szCs w:val="16"/>
                <w:lang w:eastAsia="en-US"/>
              </w:rPr>
              <w:br/>
              <w:t>AMA;</w:t>
            </w:r>
            <w:r w:rsidRPr="00CB13F7">
              <w:rPr>
                <w:rFonts w:eastAsia="Times New Roman"/>
                <w:sz w:val="16"/>
                <w:szCs w:val="16"/>
                <w:lang w:eastAsia="en-US"/>
              </w:rPr>
              <w:br/>
              <w:t xml:space="preserve">AKEP; </w:t>
            </w:r>
          </w:p>
          <w:p w14:paraId="627A672D" w14:textId="3C25A495" w:rsidR="007D728E" w:rsidRPr="00CB13F7" w:rsidRDefault="006B46C0" w:rsidP="007D728E">
            <w:pPr>
              <w:rPr>
                <w:rFonts w:eastAsia="Times New Roman"/>
                <w:sz w:val="16"/>
                <w:szCs w:val="16"/>
                <w:lang w:eastAsia="en-US"/>
              </w:rPr>
            </w:pPr>
            <w:r>
              <w:rPr>
                <w:rFonts w:eastAsia="Times New Roman"/>
                <w:sz w:val="16"/>
                <w:szCs w:val="16"/>
                <w:lang w:eastAsia="en-US"/>
              </w:rPr>
              <w:t>MSHMS</w:t>
            </w:r>
            <w:r w:rsidR="007D728E" w:rsidRPr="00CB13F7">
              <w:rPr>
                <w:rFonts w:eastAsia="Times New Roman"/>
                <w:sz w:val="16"/>
                <w:szCs w:val="16"/>
                <w:lang w:eastAsia="en-US"/>
              </w:rPr>
              <w:br/>
            </w:r>
            <w:r w:rsidR="002B3406" w:rsidRPr="00CB13F7">
              <w:rPr>
                <w:rFonts w:eastAsia="Times New Roman"/>
                <w:sz w:val="16"/>
                <w:szCs w:val="16"/>
                <w:lang w:eastAsia="en-US"/>
              </w:rPr>
              <w:t>Kompanitë</w:t>
            </w:r>
            <w:r w:rsidR="007D728E" w:rsidRPr="00CB13F7">
              <w:rPr>
                <w:rFonts w:eastAsia="Times New Roman"/>
                <w:sz w:val="16"/>
                <w:szCs w:val="16"/>
                <w:lang w:eastAsia="en-US"/>
              </w:rPr>
              <w:t xml:space="preserve"> telefonike;</w:t>
            </w:r>
            <w:r w:rsidR="007D728E" w:rsidRPr="00CB13F7">
              <w:rPr>
                <w:rFonts w:eastAsia="Times New Roman"/>
                <w:sz w:val="16"/>
                <w:szCs w:val="16"/>
                <w:lang w:eastAsia="en-US"/>
              </w:rPr>
              <w:br/>
              <w:t>OJQ;</w:t>
            </w:r>
            <w:r w:rsidR="007D728E" w:rsidRPr="00CB13F7">
              <w:rPr>
                <w:rFonts w:eastAsia="Times New Roman"/>
                <w:sz w:val="16"/>
                <w:szCs w:val="16"/>
                <w:lang w:eastAsia="en-US"/>
              </w:rPr>
              <w:br/>
              <w:t>Raporte monitorimi</w:t>
            </w:r>
          </w:p>
        </w:tc>
        <w:tc>
          <w:tcPr>
            <w:tcW w:w="3933" w:type="dxa"/>
            <w:vMerge w:val="restart"/>
            <w:tcBorders>
              <w:top w:val="nil"/>
              <w:left w:val="single" w:sz="4" w:space="0" w:color="auto"/>
              <w:bottom w:val="single" w:sz="4" w:space="0" w:color="auto"/>
              <w:right w:val="single" w:sz="4" w:space="0" w:color="auto"/>
            </w:tcBorders>
            <w:shd w:val="clear" w:color="auto" w:fill="CAEDFA"/>
            <w:hideMark/>
          </w:tcPr>
          <w:p w14:paraId="0CD51925" w14:textId="1F0E341B" w:rsidR="007D728E" w:rsidRPr="00CB13F7" w:rsidRDefault="7CCBCF77" w:rsidP="661F9D2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3 </w:t>
            </w:r>
            <w:r w:rsidR="007D728E" w:rsidRPr="00CB13F7">
              <w:br/>
            </w:r>
            <w:r w:rsidR="0080D2BD" w:rsidRPr="00CB13F7">
              <w:rPr>
                <w:rFonts w:eastAsia="Times New Roman"/>
                <w:color w:val="000000" w:themeColor="text1"/>
                <w:sz w:val="16"/>
                <w:szCs w:val="16"/>
                <w:lang w:eastAsia="en-US"/>
              </w:rPr>
              <w:t>Konventa e OKB-së për të Drejtat e Personave me Aftësi të Kufizuara (</w:t>
            </w:r>
            <w:r w:rsidR="3E89CA38" w:rsidRPr="00CB13F7">
              <w:rPr>
                <w:rFonts w:eastAsia="Times New Roman"/>
              </w:rPr>
              <w:t xml:space="preserve"> </w:t>
            </w:r>
            <w:r w:rsidR="3E89CA38" w:rsidRPr="00CB13F7">
              <w:rPr>
                <w:rFonts w:eastAsia="Times New Roman"/>
                <w:sz w:val="16"/>
                <w:szCs w:val="16"/>
              </w:rPr>
              <w:t>KDPAK</w:t>
            </w:r>
            <w:r w:rsidR="0080D2BD" w:rsidRPr="00CB13F7">
              <w:rPr>
                <w:rFonts w:eastAsia="Times New Roman"/>
                <w:color w:val="000000" w:themeColor="text1"/>
                <w:sz w:val="16"/>
                <w:szCs w:val="16"/>
                <w:lang w:eastAsia="en-US"/>
              </w:rPr>
              <w:t xml:space="preserve">); </w:t>
            </w:r>
            <w:r w:rsidR="007D728E" w:rsidRPr="00CB13F7">
              <w:br/>
            </w:r>
            <w:r w:rsidR="0080D2BD" w:rsidRPr="00CB13F7">
              <w:rPr>
                <w:rFonts w:eastAsia="Times New Roman"/>
                <w:color w:val="000000" w:themeColor="text1"/>
                <w:sz w:val="16"/>
                <w:szCs w:val="16"/>
                <w:lang w:eastAsia="en-US"/>
              </w:rPr>
              <w:t>Strategjia e BE-së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(aksesueshmëri, </w:t>
            </w:r>
            <w:r w:rsidR="1AFA2652" w:rsidRPr="00CB13F7">
              <w:rPr>
                <w:rFonts w:eastAsia="Times New Roman"/>
                <w:color w:val="000000" w:themeColor="text1"/>
                <w:sz w:val="16"/>
                <w:szCs w:val="16"/>
                <w:lang w:eastAsia="en-US"/>
              </w:rPr>
              <w:t>mos-diskriminim</w:t>
            </w:r>
            <w:r w:rsidR="0080D2BD" w:rsidRPr="00CB13F7">
              <w:rPr>
                <w:rFonts w:eastAsia="Times New Roman"/>
                <w:color w:val="000000" w:themeColor="text1"/>
                <w:sz w:val="16"/>
                <w:szCs w:val="16"/>
                <w:lang w:eastAsia="en-US"/>
              </w:rPr>
              <w:t xml:space="preserve">, shërbime të barabarta) Direktiva (BE) 2019/882 E Parlamentit Evropian dhe e e </w:t>
            </w:r>
            <w:r w:rsidR="1AFA2652" w:rsidRPr="00CB13F7">
              <w:rPr>
                <w:rFonts w:eastAsia="Times New Roman"/>
                <w:color w:val="000000" w:themeColor="text1"/>
                <w:sz w:val="16"/>
                <w:szCs w:val="16"/>
                <w:lang w:eastAsia="en-US"/>
              </w:rPr>
              <w:t>Këshillit</w:t>
            </w:r>
            <w:r w:rsidR="0080D2BD" w:rsidRPr="00CB13F7">
              <w:rPr>
                <w:rFonts w:eastAsia="Times New Roman"/>
                <w:color w:val="000000" w:themeColor="text1"/>
                <w:sz w:val="16"/>
                <w:szCs w:val="16"/>
                <w:lang w:eastAsia="en-US"/>
              </w:rPr>
              <w:t xml:space="preserve"> “Mbi kërkesat e aksesueshmërisë për produktet dhe shërbimet”;</w:t>
            </w:r>
            <w:r w:rsidR="007D728E" w:rsidRPr="00CB13F7">
              <w:br/>
            </w:r>
            <w:r w:rsidR="0080D2BD" w:rsidRPr="00CB13F7">
              <w:rPr>
                <w:rFonts w:eastAsia="Times New Roman"/>
                <w:color w:val="000000" w:themeColor="text1"/>
                <w:sz w:val="16"/>
                <w:szCs w:val="16"/>
                <w:lang w:eastAsia="en-US"/>
              </w:rPr>
              <w:t xml:space="preserve">Akti </w:t>
            </w:r>
            <w:r w:rsidR="1AFA2652" w:rsidRPr="00CB13F7">
              <w:rPr>
                <w:rFonts w:eastAsia="Times New Roman"/>
                <w:color w:val="000000" w:themeColor="text1"/>
                <w:sz w:val="16"/>
                <w:szCs w:val="16"/>
                <w:lang w:eastAsia="en-US"/>
              </w:rPr>
              <w:t>Evropian</w:t>
            </w:r>
            <w:r w:rsidR="0080D2BD" w:rsidRPr="00CB13F7">
              <w:rPr>
                <w:rFonts w:eastAsia="Times New Roman"/>
                <w:color w:val="000000" w:themeColor="text1"/>
                <w:sz w:val="16"/>
                <w:szCs w:val="16"/>
                <w:lang w:eastAsia="en-US"/>
              </w:rPr>
              <w:t xml:space="preserve"> i Aksesueshmërisë (European Accessibility Act </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 2019);</w:t>
            </w:r>
            <w:r w:rsidR="007D728E" w:rsidRPr="00CB13F7">
              <w:br/>
            </w:r>
            <w:r w:rsidR="0080D2BD" w:rsidRPr="00CB13F7">
              <w:rPr>
                <w:rFonts w:eastAsia="Times New Roman"/>
                <w:color w:val="000000" w:themeColor="text1"/>
                <w:sz w:val="16"/>
                <w:szCs w:val="16"/>
                <w:lang w:eastAsia="en-US"/>
              </w:rPr>
              <w:t xml:space="preserve">Direktiva për Aksesueshmërinë e Uebit (2016); </w:t>
            </w:r>
            <w:r w:rsidR="007D728E" w:rsidRPr="00CB13F7">
              <w:br/>
            </w:r>
            <w:r w:rsidR="0080D2BD" w:rsidRPr="00CB13F7">
              <w:rPr>
                <w:rFonts w:eastAsia="Times New Roman"/>
                <w:color w:val="000000" w:themeColor="text1"/>
                <w:sz w:val="16"/>
                <w:szCs w:val="16"/>
                <w:lang w:eastAsia="en-US"/>
              </w:rPr>
              <w:t xml:space="preserve">Kodi Evropian i Komunikimeve Elektronike; </w:t>
            </w:r>
            <w:r w:rsidR="007D728E" w:rsidRPr="00CB13F7">
              <w:br/>
            </w:r>
            <w:r w:rsidR="0080D2BD" w:rsidRPr="00CB13F7">
              <w:rPr>
                <w:rFonts w:eastAsia="Times New Roman"/>
                <w:color w:val="000000" w:themeColor="text1"/>
                <w:sz w:val="16"/>
                <w:szCs w:val="16"/>
                <w:lang w:eastAsia="en-US"/>
              </w:rPr>
              <w:t xml:space="preserve">Ligji </w:t>
            </w:r>
            <w:r w:rsidR="1AFA2652" w:rsidRPr="00CB13F7">
              <w:rPr>
                <w:rFonts w:eastAsia="Times New Roman"/>
                <w:color w:val="000000" w:themeColor="text1"/>
                <w:sz w:val="16"/>
                <w:szCs w:val="16"/>
                <w:lang w:eastAsia="en-US"/>
              </w:rPr>
              <w:t>për</w:t>
            </w:r>
            <w:r w:rsidR="0080D2BD" w:rsidRPr="00CB13F7">
              <w:rPr>
                <w:rFonts w:eastAsia="Times New Roman"/>
                <w:color w:val="000000" w:themeColor="text1"/>
                <w:sz w:val="16"/>
                <w:szCs w:val="16"/>
                <w:lang w:eastAsia="en-US"/>
              </w:rPr>
              <w:t xml:space="preserve"> komunikimet elektronike; </w:t>
            </w:r>
            <w:r w:rsidR="007D728E" w:rsidRPr="00CB13F7">
              <w:br/>
            </w:r>
            <w:r w:rsidR="0080D2BD" w:rsidRPr="00CB13F7">
              <w:rPr>
                <w:rFonts w:eastAsia="Times New Roman"/>
                <w:color w:val="000000" w:themeColor="text1"/>
                <w:sz w:val="16"/>
                <w:szCs w:val="16"/>
                <w:lang w:eastAsia="en-US"/>
              </w:rPr>
              <w:t xml:space="preserve">Strategjia Kombëtare për Mbrojtjen Sociale; </w:t>
            </w:r>
            <w:r w:rsidR="007D728E" w:rsidRPr="00CB13F7">
              <w:br/>
            </w:r>
            <w:r w:rsidR="0080D2BD" w:rsidRPr="00CB13F7">
              <w:rPr>
                <w:rFonts w:eastAsia="Times New Roman"/>
                <w:color w:val="000000" w:themeColor="text1"/>
                <w:sz w:val="16"/>
                <w:szCs w:val="16"/>
                <w:lang w:eastAsia="en-US"/>
              </w:rPr>
              <w:t>Ligji nr. 93/2014 “Për përfshirjen dhe aksesueshmërinë e personave me aftësi të kufizuara”;</w:t>
            </w:r>
            <w:r w:rsidR="007D728E" w:rsidRPr="00CB13F7">
              <w:br/>
            </w:r>
            <w:r w:rsidR="0080D2BD" w:rsidRPr="00CB13F7">
              <w:rPr>
                <w:rFonts w:eastAsia="Times New Roman"/>
                <w:color w:val="000000" w:themeColor="text1"/>
                <w:sz w:val="16"/>
                <w:szCs w:val="16"/>
                <w:lang w:eastAsia="en-US"/>
              </w:rPr>
              <w:t>Ligji për mbrojtjen nga diskriminimi;</w:t>
            </w:r>
          </w:p>
        </w:tc>
      </w:tr>
      <w:tr w:rsidR="007D728E" w:rsidRPr="00CB13F7" w14:paraId="644D0852" w14:textId="77777777" w:rsidTr="661F9D2E">
        <w:trPr>
          <w:trHeight w:val="464"/>
        </w:trPr>
        <w:tc>
          <w:tcPr>
            <w:tcW w:w="802" w:type="dxa"/>
            <w:vMerge/>
            <w:hideMark/>
          </w:tcPr>
          <w:p w14:paraId="33D5AF87"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27BB96F3" w14:textId="77777777" w:rsidR="007D728E" w:rsidRPr="00CB13F7" w:rsidRDefault="007D728E" w:rsidP="007D728E">
            <w:pPr>
              <w:rPr>
                <w:rFonts w:eastAsia="Times New Roman"/>
                <w:sz w:val="16"/>
                <w:szCs w:val="16"/>
                <w:lang w:eastAsia="en-US"/>
              </w:rPr>
            </w:pPr>
          </w:p>
        </w:tc>
        <w:tc>
          <w:tcPr>
            <w:tcW w:w="1984" w:type="dxa"/>
            <w:gridSpan w:val="2"/>
            <w:vMerge/>
            <w:hideMark/>
          </w:tcPr>
          <w:p w14:paraId="629AB800" w14:textId="77777777" w:rsidR="007D728E" w:rsidRPr="00CB13F7" w:rsidRDefault="007D728E" w:rsidP="007D728E">
            <w:pPr>
              <w:rPr>
                <w:rFonts w:eastAsia="Times New Roman"/>
                <w:sz w:val="16"/>
                <w:szCs w:val="16"/>
                <w:lang w:eastAsia="en-US"/>
              </w:rPr>
            </w:pPr>
          </w:p>
        </w:tc>
        <w:tc>
          <w:tcPr>
            <w:tcW w:w="709" w:type="dxa"/>
            <w:vMerge/>
            <w:hideMark/>
          </w:tcPr>
          <w:p w14:paraId="6491BC07" w14:textId="77777777" w:rsidR="007D728E" w:rsidRPr="00CB13F7" w:rsidRDefault="007D728E" w:rsidP="007D728E">
            <w:pPr>
              <w:rPr>
                <w:rFonts w:eastAsia="Times New Roman"/>
                <w:sz w:val="16"/>
                <w:szCs w:val="16"/>
                <w:lang w:eastAsia="en-US"/>
              </w:rPr>
            </w:pPr>
          </w:p>
        </w:tc>
        <w:tc>
          <w:tcPr>
            <w:tcW w:w="1276" w:type="dxa"/>
            <w:vMerge/>
            <w:hideMark/>
          </w:tcPr>
          <w:p w14:paraId="45E74530" w14:textId="77777777" w:rsidR="007D728E" w:rsidRPr="00CB13F7" w:rsidRDefault="007D728E" w:rsidP="007D728E">
            <w:pPr>
              <w:rPr>
                <w:rFonts w:eastAsia="Times New Roman"/>
                <w:color w:val="000000"/>
                <w:sz w:val="16"/>
                <w:szCs w:val="16"/>
                <w:lang w:eastAsia="en-US"/>
              </w:rPr>
            </w:pPr>
          </w:p>
        </w:tc>
        <w:tc>
          <w:tcPr>
            <w:tcW w:w="1275" w:type="dxa"/>
            <w:vMerge/>
            <w:hideMark/>
          </w:tcPr>
          <w:p w14:paraId="54562AD0" w14:textId="77777777" w:rsidR="007D728E" w:rsidRPr="00CB13F7" w:rsidRDefault="007D728E" w:rsidP="007D728E">
            <w:pPr>
              <w:rPr>
                <w:rFonts w:eastAsia="Times New Roman"/>
                <w:color w:val="000000"/>
                <w:sz w:val="16"/>
                <w:szCs w:val="16"/>
                <w:lang w:eastAsia="en-US"/>
              </w:rPr>
            </w:pPr>
          </w:p>
        </w:tc>
        <w:tc>
          <w:tcPr>
            <w:tcW w:w="1418" w:type="dxa"/>
            <w:vMerge/>
            <w:hideMark/>
          </w:tcPr>
          <w:p w14:paraId="08B54861" w14:textId="77777777" w:rsidR="007D728E" w:rsidRPr="00CB13F7" w:rsidRDefault="007D728E" w:rsidP="007D728E">
            <w:pPr>
              <w:rPr>
                <w:rFonts w:eastAsia="Times New Roman"/>
                <w:sz w:val="16"/>
                <w:szCs w:val="16"/>
                <w:lang w:eastAsia="en-US"/>
              </w:rPr>
            </w:pPr>
          </w:p>
        </w:tc>
        <w:tc>
          <w:tcPr>
            <w:tcW w:w="3933" w:type="dxa"/>
            <w:vMerge/>
            <w:hideMark/>
          </w:tcPr>
          <w:p w14:paraId="2DA66A69" w14:textId="77777777" w:rsidR="007D728E" w:rsidRPr="00CB13F7" w:rsidRDefault="007D728E" w:rsidP="007D728E">
            <w:pPr>
              <w:rPr>
                <w:rFonts w:eastAsia="Times New Roman"/>
                <w:color w:val="000000"/>
                <w:sz w:val="16"/>
                <w:szCs w:val="16"/>
                <w:lang w:eastAsia="en-US"/>
              </w:rPr>
            </w:pPr>
          </w:p>
        </w:tc>
      </w:tr>
      <w:tr w:rsidR="007D728E" w:rsidRPr="00CB13F7" w14:paraId="4862BB5D" w14:textId="77777777" w:rsidTr="661F9D2E">
        <w:trPr>
          <w:trHeight w:val="520"/>
        </w:trPr>
        <w:tc>
          <w:tcPr>
            <w:tcW w:w="802" w:type="dxa"/>
            <w:vMerge/>
            <w:hideMark/>
          </w:tcPr>
          <w:p w14:paraId="7A452B3F"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4A98FA96" w14:textId="77777777" w:rsidR="007D728E" w:rsidRPr="00CB13F7" w:rsidRDefault="007D728E" w:rsidP="007D728E">
            <w:pPr>
              <w:rPr>
                <w:rFonts w:eastAsia="Times New Roman"/>
                <w:sz w:val="16"/>
                <w:szCs w:val="16"/>
                <w:lang w:eastAsia="en-US"/>
              </w:rPr>
            </w:pPr>
          </w:p>
        </w:tc>
        <w:tc>
          <w:tcPr>
            <w:tcW w:w="1984" w:type="dxa"/>
            <w:gridSpan w:val="2"/>
            <w:vMerge/>
            <w:hideMark/>
          </w:tcPr>
          <w:p w14:paraId="69D21924" w14:textId="77777777" w:rsidR="007D728E" w:rsidRPr="00CB13F7" w:rsidRDefault="007D728E" w:rsidP="007D728E">
            <w:pPr>
              <w:rPr>
                <w:rFonts w:eastAsia="Times New Roman"/>
                <w:sz w:val="16"/>
                <w:szCs w:val="16"/>
                <w:lang w:eastAsia="en-US"/>
              </w:rPr>
            </w:pPr>
          </w:p>
        </w:tc>
        <w:tc>
          <w:tcPr>
            <w:tcW w:w="709" w:type="dxa"/>
            <w:vMerge/>
            <w:hideMark/>
          </w:tcPr>
          <w:p w14:paraId="3C1B7350" w14:textId="77777777" w:rsidR="007D728E" w:rsidRPr="00CB13F7" w:rsidRDefault="007D728E" w:rsidP="007D728E">
            <w:pPr>
              <w:rPr>
                <w:rFonts w:eastAsia="Times New Roman"/>
                <w:sz w:val="16"/>
                <w:szCs w:val="16"/>
                <w:lang w:eastAsia="en-US"/>
              </w:rPr>
            </w:pPr>
          </w:p>
        </w:tc>
        <w:tc>
          <w:tcPr>
            <w:tcW w:w="1276" w:type="dxa"/>
            <w:vMerge/>
            <w:hideMark/>
          </w:tcPr>
          <w:p w14:paraId="042399DC" w14:textId="77777777" w:rsidR="007D728E" w:rsidRPr="00CB13F7" w:rsidRDefault="007D728E" w:rsidP="007D728E">
            <w:pPr>
              <w:rPr>
                <w:rFonts w:eastAsia="Times New Roman"/>
                <w:color w:val="000000"/>
                <w:sz w:val="16"/>
                <w:szCs w:val="16"/>
                <w:lang w:eastAsia="en-US"/>
              </w:rPr>
            </w:pPr>
          </w:p>
        </w:tc>
        <w:tc>
          <w:tcPr>
            <w:tcW w:w="1275" w:type="dxa"/>
            <w:vMerge/>
            <w:hideMark/>
          </w:tcPr>
          <w:p w14:paraId="64D23F92" w14:textId="77777777" w:rsidR="007D728E" w:rsidRPr="00CB13F7" w:rsidRDefault="007D728E" w:rsidP="007D728E">
            <w:pPr>
              <w:rPr>
                <w:rFonts w:eastAsia="Times New Roman"/>
                <w:color w:val="000000"/>
                <w:sz w:val="16"/>
                <w:szCs w:val="16"/>
                <w:lang w:eastAsia="en-US"/>
              </w:rPr>
            </w:pPr>
          </w:p>
        </w:tc>
        <w:tc>
          <w:tcPr>
            <w:tcW w:w="1418" w:type="dxa"/>
            <w:vMerge/>
            <w:hideMark/>
          </w:tcPr>
          <w:p w14:paraId="70DDBC25" w14:textId="77777777" w:rsidR="007D728E" w:rsidRPr="00CB13F7" w:rsidRDefault="007D728E" w:rsidP="007D728E">
            <w:pPr>
              <w:rPr>
                <w:rFonts w:eastAsia="Times New Roman"/>
                <w:sz w:val="16"/>
                <w:szCs w:val="16"/>
                <w:lang w:eastAsia="en-US"/>
              </w:rPr>
            </w:pPr>
          </w:p>
        </w:tc>
        <w:tc>
          <w:tcPr>
            <w:tcW w:w="3933" w:type="dxa"/>
            <w:vMerge/>
            <w:hideMark/>
          </w:tcPr>
          <w:p w14:paraId="0587DE2B" w14:textId="77777777" w:rsidR="007D728E" w:rsidRPr="00CB13F7" w:rsidRDefault="007D728E" w:rsidP="007D728E">
            <w:pPr>
              <w:rPr>
                <w:rFonts w:eastAsia="Times New Roman"/>
                <w:color w:val="000000"/>
                <w:sz w:val="16"/>
                <w:szCs w:val="16"/>
                <w:lang w:eastAsia="en-US"/>
              </w:rPr>
            </w:pPr>
          </w:p>
        </w:tc>
      </w:tr>
      <w:tr w:rsidR="007D728E" w:rsidRPr="00CB13F7" w14:paraId="50C0E5CF" w14:textId="77777777" w:rsidTr="661F9D2E">
        <w:trPr>
          <w:trHeight w:val="515"/>
        </w:trPr>
        <w:tc>
          <w:tcPr>
            <w:tcW w:w="802" w:type="dxa"/>
            <w:vMerge/>
            <w:hideMark/>
          </w:tcPr>
          <w:p w14:paraId="0EBAAAEA"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2A3B9B77" w14:textId="77777777" w:rsidR="007D728E" w:rsidRPr="00CB13F7" w:rsidRDefault="007D728E" w:rsidP="007D728E">
            <w:pPr>
              <w:rPr>
                <w:rFonts w:eastAsia="Times New Roman"/>
                <w:sz w:val="16"/>
                <w:szCs w:val="16"/>
                <w:lang w:eastAsia="en-US"/>
              </w:rPr>
            </w:pPr>
          </w:p>
        </w:tc>
        <w:tc>
          <w:tcPr>
            <w:tcW w:w="1984" w:type="dxa"/>
            <w:gridSpan w:val="2"/>
            <w:vMerge/>
            <w:hideMark/>
          </w:tcPr>
          <w:p w14:paraId="4BC7F082" w14:textId="77777777" w:rsidR="007D728E" w:rsidRPr="00CB13F7" w:rsidRDefault="007D728E" w:rsidP="007D728E">
            <w:pPr>
              <w:rPr>
                <w:rFonts w:eastAsia="Times New Roman"/>
                <w:sz w:val="16"/>
                <w:szCs w:val="16"/>
                <w:lang w:eastAsia="en-US"/>
              </w:rPr>
            </w:pPr>
          </w:p>
        </w:tc>
        <w:tc>
          <w:tcPr>
            <w:tcW w:w="709" w:type="dxa"/>
            <w:vMerge/>
            <w:hideMark/>
          </w:tcPr>
          <w:p w14:paraId="5062819E" w14:textId="77777777" w:rsidR="007D728E" w:rsidRPr="00CB13F7" w:rsidRDefault="007D728E" w:rsidP="007D728E">
            <w:pPr>
              <w:rPr>
                <w:rFonts w:eastAsia="Times New Roman"/>
                <w:sz w:val="16"/>
                <w:szCs w:val="16"/>
                <w:lang w:eastAsia="en-US"/>
              </w:rPr>
            </w:pPr>
          </w:p>
        </w:tc>
        <w:tc>
          <w:tcPr>
            <w:tcW w:w="1276" w:type="dxa"/>
            <w:vMerge/>
            <w:hideMark/>
          </w:tcPr>
          <w:p w14:paraId="6E1374CB" w14:textId="77777777" w:rsidR="007D728E" w:rsidRPr="00CB13F7" w:rsidRDefault="007D728E" w:rsidP="007D728E">
            <w:pPr>
              <w:rPr>
                <w:rFonts w:eastAsia="Times New Roman"/>
                <w:color w:val="000000"/>
                <w:sz w:val="16"/>
                <w:szCs w:val="16"/>
                <w:lang w:eastAsia="en-US"/>
              </w:rPr>
            </w:pPr>
          </w:p>
        </w:tc>
        <w:tc>
          <w:tcPr>
            <w:tcW w:w="1275" w:type="dxa"/>
            <w:vMerge/>
            <w:hideMark/>
          </w:tcPr>
          <w:p w14:paraId="7B748D3F" w14:textId="77777777" w:rsidR="007D728E" w:rsidRPr="00CB13F7" w:rsidRDefault="007D728E" w:rsidP="007D728E">
            <w:pPr>
              <w:rPr>
                <w:rFonts w:eastAsia="Times New Roman"/>
                <w:color w:val="000000"/>
                <w:sz w:val="16"/>
                <w:szCs w:val="16"/>
                <w:lang w:eastAsia="en-US"/>
              </w:rPr>
            </w:pPr>
          </w:p>
        </w:tc>
        <w:tc>
          <w:tcPr>
            <w:tcW w:w="1418" w:type="dxa"/>
            <w:vMerge/>
            <w:hideMark/>
          </w:tcPr>
          <w:p w14:paraId="415BB3AE" w14:textId="77777777" w:rsidR="007D728E" w:rsidRPr="00CB13F7" w:rsidRDefault="007D728E" w:rsidP="007D728E">
            <w:pPr>
              <w:rPr>
                <w:rFonts w:eastAsia="Times New Roman"/>
                <w:sz w:val="16"/>
                <w:szCs w:val="16"/>
                <w:lang w:eastAsia="en-US"/>
              </w:rPr>
            </w:pPr>
          </w:p>
        </w:tc>
        <w:tc>
          <w:tcPr>
            <w:tcW w:w="3933" w:type="dxa"/>
            <w:vMerge/>
            <w:hideMark/>
          </w:tcPr>
          <w:p w14:paraId="7608F58C" w14:textId="77777777" w:rsidR="007D728E" w:rsidRPr="00CB13F7" w:rsidRDefault="007D728E" w:rsidP="007D728E">
            <w:pPr>
              <w:rPr>
                <w:rFonts w:eastAsia="Times New Roman"/>
                <w:color w:val="000000"/>
                <w:sz w:val="16"/>
                <w:szCs w:val="16"/>
                <w:lang w:eastAsia="en-US"/>
              </w:rPr>
            </w:pPr>
          </w:p>
        </w:tc>
      </w:tr>
      <w:tr w:rsidR="007D728E" w:rsidRPr="00CB13F7" w14:paraId="08B2AF4C" w14:textId="77777777" w:rsidTr="661F9D2E">
        <w:trPr>
          <w:trHeight w:val="570"/>
        </w:trPr>
        <w:tc>
          <w:tcPr>
            <w:tcW w:w="802" w:type="dxa"/>
            <w:vMerge/>
            <w:hideMark/>
          </w:tcPr>
          <w:p w14:paraId="133D09E6"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27B16BE9" w14:textId="77777777" w:rsidR="007D728E" w:rsidRPr="00CB13F7" w:rsidRDefault="007D728E" w:rsidP="007D728E">
            <w:pPr>
              <w:rPr>
                <w:rFonts w:eastAsia="Times New Roman"/>
                <w:sz w:val="16"/>
                <w:szCs w:val="16"/>
                <w:lang w:eastAsia="en-US"/>
              </w:rPr>
            </w:pPr>
          </w:p>
        </w:tc>
        <w:tc>
          <w:tcPr>
            <w:tcW w:w="1984" w:type="dxa"/>
            <w:gridSpan w:val="2"/>
            <w:vMerge/>
            <w:hideMark/>
          </w:tcPr>
          <w:p w14:paraId="5C859BB1" w14:textId="77777777" w:rsidR="007D728E" w:rsidRPr="00CB13F7" w:rsidRDefault="007D728E" w:rsidP="007D728E">
            <w:pPr>
              <w:rPr>
                <w:rFonts w:eastAsia="Times New Roman"/>
                <w:sz w:val="16"/>
                <w:szCs w:val="16"/>
                <w:lang w:eastAsia="en-US"/>
              </w:rPr>
            </w:pPr>
          </w:p>
        </w:tc>
        <w:tc>
          <w:tcPr>
            <w:tcW w:w="709" w:type="dxa"/>
            <w:vMerge/>
            <w:hideMark/>
          </w:tcPr>
          <w:p w14:paraId="0CB2AB2C" w14:textId="77777777" w:rsidR="007D728E" w:rsidRPr="00CB13F7" w:rsidRDefault="007D728E" w:rsidP="007D728E">
            <w:pPr>
              <w:rPr>
                <w:rFonts w:eastAsia="Times New Roman"/>
                <w:sz w:val="16"/>
                <w:szCs w:val="16"/>
                <w:lang w:eastAsia="en-US"/>
              </w:rPr>
            </w:pPr>
          </w:p>
        </w:tc>
        <w:tc>
          <w:tcPr>
            <w:tcW w:w="1276" w:type="dxa"/>
            <w:vMerge/>
            <w:hideMark/>
          </w:tcPr>
          <w:p w14:paraId="3D5D709B" w14:textId="77777777" w:rsidR="007D728E" w:rsidRPr="00CB13F7" w:rsidRDefault="007D728E" w:rsidP="007D728E">
            <w:pPr>
              <w:rPr>
                <w:rFonts w:eastAsia="Times New Roman"/>
                <w:color w:val="000000"/>
                <w:sz w:val="16"/>
                <w:szCs w:val="16"/>
                <w:lang w:eastAsia="en-US"/>
              </w:rPr>
            </w:pPr>
          </w:p>
        </w:tc>
        <w:tc>
          <w:tcPr>
            <w:tcW w:w="1275" w:type="dxa"/>
            <w:vMerge/>
            <w:hideMark/>
          </w:tcPr>
          <w:p w14:paraId="44B5B7EF" w14:textId="77777777" w:rsidR="007D728E" w:rsidRPr="00CB13F7" w:rsidRDefault="007D728E" w:rsidP="007D728E">
            <w:pPr>
              <w:rPr>
                <w:rFonts w:eastAsia="Times New Roman"/>
                <w:color w:val="000000"/>
                <w:sz w:val="16"/>
                <w:szCs w:val="16"/>
                <w:lang w:eastAsia="en-US"/>
              </w:rPr>
            </w:pPr>
          </w:p>
        </w:tc>
        <w:tc>
          <w:tcPr>
            <w:tcW w:w="1418" w:type="dxa"/>
            <w:vMerge/>
            <w:hideMark/>
          </w:tcPr>
          <w:p w14:paraId="0A5E2C8F" w14:textId="77777777" w:rsidR="007D728E" w:rsidRPr="00CB13F7" w:rsidRDefault="007D728E" w:rsidP="007D728E">
            <w:pPr>
              <w:rPr>
                <w:rFonts w:eastAsia="Times New Roman"/>
                <w:sz w:val="16"/>
                <w:szCs w:val="16"/>
                <w:lang w:eastAsia="en-US"/>
              </w:rPr>
            </w:pPr>
          </w:p>
        </w:tc>
        <w:tc>
          <w:tcPr>
            <w:tcW w:w="3933" w:type="dxa"/>
            <w:vMerge/>
            <w:hideMark/>
          </w:tcPr>
          <w:p w14:paraId="59E03088" w14:textId="77777777" w:rsidR="007D728E" w:rsidRPr="00CB13F7" w:rsidRDefault="007D728E" w:rsidP="007D728E">
            <w:pPr>
              <w:rPr>
                <w:rFonts w:eastAsia="Times New Roman"/>
                <w:color w:val="000000"/>
                <w:sz w:val="16"/>
                <w:szCs w:val="16"/>
                <w:lang w:eastAsia="en-US"/>
              </w:rPr>
            </w:pPr>
          </w:p>
        </w:tc>
      </w:tr>
      <w:tr w:rsidR="007D728E" w:rsidRPr="00CB13F7" w14:paraId="655B7C1C" w14:textId="77777777" w:rsidTr="661F9D2E">
        <w:trPr>
          <w:trHeight w:val="464"/>
        </w:trPr>
        <w:tc>
          <w:tcPr>
            <w:tcW w:w="802" w:type="dxa"/>
            <w:vMerge/>
            <w:hideMark/>
          </w:tcPr>
          <w:p w14:paraId="49FB9A93" w14:textId="77777777" w:rsidR="007D728E" w:rsidRPr="00CB13F7" w:rsidRDefault="007D728E" w:rsidP="007D728E">
            <w:pPr>
              <w:rPr>
                <w:rFonts w:eastAsia="Times New Roman"/>
                <w:b/>
                <w:bCs/>
                <w:color w:val="000000"/>
                <w:sz w:val="16"/>
                <w:szCs w:val="16"/>
                <w:lang w:eastAsia="en-US"/>
              </w:rPr>
            </w:pPr>
          </w:p>
        </w:tc>
        <w:tc>
          <w:tcPr>
            <w:tcW w:w="2275" w:type="dxa"/>
            <w:gridSpan w:val="2"/>
            <w:vMerge/>
            <w:hideMark/>
          </w:tcPr>
          <w:p w14:paraId="5465DA6F" w14:textId="77777777" w:rsidR="007D728E" w:rsidRPr="00CB13F7" w:rsidRDefault="007D728E" w:rsidP="007D728E">
            <w:pPr>
              <w:rPr>
                <w:rFonts w:eastAsia="Times New Roman"/>
                <w:sz w:val="16"/>
                <w:szCs w:val="16"/>
                <w:lang w:eastAsia="en-US"/>
              </w:rPr>
            </w:pPr>
          </w:p>
        </w:tc>
        <w:tc>
          <w:tcPr>
            <w:tcW w:w="1984" w:type="dxa"/>
            <w:gridSpan w:val="2"/>
            <w:vMerge/>
            <w:hideMark/>
          </w:tcPr>
          <w:p w14:paraId="6279B6C7" w14:textId="77777777" w:rsidR="007D728E" w:rsidRPr="00CB13F7" w:rsidRDefault="007D728E" w:rsidP="007D728E">
            <w:pPr>
              <w:rPr>
                <w:rFonts w:eastAsia="Times New Roman"/>
                <w:sz w:val="16"/>
                <w:szCs w:val="16"/>
                <w:lang w:eastAsia="en-US"/>
              </w:rPr>
            </w:pPr>
          </w:p>
        </w:tc>
        <w:tc>
          <w:tcPr>
            <w:tcW w:w="709" w:type="dxa"/>
            <w:vMerge/>
            <w:hideMark/>
          </w:tcPr>
          <w:p w14:paraId="7265E40E" w14:textId="77777777" w:rsidR="007D728E" w:rsidRPr="00CB13F7" w:rsidRDefault="007D728E" w:rsidP="007D728E">
            <w:pPr>
              <w:rPr>
                <w:rFonts w:eastAsia="Times New Roman"/>
                <w:sz w:val="16"/>
                <w:szCs w:val="16"/>
                <w:lang w:eastAsia="en-US"/>
              </w:rPr>
            </w:pPr>
          </w:p>
        </w:tc>
        <w:tc>
          <w:tcPr>
            <w:tcW w:w="1276" w:type="dxa"/>
            <w:vMerge/>
            <w:hideMark/>
          </w:tcPr>
          <w:p w14:paraId="49EADF47" w14:textId="77777777" w:rsidR="007D728E" w:rsidRPr="00CB13F7" w:rsidRDefault="007D728E" w:rsidP="007D728E">
            <w:pPr>
              <w:rPr>
                <w:rFonts w:eastAsia="Times New Roman"/>
                <w:color w:val="000000"/>
                <w:sz w:val="16"/>
                <w:szCs w:val="16"/>
                <w:lang w:eastAsia="en-US"/>
              </w:rPr>
            </w:pPr>
          </w:p>
        </w:tc>
        <w:tc>
          <w:tcPr>
            <w:tcW w:w="1275" w:type="dxa"/>
            <w:vMerge/>
            <w:hideMark/>
          </w:tcPr>
          <w:p w14:paraId="528479BD" w14:textId="77777777" w:rsidR="007D728E" w:rsidRPr="00CB13F7" w:rsidRDefault="007D728E" w:rsidP="007D728E">
            <w:pPr>
              <w:rPr>
                <w:rFonts w:eastAsia="Times New Roman"/>
                <w:color w:val="000000"/>
                <w:sz w:val="16"/>
                <w:szCs w:val="16"/>
                <w:lang w:eastAsia="en-US"/>
              </w:rPr>
            </w:pPr>
          </w:p>
        </w:tc>
        <w:tc>
          <w:tcPr>
            <w:tcW w:w="1418" w:type="dxa"/>
            <w:vMerge/>
            <w:hideMark/>
          </w:tcPr>
          <w:p w14:paraId="3F3F246C" w14:textId="77777777" w:rsidR="007D728E" w:rsidRPr="00CB13F7" w:rsidRDefault="007D728E" w:rsidP="007D728E">
            <w:pPr>
              <w:rPr>
                <w:rFonts w:eastAsia="Times New Roman"/>
                <w:sz w:val="16"/>
                <w:szCs w:val="16"/>
                <w:lang w:eastAsia="en-US"/>
              </w:rPr>
            </w:pPr>
          </w:p>
        </w:tc>
        <w:tc>
          <w:tcPr>
            <w:tcW w:w="3933" w:type="dxa"/>
            <w:vMerge/>
            <w:hideMark/>
          </w:tcPr>
          <w:p w14:paraId="74651820" w14:textId="77777777" w:rsidR="007D728E" w:rsidRPr="00CB13F7" w:rsidRDefault="007D728E" w:rsidP="007D728E">
            <w:pPr>
              <w:rPr>
                <w:rFonts w:eastAsia="Times New Roman"/>
                <w:color w:val="000000"/>
                <w:sz w:val="16"/>
                <w:szCs w:val="16"/>
                <w:lang w:eastAsia="en-US"/>
              </w:rPr>
            </w:pPr>
          </w:p>
        </w:tc>
      </w:tr>
      <w:tr w:rsidR="007D728E" w:rsidRPr="00CB13F7" w14:paraId="24628A81" w14:textId="77777777" w:rsidTr="661F9D2E">
        <w:trPr>
          <w:trHeight w:val="1440"/>
        </w:trPr>
        <w:tc>
          <w:tcPr>
            <w:tcW w:w="802" w:type="dxa"/>
            <w:vMerge/>
            <w:hideMark/>
          </w:tcPr>
          <w:p w14:paraId="01B51B03" w14:textId="77777777" w:rsidR="007D728E" w:rsidRPr="00CB13F7" w:rsidRDefault="007D728E" w:rsidP="007D728E">
            <w:pPr>
              <w:rPr>
                <w:rFonts w:eastAsia="Times New Roman"/>
                <w:b/>
                <w:bCs/>
                <w:color w:val="000000"/>
                <w:sz w:val="16"/>
                <w:szCs w:val="16"/>
                <w:lang w:eastAsia="en-US"/>
              </w:rPr>
            </w:pPr>
          </w:p>
        </w:tc>
        <w:tc>
          <w:tcPr>
            <w:tcW w:w="2275" w:type="dxa"/>
            <w:gridSpan w:val="2"/>
            <w:tcBorders>
              <w:top w:val="single" w:sz="4" w:space="0" w:color="auto"/>
              <w:left w:val="nil"/>
              <w:bottom w:val="single" w:sz="4" w:space="0" w:color="auto"/>
              <w:right w:val="single" w:sz="4" w:space="0" w:color="auto"/>
            </w:tcBorders>
            <w:shd w:val="clear" w:color="auto" w:fill="CAEDFA"/>
            <w:hideMark/>
          </w:tcPr>
          <w:p w14:paraId="1BD9F79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Objektivi specifik 4: Aksesueshmëria në objektet dhe shërbimet turistike dhe të trashëgimisë kulturore: Të sigurohet akses për Personat me aftësi të kufizuara në strukturat turistike dhe shërbimet në </w:t>
            </w:r>
            <w:r w:rsidR="002B3406" w:rsidRPr="00CB13F7">
              <w:rPr>
                <w:rFonts w:eastAsia="Times New Roman"/>
                <w:color w:val="000000"/>
                <w:sz w:val="16"/>
                <w:szCs w:val="16"/>
                <w:lang w:eastAsia="en-US"/>
              </w:rPr>
              <w:t>turret</w:t>
            </w:r>
            <w:r w:rsidRPr="00CB13F7">
              <w:rPr>
                <w:rFonts w:eastAsia="Times New Roman"/>
                <w:color w:val="000000"/>
                <w:sz w:val="16"/>
                <w:szCs w:val="16"/>
                <w:lang w:eastAsia="en-US"/>
              </w:rPr>
              <w:t xml:space="preserve"> turistike, duke siguruar edhe mjete të përshtatura</w:t>
            </w:r>
          </w:p>
        </w:tc>
        <w:tc>
          <w:tcPr>
            <w:tcW w:w="1984" w:type="dxa"/>
            <w:gridSpan w:val="2"/>
            <w:tcBorders>
              <w:top w:val="single" w:sz="4" w:space="0" w:color="auto"/>
              <w:left w:val="nil"/>
              <w:bottom w:val="single" w:sz="4" w:space="0" w:color="auto"/>
              <w:right w:val="single" w:sz="4" w:space="0" w:color="auto"/>
            </w:tcBorders>
            <w:shd w:val="clear" w:color="auto" w:fill="CAEDFA"/>
            <w:hideMark/>
          </w:tcPr>
          <w:p w14:paraId="13FC29D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Strukturat turistike dhe shërbimet në </w:t>
            </w:r>
            <w:r w:rsidR="002B3406" w:rsidRPr="00CB13F7">
              <w:rPr>
                <w:rFonts w:eastAsia="Times New Roman"/>
                <w:color w:val="000000"/>
                <w:sz w:val="16"/>
                <w:szCs w:val="16"/>
                <w:lang w:eastAsia="en-US"/>
              </w:rPr>
              <w:t>turret</w:t>
            </w:r>
            <w:r w:rsidRPr="00CB13F7">
              <w:rPr>
                <w:rFonts w:eastAsia="Times New Roman"/>
                <w:color w:val="000000"/>
                <w:sz w:val="16"/>
                <w:szCs w:val="16"/>
                <w:lang w:eastAsia="en-US"/>
              </w:rPr>
              <w:t xml:space="preserve"> turistike </w:t>
            </w:r>
            <w:r w:rsidR="002B3406" w:rsidRPr="00CB13F7">
              <w:rPr>
                <w:rFonts w:eastAsia="Times New Roman"/>
                <w:color w:val="000000"/>
                <w:sz w:val="16"/>
                <w:szCs w:val="16"/>
                <w:lang w:eastAsia="en-US"/>
              </w:rPr>
              <w:t>sigurojnë</w:t>
            </w:r>
            <w:r w:rsidRPr="00CB13F7">
              <w:rPr>
                <w:rFonts w:eastAsia="Times New Roman"/>
                <w:color w:val="000000"/>
                <w:sz w:val="16"/>
                <w:szCs w:val="16"/>
                <w:lang w:eastAsia="en-US"/>
              </w:rPr>
              <w:t xml:space="preserve"> akses </w:t>
            </w:r>
            <w:r w:rsidR="002B3406" w:rsidRPr="00CB13F7">
              <w:rPr>
                <w:rFonts w:eastAsia="Times New Roman"/>
                <w:color w:val="000000"/>
                <w:sz w:val="16"/>
                <w:szCs w:val="16"/>
                <w:lang w:eastAsia="en-US"/>
              </w:rPr>
              <w:t>për</w:t>
            </w:r>
            <w:r w:rsidRPr="00CB13F7">
              <w:rPr>
                <w:rFonts w:eastAsia="Times New Roman"/>
                <w:color w:val="000000"/>
                <w:sz w:val="16"/>
                <w:szCs w:val="16"/>
                <w:lang w:eastAsia="en-US"/>
              </w:rPr>
              <w:t xml:space="preserve"> PAK. </w:t>
            </w:r>
          </w:p>
        </w:tc>
        <w:tc>
          <w:tcPr>
            <w:tcW w:w="709" w:type="dxa"/>
            <w:tcBorders>
              <w:top w:val="nil"/>
              <w:left w:val="nil"/>
              <w:bottom w:val="single" w:sz="4" w:space="0" w:color="auto"/>
              <w:right w:val="single" w:sz="4" w:space="0" w:color="auto"/>
            </w:tcBorders>
            <w:shd w:val="clear" w:color="auto" w:fill="CAEDFA"/>
            <w:hideMark/>
          </w:tcPr>
          <w:p w14:paraId="4BDEAAC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p>
        </w:tc>
        <w:tc>
          <w:tcPr>
            <w:tcW w:w="1276" w:type="dxa"/>
            <w:tcBorders>
              <w:top w:val="nil"/>
              <w:left w:val="nil"/>
              <w:bottom w:val="single" w:sz="4" w:space="0" w:color="auto"/>
              <w:right w:val="single" w:sz="4" w:space="0" w:color="auto"/>
            </w:tcBorders>
            <w:shd w:val="clear" w:color="auto" w:fill="CAEDFA"/>
            <w:hideMark/>
          </w:tcPr>
          <w:p w14:paraId="384A3D3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75" w:type="dxa"/>
            <w:tcBorders>
              <w:top w:val="nil"/>
              <w:left w:val="nil"/>
              <w:bottom w:val="single" w:sz="4" w:space="0" w:color="auto"/>
              <w:right w:val="single" w:sz="4" w:space="0" w:color="auto"/>
            </w:tcBorders>
            <w:shd w:val="clear" w:color="auto" w:fill="CAEDFA"/>
            <w:hideMark/>
          </w:tcPr>
          <w:p w14:paraId="131AD47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18" w:type="dxa"/>
            <w:tcBorders>
              <w:top w:val="nil"/>
              <w:left w:val="nil"/>
              <w:bottom w:val="single" w:sz="4" w:space="0" w:color="auto"/>
              <w:right w:val="single" w:sz="4" w:space="0" w:color="auto"/>
            </w:tcBorders>
            <w:shd w:val="clear" w:color="auto" w:fill="CAEDFA"/>
            <w:hideMark/>
          </w:tcPr>
          <w:p w14:paraId="075604F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MTKS;</w:t>
            </w:r>
            <w:r w:rsidRPr="00CB13F7">
              <w:rPr>
                <w:rFonts w:eastAsia="Times New Roman"/>
                <w:sz w:val="16"/>
                <w:szCs w:val="16"/>
                <w:lang w:eastAsia="en-US"/>
              </w:rPr>
              <w:br/>
              <w:t>MSHMS;</w:t>
            </w:r>
            <w:r w:rsidRPr="00CB13F7">
              <w:rPr>
                <w:rFonts w:eastAsia="Times New Roman"/>
                <w:sz w:val="16"/>
                <w:szCs w:val="16"/>
                <w:lang w:eastAsia="en-US"/>
              </w:rPr>
              <w:br/>
              <w:t>UP;</w:t>
            </w:r>
            <w:r w:rsidRPr="00CB13F7">
              <w:rPr>
                <w:rFonts w:eastAsia="Times New Roman"/>
                <w:sz w:val="16"/>
                <w:szCs w:val="16"/>
                <w:lang w:eastAsia="en-US"/>
              </w:rPr>
              <w:br/>
            </w:r>
            <w:r w:rsidR="002B3406" w:rsidRPr="00CB13F7">
              <w:rPr>
                <w:rFonts w:eastAsia="Times New Roman"/>
                <w:sz w:val="16"/>
                <w:szCs w:val="16"/>
                <w:lang w:eastAsia="en-US"/>
              </w:rPr>
              <w:t>Agjencia</w:t>
            </w:r>
            <w:r w:rsidRPr="00CB13F7">
              <w:rPr>
                <w:rFonts w:eastAsia="Times New Roman"/>
                <w:sz w:val="16"/>
                <w:szCs w:val="16"/>
                <w:lang w:eastAsia="en-US"/>
              </w:rPr>
              <w:t xml:space="preserve"> e Turizmit; Raporte monitorimi;</w:t>
            </w:r>
          </w:p>
        </w:tc>
        <w:tc>
          <w:tcPr>
            <w:tcW w:w="3933" w:type="dxa"/>
            <w:tcBorders>
              <w:top w:val="nil"/>
              <w:left w:val="nil"/>
              <w:bottom w:val="single" w:sz="4" w:space="0" w:color="auto"/>
              <w:right w:val="single" w:sz="4" w:space="0" w:color="auto"/>
            </w:tcBorders>
            <w:shd w:val="clear" w:color="auto" w:fill="CAEDFA"/>
            <w:hideMark/>
          </w:tcPr>
          <w:p w14:paraId="0A095DDD" w14:textId="5B2F58B4"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Direktiva (BE) 2019/882 E Parlamentit Evropian dhe e </w:t>
            </w:r>
            <w:r w:rsidR="002B3406" w:rsidRPr="00CB13F7">
              <w:rPr>
                <w:rFonts w:eastAsia="Times New Roman"/>
                <w:color w:val="000000"/>
                <w:sz w:val="16"/>
                <w:szCs w:val="16"/>
                <w:lang w:eastAsia="en-US"/>
              </w:rPr>
              <w:t>Këshillit</w:t>
            </w:r>
            <w:r w:rsidRPr="00CB13F7">
              <w:rPr>
                <w:rFonts w:eastAsia="Times New Roman"/>
                <w:color w:val="000000"/>
                <w:sz w:val="16"/>
                <w:szCs w:val="16"/>
                <w:lang w:eastAsia="en-US"/>
              </w:rPr>
              <w:t xml:space="preserve"> “Mbi kërkesat e aksesueshmërisë për produktet dhe shërbimet”; </w:t>
            </w:r>
            <w:r w:rsidRPr="00CB13F7">
              <w:rPr>
                <w:rFonts w:eastAsia="Times New Roman"/>
                <w:color w:val="000000"/>
                <w:sz w:val="16"/>
                <w:szCs w:val="16"/>
                <w:lang w:eastAsia="en-US"/>
              </w:rPr>
              <w:br/>
              <w:t xml:space="preserve">Akti </w:t>
            </w:r>
            <w:r w:rsidR="002B3406" w:rsidRPr="00CB13F7">
              <w:rPr>
                <w:rFonts w:eastAsia="Times New Roman"/>
                <w:color w:val="000000"/>
                <w:sz w:val="16"/>
                <w:szCs w:val="16"/>
                <w:lang w:eastAsia="en-US"/>
              </w:rPr>
              <w:t>Evropian</w:t>
            </w:r>
            <w:r w:rsidRPr="00CB13F7">
              <w:rPr>
                <w:rFonts w:eastAsia="Times New Roman"/>
                <w:color w:val="000000"/>
                <w:sz w:val="16"/>
                <w:szCs w:val="16"/>
                <w:lang w:eastAsia="en-US"/>
              </w:rPr>
              <w:t xml:space="preserve"> i Aksesueshmërisë (European Accessibility Act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2019); </w:t>
            </w:r>
            <w:r w:rsidRPr="00CB13F7">
              <w:rPr>
                <w:rFonts w:eastAsia="Times New Roman"/>
                <w:color w:val="000000"/>
                <w:sz w:val="16"/>
                <w:szCs w:val="16"/>
                <w:lang w:eastAsia="en-US"/>
              </w:rPr>
              <w:br/>
              <w:t xml:space="preserve">Strategjia </w:t>
            </w:r>
            <w:r w:rsidR="002B3406" w:rsidRPr="00CB13F7">
              <w:rPr>
                <w:rFonts w:eastAsia="Times New Roman"/>
                <w:color w:val="000000"/>
                <w:sz w:val="16"/>
                <w:szCs w:val="16"/>
                <w:lang w:eastAsia="en-US"/>
              </w:rPr>
              <w:t>Kombëtare</w:t>
            </w:r>
            <w:r w:rsidRPr="00CB13F7">
              <w:rPr>
                <w:rFonts w:eastAsia="Times New Roman"/>
                <w:color w:val="000000"/>
                <w:sz w:val="16"/>
                <w:szCs w:val="16"/>
                <w:lang w:eastAsia="en-US"/>
              </w:rPr>
              <w:t xml:space="preserve"> e Turizmit 2024 - 2030; Ligji nr. 93/2014 “Për përfshirjen dhe aksesueshmërinë e personave me aftësi të kufizuara”;</w:t>
            </w:r>
            <w:r w:rsidRPr="00CB13F7">
              <w:rPr>
                <w:rFonts w:eastAsia="Times New Roman"/>
                <w:color w:val="000000"/>
                <w:sz w:val="16"/>
                <w:szCs w:val="16"/>
                <w:lang w:eastAsia="en-US"/>
              </w:rPr>
              <w:br/>
              <w:t xml:space="preserve">Ligji për mbrojtjen nga diskriminimi.; </w:t>
            </w:r>
          </w:p>
        </w:tc>
      </w:tr>
      <w:tr w:rsidR="007D728E" w:rsidRPr="00CB13F7" w14:paraId="3519E193" w14:textId="77777777" w:rsidTr="661F9D2E">
        <w:trPr>
          <w:trHeight w:val="2380"/>
        </w:trPr>
        <w:tc>
          <w:tcPr>
            <w:tcW w:w="802" w:type="dxa"/>
            <w:vMerge w:val="restart"/>
            <w:tcBorders>
              <w:top w:val="nil"/>
              <w:left w:val="single" w:sz="4" w:space="0" w:color="auto"/>
              <w:bottom w:val="single" w:sz="4" w:space="0" w:color="auto"/>
              <w:right w:val="single" w:sz="4" w:space="0" w:color="auto"/>
            </w:tcBorders>
            <w:hideMark/>
          </w:tcPr>
          <w:p w14:paraId="73683893"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lastRenderedPageBreak/>
              <w:t>Masat prioritare</w:t>
            </w:r>
          </w:p>
        </w:tc>
        <w:tc>
          <w:tcPr>
            <w:tcW w:w="2275" w:type="dxa"/>
            <w:gridSpan w:val="2"/>
            <w:tcBorders>
              <w:top w:val="single" w:sz="4" w:space="0" w:color="auto"/>
              <w:left w:val="nil"/>
              <w:bottom w:val="single" w:sz="4" w:space="0" w:color="auto"/>
              <w:right w:val="single" w:sz="4" w:space="0" w:color="auto"/>
            </w:tcBorders>
            <w:hideMark/>
          </w:tcPr>
          <w:p w14:paraId="004F44B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Masa prioritare 1.1. Rishikimi i bazës ligjore për aksesueshmërinë dhe fuqizimi i monitorimit të zbatimit të saj. Ngritja dhe funksionimi i </w:t>
            </w:r>
            <w:r w:rsidR="002B3406" w:rsidRPr="00CB13F7">
              <w:rPr>
                <w:rFonts w:eastAsia="Times New Roman"/>
                <w:sz w:val="16"/>
                <w:szCs w:val="16"/>
                <w:lang w:eastAsia="en-US"/>
              </w:rPr>
              <w:t>Strukturës</w:t>
            </w:r>
            <w:r w:rsidRPr="00CB13F7">
              <w:rPr>
                <w:rFonts w:eastAsia="Times New Roman"/>
                <w:sz w:val="16"/>
                <w:szCs w:val="16"/>
                <w:lang w:eastAsia="en-US"/>
              </w:rPr>
              <w:t xml:space="preserve"> monitoruese/Autoritetit, në varësi të Këshillit të Ministrave, për monitorim në nivel kombëtar</w:t>
            </w:r>
          </w:p>
        </w:tc>
        <w:tc>
          <w:tcPr>
            <w:tcW w:w="1984" w:type="dxa"/>
            <w:gridSpan w:val="2"/>
            <w:tcBorders>
              <w:top w:val="single" w:sz="4" w:space="0" w:color="auto"/>
              <w:left w:val="nil"/>
              <w:bottom w:val="single" w:sz="4" w:space="0" w:color="auto"/>
              <w:right w:val="single" w:sz="4" w:space="0" w:color="auto"/>
            </w:tcBorders>
            <w:hideMark/>
          </w:tcPr>
          <w:p w14:paraId="7C0B9D68"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t xml:space="preserve">Akte ligjore/nënligjore penalizimi në ligjin " Për përfshirjen dhe aksesueshmërinë" te rishikuar, për personat përgjegjës brenda këshillave teknike kur miratojnë projekte publike apo private, ku nuk janë plotësuar standardet e aksesueshmërisë si dhe për personat qe japin lejen e shfrytëzimit te objektit te ndërtuar pa standardet e aksesueshmerisë, zhvillimi i gjuhës se shenjave dhe shërbimet e interpretimit. </w:t>
            </w:r>
            <w:r w:rsidR="007D728E" w:rsidRPr="00CB13F7">
              <w:rPr>
                <w:rFonts w:eastAsia="Times New Roman"/>
                <w:sz w:val="16"/>
                <w:szCs w:val="16"/>
                <w:lang w:eastAsia="en-US"/>
              </w:rPr>
              <w:br/>
            </w:r>
            <w:r w:rsidR="007D728E" w:rsidRPr="00CB13F7">
              <w:rPr>
                <w:rFonts w:eastAsia="Times New Roman"/>
                <w:sz w:val="16"/>
                <w:szCs w:val="16"/>
                <w:lang w:eastAsia="en-US"/>
              </w:rPr>
              <w:br/>
              <w:t xml:space="preserve">Struktura e monitorimit / Autoriteti e krijuar me VKM, me organikë, buxhet dhe plan pune vjetor të miratuar. Numri i raporteve kombëtare të monitorimit </w:t>
            </w:r>
          </w:p>
        </w:tc>
        <w:tc>
          <w:tcPr>
            <w:tcW w:w="709" w:type="dxa"/>
            <w:tcBorders>
              <w:top w:val="nil"/>
              <w:left w:val="nil"/>
              <w:bottom w:val="single" w:sz="4" w:space="0" w:color="auto"/>
              <w:right w:val="single" w:sz="4" w:space="0" w:color="auto"/>
            </w:tcBorders>
            <w:hideMark/>
          </w:tcPr>
          <w:p w14:paraId="64A28DD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p>
        </w:tc>
        <w:tc>
          <w:tcPr>
            <w:tcW w:w="1276" w:type="dxa"/>
            <w:tcBorders>
              <w:top w:val="nil"/>
              <w:left w:val="nil"/>
              <w:bottom w:val="single" w:sz="4" w:space="0" w:color="auto"/>
              <w:right w:val="single" w:sz="4" w:space="0" w:color="auto"/>
            </w:tcBorders>
            <w:hideMark/>
          </w:tcPr>
          <w:p w14:paraId="4B27C73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nene të reja të vendosura ne ligj ; VKM për ngritjen e Autoritetit</w:t>
            </w:r>
          </w:p>
        </w:tc>
        <w:tc>
          <w:tcPr>
            <w:tcW w:w="1275" w:type="dxa"/>
            <w:tcBorders>
              <w:top w:val="nil"/>
              <w:left w:val="nil"/>
              <w:bottom w:val="single" w:sz="4" w:space="0" w:color="auto"/>
              <w:right w:val="single" w:sz="4" w:space="0" w:color="auto"/>
            </w:tcBorders>
            <w:hideMark/>
          </w:tcPr>
          <w:p w14:paraId="50129AF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nene të reja të vendosura në ligj; VKM për zhvillimin e gjuhës së shenjave dhe shërbimet e interpretimit</w:t>
            </w:r>
          </w:p>
        </w:tc>
        <w:tc>
          <w:tcPr>
            <w:tcW w:w="1418" w:type="dxa"/>
            <w:tcBorders>
              <w:top w:val="nil"/>
              <w:left w:val="nil"/>
              <w:bottom w:val="single" w:sz="4" w:space="0" w:color="auto"/>
              <w:right w:val="single" w:sz="4" w:space="0" w:color="auto"/>
            </w:tcBorders>
            <w:hideMark/>
          </w:tcPr>
          <w:p w14:paraId="74CEE31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Pr="00CB13F7">
              <w:rPr>
                <w:rFonts w:eastAsia="Times New Roman"/>
                <w:sz w:val="16"/>
                <w:szCs w:val="16"/>
                <w:lang w:eastAsia="en-US"/>
              </w:rPr>
              <w:br/>
              <w:t>MD;</w:t>
            </w:r>
            <w:r w:rsidRPr="00CB13F7">
              <w:rPr>
                <w:rFonts w:eastAsia="Times New Roman"/>
                <w:sz w:val="16"/>
                <w:szCs w:val="16"/>
                <w:lang w:eastAsia="en-US"/>
              </w:rPr>
              <w:br/>
              <w:t xml:space="preserve">KM; </w:t>
            </w:r>
            <w:r w:rsidRPr="00CB13F7">
              <w:rPr>
                <w:rFonts w:eastAsia="Times New Roman"/>
                <w:sz w:val="16"/>
                <w:szCs w:val="16"/>
                <w:lang w:eastAsia="en-US"/>
              </w:rPr>
              <w:br/>
              <w:t xml:space="preserve">Autoriteti; </w:t>
            </w:r>
            <w:r w:rsidRPr="00CB13F7">
              <w:rPr>
                <w:rFonts w:eastAsia="Times New Roman"/>
                <w:sz w:val="16"/>
                <w:szCs w:val="16"/>
                <w:lang w:eastAsia="en-US"/>
              </w:rPr>
              <w:br/>
              <w:t>OJQ;</w:t>
            </w:r>
          </w:p>
        </w:tc>
        <w:tc>
          <w:tcPr>
            <w:tcW w:w="3933" w:type="dxa"/>
            <w:tcBorders>
              <w:top w:val="nil"/>
              <w:left w:val="nil"/>
              <w:bottom w:val="single" w:sz="4" w:space="0" w:color="auto"/>
              <w:right w:val="single" w:sz="4" w:space="0" w:color="auto"/>
            </w:tcBorders>
            <w:hideMark/>
          </w:tcPr>
          <w:p w14:paraId="3FEAFDD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4F30C26" w14:textId="77777777" w:rsidTr="661F9D2E">
        <w:trPr>
          <w:trHeight w:val="2180"/>
        </w:trPr>
        <w:tc>
          <w:tcPr>
            <w:tcW w:w="802" w:type="dxa"/>
            <w:vMerge/>
            <w:hideMark/>
          </w:tcPr>
          <w:p w14:paraId="3CEF9985" w14:textId="77777777" w:rsidR="007D728E" w:rsidRPr="00CB13F7" w:rsidRDefault="007D728E" w:rsidP="007D728E">
            <w:pPr>
              <w:rPr>
                <w:rFonts w:eastAsia="Times New Roman"/>
                <w:b/>
                <w:bCs/>
                <w:sz w:val="16"/>
                <w:szCs w:val="16"/>
                <w:lang w:eastAsia="en-US"/>
              </w:rPr>
            </w:pPr>
          </w:p>
        </w:tc>
        <w:tc>
          <w:tcPr>
            <w:tcW w:w="2275" w:type="dxa"/>
            <w:gridSpan w:val="2"/>
            <w:tcBorders>
              <w:top w:val="single" w:sz="4" w:space="0" w:color="auto"/>
              <w:left w:val="nil"/>
              <w:bottom w:val="single" w:sz="4" w:space="0" w:color="auto"/>
              <w:right w:val="single" w:sz="4" w:space="0" w:color="auto"/>
            </w:tcBorders>
            <w:hideMark/>
          </w:tcPr>
          <w:p w14:paraId="4EE16A58" w14:textId="77777777" w:rsidR="007D728E" w:rsidRPr="00CB13F7" w:rsidRDefault="007D728E" w:rsidP="00234FBC">
            <w:pPr>
              <w:rPr>
                <w:rFonts w:eastAsia="Times New Roman"/>
                <w:sz w:val="16"/>
                <w:szCs w:val="16"/>
                <w:lang w:eastAsia="en-US"/>
              </w:rPr>
            </w:pPr>
            <w:r w:rsidRPr="00CB13F7">
              <w:rPr>
                <w:rFonts w:eastAsia="Times New Roman"/>
                <w:sz w:val="16"/>
                <w:szCs w:val="16"/>
                <w:lang w:eastAsia="en-US"/>
              </w:rPr>
              <w:t xml:space="preserve">Masa prioritare 1.2. Vlerësimi i situatës së aksesueshmërisë së aseteve publike (ndërtesa dhe infrastrukturë), detajimi i planit me aksione konkrete për përfshirjen e elementeve të aksesueshmërisë në të gjitha asetet, sipas përparësive, krijimi </w:t>
            </w:r>
            <w:r w:rsidR="00234FBC" w:rsidRPr="00CB13F7">
              <w:rPr>
                <w:rFonts w:eastAsia="Times New Roman"/>
                <w:sz w:val="16"/>
                <w:szCs w:val="16"/>
                <w:lang w:eastAsia="en-US"/>
              </w:rPr>
              <w:t>i r</w:t>
            </w:r>
            <w:r w:rsidRPr="00CB13F7">
              <w:rPr>
                <w:rFonts w:eastAsia="Times New Roman"/>
                <w:sz w:val="16"/>
                <w:szCs w:val="16"/>
                <w:lang w:eastAsia="en-US"/>
              </w:rPr>
              <w:t>egjistrit</w:t>
            </w:r>
          </w:p>
        </w:tc>
        <w:tc>
          <w:tcPr>
            <w:tcW w:w="1984" w:type="dxa"/>
            <w:gridSpan w:val="2"/>
            <w:tcBorders>
              <w:top w:val="single" w:sz="4" w:space="0" w:color="auto"/>
              <w:left w:val="nil"/>
              <w:bottom w:val="single" w:sz="4" w:space="0" w:color="auto"/>
              <w:right w:val="single" w:sz="4" w:space="0" w:color="auto"/>
            </w:tcBorders>
            <w:hideMark/>
          </w:tcPr>
          <w:p w14:paraId="38B9827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Raporti i vlerësimit </w:t>
            </w:r>
            <w:r w:rsidR="00234FBC" w:rsidRPr="00CB13F7">
              <w:rPr>
                <w:rFonts w:eastAsia="Times New Roman"/>
                <w:sz w:val="16"/>
                <w:szCs w:val="16"/>
                <w:lang w:eastAsia="en-US"/>
              </w:rPr>
              <w:t>të aksesueshmërisë</w:t>
            </w:r>
            <w:r w:rsidRPr="00CB13F7">
              <w:rPr>
                <w:rFonts w:eastAsia="Times New Roman"/>
                <w:sz w:val="16"/>
                <w:szCs w:val="16"/>
                <w:lang w:eastAsia="en-US"/>
              </w:rPr>
              <w:t xml:space="preserve"> në objektet publike, përfshire edhe ato të artit e kulturës dhe të </w:t>
            </w:r>
            <w:r w:rsidR="00234FBC" w:rsidRPr="00CB13F7">
              <w:rPr>
                <w:rFonts w:eastAsia="Times New Roman"/>
                <w:sz w:val="16"/>
                <w:szCs w:val="16"/>
                <w:lang w:eastAsia="en-US"/>
              </w:rPr>
              <w:t>ambienteve</w:t>
            </w:r>
            <w:r w:rsidRPr="00CB13F7">
              <w:rPr>
                <w:rFonts w:eastAsia="Times New Roman"/>
                <w:sz w:val="16"/>
                <w:szCs w:val="16"/>
                <w:lang w:eastAsia="en-US"/>
              </w:rPr>
              <w:t xml:space="preserve"> sportive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Krijimi dhe funksionimi i regjistrit të aksesueshmërisë së aseteve publike</w:t>
            </w:r>
          </w:p>
        </w:tc>
        <w:tc>
          <w:tcPr>
            <w:tcW w:w="709" w:type="dxa"/>
            <w:tcBorders>
              <w:top w:val="nil"/>
              <w:left w:val="nil"/>
              <w:bottom w:val="single" w:sz="4" w:space="0" w:color="auto"/>
              <w:right w:val="single" w:sz="4" w:space="0" w:color="auto"/>
            </w:tcBorders>
            <w:hideMark/>
          </w:tcPr>
          <w:p w14:paraId="3FCE060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1276" w:type="dxa"/>
            <w:tcBorders>
              <w:top w:val="nil"/>
              <w:left w:val="nil"/>
              <w:bottom w:val="single" w:sz="4" w:space="0" w:color="auto"/>
              <w:right w:val="single" w:sz="4" w:space="0" w:color="auto"/>
            </w:tcBorders>
            <w:hideMark/>
          </w:tcPr>
          <w:p w14:paraId="5DCA711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1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40% e rregjistrit të plotësuar</w:t>
            </w:r>
          </w:p>
        </w:tc>
        <w:tc>
          <w:tcPr>
            <w:tcW w:w="1275" w:type="dxa"/>
            <w:tcBorders>
              <w:top w:val="nil"/>
              <w:left w:val="nil"/>
              <w:bottom w:val="single" w:sz="4" w:space="0" w:color="auto"/>
              <w:right w:val="single" w:sz="4" w:space="0" w:color="auto"/>
            </w:tcBorders>
            <w:hideMark/>
          </w:tcPr>
          <w:p w14:paraId="3A60854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1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80 % e rregjistrit të plotësuar</w:t>
            </w:r>
          </w:p>
        </w:tc>
        <w:tc>
          <w:tcPr>
            <w:tcW w:w="1418" w:type="dxa"/>
            <w:tcBorders>
              <w:top w:val="nil"/>
              <w:left w:val="nil"/>
              <w:bottom w:val="single" w:sz="4" w:space="0" w:color="auto"/>
              <w:right w:val="single" w:sz="4" w:space="0" w:color="auto"/>
            </w:tcBorders>
            <w:hideMark/>
          </w:tcPr>
          <w:p w14:paraId="23E6929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MTKS; </w:t>
            </w:r>
            <w:r w:rsidRPr="00CB13F7">
              <w:rPr>
                <w:rFonts w:eastAsia="Times New Roman"/>
                <w:sz w:val="16"/>
                <w:szCs w:val="16"/>
                <w:lang w:eastAsia="en-US"/>
              </w:rPr>
              <w:br/>
              <w:t xml:space="preserve">MIE; </w:t>
            </w:r>
            <w:r w:rsidRPr="00CB13F7">
              <w:rPr>
                <w:rFonts w:eastAsia="Times New Roman"/>
                <w:sz w:val="16"/>
                <w:szCs w:val="16"/>
                <w:lang w:eastAsia="en-US"/>
              </w:rPr>
              <w:br/>
              <w:t>ME;I</w:t>
            </w:r>
            <w:r w:rsidRPr="00CB13F7">
              <w:rPr>
                <w:rFonts w:eastAsia="Times New Roman"/>
                <w:sz w:val="16"/>
                <w:szCs w:val="16"/>
                <w:lang w:eastAsia="en-US"/>
              </w:rPr>
              <w:br/>
              <w:t>MSHMS;</w:t>
            </w:r>
            <w:r w:rsidRPr="00CB13F7">
              <w:rPr>
                <w:rFonts w:eastAsia="Times New Roman"/>
                <w:sz w:val="16"/>
                <w:szCs w:val="16"/>
                <w:lang w:eastAsia="en-US"/>
              </w:rPr>
              <w:br/>
              <w:t>UP;</w:t>
            </w:r>
            <w:r w:rsidRPr="00CB13F7">
              <w:rPr>
                <w:rFonts w:eastAsia="Times New Roman"/>
                <w:sz w:val="16"/>
                <w:szCs w:val="16"/>
                <w:lang w:eastAsia="en-US"/>
              </w:rPr>
              <w:br/>
              <w:t>NJQV;</w:t>
            </w:r>
            <w:r w:rsidRPr="00CB13F7">
              <w:rPr>
                <w:rFonts w:eastAsia="Times New Roman"/>
                <w:sz w:val="16"/>
                <w:szCs w:val="16"/>
                <w:lang w:eastAsia="en-US"/>
              </w:rPr>
              <w:br/>
              <w:t xml:space="preserve">Shoqatat e ndërtuesve; </w:t>
            </w:r>
            <w:r w:rsidR="002B3406" w:rsidRPr="00CB13F7">
              <w:rPr>
                <w:rFonts w:eastAsia="Times New Roman"/>
                <w:sz w:val="16"/>
                <w:szCs w:val="16"/>
                <w:lang w:eastAsia="en-US"/>
              </w:rPr>
              <w:t>Kompanitë</w:t>
            </w:r>
            <w:r w:rsidRPr="00CB13F7">
              <w:rPr>
                <w:rFonts w:eastAsia="Times New Roman"/>
                <w:sz w:val="16"/>
                <w:szCs w:val="16"/>
                <w:lang w:eastAsia="en-US"/>
              </w:rPr>
              <w:t xml:space="preserve"> e shërbimeve elektronike;</w:t>
            </w:r>
            <w:r w:rsidRPr="00CB13F7">
              <w:rPr>
                <w:rFonts w:eastAsia="Times New Roman"/>
                <w:sz w:val="16"/>
                <w:szCs w:val="16"/>
                <w:lang w:eastAsia="en-US"/>
              </w:rPr>
              <w:br/>
              <w:t xml:space="preserve">OJQ; </w:t>
            </w:r>
            <w:r w:rsidRPr="00CB13F7">
              <w:rPr>
                <w:rFonts w:eastAsia="Times New Roman"/>
                <w:sz w:val="16"/>
                <w:szCs w:val="16"/>
                <w:lang w:eastAsia="en-US"/>
              </w:rPr>
              <w:br/>
              <w:t>Raporte monitorimesh;</w:t>
            </w:r>
          </w:p>
        </w:tc>
        <w:tc>
          <w:tcPr>
            <w:tcW w:w="3933" w:type="dxa"/>
            <w:tcBorders>
              <w:top w:val="nil"/>
              <w:left w:val="nil"/>
              <w:bottom w:val="single" w:sz="4" w:space="0" w:color="auto"/>
              <w:right w:val="single" w:sz="4" w:space="0" w:color="auto"/>
            </w:tcBorders>
            <w:hideMark/>
          </w:tcPr>
          <w:p w14:paraId="5F91BC5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6B97FB8" w14:textId="77777777" w:rsidTr="661F9D2E">
        <w:trPr>
          <w:trHeight w:val="1255"/>
        </w:trPr>
        <w:tc>
          <w:tcPr>
            <w:tcW w:w="802" w:type="dxa"/>
            <w:vMerge/>
            <w:hideMark/>
          </w:tcPr>
          <w:p w14:paraId="2B261700" w14:textId="77777777" w:rsidR="007D728E" w:rsidRPr="00CB13F7" w:rsidRDefault="007D728E" w:rsidP="007D728E">
            <w:pPr>
              <w:rPr>
                <w:rFonts w:eastAsia="Times New Roman"/>
                <w:b/>
                <w:bCs/>
                <w:sz w:val="16"/>
                <w:szCs w:val="16"/>
                <w:lang w:eastAsia="en-US"/>
              </w:rPr>
            </w:pPr>
          </w:p>
        </w:tc>
        <w:tc>
          <w:tcPr>
            <w:tcW w:w="2275" w:type="dxa"/>
            <w:gridSpan w:val="2"/>
            <w:vMerge w:val="restart"/>
            <w:tcBorders>
              <w:top w:val="single" w:sz="4" w:space="0" w:color="auto"/>
              <w:left w:val="single" w:sz="4" w:space="0" w:color="auto"/>
              <w:bottom w:val="single" w:sz="4" w:space="0" w:color="auto"/>
              <w:right w:val="single" w:sz="4" w:space="0" w:color="auto"/>
            </w:tcBorders>
            <w:hideMark/>
          </w:tcPr>
          <w:p w14:paraId="6F4D24F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 Masa prioritare 2. 1 Të aplikohen standardet e BE-së dhe të përafrohet kuadri ligjor për të mundësuar realizimin e të drejtave të pasagjerëve me aftësi të kufizuara në udhëtimet </w:t>
            </w:r>
            <w:r w:rsidRPr="00CB13F7">
              <w:rPr>
                <w:rFonts w:eastAsia="Times New Roman"/>
                <w:sz w:val="16"/>
                <w:szCs w:val="16"/>
                <w:lang w:eastAsia="en-US"/>
              </w:rPr>
              <w:lastRenderedPageBreak/>
              <w:t xml:space="preserve">me autobusë (brenda qyteteve dhe ndër qytete), dhe te gjitha mjetet e tjera te transportit hekurudhor e ujor. Përmirësimi i qëndrimeve dhe sjelljeve ndaj udhëtarëve </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14:paraId="7D8F8931"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lastRenderedPageBreak/>
              <w:t>1. Raport</w:t>
            </w:r>
            <w:r w:rsidR="007D728E" w:rsidRPr="00CB13F7">
              <w:rPr>
                <w:rFonts w:eastAsia="Times New Roman"/>
                <w:sz w:val="16"/>
                <w:szCs w:val="16"/>
                <w:lang w:eastAsia="en-US"/>
              </w:rPr>
              <w:t xml:space="preserve"> vlerësimi nëse terminalet dhe stacionet (autobus) plotësojnë standardet e aksesueshmërisë për personat me aftësi të </w:t>
            </w:r>
            <w:r w:rsidR="007D728E" w:rsidRPr="00CB13F7">
              <w:rPr>
                <w:rFonts w:eastAsia="Times New Roman"/>
                <w:sz w:val="16"/>
                <w:szCs w:val="16"/>
                <w:lang w:eastAsia="en-US"/>
              </w:rPr>
              <w:lastRenderedPageBreak/>
              <w:t xml:space="preserve">kufizuara. </w:t>
            </w:r>
            <w:r w:rsidR="007D728E" w:rsidRPr="00CB13F7">
              <w:rPr>
                <w:rFonts w:eastAsia="Times New Roman"/>
                <w:sz w:val="16"/>
                <w:szCs w:val="16"/>
                <w:lang w:eastAsia="en-US"/>
              </w:rPr>
              <w:br/>
            </w:r>
            <w:r w:rsidR="007D728E" w:rsidRPr="00CB13F7">
              <w:rPr>
                <w:rFonts w:eastAsia="Times New Roman"/>
                <w:sz w:val="16"/>
                <w:szCs w:val="16"/>
                <w:lang w:eastAsia="en-US"/>
              </w:rPr>
              <w:br/>
            </w:r>
            <w:r w:rsidRPr="00CB13F7">
              <w:rPr>
                <w:rFonts w:eastAsia="Times New Roman"/>
                <w:sz w:val="16"/>
                <w:szCs w:val="16"/>
                <w:lang w:eastAsia="en-US"/>
              </w:rPr>
              <w:t>2. Raport</w:t>
            </w:r>
            <w:r w:rsidR="007D728E" w:rsidRPr="00CB13F7">
              <w:rPr>
                <w:rFonts w:eastAsia="Times New Roman"/>
                <w:sz w:val="16"/>
                <w:szCs w:val="16"/>
                <w:lang w:eastAsia="en-US"/>
              </w:rPr>
              <w:t xml:space="preserve"> studimi për </w:t>
            </w:r>
            <w:r w:rsidRPr="00CB13F7">
              <w:rPr>
                <w:rFonts w:eastAsia="Times New Roman"/>
                <w:sz w:val="16"/>
                <w:szCs w:val="16"/>
                <w:lang w:eastAsia="en-US"/>
              </w:rPr>
              <w:t>kartën</w:t>
            </w:r>
            <w:r w:rsidR="007D728E" w:rsidRPr="00CB13F7">
              <w:rPr>
                <w:rFonts w:eastAsia="Times New Roman"/>
                <w:sz w:val="16"/>
                <w:szCs w:val="16"/>
                <w:lang w:eastAsia="en-US"/>
              </w:rPr>
              <w:t xml:space="preserve"> e transportit për PAK. Sigurimi i autorizimit për vend parkimi falas në nivel </w:t>
            </w:r>
            <w:r w:rsidRPr="00CB13F7">
              <w:rPr>
                <w:rFonts w:eastAsia="Times New Roman"/>
                <w:sz w:val="16"/>
                <w:szCs w:val="16"/>
                <w:lang w:eastAsia="en-US"/>
              </w:rPr>
              <w:t>kombëtar</w:t>
            </w:r>
            <w:r w:rsidR="007D728E" w:rsidRPr="00CB13F7">
              <w:rPr>
                <w:rFonts w:eastAsia="Times New Roman"/>
                <w:sz w:val="16"/>
                <w:szCs w:val="16"/>
                <w:lang w:eastAsia="en-US"/>
              </w:rPr>
              <w:t xml:space="preserve"> </w:t>
            </w:r>
            <w:r w:rsidRPr="00CB13F7">
              <w:rPr>
                <w:rFonts w:eastAsia="Times New Roman"/>
                <w:sz w:val="16"/>
                <w:szCs w:val="16"/>
                <w:lang w:eastAsia="en-US"/>
              </w:rPr>
              <w:t>për</w:t>
            </w:r>
            <w:r w:rsidR="007D728E" w:rsidRPr="00CB13F7">
              <w:rPr>
                <w:rFonts w:eastAsia="Times New Roman"/>
                <w:sz w:val="16"/>
                <w:szCs w:val="16"/>
                <w:lang w:eastAsia="en-US"/>
              </w:rPr>
              <w:t xml:space="preserve"> PAK. </w:t>
            </w:r>
            <w:r w:rsidR="007D728E" w:rsidRPr="00CB13F7">
              <w:rPr>
                <w:rFonts w:eastAsia="Times New Roman"/>
                <w:sz w:val="16"/>
                <w:szCs w:val="16"/>
                <w:lang w:eastAsia="en-US"/>
              </w:rPr>
              <w:br/>
              <w:t xml:space="preserve"> </w:t>
            </w:r>
            <w:r w:rsidR="007D728E" w:rsidRPr="00CB13F7">
              <w:rPr>
                <w:rFonts w:eastAsia="Times New Roman"/>
                <w:sz w:val="16"/>
                <w:szCs w:val="16"/>
                <w:lang w:eastAsia="en-US"/>
              </w:rPr>
              <w:br/>
              <w:t xml:space="preserve">3. Akte </w:t>
            </w:r>
            <w:r w:rsidRPr="00CB13F7">
              <w:rPr>
                <w:rFonts w:eastAsia="Times New Roman"/>
                <w:sz w:val="16"/>
                <w:szCs w:val="16"/>
                <w:lang w:eastAsia="en-US"/>
              </w:rPr>
              <w:t>nënligjore</w:t>
            </w:r>
            <w:r w:rsidR="007D728E" w:rsidRPr="00CB13F7">
              <w:rPr>
                <w:rFonts w:eastAsia="Times New Roman"/>
                <w:sz w:val="16"/>
                <w:szCs w:val="16"/>
                <w:lang w:eastAsia="en-US"/>
              </w:rPr>
              <w:t xml:space="preserve"> nga bashkitë për të vendosur ne kushtet e </w:t>
            </w:r>
            <w:r w:rsidRPr="00CB13F7">
              <w:rPr>
                <w:rFonts w:eastAsia="Times New Roman"/>
                <w:sz w:val="16"/>
                <w:szCs w:val="16"/>
                <w:lang w:eastAsia="en-US"/>
              </w:rPr>
              <w:t>licencimit</w:t>
            </w:r>
            <w:r w:rsidR="007D728E" w:rsidRPr="00CB13F7">
              <w:rPr>
                <w:rFonts w:eastAsia="Times New Roman"/>
                <w:sz w:val="16"/>
                <w:szCs w:val="16"/>
                <w:lang w:eastAsia="en-US"/>
              </w:rPr>
              <w:t xml:space="preserve"> të kompanive të taksive , detyrimin për sigurim të taksive të përshtatura </w:t>
            </w:r>
            <w:r w:rsidRPr="00CB13F7">
              <w:rPr>
                <w:rFonts w:eastAsia="Times New Roman"/>
                <w:sz w:val="16"/>
                <w:szCs w:val="16"/>
                <w:lang w:eastAsia="en-US"/>
              </w:rPr>
              <w:t>për</w:t>
            </w:r>
            <w:r w:rsidR="007D728E" w:rsidRPr="00CB13F7">
              <w:rPr>
                <w:rFonts w:eastAsia="Times New Roman"/>
                <w:sz w:val="16"/>
                <w:szCs w:val="16"/>
                <w:lang w:eastAsia="en-US"/>
              </w:rPr>
              <w:t xml:space="preserve"> shërbim ndaj PAK </w:t>
            </w:r>
          </w:p>
        </w:tc>
        <w:tc>
          <w:tcPr>
            <w:tcW w:w="709" w:type="dxa"/>
            <w:vMerge w:val="restart"/>
            <w:tcBorders>
              <w:top w:val="nil"/>
              <w:left w:val="single" w:sz="4" w:space="0" w:color="auto"/>
              <w:bottom w:val="single" w:sz="4" w:space="0" w:color="auto"/>
              <w:right w:val="single" w:sz="4" w:space="0" w:color="auto"/>
            </w:tcBorders>
            <w:hideMark/>
          </w:tcPr>
          <w:p w14:paraId="068F13D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r w:rsidRPr="00CB13F7">
              <w:rPr>
                <w:rFonts w:eastAsia="Times New Roman"/>
                <w:sz w:val="16"/>
                <w:szCs w:val="16"/>
                <w:lang w:eastAsia="en-US"/>
              </w:rPr>
              <w:br/>
            </w:r>
            <w:r w:rsidRPr="00CB13F7">
              <w:rPr>
                <w:rFonts w:eastAsia="Times New Roman"/>
                <w:sz w:val="16"/>
                <w:szCs w:val="16"/>
                <w:lang w:eastAsia="en-US"/>
              </w:rPr>
              <w:lastRenderedPageBreak/>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1276" w:type="dxa"/>
            <w:vMerge w:val="restart"/>
            <w:tcBorders>
              <w:top w:val="nil"/>
              <w:left w:val="single" w:sz="4" w:space="0" w:color="auto"/>
              <w:bottom w:val="single" w:sz="4" w:space="0" w:color="auto"/>
              <w:right w:val="single" w:sz="4" w:space="0" w:color="auto"/>
            </w:tcBorders>
            <w:hideMark/>
          </w:tcPr>
          <w:p w14:paraId="39F9D0E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1</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w:t>
            </w:r>
            <w:r w:rsidRPr="00CB13F7">
              <w:rPr>
                <w:rFonts w:eastAsia="Times New Roman"/>
                <w:color w:val="000000"/>
                <w:sz w:val="16"/>
                <w:szCs w:val="16"/>
                <w:lang w:eastAsia="en-US"/>
              </w:rPr>
              <w:br/>
            </w:r>
            <w:r w:rsidRPr="00CB13F7">
              <w:rPr>
                <w:rFonts w:eastAsia="Times New Roman"/>
                <w:color w:val="000000"/>
                <w:sz w:val="16"/>
                <w:szCs w:val="16"/>
                <w:lang w:eastAsia="en-US"/>
              </w:rPr>
              <w:lastRenderedPageBreak/>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5% nga vlera bazë</w:t>
            </w:r>
          </w:p>
        </w:tc>
        <w:tc>
          <w:tcPr>
            <w:tcW w:w="1275" w:type="dxa"/>
            <w:vMerge w:val="restart"/>
            <w:tcBorders>
              <w:top w:val="nil"/>
              <w:left w:val="single" w:sz="4" w:space="0" w:color="auto"/>
              <w:bottom w:val="single" w:sz="4" w:space="0" w:color="auto"/>
              <w:right w:val="single" w:sz="4" w:space="0" w:color="auto"/>
            </w:tcBorders>
            <w:hideMark/>
          </w:tcPr>
          <w:p w14:paraId="3FCF78D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1</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lastRenderedPageBreak/>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20% nga vlera bazë</w:t>
            </w:r>
          </w:p>
        </w:tc>
        <w:tc>
          <w:tcPr>
            <w:tcW w:w="1418" w:type="dxa"/>
            <w:vMerge w:val="restart"/>
            <w:tcBorders>
              <w:top w:val="nil"/>
              <w:left w:val="single" w:sz="4" w:space="0" w:color="auto"/>
              <w:bottom w:val="single" w:sz="4" w:space="0" w:color="auto"/>
              <w:right w:val="single" w:sz="4" w:space="0" w:color="auto"/>
            </w:tcBorders>
            <w:hideMark/>
          </w:tcPr>
          <w:p w14:paraId="155CC5C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 </w:t>
            </w:r>
          </w:p>
        </w:tc>
        <w:tc>
          <w:tcPr>
            <w:tcW w:w="3933" w:type="dxa"/>
            <w:vMerge w:val="restart"/>
            <w:tcBorders>
              <w:top w:val="nil"/>
              <w:left w:val="single" w:sz="4" w:space="0" w:color="auto"/>
              <w:bottom w:val="single" w:sz="4" w:space="0" w:color="auto"/>
              <w:right w:val="single" w:sz="4" w:space="0" w:color="auto"/>
            </w:tcBorders>
            <w:hideMark/>
          </w:tcPr>
          <w:p w14:paraId="231C10B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D7E7723" w14:textId="77777777" w:rsidTr="661F9D2E">
        <w:trPr>
          <w:trHeight w:val="2760"/>
        </w:trPr>
        <w:tc>
          <w:tcPr>
            <w:tcW w:w="802" w:type="dxa"/>
            <w:vMerge/>
            <w:hideMark/>
          </w:tcPr>
          <w:p w14:paraId="15655D69"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6CBD3505" w14:textId="77777777" w:rsidR="007D728E" w:rsidRPr="00CB13F7" w:rsidRDefault="007D728E" w:rsidP="007D728E">
            <w:pPr>
              <w:rPr>
                <w:rFonts w:eastAsia="Times New Roman"/>
                <w:sz w:val="16"/>
                <w:szCs w:val="16"/>
                <w:lang w:eastAsia="en-US"/>
              </w:rPr>
            </w:pPr>
          </w:p>
        </w:tc>
        <w:tc>
          <w:tcPr>
            <w:tcW w:w="1984" w:type="dxa"/>
            <w:gridSpan w:val="2"/>
            <w:vMerge/>
            <w:hideMark/>
          </w:tcPr>
          <w:p w14:paraId="31A803A4" w14:textId="77777777" w:rsidR="007D728E" w:rsidRPr="00CB13F7" w:rsidRDefault="007D728E" w:rsidP="007D728E">
            <w:pPr>
              <w:rPr>
                <w:rFonts w:eastAsia="Times New Roman"/>
                <w:sz w:val="16"/>
                <w:szCs w:val="16"/>
                <w:lang w:eastAsia="en-US"/>
              </w:rPr>
            </w:pPr>
          </w:p>
        </w:tc>
        <w:tc>
          <w:tcPr>
            <w:tcW w:w="709" w:type="dxa"/>
            <w:vMerge/>
            <w:hideMark/>
          </w:tcPr>
          <w:p w14:paraId="15A089F7" w14:textId="77777777" w:rsidR="007D728E" w:rsidRPr="00CB13F7" w:rsidRDefault="007D728E" w:rsidP="007D728E">
            <w:pPr>
              <w:rPr>
                <w:rFonts w:eastAsia="Times New Roman"/>
                <w:sz w:val="16"/>
                <w:szCs w:val="16"/>
                <w:lang w:eastAsia="en-US"/>
              </w:rPr>
            </w:pPr>
          </w:p>
        </w:tc>
        <w:tc>
          <w:tcPr>
            <w:tcW w:w="1276" w:type="dxa"/>
            <w:vMerge/>
            <w:hideMark/>
          </w:tcPr>
          <w:p w14:paraId="4AD984F9" w14:textId="77777777" w:rsidR="007D728E" w:rsidRPr="00CB13F7" w:rsidRDefault="007D728E" w:rsidP="007D728E">
            <w:pPr>
              <w:rPr>
                <w:rFonts w:eastAsia="Times New Roman"/>
                <w:color w:val="000000"/>
                <w:sz w:val="16"/>
                <w:szCs w:val="16"/>
                <w:lang w:eastAsia="en-US"/>
              </w:rPr>
            </w:pPr>
          </w:p>
        </w:tc>
        <w:tc>
          <w:tcPr>
            <w:tcW w:w="1275" w:type="dxa"/>
            <w:vMerge/>
            <w:hideMark/>
          </w:tcPr>
          <w:p w14:paraId="15CF1FCC" w14:textId="77777777" w:rsidR="007D728E" w:rsidRPr="00CB13F7" w:rsidRDefault="007D728E" w:rsidP="007D728E">
            <w:pPr>
              <w:rPr>
                <w:rFonts w:eastAsia="Times New Roman"/>
                <w:color w:val="000000"/>
                <w:sz w:val="16"/>
                <w:szCs w:val="16"/>
                <w:lang w:eastAsia="en-US"/>
              </w:rPr>
            </w:pPr>
          </w:p>
        </w:tc>
        <w:tc>
          <w:tcPr>
            <w:tcW w:w="1418" w:type="dxa"/>
            <w:vMerge/>
            <w:hideMark/>
          </w:tcPr>
          <w:p w14:paraId="460398B2" w14:textId="77777777" w:rsidR="007D728E" w:rsidRPr="00CB13F7" w:rsidRDefault="007D728E" w:rsidP="007D728E">
            <w:pPr>
              <w:rPr>
                <w:rFonts w:eastAsia="Times New Roman"/>
                <w:sz w:val="16"/>
                <w:szCs w:val="16"/>
                <w:lang w:eastAsia="en-US"/>
              </w:rPr>
            </w:pPr>
          </w:p>
        </w:tc>
        <w:tc>
          <w:tcPr>
            <w:tcW w:w="3933" w:type="dxa"/>
            <w:vMerge/>
            <w:hideMark/>
          </w:tcPr>
          <w:p w14:paraId="1305B85D" w14:textId="77777777" w:rsidR="007D728E" w:rsidRPr="00CB13F7" w:rsidRDefault="007D728E" w:rsidP="007D728E">
            <w:pPr>
              <w:rPr>
                <w:rFonts w:eastAsia="Times New Roman"/>
                <w:color w:val="000000"/>
                <w:sz w:val="16"/>
                <w:szCs w:val="16"/>
                <w:lang w:eastAsia="en-US"/>
              </w:rPr>
            </w:pPr>
          </w:p>
        </w:tc>
      </w:tr>
      <w:tr w:rsidR="007D728E" w:rsidRPr="00CB13F7" w14:paraId="5B944D44" w14:textId="77777777" w:rsidTr="661F9D2E">
        <w:trPr>
          <w:trHeight w:val="3080"/>
        </w:trPr>
        <w:tc>
          <w:tcPr>
            <w:tcW w:w="802" w:type="dxa"/>
            <w:vMerge/>
            <w:hideMark/>
          </w:tcPr>
          <w:p w14:paraId="57AD7220" w14:textId="77777777" w:rsidR="007D728E" w:rsidRPr="00CB13F7" w:rsidRDefault="007D728E" w:rsidP="007D728E">
            <w:pPr>
              <w:rPr>
                <w:rFonts w:eastAsia="Times New Roman"/>
                <w:b/>
                <w:bCs/>
                <w:sz w:val="16"/>
                <w:szCs w:val="16"/>
                <w:lang w:eastAsia="en-US"/>
              </w:rPr>
            </w:pPr>
          </w:p>
        </w:tc>
        <w:tc>
          <w:tcPr>
            <w:tcW w:w="2275" w:type="dxa"/>
            <w:gridSpan w:val="2"/>
            <w:tcBorders>
              <w:top w:val="single" w:sz="4" w:space="0" w:color="auto"/>
              <w:left w:val="nil"/>
              <w:bottom w:val="single" w:sz="4" w:space="0" w:color="auto"/>
              <w:right w:val="single" w:sz="4" w:space="0" w:color="auto"/>
            </w:tcBorders>
            <w:hideMark/>
          </w:tcPr>
          <w:p w14:paraId="34000B7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3.1. Përmirësimet ligjore dhe adaptimi i standardeve ndërkombëtare të sigurimit të aksesueshmërisë në TIK. Strukturat për monitorimin dhe inspektimin e zbatimit të kuadrit ligjor</w:t>
            </w:r>
          </w:p>
        </w:tc>
        <w:tc>
          <w:tcPr>
            <w:tcW w:w="1984" w:type="dxa"/>
            <w:gridSpan w:val="2"/>
            <w:tcBorders>
              <w:top w:val="single" w:sz="4" w:space="0" w:color="auto"/>
              <w:left w:val="nil"/>
              <w:bottom w:val="single" w:sz="4" w:space="0" w:color="auto"/>
              <w:right w:val="single" w:sz="4" w:space="0" w:color="auto"/>
            </w:tcBorders>
            <w:hideMark/>
          </w:tcPr>
          <w:p w14:paraId="00C5C0C3" w14:textId="10180F75"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Miratimi dhe hyrja në fuqi e akteve ligjore/nënligjore të harmonizuara me standardet ndërkombëtare (p.sh. </w:t>
            </w:r>
            <w:r w:rsidR="006B46C0">
              <w:rPr>
                <w:rFonts w:eastAsia="Times New Roman"/>
                <w:color w:val="000000"/>
                <w:sz w:val="16"/>
                <w:szCs w:val="16"/>
                <w:lang w:eastAsia="en-US"/>
              </w:rPr>
              <w:t>W</w:t>
            </w:r>
            <w:r w:rsidRPr="00CB13F7">
              <w:rPr>
                <w:rFonts w:eastAsia="Times New Roman"/>
                <w:color w:val="000000"/>
                <w:sz w:val="16"/>
                <w:szCs w:val="16"/>
                <w:lang w:eastAsia="en-US"/>
              </w:rPr>
              <w:t xml:space="preserve">CAG, EN 301 549).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e faqeve zyrtare dhe shërbimeve elektronike publike që certifikohen si të aksesueshme sipas standardeve të miratuara.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Numri i auditimeve/inspektimeve vjetore për aksesueshmërinë digjitale </w:t>
            </w:r>
          </w:p>
        </w:tc>
        <w:tc>
          <w:tcPr>
            <w:tcW w:w="709" w:type="dxa"/>
            <w:tcBorders>
              <w:top w:val="nil"/>
              <w:left w:val="nil"/>
              <w:bottom w:val="single" w:sz="4" w:space="0" w:color="auto"/>
              <w:right w:val="single" w:sz="4" w:space="0" w:color="auto"/>
            </w:tcBorders>
            <w:hideMark/>
          </w:tcPr>
          <w:p w14:paraId="3D80A01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p>
        </w:tc>
        <w:tc>
          <w:tcPr>
            <w:tcW w:w="1276" w:type="dxa"/>
            <w:tcBorders>
              <w:top w:val="nil"/>
              <w:left w:val="nil"/>
              <w:bottom w:val="single" w:sz="4" w:space="0" w:color="auto"/>
              <w:right w:val="single" w:sz="4" w:space="0" w:color="auto"/>
            </w:tcBorders>
            <w:hideMark/>
          </w:tcPr>
          <w:p w14:paraId="0A8AE62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2 akte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30 % e faqeve zyrtare nga vlera bazë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2 audite/vit</w:t>
            </w:r>
          </w:p>
        </w:tc>
        <w:tc>
          <w:tcPr>
            <w:tcW w:w="1275" w:type="dxa"/>
            <w:tcBorders>
              <w:top w:val="nil"/>
              <w:left w:val="nil"/>
              <w:bottom w:val="single" w:sz="4" w:space="0" w:color="auto"/>
              <w:right w:val="single" w:sz="4" w:space="0" w:color="auto"/>
            </w:tcBorders>
            <w:hideMark/>
          </w:tcPr>
          <w:p w14:paraId="0DAD44C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2 akte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50 % e faqeve zyrtare nga vlera bazë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6 audite</w:t>
            </w:r>
          </w:p>
        </w:tc>
        <w:tc>
          <w:tcPr>
            <w:tcW w:w="1418" w:type="dxa"/>
            <w:tcBorders>
              <w:top w:val="nil"/>
              <w:left w:val="nil"/>
              <w:bottom w:val="single" w:sz="4" w:space="0" w:color="auto"/>
              <w:right w:val="single" w:sz="4" w:space="0" w:color="auto"/>
            </w:tcBorders>
            <w:hideMark/>
          </w:tcPr>
          <w:p w14:paraId="4B339C5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3933" w:type="dxa"/>
            <w:tcBorders>
              <w:top w:val="nil"/>
              <w:left w:val="nil"/>
              <w:bottom w:val="single" w:sz="4" w:space="0" w:color="auto"/>
              <w:right w:val="single" w:sz="4" w:space="0" w:color="auto"/>
            </w:tcBorders>
            <w:hideMark/>
          </w:tcPr>
          <w:p w14:paraId="1601BBF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D44DC3D" w14:textId="77777777" w:rsidTr="661F9D2E">
        <w:trPr>
          <w:trHeight w:val="464"/>
        </w:trPr>
        <w:tc>
          <w:tcPr>
            <w:tcW w:w="802" w:type="dxa"/>
            <w:vMerge/>
            <w:hideMark/>
          </w:tcPr>
          <w:p w14:paraId="63650A6F" w14:textId="77777777" w:rsidR="007D728E" w:rsidRPr="00CB13F7" w:rsidRDefault="007D728E" w:rsidP="007D728E">
            <w:pPr>
              <w:rPr>
                <w:rFonts w:eastAsia="Times New Roman"/>
                <w:b/>
                <w:bCs/>
                <w:sz w:val="16"/>
                <w:szCs w:val="16"/>
                <w:lang w:eastAsia="en-US"/>
              </w:rPr>
            </w:pPr>
          </w:p>
        </w:tc>
        <w:tc>
          <w:tcPr>
            <w:tcW w:w="2275" w:type="dxa"/>
            <w:gridSpan w:val="2"/>
            <w:vMerge w:val="restart"/>
            <w:tcBorders>
              <w:top w:val="single" w:sz="4" w:space="0" w:color="auto"/>
              <w:left w:val="single" w:sz="4" w:space="0" w:color="auto"/>
              <w:bottom w:val="single" w:sz="4" w:space="0" w:color="auto"/>
              <w:right w:val="single" w:sz="4" w:space="0" w:color="auto"/>
            </w:tcBorders>
            <w:hideMark/>
          </w:tcPr>
          <w:p w14:paraId="364E314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3.2 Sigurimi i produkteve dhe shërbimeve të aksesueshme për informacion dhe komunikim për PAK</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14:paraId="70C501F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Të gjitha institucionet </w:t>
            </w:r>
            <w:r w:rsidR="00234FBC" w:rsidRPr="00CB13F7">
              <w:rPr>
                <w:rFonts w:eastAsia="Times New Roman"/>
                <w:sz w:val="16"/>
                <w:szCs w:val="16"/>
                <w:lang w:eastAsia="en-US"/>
              </w:rPr>
              <w:t>qendrore</w:t>
            </w:r>
            <w:r w:rsidRPr="00CB13F7">
              <w:rPr>
                <w:rFonts w:eastAsia="Times New Roman"/>
                <w:sz w:val="16"/>
                <w:szCs w:val="16"/>
                <w:lang w:eastAsia="en-US"/>
              </w:rPr>
              <w:t xml:space="preserve"> miratojnë udhëzime/akte të brendshme për komunikim të aksesueshëm</w:t>
            </w:r>
            <w:r w:rsidRPr="00CB13F7">
              <w:rPr>
                <w:rFonts w:eastAsia="Times New Roman"/>
                <w:sz w:val="16"/>
                <w:szCs w:val="16"/>
                <w:lang w:eastAsia="en-US"/>
              </w:rPr>
              <w:br/>
            </w:r>
            <w:r w:rsidRPr="00CB13F7">
              <w:rPr>
                <w:rFonts w:eastAsia="Times New Roman"/>
                <w:sz w:val="16"/>
                <w:szCs w:val="16"/>
                <w:lang w:eastAsia="en-US"/>
              </w:rPr>
              <w:br/>
              <w:t xml:space="preserve">Raport vlerësimi për numrin e orëve të programeve të verifikuara për aksesueshmëri </w:t>
            </w:r>
            <w:r w:rsidRPr="00CB13F7">
              <w:rPr>
                <w:rFonts w:eastAsia="Times New Roman"/>
                <w:sz w:val="16"/>
                <w:szCs w:val="16"/>
                <w:lang w:eastAsia="en-US"/>
              </w:rPr>
              <w:br/>
            </w:r>
            <w:r w:rsidRPr="00CB13F7">
              <w:rPr>
                <w:rFonts w:eastAsia="Times New Roman"/>
                <w:sz w:val="16"/>
                <w:szCs w:val="16"/>
                <w:lang w:eastAsia="en-US"/>
              </w:rPr>
              <w:br/>
              <w:t>Të gjitha institucione publike të përfshira, duke filluar nga institucionet qendrore.</w:t>
            </w:r>
            <w:r w:rsidRPr="00CB13F7">
              <w:rPr>
                <w:rFonts w:eastAsia="Times New Roman"/>
                <w:sz w:val="16"/>
                <w:szCs w:val="16"/>
                <w:lang w:eastAsia="en-US"/>
              </w:rPr>
              <w:br/>
              <w:t xml:space="preserve">5 institucione </w:t>
            </w:r>
            <w:r w:rsidR="00234FBC" w:rsidRPr="00CB13F7">
              <w:rPr>
                <w:rFonts w:eastAsia="Times New Roman"/>
                <w:sz w:val="16"/>
                <w:szCs w:val="16"/>
                <w:lang w:eastAsia="en-US"/>
              </w:rPr>
              <w:t>blejnë</w:t>
            </w:r>
            <w:r w:rsidRPr="00CB13F7">
              <w:rPr>
                <w:rFonts w:eastAsia="Times New Roman"/>
                <w:sz w:val="16"/>
                <w:szCs w:val="16"/>
                <w:lang w:eastAsia="en-US"/>
              </w:rPr>
              <w:t xml:space="preserve"> set pajisjesh/softuerëve </w:t>
            </w:r>
            <w:r w:rsidRPr="00CB13F7">
              <w:rPr>
                <w:rFonts w:eastAsia="Times New Roman"/>
                <w:sz w:val="16"/>
                <w:szCs w:val="16"/>
                <w:lang w:eastAsia="en-US"/>
              </w:rPr>
              <w:lastRenderedPageBreak/>
              <w:t xml:space="preserve">(screen readers, zmadhues, pajisje audio) për informacion dhe komunikim te </w:t>
            </w:r>
            <w:r w:rsidR="00234FBC" w:rsidRPr="00CB13F7">
              <w:rPr>
                <w:rFonts w:eastAsia="Times New Roman"/>
                <w:sz w:val="16"/>
                <w:szCs w:val="16"/>
                <w:lang w:eastAsia="en-US"/>
              </w:rPr>
              <w:t>aksesueshëm</w:t>
            </w:r>
            <w:r w:rsidRPr="00CB13F7">
              <w:rPr>
                <w:rFonts w:eastAsia="Times New Roman"/>
                <w:sz w:val="16"/>
                <w:szCs w:val="16"/>
                <w:lang w:eastAsia="en-US"/>
              </w:rPr>
              <w:t xml:space="preserve"> </w:t>
            </w:r>
            <w:r w:rsidR="00234FBC" w:rsidRPr="00CB13F7">
              <w:rPr>
                <w:rFonts w:eastAsia="Times New Roman"/>
                <w:sz w:val="16"/>
                <w:szCs w:val="16"/>
                <w:lang w:eastAsia="en-US"/>
              </w:rPr>
              <w:t>për</w:t>
            </w:r>
            <w:r w:rsidRPr="00CB13F7">
              <w:rPr>
                <w:rFonts w:eastAsia="Times New Roman"/>
                <w:sz w:val="16"/>
                <w:szCs w:val="16"/>
                <w:lang w:eastAsia="en-US"/>
              </w:rPr>
              <w:t xml:space="preserve"> PAK </w:t>
            </w:r>
          </w:p>
        </w:tc>
        <w:tc>
          <w:tcPr>
            <w:tcW w:w="709" w:type="dxa"/>
            <w:vMerge w:val="restart"/>
            <w:tcBorders>
              <w:top w:val="nil"/>
              <w:left w:val="single" w:sz="4" w:space="0" w:color="auto"/>
              <w:bottom w:val="single" w:sz="4" w:space="0" w:color="auto"/>
              <w:right w:val="single" w:sz="4" w:space="0" w:color="auto"/>
            </w:tcBorders>
            <w:hideMark/>
          </w:tcPr>
          <w:p w14:paraId="50E8B7F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1276" w:type="dxa"/>
            <w:vMerge w:val="restart"/>
            <w:tcBorders>
              <w:top w:val="nil"/>
              <w:left w:val="single" w:sz="4" w:space="0" w:color="auto"/>
              <w:bottom w:val="single" w:sz="4" w:space="0" w:color="auto"/>
              <w:right w:val="single" w:sz="4" w:space="0" w:color="auto"/>
            </w:tcBorders>
            <w:hideMark/>
          </w:tcPr>
          <w:p w14:paraId="0AE6862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2 akte/çdo institucion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 raport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30% e institucioneve </w:t>
            </w:r>
            <w:r w:rsidR="00234FBC" w:rsidRPr="00CB13F7">
              <w:rPr>
                <w:rFonts w:eastAsia="Times New Roman"/>
                <w:color w:val="000000"/>
                <w:sz w:val="16"/>
                <w:szCs w:val="16"/>
                <w:lang w:eastAsia="en-US"/>
              </w:rPr>
              <w:t>qendrore</w:t>
            </w:r>
            <w:r w:rsidRPr="00CB13F7">
              <w:rPr>
                <w:rFonts w:eastAsia="Times New Roman"/>
                <w:color w:val="000000"/>
                <w:sz w:val="16"/>
                <w:szCs w:val="16"/>
                <w:lang w:eastAsia="en-US"/>
              </w:rPr>
              <w:t xml:space="preserve"> nga vlera bazë </w:t>
            </w:r>
          </w:p>
        </w:tc>
        <w:tc>
          <w:tcPr>
            <w:tcW w:w="1275" w:type="dxa"/>
            <w:vMerge w:val="restart"/>
            <w:tcBorders>
              <w:top w:val="nil"/>
              <w:left w:val="single" w:sz="4" w:space="0" w:color="auto"/>
              <w:bottom w:val="single" w:sz="4" w:space="0" w:color="auto"/>
              <w:right w:val="single" w:sz="4" w:space="0" w:color="auto"/>
            </w:tcBorders>
            <w:hideMark/>
          </w:tcPr>
          <w:p w14:paraId="48B45C1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 raport</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100 % e institucioneve </w:t>
            </w:r>
            <w:r w:rsidR="00234FBC" w:rsidRPr="00CB13F7">
              <w:rPr>
                <w:rFonts w:eastAsia="Times New Roman"/>
                <w:sz w:val="16"/>
                <w:szCs w:val="16"/>
                <w:lang w:eastAsia="en-US"/>
              </w:rPr>
              <w:t>qendrore</w:t>
            </w:r>
            <w:r w:rsidRPr="00CB13F7">
              <w:rPr>
                <w:rFonts w:eastAsia="Times New Roman"/>
                <w:sz w:val="16"/>
                <w:szCs w:val="16"/>
                <w:lang w:eastAsia="en-US"/>
              </w:rPr>
              <w:t xml:space="preserve"> nga vlera bazë</w:t>
            </w:r>
          </w:p>
        </w:tc>
        <w:tc>
          <w:tcPr>
            <w:tcW w:w="1418" w:type="dxa"/>
            <w:vMerge w:val="restart"/>
            <w:tcBorders>
              <w:top w:val="nil"/>
              <w:left w:val="single" w:sz="4" w:space="0" w:color="auto"/>
              <w:bottom w:val="single" w:sz="4" w:space="0" w:color="auto"/>
              <w:right w:val="single" w:sz="4" w:space="0" w:color="auto"/>
            </w:tcBorders>
            <w:hideMark/>
          </w:tcPr>
          <w:p w14:paraId="4A3D5F0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MEI;</w:t>
            </w:r>
            <w:r w:rsidRPr="00CB13F7">
              <w:rPr>
                <w:rFonts w:eastAsia="Times New Roman"/>
                <w:sz w:val="16"/>
                <w:szCs w:val="16"/>
                <w:lang w:eastAsia="en-US"/>
              </w:rPr>
              <w:br/>
              <w:t xml:space="preserve">MSHMS; </w:t>
            </w:r>
            <w:r w:rsidRPr="00CB13F7">
              <w:rPr>
                <w:rFonts w:eastAsia="Times New Roman"/>
                <w:sz w:val="16"/>
                <w:szCs w:val="16"/>
                <w:lang w:eastAsia="en-US"/>
              </w:rPr>
              <w:br/>
              <w:t>AKSHI;</w:t>
            </w:r>
            <w:r w:rsidRPr="00CB13F7">
              <w:rPr>
                <w:rFonts w:eastAsia="Times New Roman"/>
                <w:sz w:val="16"/>
                <w:szCs w:val="16"/>
                <w:lang w:eastAsia="en-US"/>
              </w:rPr>
              <w:br/>
              <w:t xml:space="preserve">AMA; </w:t>
            </w:r>
            <w:r w:rsidRPr="00CB13F7">
              <w:rPr>
                <w:rFonts w:eastAsia="Times New Roman"/>
                <w:sz w:val="16"/>
                <w:szCs w:val="16"/>
                <w:lang w:eastAsia="en-US"/>
              </w:rPr>
              <w:br/>
              <w:t>AKEP;</w:t>
            </w:r>
            <w:r w:rsidRPr="00CB13F7">
              <w:rPr>
                <w:rFonts w:eastAsia="Times New Roman"/>
                <w:sz w:val="16"/>
                <w:szCs w:val="16"/>
                <w:lang w:eastAsia="en-US"/>
              </w:rPr>
              <w:br/>
            </w:r>
            <w:r w:rsidR="00234FBC" w:rsidRPr="00CB13F7">
              <w:rPr>
                <w:rFonts w:eastAsia="Times New Roman"/>
                <w:sz w:val="16"/>
                <w:szCs w:val="16"/>
                <w:lang w:eastAsia="en-US"/>
              </w:rPr>
              <w:t>Kompanitë</w:t>
            </w:r>
            <w:r w:rsidRPr="00CB13F7">
              <w:rPr>
                <w:rFonts w:eastAsia="Times New Roman"/>
                <w:sz w:val="16"/>
                <w:szCs w:val="16"/>
                <w:lang w:eastAsia="en-US"/>
              </w:rPr>
              <w:t xml:space="preserve"> telefonike ;</w:t>
            </w:r>
            <w:r w:rsidRPr="00CB13F7">
              <w:rPr>
                <w:rFonts w:eastAsia="Times New Roman"/>
                <w:sz w:val="16"/>
                <w:szCs w:val="16"/>
                <w:lang w:eastAsia="en-US"/>
              </w:rPr>
              <w:br/>
              <w:t>OJQ / raporte vlerësim;</w:t>
            </w:r>
          </w:p>
        </w:tc>
        <w:tc>
          <w:tcPr>
            <w:tcW w:w="3933" w:type="dxa"/>
            <w:vMerge w:val="restart"/>
            <w:tcBorders>
              <w:top w:val="nil"/>
              <w:left w:val="single" w:sz="4" w:space="0" w:color="auto"/>
              <w:bottom w:val="single" w:sz="4" w:space="0" w:color="auto"/>
              <w:right w:val="single" w:sz="4" w:space="0" w:color="auto"/>
            </w:tcBorders>
            <w:hideMark/>
          </w:tcPr>
          <w:p w14:paraId="2F7381B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4618907" w14:textId="77777777" w:rsidTr="661F9D2E">
        <w:trPr>
          <w:trHeight w:val="464"/>
        </w:trPr>
        <w:tc>
          <w:tcPr>
            <w:tcW w:w="802" w:type="dxa"/>
            <w:vMerge/>
            <w:hideMark/>
          </w:tcPr>
          <w:p w14:paraId="55C21349"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116AAC6B" w14:textId="77777777" w:rsidR="007D728E" w:rsidRPr="00CB13F7" w:rsidRDefault="007D728E" w:rsidP="007D728E">
            <w:pPr>
              <w:rPr>
                <w:rFonts w:eastAsia="Times New Roman"/>
                <w:sz w:val="16"/>
                <w:szCs w:val="16"/>
                <w:lang w:eastAsia="en-US"/>
              </w:rPr>
            </w:pPr>
          </w:p>
        </w:tc>
        <w:tc>
          <w:tcPr>
            <w:tcW w:w="1984" w:type="dxa"/>
            <w:gridSpan w:val="2"/>
            <w:vMerge/>
            <w:hideMark/>
          </w:tcPr>
          <w:p w14:paraId="446530A1" w14:textId="77777777" w:rsidR="007D728E" w:rsidRPr="00CB13F7" w:rsidRDefault="007D728E" w:rsidP="007D728E">
            <w:pPr>
              <w:rPr>
                <w:rFonts w:eastAsia="Times New Roman"/>
                <w:sz w:val="16"/>
                <w:szCs w:val="16"/>
                <w:lang w:eastAsia="en-US"/>
              </w:rPr>
            </w:pPr>
          </w:p>
        </w:tc>
        <w:tc>
          <w:tcPr>
            <w:tcW w:w="709" w:type="dxa"/>
            <w:vMerge/>
            <w:hideMark/>
          </w:tcPr>
          <w:p w14:paraId="79076D52" w14:textId="77777777" w:rsidR="007D728E" w:rsidRPr="00CB13F7" w:rsidRDefault="007D728E" w:rsidP="007D728E">
            <w:pPr>
              <w:rPr>
                <w:rFonts w:eastAsia="Times New Roman"/>
                <w:sz w:val="16"/>
                <w:szCs w:val="16"/>
                <w:lang w:eastAsia="en-US"/>
              </w:rPr>
            </w:pPr>
          </w:p>
        </w:tc>
        <w:tc>
          <w:tcPr>
            <w:tcW w:w="1276" w:type="dxa"/>
            <w:vMerge/>
            <w:hideMark/>
          </w:tcPr>
          <w:p w14:paraId="2CF9E504" w14:textId="77777777" w:rsidR="007D728E" w:rsidRPr="00CB13F7" w:rsidRDefault="007D728E" w:rsidP="007D728E">
            <w:pPr>
              <w:rPr>
                <w:rFonts w:eastAsia="Times New Roman"/>
                <w:color w:val="000000"/>
                <w:sz w:val="16"/>
                <w:szCs w:val="16"/>
                <w:lang w:eastAsia="en-US"/>
              </w:rPr>
            </w:pPr>
          </w:p>
        </w:tc>
        <w:tc>
          <w:tcPr>
            <w:tcW w:w="1275" w:type="dxa"/>
            <w:vMerge/>
            <w:hideMark/>
          </w:tcPr>
          <w:p w14:paraId="09D39875" w14:textId="77777777" w:rsidR="007D728E" w:rsidRPr="00CB13F7" w:rsidRDefault="007D728E" w:rsidP="007D728E">
            <w:pPr>
              <w:rPr>
                <w:rFonts w:eastAsia="Times New Roman"/>
                <w:sz w:val="16"/>
                <w:szCs w:val="16"/>
                <w:lang w:eastAsia="en-US"/>
              </w:rPr>
            </w:pPr>
          </w:p>
        </w:tc>
        <w:tc>
          <w:tcPr>
            <w:tcW w:w="1418" w:type="dxa"/>
            <w:vMerge/>
            <w:hideMark/>
          </w:tcPr>
          <w:p w14:paraId="158C775B" w14:textId="77777777" w:rsidR="007D728E" w:rsidRPr="00CB13F7" w:rsidRDefault="007D728E" w:rsidP="007D728E">
            <w:pPr>
              <w:rPr>
                <w:rFonts w:eastAsia="Times New Roman"/>
                <w:sz w:val="16"/>
                <w:szCs w:val="16"/>
                <w:lang w:eastAsia="en-US"/>
              </w:rPr>
            </w:pPr>
          </w:p>
        </w:tc>
        <w:tc>
          <w:tcPr>
            <w:tcW w:w="3933" w:type="dxa"/>
            <w:vMerge/>
            <w:hideMark/>
          </w:tcPr>
          <w:p w14:paraId="48CB9009" w14:textId="77777777" w:rsidR="007D728E" w:rsidRPr="00CB13F7" w:rsidRDefault="007D728E" w:rsidP="007D728E">
            <w:pPr>
              <w:rPr>
                <w:rFonts w:eastAsia="Times New Roman"/>
                <w:color w:val="000000"/>
                <w:sz w:val="16"/>
                <w:szCs w:val="16"/>
                <w:lang w:eastAsia="en-US"/>
              </w:rPr>
            </w:pPr>
          </w:p>
        </w:tc>
      </w:tr>
      <w:tr w:rsidR="007D728E" w:rsidRPr="00CB13F7" w14:paraId="3B9EF2C7" w14:textId="77777777" w:rsidTr="661F9D2E">
        <w:trPr>
          <w:trHeight w:val="464"/>
        </w:trPr>
        <w:tc>
          <w:tcPr>
            <w:tcW w:w="802" w:type="dxa"/>
            <w:vMerge/>
            <w:hideMark/>
          </w:tcPr>
          <w:p w14:paraId="6CD2B0A0"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69CED738" w14:textId="77777777" w:rsidR="007D728E" w:rsidRPr="00CB13F7" w:rsidRDefault="007D728E" w:rsidP="007D728E">
            <w:pPr>
              <w:rPr>
                <w:rFonts w:eastAsia="Times New Roman"/>
                <w:sz w:val="16"/>
                <w:szCs w:val="16"/>
                <w:lang w:eastAsia="en-US"/>
              </w:rPr>
            </w:pPr>
          </w:p>
        </w:tc>
        <w:tc>
          <w:tcPr>
            <w:tcW w:w="1984" w:type="dxa"/>
            <w:gridSpan w:val="2"/>
            <w:vMerge/>
            <w:hideMark/>
          </w:tcPr>
          <w:p w14:paraId="3F236B2A" w14:textId="77777777" w:rsidR="007D728E" w:rsidRPr="00CB13F7" w:rsidRDefault="007D728E" w:rsidP="007D728E">
            <w:pPr>
              <w:rPr>
                <w:rFonts w:eastAsia="Times New Roman"/>
                <w:sz w:val="16"/>
                <w:szCs w:val="16"/>
                <w:lang w:eastAsia="en-US"/>
              </w:rPr>
            </w:pPr>
          </w:p>
        </w:tc>
        <w:tc>
          <w:tcPr>
            <w:tcW w:w="709" w:type="dxa"/>
            <w:vMerge/>
            <w:hideMark/>
          </w:tcPr>
          <w:p w14:paraId="4CD312B5" w14:textId="77777777" w:rsidR="007D728E" w:rsidRPr="00CB13F7" w:rsidRDefault="007D728E" w:rsidP="007D728E">
            <w:pPr>
              <w:rPr>
                <w:rFonts w:eastAsia="Times New Roman"/>
                <w:sz w:val="16"/>
                <w:szCs w:val="16"/>
                <w:lang w:eastAsia="en-US"/>
              </w:rPr>
            </w:pPr>
          </w:p>
        </w:tc>
        <w:tc>
          <w:tcPr>
            <w:tcW w:w="1276" w:type="dxa"/>
            <w:vMerge/>
            <w:hideMark/>
          </w:tcPr>
          <w:p w14:paraId="58818B89" w14:textId="77777777" w:rsidR="007D728E" w:rsidRPr="00CB13F7" w:rsidRDefault="007D728E" w:rsidP="007D728E">
            <w:pPr>
              <w:rPr>
                <w:rFonts w:eastAsia="Times New Roman"/>
                <w:color w:val="000000"/>
                <w:sz w:val="16"/>
                <w:szCs w:val="16"/>
                <w:lang w:eastAsia="en-US"/>
              </w:rPr>
            </w:pPr>
          </w:p>
        </w:tc>
        <w:tc>
          <w:tcPr>
            <w:tcW w:w="1275" w:type="dxa"/>
            <w:vMerge/>
            <w:hideMark/>
          </w:tcPr>
          <w:p w14:paraId="7CD2E22E" w14:textId="77777777" w:rsidR="007D728E" w:rsidRPr="00CB13F7" w:rsidRDefault="007D728E" w:rsidP="007D728E">
            <w:pPr>
              <w:rPr>
                <w:rFonts w:eastAsia="Times New Roman"/>
                <w:sz w:val="16"/>
                <w:szCs w:val="16"/>
                <w:lang w:eastAsia="en-US"/>
              </w:rPr>
            </w:pPr>
          </w:p>
        </w:tc>
        <w:tc>
          <w:tcPr>
            <w:tcW w:w="1418" w:type="dxa"/>
            <w:vMerge/>
            <w:hideMark/>
          </w:tcPr>
          <w:p w14:paraId="413BEFA1" w14:textId="77777777" w:rsidR="007D728E" w:rsidRPr="00CB13F7" w:rsidRDefault="007D728E" w:rsidP="007D728E">
            <w:pPr>
              <w:rPr>
                <w:rFonts w:eastAsia="Times New Roman"/>
                <w:sz w:val="16"/>
                <w:szCs w:val="16"/>
                <w:lang w:eastAsia="en-US"/>
              </w:rPr>
            </w:pPr>
          </w:p>
        </w:tc>
        <w:tc>
          <w:tcPr>
            <w:tcW w:w="3933" w:type="dxa"/>
            <w:vMerge/>
            <w:hideMark/>
          </w:tcPr>
          <w:p w14:paraId="3364C323" w14:textId="77777777" w:rsidR="007D728E" w:rsidRPr="00CB13F7" w:rsidRDefault="007D728E" w:rsidP="007D728E">
            <w:pPr>
              <w:rPr>
                <w:rFonts w:eastAsia="Times New Roman"/>
                <w:color w:val="000000"/>
                <w:sz w:val="16"/>
                <w:szCs w:val="16"/>
                <w:lang w:eastAsia="en-US"/>
              </w:rPr>
            </w:pPr>
          </w:p>
        </w:tc>
      </w:tr>
      <w:tr w:rsidR="007D728E" w:rsidRPr="00CB13F7" w14:paraId="355D3BBD" w14:textId="77777777" w:rsidTr="661F9D2E">
        <w:trPr>
          <w:trHeight w:val="464"/>
        </w:trPr>
        <w:tc>
          <w:tcPr>
            <w:tcW w:w="802" w:type="dxa"/>
            <w:vMerge/>
            <w:hideMark/>
          </w:tcPr>
          <w:p w14:paraId="5BD486B2"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034042AB" w14:textId="77777777" w:rsidR="007D728E" w:rsidRPr="00CB13F7" w:rsidRDefault="007D728E" w:rsidP="007D728E">
            <w:pPr>
              <w:rPr>
                <w:rFonts w:eastAsia="Times New Roman"/>
                <w:sz w:val="16"/>
                <w:szCs w:val="16"/>
                <w:lang w:eastAsia="en-US"/>
              </w:rPr>
            </w:pPr>
          </w:p>
        </w:tc>
        <w:tc>
          <w:tcPr>
            <w:tcW w:w="1984" w:type="dxa"/>
            <w:gridSpan w:val="2"/>
            <w:vMerge/>
            <w:hideMark/>
          </w:tcPr>
          <w:p w14:paraId="534A5217" w14:textId="77777777" w:rsidR="007D728E" w:rsidRPr="00CB13F7" w:rsidRDefault="007D728E" w:rsidP="007D728E">
            <w:pPr>
              <w:rPr>
                <w:rFonts w:eastAsia="Times New Roman"/>
                <w:sz w:val="16"/>
                <w:szCs w:val="16"/>
                <w:lang w:eastAsia="en-US"/>
              </w:rPr>
            </w:pPr>
          </w:p>
        </w:tc>
        <w:tc>
          <w:tcPr>
            <w:tcW w:w="709" w:type="dxa"/>
            <w:vMerge/>
            <w:hideMark/>
          </w:tcPr>
          <w:p w14:paraId="653C307F" w14:textId="77777777" w:rsidR="007D728E" w:rsidRPr="00CB13F7" w:rsidRDefault="007D728E" w:rsidP="007D728E">
            <w:pPr>
              <w:rPr>
                <w:rFonts w:eastAsia="Times New Roman"/>
                <w:sz w:val="16"/>
                <w:szCs w:val="16"/>
                <w:lang w:eastAsia="en-US"/>
              </w:rPr>
            </w:pPr>
          </w:p>
        </w:tc>
        <w:tc>
          <w:tcPr>
            <w:tcW w:w="1276" w:type="dxa"/>
            <w:vMerge/>
            <w:hideMark/>
          </w:tcPr>
          <w:p w14:paraId="511D5772" w14:textId="77777777" w:rsidR="007D728E" w:rsidRPr="00CB13F7" w:rsidRDefault="007D728E" w:rsidP="007D728E">
            <w:pPr>
              <w:rPr>
                <w:rFonts w:eastAsia="Times New Roman"/>
                <w:color w:val="000000"/>
                <w:sz w:val="16"/>
                <w:szCs w:val="16"/>
                <w:lang w:eastAsia="en-US"/>
              </w:rPr>
            </w:pPr>
          </w:p>
        </w:tc>
        <w:tc>
          <w:tcPr>
            <w:tcW w:w="1275" w:type="dxa"/>
            <w:vMerge/>
            <w:hideMark/>
          </w:tcPr>
          <w:p w14:paraId="6DB08C0D" w14:textId="77777777" w:rsidR="007D728E" w:rsidRPr="00CB13F7" w:rsidRDefault="007D728E" w:rsidP="007D728E">
            <w:pPr>
              <w:rPr>
                <w:rFonts w:eastAsia="Times New Roman"/>
                <w:sz w:val="16"/>
                <w:szCs w:val="16"/>
                <w:lang w:eastAsia="en-US"/>
              </w:rPr>
            </w:pPr>
          </w:p>
        </w:tc>
        <w:tc>
          <w:tcPr>
            <w:tcW w:w="1418" w:type="dxa"/>
            <w:vMerge/>
            <w:hideMark/>
          </w:tcPr>
          <w:p w14:paraId="28F9AE2F" w14:textId="77777777" w:rsidR="007D728E" w:rsidRPr="00CB13F7" w:rsidRDefault="007D728E" w:rsidP="007D728E">
            <w:pPr>
              <w:rPr>
                <w:rFonts w:eastAsia="Times New Roman"/>
                <w:sz w:val="16"/>
                <w:szCs w:val="16"/>
                <w:lang w:eastAsia="en-US"/>
              </w:rPr>
            </w:pPr>
          </w:p>
        </w:tc>
        <w:tc>
          <w:tcPr>
            <w:tcW w:w="3933" w:type="dxa"/>
            <w:vMerge/>
            <w:hideMark/>
          </w:tcPr>
          <w:p w14:paraId="0D9C044A" w14:textId="77777777" w:rsidR="007D728E" w:rsidRPr="00CB13F7" w:rsidRDefault="007D728E" w:rsidP="007D728E">
            <w:pPr>
              <w:rPr>
                <w:rFonts w:eastAsia="Times New Roman"/>
                <w:color w:val="000000"/>
                <w:sz w:val="16"/>
                <w:szCs w:val="16"/>
                <w:lang w:eastAsia="en-US"/>
              </w:rPr>
            </w:pPr>
          </w:p>
        </w:tc>
      </w:tr>
      <w:tr w:rsidR="007D728E" w:rsidRPr="00CB13F7" w14:paraId="219372F6" w14:textId="77777777" w:rsidTr="661F9D2E">
        <w:trPr>
          <w:trHeight w:val="464"/>
        </w:trPr>
        <w:tc>
          <w:tcPr>
            <w:tcW w:w="802" w:type="dxa"/>
            <w:vMerge/>
            <w:hideMark/>
          </w:tcPr>
          <w:p w14:paraId="54C9859F"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5217F4EF" w14:textId="77777777" w:rsidR="007D728E" w:rsidRPr="00CB13F7" w:rsidRDefault="007D728E" w:rsidP="007D728E">
            <w:pPr>
              <w:rPr>
                <w:rFonts w:eastAsia="Times New Roman"/>
                <w:sz w:val="16"/>
                <w:szCs w:val="16"/>
                <w:lang w:eastAsia="en-US"/>
              </w:rPr>
            </w:pPr>
          </w:p>
        </w:tc>
        <w:tc>
          <w:tcPr>
            <w:tcW w:w="1984" w:type="dxa"/>
            <w:gridSpan w:val="2"/>
            <w:vMerge/>
            <w:hideMark/>
          </w:tcPr>
          <w:p w14:paraId="7C1C5C4C" w14:textId="77777777" w:rsidR="007D728E" w:rsidRPr="00CB13F7" w:rsidRDefault="007D728E" w:rsidP="007D728E">
            <w:pPr>
              <w:rPr>
                <w:rFonts w:eastAsia="Times New Roman"/>
                <w:sz w:val="16"/>
                <w:szCs w:val="16"/>
                <w:lang w:eastAsia="en-US"/>
              </w:rPr>
            </w:pPr>
          </w:p>
        </w:tc>
        <w:tc>
          <w:tcPr>
            <w:tcW w:w="709" w:type="dxa"/>
            <w:vMerge/>
            <w:hideMark/>
          </w:tcPr>
          <w:p w14:paraId="670DC9E4" w14:textId="77777777" w:rsidR="007D728E" w:rsidRPr="00CB13F7" w:rsidRDefault="007D728E" w:rsidP="007D728E">
            <w:pPr>
              <w:rPr>
                <w:rFonts w:eastAsia="Times New Roman"/>
                <w:sz w:val="16"/>
                <w:szCs w:val="16"/>
                <w:lang w:eastAsia="en-US"/>
              </w:rPr>
            </w:pPr>
          </w:p>
        </w:tc>
        <w:tc>
          <w:tcPr>
            <w:tcW w:w="1276" w:type="dxa"/>
            <w:vMerge/>
            <w:hideMark/>
          </w:tcPr>
          <w:p w14:paraId="17071A74" w14:textId="77777777" w:rsidR="007D728E" w:rsidRPr="00CB13F7" w:rsidRDefault="007D728E" w:rsidP="007D728E">
            <w:pPr>
              <w:rPr>
                <w:rFonts w:eastAsia="Times New Roman"/>
                <w:color w:val="000000"/>
                <w:sz w:val="16"/>
                <w:szCs w:val="16"/>
                <w:lang w:eastAsia="en-US"/>
              </w:rPr>
            </w:pPr>
          </w:p>
        </w:tc>
        <w:tc>
          <w:tcPr>
            <w:tcW w:w="1275" w:type="dxa"/>
            <w:vMerge/>
            <w:hideMark/>
          </w:tcPr>
          <w:p w14:paraId="068E99D4" w14:textId="77777777" w:rsidR="007D728E" w:rsidRPr="00CB13F7" w:rsidRDefault="007D728E" w:rsidP="007D728E">
            <w:pPr>
              <w:rPr>
                <w:rFonts w:eastAsia="Times New Roman"/>
                <w:sz w:val="16"/>
                <w:szCs w:val="16"/>
                <w:lang w:eastAsia="en-US"/>
              </w:rPr>
            </w:pPr>
          </w:p>
        </w:tc>
        <w:tc>
          <w:tcPr>
            <w:tcW w:w="1418" w:type="dxa"/>
            <w:vMerge/>
            <w:hideMark/>
          </w:tcPr>
          <w:p w14:paraId="27B00AA5" w14:textId="77777777" w:rsidR="007D728E" w:rsidRPr="00CB13F7" w:rsidRDefault="007D728E" w:rsidP="007D728E">
            <w:pPr>
              <w:rPr>
                <w:rFonts w:eastAsia="Times New Roman"/>
                <w:sz w:val="16"/>
                <w:szCs w:val="16"/>
                <w:lang w:eastAsia="en-US"/>
              </w:rPr>
            </w:pPr>
          </w:p>
        </w:tc>
        <w:tc>
          <w:tcPr>
            <w:tcW w:w="3933" w:type="dxa"/>
            <w:vMerge/>
            <w:hideMark/>
          </w:tcPr>
          <w:p w14:paraId="2795315D" w14:textId="77777777" w:rsidR="007D728E" w:rsidRPr="00CB13F7" w:rsidRDefault="007D728E" w:rsidP="007D728E">
            <w:pPr>
              <w:rPr>
                <w:rFonts w:eastAsia="Times New Roman"/>
                <w:color w:val="000000"/>
                <w:sz w:val="16"/>
                <w:szCs w:val="16"/>
                <w:lang w:eastAsia="en-US"/>
              </w:rPr>
            </w:pPr>
          </w:p>
        </w:tc>
      </w:tr>
      <w:tr w:rsidR="007D728E" w:rsidRPr="00CB13F7" w14:paraId="18CDAE82" w14:textId="77777777" w:rsidTr="661F9D2E">
        <w:trPr>
          <w:trHeight w:val="464"/>
        </w:trPr>
        <w:tc>
          <w:tcPr>
            <w:tcW w:w="802" w:type="dxa"/>
            <w:vMerge/>
            <w:hideMark/>
          </w:tcPr>
          <w:p w14:paraId="30AE075B"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1F5D0C8C" w14:textId="77777777" w:rsidR="007D728E" w:rsidRPr="00CB13F7" w:rsidRDefault="007D728E" w:rsidP="007D728E">
            <w:pPr>
              <w:rPr>
                <w:rFonts w:eastAsia="Times New Roman"/>
                <w:sz w:val="16"/>
                <w:szCs w:val="16"/>
                <w:lang w:eastAsia="en-US"/>
              </w:rPr>
            </w:pPr>
          </w:p>
        </w:tc>
        <w:tc>
          <w:tcPr>
            <w:tcW w:w="1984" w:type="dxa"/>
            <w:gridSpan w:val="2"/>
            <w:vMerge/>
            <w:hideMark/>
          </w:tcPr>
          <w:p w14:paraId="4FB70C35" w14:textId="77777777" w:rsidR="007D728E" w:rsidRPr="00CB13F7" w:rsidRDefault="007D728E" w:rsidP="007D728E">
            <w:pPr>
              <w:rPr>
                <w:rFonts w:eastAsia="Times New Roman"/>
                <w:sz w:val="16"/>
                <w:szCs w:val="16"/>
                <w:lang w:eastAsia="en-US"/>
              </w:rPr>
            </w:pPr>
          </w:p>
        </w:tc>
        <w:tc>
          <w:tcPr>
            <w:tcW w:w="709" w:type="dxa"/>
            <w:vMerge/>
            <w:hideMark/>
          </w:tcPr>
          <w:p w14:paraId="3C5C33AE" w14:textId="77777777" w:rsidR="007D728E" w:rsidRPr="00CB13F7" w:rsidRDefault="007D728E" w:rsidP="007D728E">
            <w:pPr>
              <w:rPr>
                <w:rFonts w:eastAsia="Times New Roman"/>
                <w:sz w:val="16"/>
                <w:szCs w:val="16"/>
                <w:lang w:eastAsia="en-US"/>
              </w:rPr>
            </w:pPr>
          </w:p>
        </w:tc>
        <w:tc>
          <w:tcPr>
            <w:tcW w:w="1276" w:type="dxa"/>
            <w:vMerge/>
            <w:hideMark/>
          </w:tcPr>
          <w:p w14:paraId="38377FAA" w14:textId="77777777" w:rsidR="007D728E" w:rsidRPr="00CB13F7" w:rsidRDefault="007D728E" w:rsidP="007D728E">
            <w:pPr>
              <w:rPr>
                <w:rFonts w:eastAsia="Times New Roman"/>
                <w:color w:val="000000"/>
                <w:sz w:val="16"/>
                <w:szCs w:val="16"/>
                <w:lang w:eastAsia="en-US"/>
              </w:rPr>
            </w:pPr>
          </w:p>
        </w:tc>
        <w:tc>
          <w:tcPr>
            <w:tcW w:w="1275" w:type="dxa"/>
            <w:vMerge/>
            <w:hideMark/>
          </w:tcPr>
          <w:p w14:paraId="44297459" w14:textId="77777777" w:rsidR="007D728E" w:rsidRPr="00CB13F7" w:rsidRDefault="007D728E" w:rsidP="007D728E">
            <w:pPr>
              <w:rPr>
                <w:rFonts w:eastAsia="Times New Roman"/>
                <w:sz w:val="16"/>
                <w:szCs w:val="16"/>
                <w:lang w:eastAsia="en-US"/>
              </w:rPr>
            </w:pPr>
          </w:p>
        </w:tc>
        <w:tc>
          <w:tcPr>
            <w:tcW w:w="1418" w:type="dxa"/>
            <w:vMerge/>
            <w:hideMark/>
          </w:tcPr>
          <w:p w14:paraId="05616123" w14:textId="77777777" w:rsidR="007D728E" w:rsidRPr="00CB13F7" w:rsidRDefault="007D728E" w:rsidP="007D728E">
            <w:pPr>
              <w:rPr>
                <w:rFonts w:eastAsia="Times New Roman"/>
                <w:sz w:val="16"/>
                <w:szCs w:val="16"/>
                <w:lang w:eastAsia="en-US"/>
              </w:rPr>
            </w:pPr>
          </w:p>
        </w:tc>
        <w:tc>
          <w:tcPr>
            <w:tcW w:w="3933" w:type="dxa"/>
            <w:vMerge/>
            <w:hideMark/>
          </w:tcPr>
          <w:p w14:paraId="03D83749" w14:textId="77777777" w:rsidR="007D728E" w:rsidRPr="00CB13F7" w:rsidRDefault="007D728E" w:rsidP="007D728E">
            <w:pPr>
              <w:rPr>
                <w:rFonts w:eastAsia="Times New Roman"/>
                <w:color w:val="000000"/>
                <w:sz w:val="16"/>
                <w:szCs w:val="16"/>
                <w:lang w:eastAsia="en-US"/>
              </w:rPr>
            </w:pPr>
          </w:p>
        </w:tc>
      </w:tr>
      <w:tr w:rsidR="007D728E" w:rsidRPr="00CB13F7" w14:paraId="3ADE9578" w14:textId="77777777" w:rsidTr="661F9D2E">
        <w:trPr>
          <w:trHeight w:val="464"/>
        </w:trPr>
        <w:tc>
          <w:tcPr>
            <w:tcW w:w="802" w:type="dxa"/>
            <w:vMerge/>
            <w:hideMark/>
          </w:tcPr>
          <w:p w14:paraId="25AC738A"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63D94574" w14:textId="77777777" w:rsidR="007D728E" w:rsidRPr="00CB13F7" w:rsidRDefault="007D728E" w:rsidP="007D728E">
            <w:pPr>
              <w:rPr>
                <w:rFonts w:eastAsia="Times New Roman"/>
                <w:sz w:val="16"/>
                <w:szCs w:val="16"/>
                <w:lang w:eastAsia="en-US"/>
              </w:rPr>
            </w:pPr>
          </w:p>
        </w:tc>
        <w:tc>
          <w:tcPr>
            <w:tcW w:w="1984" w:type="dxa"/>
            <w:gridSpan w:val="2"/>
            <w:vMerge/>
            <w:hideMark/>
          </w:tcPr>
          <w:p w14:paraId="214A688E" w14:textId="77777777" w:rsidR="007D728E" w:rsidRPr="00CB13F7" w:rsidRDefault="007D728E" w:rsidP="007D728E">
            <w:pPr>
              <w:rPr>
                <w:rFonts w:eastAsia="Times New Roman"/>
                <w:sz w:val="16"/>
                <w:szCs w:val="16"/>
                <w:lang w:eastAsia="en-US"/>
              </w:rPr>
            </w:pPr>
          </w:p>
        </w:tc>
        <w:tc>
          <w:tcPr>
            <w:tcW w:w="709" w:type="dxa"/>
            <w:vMerge/>
            <w:hideMark/>
          </w:tcPr>
          <w:p w14:paraId="3E99DB44" w14:textId="77777777" w:rsidR="007D728E" w:rsidRPr="00CB13F7" w:rsidRDefault="007D728E" w:rsidP="007D728E">
            <w:pPr>
              <w:rPr>
                <w:rFonts w:eastAsia="Times New Roman"/>
                <w:sz w:val="16"/>
                <w:szCs w:val="16"/>
                <w:lang w:eastAsia="en-US"/>
              </w:rPr>
            </w:pPr>
          </w:p>
        </w:tc>
        <w:tc>
          <w:tcPr>
            <w:tcW w:w="1276" w:type="dxa"/>
            <w:vMerge/>
            <w:hideMark/>
          </w:tcPr>
          <w:p w14:paraId="2F7D84B7" w14:textId="77777777" w:rsidR="007D728E" w:rsidRPr="00CB13F7" w:rsidRDefault="007D728E" w:rsidP="007D728E">
            <w:pPr>
              <w:rPr>
                <w:rFonts w:eastAsia="Times New Roman"/>
                <w:color w:val="000000"/>
                <w:sz w:val="16"/>
                <w:szCs w:val="16"/>
                <w:lang w:eastAsia="en-US"/>
              </w:rPr>
            </w:pPr>
          </w:p>
        </w:tc>
        <w:tc>
          <w:tcPr>
            <w:tcW w:w="1275" w:type="dxa"/>
            <w:vMerge/>
            <w:hideMark/>
          </w:tcPr>
          <w:p w14:paraId="7D591F1E" w14:textId="77777777" w:rsidR="007D728E" w:rsidRPr="00CB13F7" w:rsidRDefault="007D728E" w:rsidP="007D728E">
            <w:pPr>
              <w:rPr>
                <w:rFonts w:eastAsia="Times New Roman"/>
                <w:sz w:val="16"/>
                <w:szCs w:val="16"/>
                <w:lang w:eastAsia="en-US"/>
              </w:rPr>
            </w:pPr>
          </w:p>
        </w:tc>
        <w:tc>
          <w:tcPr>
            <w:tcW w:w="1418" w:type="dxa"/>
            <w:vMerge/>
            <w:hideMark/>
          </w:tcPr>
          <w:p w14:paraId="5F0BBC68" w14:textId="77777777" w:rsidR="007D728E" w:rsidRPr="00CB13F7" w:rsidRDefault="007D728E" w:rsidP="007D728E">
            <w:pPr>
              <w:rPr>
                <w:rFonts w:eastAsia="Times New Roman"/>
                <w:sz w:val="16"/>
                <w:szCs w:val="16"/>
                <w:lang w:eastAsia="en-US"/>
              </w:rPr>
            </w:pPr>
          </w:p>
        </w:tc>
        <w:tc>
          <w:tcPr>
            <w:tcW w:w="3933" w:type="dxa"/>
            <w:vMerge/>
            <w:hideMark/>
          </w:tcPr>
          <w:p w14:paraId="6047BB05" w14:textId="77777777" w:rsidR="007D728E" w:rsidRPr="00CB13F7" w:rsidRDefault="007D728E" w:rsidP="007D728E">
            <w:pPr>
              <w:rPr>
                <w:rFonts w:eastAsia="Times New Roman"/>
                <w:color w:val="000000"/>
                <w:sz w:val="16"/>
                <w:szCs w:val="16"/>
                <w:lang w:eastAsia="en-US"/>
              </w:rPr>
            </w:pPr>
          </w:p>
        </w:tc>
      </w:tr>
      <w:tr w:rsidR="007D728E" w:rsidRPr="00CB13F7" w14:paraId="46F46401" w14:textId="77777777" w:rsidTr="661F9D2E">
        <w:trPr>
          <w:trHeight w:val="464"/>
        </w:trPr>
        <w:tc>
          <w:tcPr>
            <w:tcW w:w="802" w:type="dxa"/>
            <w:vMerge/>
            <w:hideMark/>
          </w:tcPr>
          <w:p w14:paraId="0818F098"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3FD29C15" w14:textId="77777777" w:rsidR="007D728E" w:rsidRPr="00CB13F7" w:rsidRDefault="007D728E" w:rsidP="007D728E">
            <w:pPr>
              <w:rPr>
                <w:rFonts w:eastAsia="Times New Roman"/>
                <w:sz w:val="16"/>
                <w:szCs w:val="16"/>
                <w:lang w:eastAsia="en-US"/>
              </w:rPr>
            </w:pPr>
          </w:p>
        </w:tc>
        <w:tc>
          <w:tcPr>
            <w:tcW w:w="1984" w:type="dxa"/>
            <w:gridSpan w:val="2"/>
            <w:vMerge/>
            <w:hideMark/>
          </w:tcPr>
          <w:p w14:paraId="0DBAB98F" w14:textId="77777777" w:rsidR="007D728E" w:rsidRPr="00CB13F7" w:rsidRDefault="007D728E" w:rsidP="007D728E">
            <w:pPr>
              <w:rPr>
                <w:rFonts w:eastAsia="Times New Roman"/>
                <w:sz w:val="16"/>
                <w:szCs w:val="16"/>
                <w:lang w:eastAsia="en-US"/>
              </w:rPr>
            </w:pPr>
          </w:p>
        </w:tc>
        <w:tc>
          <w:tcPr>
            <w:tcW w:w="709" w:type="dxa"/>
            <w:vMerge/>
            <w:hideMark/>
          </w:tcPr>
          <w:p w14:paraId="4F6D53F4" w14:textId="77777777" w:rsidR="007D728E" w:rsidRPr="00CB13F7" w:rsidRDefault="007D728E" w:rsidP="007D728E">
            <w:pPr>
              <w:rPr>
                <w:rFonts w:eastAsia="Times New Roman"/>
                <w:sz w:val="16"/>
                <w:szCs w:val="16"/>
                <w:lang w:eastAsia="en-US"/>
              </w:rPr>
            </w:pPr>
          </w:p>
        </w:tc>
        <w:tc>
          <w:tcPr>
            <w:tcW w:w="1276" w:type="dxa"/>
            <w:vMerge/>
            <w:hideMark/>
          </w:tcPr>
          <w:p w14:paraId="303A898A" w14:textId="77777777" w:rsidR="007D728E" w:rsidRPr="00CB13F7" w:rsidRDefault="007D728E" w:rsidP="007D728E">
            <w:pPr>
              <w:rPr>
                <w:rFonts w:eastAsia="Times New Roman"/>
                <w:color w:val="000000"/>
                <w:sz w:val="16"/>
                <w:szCs w:val="16"/>
                <w:lang w:eastAsia="en-US"/>
              </w:rPr>
            </w:pPr>
          </w:p>
        </w:tc>
        <w:tc>
          <w:tcPr>
            <w:tcW w:w="1275" w:type="dxa"/>
            <w:vMerge/>
            <w:hideMark/>
          </w:tcPr>
          <w:p w14:paraId="50BB3B10" w14:textId="77777777" w:rsidR="007D728E" w:rsidRPr="00CB13F7" w:rsidRDefault="007D728E" w:rsidP="007D728E">
            <w:pPr>
              <w:rPr>
                <w:rFonts w:eastAsia="Times New Roman"/>
                <w:sz w:val="16"/>
                <w:szCs w:val="16"/>
                <w:lang w:eastAsia="en-US"/>
              </w:rPr>
            </w:pPr>
          </w:p>
        </w:tc>
        <w:tc>
          <w:tcPr>
            <w:tcW w:w="1418" w:type="dxa"/>
            <w:vMerge/>
            <w:hideMark/>
          </w:tcPr>
          <w:p w14:paraId="39D5BD0A" w14:textId="77777777" w:rsidR="007D728E" w:rsidRPr="00CB13F7" w:rsidRDefault="007D728E" w:rsidP="007D728E">
            <w:pPr>
              <w:rPr>
                <w:rFonts w:eastAsia="Times New Roman"/>
                <w:sz w:val="16"/>
                <w:szCs w:val="16"/>
                <w:lang w:eastAsia="en-US"/>
              </w:rPr>
            </w:pPr>
          </w:p>
        </w:tc>
        <w:tc>
          <w:tcPr>
            <w:tcW w:w="3933" w:type="dxa"/>
            <w:vMerge/>
            <w:hideMark/>
          </w:tcPr>
          <w:p w14:paraId="57C1F582" w14:textId="77777777" w:rsidR="007D728E" w:rsidRPr="00CB13F7" w:rsidRDefault="007D728E" w:rsidP="007D728E">
            <w:pPr>
              <w:rPr>
                <w:rFonts w:eastAsia="Times New Roman"/>
                <w:color w:val="000000"/>
                <w:sz w:val="16"/>
                <w:szCs w:val="16"/>
                <w:lang w:eastAsia="en-US"/>
              </w:rPr>
            </w:pPr>
          </w:p>
        </w:tc>
      </w:tr>
      <w:tr w:rsidR="007D728E" w:rsidRPr="00CB13F7" w14:paraId="7CB40366" w14:textId="77777777" w:rsidTr="661F9D2E">
        <w:trPr>
          <w:trHeight w:val="464"/>
        </w:trPr>
        <w:tc>
          <w:tcPr>
            <w:tcW w:w="802" w:type="dxa"/>
            <w:vMerge/>
            <w:hideMark/>
          </w:tcPr>
          <w:p w14:paraId="28AD43CB" w14:textId="77777777" w:rsidR="007D728E" w:rsidRPr="00CB13F7" w:rsidRDefault="007D728E" w:rsidP="007D728E">
            <w:pPr>
              <w:rPr>
                <w:rFonts w:eastAsia="Times New Roman"/>
                <w:b/>
                <w:bCs/>
                <w:sz w:val="16"/>
                <w:szCs w:val="16"/>
                <w:lang w:eastAsia="en-US"/>
              </w:rPr>
            </w:pPr>
          </w:p>
        </w:tc>
        <w:tc>
          <w:tcPr>
            <w:tcW w:w="2275" w:type="dxa"/>
            <w:gridSpan w:val="2"/>
            <w:vMerge/>
            <w:hideMark/>
          </w:tcPr>
          <w:p w14:paraId="1A0E9CE3" w14:textId="77777777" w:rsidR="007D728E" w:rsidRPr="00CB13F7" w:rsidRDefault="007D728E" w:rsidP="007D728E">
            <w:pPr>
              <w:rPr>
                <w:rFonts w:eastAsia="Times New Roman"/>
                <w:sz w:val="16"/>
                <w:szCs w:val="16"/>
                <w:lang w:eastAsia="en-US"/>
              </w:rPr>
            </w:pPr>
          </w:p>
        </w:tc>
        <w:tc>
          <w:tcPr>
            <w:tcW w:w="1984" w:type="dxa"/>
            <w:gridSpan w:val="2"/>
            <w:vMerge/>
            <w:hideMark/>
          </w:tcPr>
          <w:p w14:paraId="3DA577A6" w14:textId="77777777" w:rsidR="007D728E" w:rsidRPr="00CB13F7" w:rsidRDefault="007D728E" w:rsidP="007D728E">
            <w:pPr>
              <w:rPr>
                <w:rFonts w:eastAsia="Times New Roman"/>
                <w:sz w:val="16"/>
                <w:szCs w:val="16"/>
                <w:lang w:eastAsia="en-US"/>
              </w:rPr>
            </w:pPr>
          </w:p>
        </w:tc>
        <w:tc>
          <w:tcPr>
            <w:tcW w:w="709" w:type="dxa"/>
            <w:vMerge/>
            <w:hideMark/>
          </w:tcPr>
          <w:p w14:paraId="0FEBE437" w14:textId="77777777" w:rsidR="007D728E" w:rsidRPr="00CB13F7" w:rsidRDefault="007D728E" w:rsidP="007D728E">
            <w:pPr>
              <w:rPr>
                <w:rFonts w:eastAsia="Times New Roman"/>
                <w:sz w:val="16"/>
                <w:szCs w:val="16"/>
                <w:lang w:eastAsia="en-US"/>
              </w:rPr>
            </w:pPr>
          </w:p>
        </w:tc>
        <w:tc>
          <w:tcPr>
            <w:tcW w:w="1276" w:type="dxa"/>
            <w:vMerge/>
            <w:hideMark/>
          </w:tcPr>
          <w:p w14:paraId="679EBB57" w14:textId="77777777" w:rsidR="007D728E" w:rsidRPr="00CB13F7" w:rsidRDefault="007D728E" w:rsidP="007D728E">
            <w:pPr>
              <w:rPr>
                <w:rFonts w:eastAsia="Times New Roman"/>
                <w:color w:val="000000"/>
                <w:sz w:val="16"/>
                <w:szCs w:val="16"/>
                <w:lang w:eastAsia="en-US"/>
              </w:rPr>
            </w:pPr>
          </w:p>
        </w:tc>
        <w:tc>
          <w:tcPr>
            <w:tcW w:w="1275" w:type="dxa"/>
            <w:vMerge/>
            <w:hideMark/>
          </w:tcPr>
          <w:p w14:paraId="4F85DCA2" w14:textId="77777777" w:rsidR="007D728E" w:rsidRPr="00CB13F7" w:rsidRDefault="007D728E" w:rsidP="007D728E">
            <w:pPr>
              <w:rPr>
                <w:rFonts w:eastAsia="Times New Roman"/>
                <w:sz w:val="16"/>
                <w:szCs w:val="16"/>
                <w:lang w:eastAsia="en-US"/>
              </w:rPr>
            </w:pPr>
          </w:p>
        </w:tc>
        <w:tc>
          <w:tcPr>
            <w:tcW w:w="1418" w:type="dxa"/>
            <w:vMerge/>
            <w:hideMark/>
          </w:tcPr>
          <w:p w14:paraId="5D6E1F7F" w14:textId="77777777" w:rsidR="007D728E" w:rsidRPr="00CB13F7" w:rsidRDefault="007D728E" w:rsidP="007D728E">
            <w:pPr>
              <w:rPr>
                <w:rFonts w:eastAsia="Times New Roman"/>
                <w:sz w:val="16"/>
                <w:szCs w:val="16"/>
                <w:lang w:eastAsia="en-US"/>
              </w:rPr>
            </w:pPr>
          </w:p>
        </w:tc>
        <w:tc>
          <w:tcPr>
            <w:tcW w:w="3933" w:type="dxa"/>
            <w:vMerge/>
            <w:hideMark/>
          </w:tcPr>
          <w:p w14:paraId="64BB3383" w14:textId="77777777" w:rsidR="007D728E" w:rsidRPr="00CB13F7" w:rsidRDefault="007D728E" w:rsidP="007D728E">
            <w:pPr>
              <w:rPr>
                <w:rFonts w:eastAsia="Times New Roman"/>
                <w:color w:val="000000"/>
                <w:sz w:val="16"/>
                <w:szCs w:val="16"/>
                <w:lang w:eastAsia="en-US"/>
              </w:rPr>
            </w:pPr>
          </w:p>
        </w:tc>
      </w:tr>
      <w:tr w:rsidR="007D728E" w:rsidRPr="00CB13F7" w14:paraId="7BE7E37D" w14:textId="77777777" w:rsidTr="661F9D2E">
        <w:trPr>
          <w:trHeight w:val="2340"/>
        </w:trPr>
        <w:tc>
          <w:tcPr>
            <w:tcW w:w="802" w:type="dxa"/>
            <w:vMerge/>
            <w:hideMark/>
          </w:tcPr>
          <w:p w14:paraId="20F365F4" w14:textId="77777777" w:rsidR="007D728E" w:rsidRPr="00CB13F7" w:rsidRDefault="007D728E" w:rsidP="007D728E">
            <w:pPr>
              <w:rPr>
                <w:rFonts w:eastAsia="Times New Roman"/>
                <w:b/>
                <w:bCs/>
                <w:sz w:val="16"/>
                <w:szCs w:val="16"/>
                <w:lang w:eastAsia="en-US"/>
              </w:rPr>
            </w:pPr>
          </w:p>
        </w:tc>
        <w:tc>
          <w:tcPr>
            <w:tcW w:w="2275" w:type="dxa"/>
            <w:gridSpan w:val="2"/>
            <w:tcBorders>
              <w:top w:val="single" w:sz="4" w:space="0" w:color="auto"/>
              <w:left w:val="nil"/>
              <w:bottom w:val="single" w:sz="4" w:space="0" w:color="auto"/>
              <w:right w:val="single" w:sz="4" w:space="0" w:color="auto"/>
            </w:tcBorders>
            <w:hideMark/>
          </w:tcPr>
          <w:p w14:paraId="349B0BE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Masa prioritare 4.1: Aksesueshmëria fizike dhe e </w:t>
            </w:r>
            <w:r w:rsidR="00234FBC" w:rsidRPr="00CB13F7">
              <w:rPr>
                <w:rFonts w:eastAsia="Times New Roman"/>
                <w:sz w:val="16"/>
                <w:szCs w:val="16"/>
                <w:lang w:eastAsia="en-US"/>
              </w:rPr>
              <w:t>shërbimeve</w:t>
            </w:r>
            <w:r w:rsidRPr="00CB13F7">
              <w:rPr>
                <w:rFonts w:eastAsia="Times New Roman"/>
                <w:sz w:val="16"/>
                <w:szCs w:val="16"/>
                <w:lang w:eastAsia="en-US"/>
              </w:rPr>
              <w:t xml:space="preserve"> në Objekte turistike, objektet të </w:t>
            </w:r>
            <w:r w:rsidR="00234FBC" w:rsidRPr="00CB13F7">
              <w:rPr>
                <w:rFonts w:eastAsia="Times New Roman"/>
                <w:sz w:val="16"/>
                <w:szCs w:val="16"/>
                <w:lang w:eastAsia="en-US"/>
              </w:rPr>
              <w:t>trashëgimisë</w:t>
            </w:r>
            <w:r w:rsidRPr="00CB13F7">
              <w:rPr>
                <w:rFonts w:eastAsia="Times New Roman"/>
                <w:sz w:val="16"/>
                <w:szCs w:val="16"/>
                <w:lang w:eastAsia="en-US"/>
              </w:rPr>
              <w:t xml:space="preserve"> kulturore, ne parqe </w:t>
            </w:r>
            <w:r w:rsidR="00234FBC" w:rsidRPr="00CB13F7">
              <w:rPr>
                <w:rFonts w:eastAsia="Times New Roman"/>
                <w:sz w:val="16"/>
                <w:szCs w:val="16"/>
                <w:lang w:eastAsia="en-US"/>
              </w:rPr>
              <w:t>kombëtare</w:t>
            </w:r>
            <w:r w:rsidRPr="00CB13F7">
              <w:rPr>
                <w:rFonts w:eastAsia="Times New Roman"/>
                <w:sz w:val="16"/>
                <w:szCs w:val="16"/>
                <w:lang w:eastAsia="en-US"/>
              </w:rPr>
              <w:t xml:space="preserve"> dhe plazhe, në </w:t>
            </w:r>
            <w:r w:rsidR="00234FBC" w:rsidRPr="00CB13F7">
              <w:rPr>
                <w:rFonts w:eastAsia="Times New Roman"/>
                <w:sz w:val="16"/>
                <w:szCs w:val="16"/>
                <w:lang w:eastAsia="en-US"/>
              </w:rPr>
              <w:t>ambientet</w:t>
            </w:r>
            <w:r w:rsidRPr="00CB13F7">
              <w:rPr>
                <w:rFonts w:eastAsia="Times New Roman"/>
                <w:sz w:val="16"/>
                <w:szCs w:val="16"/>
                <w:lang w:eastAsia="en-US"/>
              </w:rPr>
              <w:t xml:space="preserve"> sportive dhe shërbimet e guidave turistike.</w:t>
            </w:r>
          </w:p>
        </w:tc>
        <w:tc>
          <w:tcPr>
            <w:tcW w:w="1984" w:type="dxa"/>
            <w:gridSpan w:val="2"/>
            <w:tcBorders>
              <w:top w:val="single" w:sz="4" w:space="0" w:color="auto"/>
              <w:left w:val="nil"/>
              <w:bottom w:val="single" w:sz="4" w:space="0" w:color="auto"/>
              <w:right w:val="single" w:sz="4" w:space="0" w:color="auto"/>
            </w:tcBorders>
            <w:hideMark/>
          </w:tcPr>
          <w:p w14:paraId="3B242A41"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t>1. Studim</w:t>
            </w:r>
            <w:r w:rsidR="007D728E" w:rsidRPr="00CB13F7">
              <w:rPr>
                <w:rFonts w:eastAsia="Times New Roman"/>
                <w:sz w:val="16"/>
                <w:szCs w:val="16"/>
                <w:lang w:eastAsia="en-US"/>
              </w:rPr>
              <w:t xml:space="preserve"> vlerësues, për përfshirjen e standardeve të aksesueshmërisë në kriteret e </w:t>
            </w:r>
            <w:r w:rsidRPr="00CB13F7">
              <w:rPr>
                <w:rFonts w:eastAsia="Times New Roman"/>
                <w:sz w:val="16"/>
                <w:szCs w:val="16"/>
                <w:lang w:eastAsia="en-US"/>
              </w:rPr>
              <w:t>licencimit</w:t>
            </w:r>
            <w:r w:rsidR="007D728E" w:rsidRPr="00CB13F7">
              <w:rPr>
                <w:rFonts w:eastAsia="Times New Roman"/>
                <w:sz w:val="16"/>
                <w:szCs w:val="16"/>
                <w:lang w:eastAsia="en-US"/>
              </w:rPr>
              <w:t xml:space="preserve"> për strukturat akomoduese. </w:t>
            </w:r>
            <w:r w:rsidR="007D728E" w:rsidRPr="00CB13F7">
              <w:rPr>
                <w:rFonts w:eastAsia="Times New Roman"/>
                <w:sz w:val="16"/>
                <w:szCs w:val="16"/>
                <w:lang w:eastAsia="en-US"/>
              </w:rPr>
              <w:br/>
            </w:r>
            <w:r w:rsidR="007D728E" w:rsidRPr="00CB13F7">
              <w:rPr>
                <w:rFonts w:eastAsia="Times New Roman"/>
                <w:sz w:val="16"/>
                <w:szCs w:val="16"/>
                <w:lang w:eastAsia="en-US"/>
              </w:rPr>
              <w:br/>
              <w:t xml:space="preserve"> 2. Raport për vlerësimin e nivelit të aksesueshmërisë të objekteve turistike dhe të </w:t>
            </w:r>
            <w:r w:rsidRPr="00CB13F7">
              <w:rPr>
                <w:rFonts w:eastAsia="Times New Roman"/>
                <w:sz w:val="16"/>
                <w:szCs w:val="16"/>
                <w:lang w:eastAsia="en-US"/>
              </w:rPr>
              <w:t>trashëgimisë</w:t>
            </w:r>
            <w:r w:rsidR="007D728E" w:rsidRPr="00CB13F7">
              <w:rPr>
                <w:rFonts w:eastAsia="Times New Roman"/>
                <w:sz w:val="16"/>
                <w:szCs w:val="16"/>
                <w:lang w:eastAsia="en-US"/>
              </w:rPr>
              <w:t xml:space="preserve"> kulturore, parqe </w:t>
            </w:r>
            <w:r w:rsidRPr="00CB13F7">
              <w:rPr>
                <w:rFonts w:eastAsia="Times New Roman"/>
                <w:sz w:val="16"/>
                <w:szCs w:val="16"/>
                <w:lang w:eastAsia="en-US"/>
              </w:rPr>
              <w:t>kombëtare</w:t>
            </w:r>
            <w:r w:rsidR="007D728E" w:rsidRPr="00CB13F7">
              <w:rPr>
                <w:rFonts w:eastAsia="Times New Roman"/>
                <w:sz w:val="16"/>
                <w:szCs w:val="16"/>
                <w:lang w:eastAsia="en-US"/>
              </w:rPr>
              <w:t xml:space="preserve"> dhe plazhe. </w:t>
            </w:r>
            <w:r w:rsidR="007D728E" w:rsidRPr="00CB13F7">
              <w:rPr>
                <w:rFonts w:eastAsia="Times New Roman"/>
                <w:sz w:val="16"/>
                <w:szCs w:val="16"/>
                <w:lang w:eastAsia="en-US"/>
              </w:rPr>
              <w:br/>
            </w:r>
            <w:r w:rsidR="007D728E" w:rsidRPr="00CB13F7">
              <w:rPr>
                <w:rFonts w:eastAsia="Times New Roman"/>
                <w:sz w:val="16"/>
                <w:szCs w:val="16"/>
                <w:lang w:eastAsia="en-US"/>
              </w:rPr>
              <w:br/>
            </w:r>
            <w:r w:rsidRPr="00CB13F7">
              <w:rPr>
                <w:rFonts w:eastAsia="Times New Roman"/>
                <w:sz w:val="16"/>
                <w:szCs w:val="16"/>
                <w:lang w:eastAsia="en-US"/>
              </w:rPr>
              <w:t>3. Krijimi</w:t>
            </w:r>
            <w:r w:rsidR="007D728E" w:rsidRPr="00CB13F7">
              <w:rPr>
                <w:rFonts w:eastAsia="Times New Roman"/>
                <w:sz w:val="16"/>
                <w:szCs w:val="16"/>
                <w:lang w:eastAsia="en-US"/>
              </w:rPr>
              <w:t xml:space="preserve"> i rregjistrit me të dhënat e nivelit të aksesueshmërisë së objekteve turistike dhe te </w:t>
            </w:r>
            <w:r w:rsidRPr="00CB13F7">
              <w:rPr>
                <w:rFonts w:eastAsia="Times New Roman"/>
                <w:sz w:val="16"/>
                <w:szCs w:val="16"/>
                <w:lang w:eastAsia="en-US"/>
              </w:rPr>
              <w:t>trashëgimisë</w:t>
            </w:r>
            <w:r w:rsidR="007D728E" w:rsidRPr="00CB13F7">
              <w:rPr>
                <w:rFonts w:eastAsia="Times New Roman"/>
                <w:sz w:val="16"/>
                <w:szCs w:val="16"/>
                <w:lang w:eastAsia="en-US"/>
              </w:rPr>
              <w:t xml:space="preserve"> kulturore, të vlerësuara ne raport. </w:t>
            </w:r>
          </w:p>
        </w:tc>
        <w:tc>
          <w:tcPr>
            <w:tcW w:w="709" w:type="dxa"/>
            <w:tcBorders>
              <w:top w:val="nil"/>
              <w:left w:val="nil"/>
              <w:bottom w:val="single" w:sz="4" w:space="0" w:color="auto"/>
              <w:right w:val="single" w:sz="4" w:space="0" w:color="auto"/>
            </w:tcBorders>
            <w:hideMark/>
          </w:tcPr>
          <w:p w14:paraId="7575E63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1276" w:type="dxa"/>
            <w:tcBorders>
              <w:top w:val="nil"/>
              <w:left w:val="nil"/>
              <w:bottom w:val="single" w:sz="4" w:space="0" w:color="auto"/>
              <w:right w:val="single" w:sz="4" w:space="0" w:color="auto"/>
            </w:tcBorders>
            <w:hideMark/>
          </w:tcPr>
          <w:p w14:paraId="470CB2D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1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 1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 1 </w:t>
            </w:r>
          </w:p>
        </w:tc>
        <w:tc>
          <w:tcPr>
            <w:tcW w:w="1275" w:type="dxa"/>
            <w:tcBorders>
              <w:top w:val="nil"/>
              <w:left w:val="nil"/>
              <w:bottom w:val="single" w:sz="4" w:space="0" w:color="auto"/>
              <w:right w:val="single" w:sz="4" w:space="0" w:color="auto"/>
            </w:tcBorders>
            <w:hideMark/>
          </w:tcPr>
          <w:p w14:paraId="4D353E5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w:t>
            </w:r>
            <w:r w:rsidRPr="00CB13F7">
              <w:rPr>
                <w:rFonts w:eastAsia="Times New Roman"/>
                <w:color w:val="000000"/>
                <w:sz w:val="16"/>
                <w:szCs w:val="16"/>
                <w:lang w:eastAsia="en-US"/>
              </w:rPr>
              <w:br/>
              <w:t xml:space="preserve"> 1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1 </w:t>
            </w:r>
          </w:p>
        </w:tc>
        <w:tc>
          <w:tcPr>
            <w:tcW w:w="1418" w:type="dxa"/>
            <w:tcBorders>
              <w:top w:val="nil"/>
              <w:left w:val="nil"/>
              <w:bottom w:val="single" w:sz="4" w:space="0" w:color="auto"/>
              <w:right w:val="single" w:sz="4" w:space="0" w:color="auto"/>
            </w:tcBorders>
            <w:hideMark/>
          </w:tcPr>
          <w:p w14:paraId="0EA65D5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MTKS;</w:t>
            </w:r>
            <w:r w:rsidRPr="00CB13F7">
              <w:rPr>
                <w:rFonts w:eastAsia="Times New Roman"/>
                <w:sz w:val="16"/>
                <w:szCs w:val="16"/>
                <w:lang w:eastAsia="en-US"/>
              </w:rPr>
              <w:br/>
              <w:t xml:space="preserve">MSHMS; </w:t>
            </w:r>
            <w:r w:rsidRPr="00CB13F7">
              <w:rPr>
                <w:rFonts w:eastAsia="Times New Roman"/>
                <w:sz w:val="16"/>
                <w:szCs w:val="16"/>
                <w:lang w:eastAsia="en-US"/>
              </w:rPr>
              <w:br/>
              <w:t>NJQV;</w:t>
            </w:r>
            <w:r w:rsidRPr="00CB13F7">
              <w:rPr>
                <w:rFonts w:eastAsia="Times New Roman"/>
                <w:sz w:val="16"/>
                <w:szCs w:val="16"/>
                <w:lang w:eastAsia="en-US"/>
              </w:rPr>
              <w:br/>
              <w:t>UP;</w:t>
            </w:r>
            <w:r w:rsidRPr="00CB13F7">
              <w:rPr>
                <w:rFonts w:eastAsia="Times New Roman"/>
                <w:sz w:val="16"/>
                <w:szCs w:val="16"/>
                <w:lang w:eastAsia="en-US"/>
              </w:rPr>
              <w:br/>
              <w:t>OJQ;</w:t>
            </w:r>
            <w:r w:rsidRPr="00CB13F7">
              <w:rPr>
                <w:rFonts w:eastAsia="Times New Roman"/>
                <w:sz w:val="16"/>
                <w:szCs w:val="16"/>
                <w:lang w:eastAsia="en-US"/>
              </w:rPr>
              <w:br/>
              <w:t>Raporte studimesh;</w:t>
            </w:r>
          </w:p>
        </w:tc>
        <w:tc>
          <w:tcPr>
            <w:tcW w:w="3933" w:type="dxa"/>
            <w:tcBorders>
              <w:top w:val="nil"/>
              <w:left w:val="nil"/>
              <w:bottom w:val="single" w:sz="4" w:space="0" w:color="auto"/>
              <w:right w:val="single" w:sz="4" w:space="0" w:color="auto"/>
            </w:tcBorders>
            <w:hideMark/>
          </w:tcPr>
          <w:p w14:paraId="1F57872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F7A50F7" w14:textId="77777777" w:rsidTr="661F9D2E">
        <w:trPr>
          <w:trHeight w:val="240"/>
        </w:trPr>
        <w:tc>
          <w:tcPr>
            <w:tcW w:w="802" w:type="dxa"/>
            <w:tcBorders>
              <w:top w:val="nil"/>
              <w:left w:val="nil"/>
              <w:bottom w:val="nil"/>
              <w:right w:val="nil"/>
            </w:tcBorders>
            <w:noWrap/>
            <w:hideMark/>
          </w:tcPr>
          <w:p w14:paraId="0A0F1ED6" w14:textId="77777777" w:rsidR="007D728E" w:rsidRPr="00CB13F7" w:rsidRDefault="007D728E" w:rsidP="007D728E">
            <w:pPr>
              <w:rPr>
                <w:rFonts w:eastAsia="Times New Roman"/>
                <w:color w:val="000000"/>
                <w:sz w:val="20"/>
                <w:szCs w:val="20"/>
                <w:lang w:eastAsia="en-US"/>
              </w:rPr>
            </w:pPr>
          </w:p>
        </w:tc>
        <w:tc>
          <w:tcPr>
            <w:tcW w:w="1068" w:type="dxa"/>
            <w:tcBorders>
              <w:top w:val="nil"/>
              <w:left w:val="nil"/>
              <w:bottom w:val="nil"/>
              <w:right w:val="nil"/>
            </w:tcBorders>
            <w:noWrap/>
            <w:hideMark/>
          </w:tcPr>
          <w:p w14:paraId="011EA4EE" w14:textId="77777777" w:rsidR="007D728E" w:rsidRPr="00CB13F7" w:rsidRDefault="007D728E" w:rsidP="007D728E">
            <w:pPr>
              <w:rPr>
                <w:rFonts w:eastAsia="Times New Roman"/>
                <w:color w:val="000000"/>
                <w:sz w:val="20"/>
                <w:szCs w:val="20"/>
                <w:lang w:eastAsia="en-US"/>
              </w:rPr>
            </w:pPr>
          </w:p>
        </w:tc>
        <w:tc>
          <w:tcPr>
            <w:tcW w:w="1207" w:type="dxa"/>
            <w:tcBorders>
              <w:top w:val="nil"/>
              <w:left w:val="nil"/>
              <w:bottom w:val="nil"/>
              <w:right w:val="nil"/>
            </w:tcBorders>
            <w:noWrap/>
            <w:hideMark/>
          </w:tcPr>
          <w:p w14:paraId="0FA9DFE2" w14:textId="77777777" w:rsidR="007D728E" w:rsidRPr="00CB13F7" w:rsidRDefault="007D728E" w:rsidP="007D728E">
            <w:pPr>
              <w:rPr>
                <w:rFonts w:eastAsia="Times New Roman"/>
                <w:color w:val="000000"/>
                <w:sz w:val="20"/>
                <w:szCs w:val="20"/>
                <w:lang w:eastAsia="en-US"/>
              </w:rPr>
            </w:pPr>
          </w:p>
        </w:tc>
        <w:tc>
          <w:tcPr>
            <w:tcW w:w="1095" w:type="dxa"/>
            <w:tcBorders>
              <w:top w:val="nil"/>
              <w:left w:val="nil"/>
              <w:bottom w:val="nil"/>
              <w:right w:val="nil"/>
            </w:tcBorders>
            <w:noWrap/>
            <w:hideMark/>
          </w:tcPr>
          <w:p w14:paraId="02FE9508" w14:textId="77777777" w:rsidR="007D728E" w:rsidRPr="00CB13F7" w:rsidRDefault="007D728E" w:rsidP="007D728E">
            <w:pPr>
              <w:rPr>
                <w:rFonts w:eastAsia="Times New Roman"/>
                <w:color w:val="000000"/>
                <w:sz w:val="20"/>
                <w:szCs w:val="20"/>
                <w:lang w:eastAsia="en-US"/>
              </w:rPr>
            </w:pPr>
          </w:p>
        </w:tc>
        <w:tc>
          <w:tcPr>
            <w:tcW w:w="889" w:type="dxa"/>
            <w:tcBorders>
              <w:top w:val="nil"/>
              <w:left w:val="nil"/>
              <w:bottom w:val="nil"/>
              <w:right w:val="nil"/>
            </w:tcBorders>
            <w:noWrap/>
            <w:hideMark/>
          </w:tcPr>
          <w:p w14:paraId="7BA80E29" w14:textId="77777777" w:rsidR="007D728E" w:rsidRPr="00CB13F7" w:rsidRDefault="007D728E" w:rsidP="007D728E">
            <w:pPr>
              <w:rPr>
                <w:rFonts w:eastAsia="Times New Roman"/>
                <w:color w:val="000000"/>
                <w:sz w:val="20"/>
                <w:szCs w:val="20"/>
                <w:lang w:eastAsia="en-US"/>
              </w:rPr>
            </w:pPr>
          </w:p>
        </w:tc>
        <w:tc>
          <w:tcPr>
            <w:tcW w:w="709" w:type="dxa"/>
            <w:tcBorders>
              <w:top w:val="nil"/>
              <w:left w:val="nil"/>
              <w:bottom w:val="nil"/>
              <w:right w:val="nil"/>
            </w:tcBorders>
            <w:noWrap/>
            <w:hideMark/>
          </w:tcPr>
          <w:p w14:paraId="79343092" w14:textId="77777777" w:rsidR="007D728E" w:rsidRPr="00CB13F7" w:rsidRDefault="007D728E" w:rsidP="007D728E">
            <w:pPr>
              <w:rPr>
                <w:rFonts w:eastAsia="Times New Roman"/>
                <w:color w:val="000000"/>
                <w:sz w:val="16"/>
                <w:szCs w:val="16"/>
                <w:lang w:eastAsia="en-US"/>
              </w:rPr>
            </w:pPr>
          </w:p>
        </w:tc>
        <w:tc>
          <w:tcPr>
            <w:tcW w:w="1276" w:type="dxa"/>
            <w:tcBorders>
              <w:top w:val="nil"/>
              <w:left w:val="nil"/>
              <w:bottom w:val="nil"/>
              <w:right w:val="nil"/>
            </w:tcBorders>
            <w:noWrap/>
            <w:hideMark/>
          </w:tcPr>
          <w:p w14:paraId="623838F6" w14:textId="77777777" w:rsidR="007D728E" w:rsidRPr="00CB13F7" w:rsidRDefault="007D728E" w:rsidP="007D728E">
            <w:pPr>
              <w:rPr>
                <w:rFonts w:eastAsia="Times New Roman"/>
                <w:color w:val="000000"/>
                <w:sz w:val="20"/>
                <w:szCs w:val="20"/>
                <w:lang w:eastAsia="en-US"/>
              </w:rPr>
            </w:pPr>
          </w:p>
        </w:tc>
        <w:tc>
          <w:tcPr>
            <w:tcW w:w="1275" w:type="dxa"/>
            <w:tcBorders>
              <w:top w:val="nil"/>
              <w:left w:val="nil"/>
              <w:bottom w:val="nil"/>
              <w:right w:val="nil"/>
            </w:tcBorders>
            <w:noWrap/>
            <w:hideMark/>
          </w:tcPr>
          <w:p w14:paraId="21EE332D" w14:textId="77777777" w:rsidR="007D728E" w:rsidRPr="00CB13F7" w:rsidRDefault="007D728E" w:rsidP="007D728E">
            <w:pPr>
              <w:rPr>
                <w:rFonts w:eastAsia="Times New Roman"/>
                <w:color w:val="000000"/>
                <w:sz w:val="20"/>
                <w:szCs w:val="20"/>
                <w:lang w:eastAsia="en-US"/>
              </w:rPr>
            </w:pPr>
          </w:p>
        </w:tc>
        <w:tc>
          <w:tcPr>
            <w:tcW w:w="1418" w:type="dxa"/>
            <w:tcBorders>
              <w:top w:val="nil"/>
              <w:left w:val="nil"/>
              <w:bottom w:val="nil"/>
              <w:right w:val="nil"/>
            </w:tcBorders>
            <w:noWrap/>
            <w:hideMark/>
          </w:tcPr>
          <w:p w14:paraId="4A2DF7D9" w14:textId="77777777" w:rsidR="007D728E" w:rsidRPr="00CB13F7" w:rsidRDefault="007D728E" w:rsidP="007D728E">
            <w:pPr>
              <w:rPr>
                <w:rFonts w:eastAsia="Times New Roman"/>
                <w:color w:val="000000"/>
                <w:sz w:val="20"/>
                <w:szCs w:val="20"/>
                <w:lang w:eastAsia="en-US"/>
              </w:rPr>
            </w:pPr>
          </w:p>
        </w:tc>
        <w:tc>
          <w:tcPr>
            <w:tcW w:w="3933" w:type="dxa"/>
            <w:tcBorders>
              <w:top w:val="nil"/>
              <w:left w:val="nil"/>
              <w:bottom w:val="nil"/>
              <w:right w:val="nil"/>
            </w:tcBorders>
            <w:noWrap/>
            <w:hideMark/>
          </w:tcPr>
          <w:p w14:paraId="608A2A01" w14:textId="77777777" w:rsidR="007D728E" w:rsidRPr="00CB13F7" w:rsidRDefault="007D728E" w:rsidP="007D728E">
            <w:pPr>
              <w:rPr>
                <w:rFonts w:eastAsia="Times New Roman"/>
                <w:color w:val="000000"/>
                <w:sz w:val="20"/>
                <w:szCs w:val="20"/>
                <w:lang w:eastAsia="en-US"/>
              </w:rPr>
            </w:pPr>
          </w:p>
        </w:tc>
      </w:tr>
    </w:tbl>
    <w:p w14:paraId="0280DD17" w14:textId="77777777" w:rsidR="007D728E" w:rsidRPr="00CB13F7" w:rsidRDefault="007D728E" w:rsidP="007D728E">
      <w:pPr>
        <w:rPr>
          <w:rFonts w:ascii="Cambria" w:eastAsia="MS Mincho" w:hAnsi="Cambria"/>
          <w:lang w:eastAsia="en-US"/>
        </w:rPr>
      </w:pPr>
      <w:r w:rsidRPr="00CB13F7">
        <w:rPr>
          <w:rFonts w:ascii="Cambria" w:eastAsia="MS Mincho" w:hAnsi="Cambria"/>
          <w:lang w:eastAsia="en-US"/>
        </w:rPr>
        <w:t xml:space="preserve"> </w:t>
      </w:r>
    </w:p>
    <w:p w14:paraId="24AE682A" w14:textId="77777777" w:rsidR="007D728E" w:rsidRPr="00CB13F7" w:rsidRDefault="007D728E" w:rsidP="007D728E">
      <w:pPr>
        <w:rPr>
          <w:rFonts w:ascii="Cambria" w:eastAsia="MS Mincho" w:hAnsi="Cambria"/>
          <w:lang w:eastAsia="en-US"/>
        </w:rPr>
      </w:pPr>
    </w:p>
    <w:p w14:paraId="51DEDE90" w14:textId="77777777" w:rsidR="007D728E" w:rsidRPr="00CB13F7" w:rsidRDefault="007D728E" w:rsidP="007D728E">
      <w:pPr>
        <w:rPr>
          <w:rFonts w:ascii="Cambria" w:eastAsia="MS Mincho" w:hAnsi="Cambria"/>
          <w:lang w:eastAsia="en-US"/>
        </w:rPr>
      </w:pPr>
    </w:p>
    <w:p w14:paraId="6E0D19D8" w14:textId="77777777" w:rsidR="00026CE4" w:rsidRPr="00CB13F7" w:rsidRDefault="00026CE4" w:rsidP="007D728E">
      <w:pPr>
        <w:rPr>
          <w:rFonts w:ascii="Cambria" w:eastAsia="MS Mincho" w:hAnsi="Cambria"/>
          <w:lang w:eastAsia="en-US"/>
        </w:rPr>
      </w:pPr>
    </w:p>
    <w:p w14:paraId="07A56404" w14:textId="77777777" w:rsidR="00026CE4" w:rsidRPr="00CB13F7" w:rsidRDefault="00026CE4" w:rsidP="007D728E">
      <w:pPr>
        <w:rPr>
          <w:rFonts w:ascii="Cambria" w:eastAsia="MS Mincho" w:hAnsi="Cambria"/>
          <w:lang w:eastAsia="en-US"/>
        </w:rPr>
      </w:pPr>
    </w:p>
    <w:p w14:paraId="6EFA9A2F" w14:textId="77777777" w:rsidR="00026CE4" w:rsidRPr="00CB13F7" w:rsidRDefault="00026CE4" w:rsidP="007D728E">
      <w:pPr>
        <w:rPr>
          <w:rFonts w:ascii="Cambria" w:eastAsia="MS Mincho" w:hAnsi="Cambria"/>
          <w:lang w:eastAsia="en-US"/>
        </w:rPr>
      </w:pPr>
    </w:p>
    <w:p w14:paraId="1EF9E7C6" w14:textId="77777777" w:rsidR="00026CE4" w:rsidRPr="00CB13F7" w:rsidRDefault="00026CE4" w:rsidP="007D728E">
      <w:pPr>
        <w:rPr>
          <w:rFonts w:ascii="Cambria" w:eastAsia="MS Mincho" w:hAnsi="Cambria"/>
          <w:lang w:eastAsia="en-US"/>
        </w:rPr>
      </w:pPr>
    </w:p>
    <w:p w14:paraId="743D6394" w14:textId="77777777" w:rsidR="00026CE4" w:rsidRPr="00CB13F7" w:rsidRDefault="00026CE4" w:rsidP="007D728E">
      <w:pPr>
        <w:rPr>
          <w:rFonts w:ascii="Cambria" w:eastAsia="MS Mincho" w:hAnsi="Cambria"/>
          <w:lang w:eastAsia="en-US"/>
        </w:rPr>
      </w:pPr>
    </w:p>
    <w:p w14:paraId="72221DFF" w14:textId="77777777" w:rsidR="00026CE4" w:rsidRPr="00CB13F7" w:rsidRDefault="00026CE4" w:rsidP="007D728E">
      <w:pPr>
        <w:rPr>
          <w:rFonts w:ascii="Cambria" w:eastAsia="MS Mincho" w:hAnsi="Cambria"/>
          <w:lang w:eastAsia="en-US"/>
        </w:rPr>
      </w:pPr>
    </w:p>
    <w:p w14:paraId="21E5BBCC" w14:textId="77777777" w:rsidR="00026CE4" w:rsidRPr="00CB13F7" w:rsidRDefault="00026CE4" w:rsidP="007D728E">
      <w:pPr>
        <w:rPr>
          <w:rFonts w:ascii="Cambria" w:eastAsia="MS Mincho" w:hAnsi="Cambria"/>
          <w:lang w:eastAsia="en-US"/>
        </w:rPr>
      </w:pPr>
    </w:p>
    <w:p w14:paraId="056233D7" w14:textId="77777777" w:rsidR="00026CE4" w:rsidRPr="00CB13F7" w:rsidRDefault="00026CE4" w:rsidP="007D728E">
      <w:pPr>
        <w:rPr>
          <w:rFonts w:ascii="Cambria" w:eastAsia="MS Mincho" w:hAnsi="Cambria"/>
          <w:lang w:eastAsia="en-US"/>
        </w:rPr>
      </w:pPr>
    </w:p>
    <w:p w14:paraId="236B7176" w14:textId="77777777" w:rsidR="00026CE4" w:rsidRPr="00CB13F7" w:rsidRDefault="00026CE4" w:rsidP="007D728E">
      <w:pPr>
        <w:rPr>
          <w:rFonts w:ascii="Cambria" w:eastAsia="MS Mincho" w:hAnsi="Cambria"/>
          <w:lang w:eastAsia="en-US"/>
        </w:rPr>
      </w:pPr>
    </w:p>
    <w:p w14:paraId="6BEC71BD" w14:textId="77777777" w:rsidR="00026CE4" w:rsidRPr="00CB13F7" w:rsidRDefault="00026CE4" w:rsidP="007D728E">
      <w:pPr>
        <w:rPr>
          <w:rFonts w:ascii="Cambria" w:eastAsia="MS Mincho" w:hAnsi="Cambria"/>
          <w:lang w:eastAsia="en-US"/>
        </w:rPr>
      </w:pPr>
    </w:p>
    <w:p w14:paraId="68D45080" w14:textId="77777777" w:rsidR="00026CE4" w:rsidRPr="00CB13F7" w:rsidRDefault="00026CE4" w:rsidP="007D728E">
      <w:pPr>
        <w:rPr>
          <w:rFonts w:ascii="Cambria" w:eastAsia="MS Mincho" w:hAnsi="Cambria"/>
          <w:lang w:eastAsia="en-US"/>
        </w:rPr>
      </w:pPr>
    </w:p>
    <w:p w14:paraId="2BB44CA7" w14:textId="19B49BFA" w:rsidR="007D728E" w:rsidRPr="00CB13F7" w:rsidRDefault="007D728E" w:rsidP="007D728E">
      <w:pPr>
        <w:rPr>
          <w:rFonts w:ascii="Cambria" w:eastAsia="MS Mincho" w:hAnsi="Cambria"/>
          <w:lang w:eastAsia="en-US"/>
        </w:rPr>
      </w:pPr>
    </w:p>
    <w:p w14:paraId="40D09326" w14:textId="3BA999D3" w:rsidR="0058320F" w:rsidRPr="00CB13F7" w:rsidRDefault="0058320F" w:rsidP="007D728E">
      <w:pPr>
        <w:rPr>
          <w:rFonts w:ascii="Cambria" w:eastAsia="MS Mincho" w:hAnsi="Cambria"/>
          <w:lang w:eastAsia="en-US"/>
        </w:rPr>
      </w:pPr>
    </w:p>
    <w:p w14:paraId="562F95F4" w14:textId="77777777" w:rsidR="0058320F" w:rsidRPr="00CB13F7" w:rsidRDefault="0058320F" w:rsidP="0058320F">
      <w:pPr>
        <w:rPr>
          <w:rFonts w:eastAsia="Times New Roman"/>
          <w:lang w:eastAsia="en-US"/>
        </w:rPr>
      </w:pPr>
      <w:r w:rsidRPr="00CB13F7">
        <w:rPr>
          <w:rFonts w:eastAsia="Times New Roman"/>
          <w:lang w:eastAsia="en-US"/>
        </w:rPr>
        <w:lastRenderedPageBreak/>
        <w:t>6.2</w:t>
      </w:r>
      <w:r w:rsidRPr="00CB13F7">
        <w:rPr>
          <w:rFonts w:eastAsia="Times New Roman"/>
          <w:b/>
          <w:bCs/>
          <w:lang w:eastAsia="en-US"/>
        </w:rPr>
        <w:t>. Aksesi në Drejtësi dhe Barazia para Ligjit</w:t>
      </w:r>
    </w:p>
    <w:p w14:paraId="747F1009" w14:textId="4997280C" w:rsidR="0058320F" w:rsidRPr="00CB13F7" w:rsidRDefault="0058320F" w:rsidP="007D728E">
      <w:pPr>
        <w:rPr>
          <w:rFonts w:ascii="Cambria" w:eastAsia="MS Mincho" w:hAnsi="Cambria"/>
          <w:lang w:eastAsia="en-US"/>
        </w:rPr>
      </w:pPr>
    </w:p>
    <w:p w14:paraId="46E83B16" w14:textId="77777777" w:rsidR="0058320F" w:rsidRPr="00CB13F7" w:rsidRDefault="0058320F" w:rsidP="007D728E">
      <w:pPr>
        <w:rPr>
          <w:rFonts w:ascii="Cambria" w:eastAsia="MS Mincho" w:hAnsi="Cambria"/>
          <w:lang w:eastAsia="en-US"/>
        </w:rPr>
      </w:pPr>
    </w:p>
    <w:tbl>
      <w:tblPr>
        <w:tblW w:w="12927" w:type="dxa"/>
        <w:tblInd w:w="93" w:type="dxa"/>
        <w:tblLayout w:type="fixed"/>
        <w:tblLook w:val="04A0" w:firstRow="1" w:lastRow="0" w:firstColumn="1" w:lastColumn="0" w:noHBand="0" w:noVBand="1"/>
      </w:tblPr>
      <w:tblGrid>
        <w:gridCol w:w="1020"/>
        <w:gridCol w:w="1071"/>
        <w:gridCol w:w="1069"/>
        <w:gridCol w:w="1248"/>
        <w:gridCol w:w="1245"/>
        <w:gridCol w:w="819"/>
        <w:gridCol w:w="1418"/>
        <w:gridCol w:w="1282"/>
        <w:gridCol w:w="135"/>
        <w:gridCol w:w="101"/>
        <w:gridCol w:w="959"/>
        <w:gridCol w:w="2560"/>
      </w:tblGrid>
      <w:tr w:rsidR="00830E31" w:rsidRPr="00CB13F7" w14:paraId="25FC474F" w14:textId="77777777" w:rsidTr="661F9D2E">
        <w:trPr>
          <w:trHeight w:val="545"/>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3EED7F0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38301481"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Objektivat</w:t>
            </w:r>
          </w:p>
        </w:tc>
        <w:tc>
          <w:tcPr>
            <w:tcW w:w="2493" w:type="dxa"/>
            <w:gridSpan w:val="2"/>
            <w:tcBorders>
              <w:top w:val="single" w:sz="4" w:space="0" w:color="000000" w:themeColor="text1"/>
              <w:left w:val="nil"/>
              <w:bottom w:val="single" w:sz="4" w:space="0" w:color="000000" w:themeColor="text1"/>
              <w:right w:val="nil"/>
            </w:tcBorders>
            <w:shd w:val="clear" w:color="auto" w:fill="C0E5F3"/>
            <w:hideMark/>
          </w:tcPr>
          <w:p w14:paraId="278F593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Treguesi</w:t>
            </w:r>
          </w:p>
        </w:tc>
        <w:tc>
          <w:tcPr>
            <w:tcW w:w="819"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415EE109"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Vlera bazë</w:t>
            </w:r>
          </w:p>
        </w:tc>
        <w:tc>
          <w:tcPr>
            <w:tcW w:w="1418"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6FEBDD60"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2028</w:t>
            </w:r>
          </w:p>
        </w:tc>
        <w:tc>
          <w:tcPr>
            <w:tcW w:w="1417" w:type="dxa"/>
            <w:gridSpan w:val="2"/>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4698942D"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2030</w:t>
            </w:r>
          </w:p>
        </w:tc>
        <w:tc>
          <w:tcPr>
            <w:tcW w:w="1060" w:type="dxa"/>
            <w:gridSpan w:val="2"/>
            <w:tcBorders>
              <w:top w:val="single" w:sz="4" w:space="0" w:color="000000" w:themeColor="text1"/>
              <w:left w:val="nil"/>
              <w:bottom w:val="single" w:sz="4" w:space="0" w:color="000000" w:themeColor="text1"/>
              <w:right w:val="nil"/>
            </w:tcBorders>
            <w:shd w:val="clear" w:color="auto" w:fill="C0E5F3"/>
            <w:hideMark/>
          </w:tcPr>
          <w:p w14:paraId="66795631"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Burimet dhe mjetet e verifikimit</w:t>
            </w:r>
          </w:p>
        </w:tc>
        <w:tc>
          <w:tcPr>
            <w:tcW w:w="2560"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57EC7974"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830E31" w:rsidRPr="00CB13F7" w14:paraId="6F3C4CE7" w14:textId="77777777" w:rsidTr="661F9D2E">
        <w:trPr>
          <w:trHeight w:val="2978"/>
        </w:trPr>
        <w:tc>
          <w:tcPr>
            <w:tcW w:w="1020" w:type="dxa"/>
            <w:tcBorders>
              <w:top w:val="nil"/>
              <w:left w:val="single" w:sz="4" w:space="0" w:color="000000" w:themeColor="text1"/>
              <w:bottom w:val="nil"/>
              <w:right w:val="single" w:sz="4" w:space="0" w:color="000000" w:themeColor="text1"/>
            </w:tcBorders>
            <w:shd w:val="clear" w:color="auto" w:fill="D8F1D0"/>
            <w:hideMark/>
          </w:tcPr>
          <w:p w14:paraId="5A487851"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 xml:space="preserve">Qëllimi i politikës </w:t>
            </w:r>
          </w:p>
        </w:tc>
        <w:tc>
          <w:tcPr>
            <w:tcW w:w="2140" w:type="dxa"/>
            <w:gridSpan w:val="2"/>
            <w:tcBorders>
              <w:top w:val="single" w:sz="4" w:space="0" w:color="000000" w:themeColor="text1"/>
              <w:left w:val="nil"/>
              <w:bottom w:val="nil"/>
              <w:right w:val="single" w:sz="4" w:space="0" w:color="000000" w:themeColor="text1"/>
            </w:tcBorders>
            <w:shd w:val="clear" w:color="auto" w:fill="D8F1D0"/>
            <w:hideMark/>
          </w:tcPr>
          <w:p w14:paraId="293C945E" w14:textId="3FA4D533" w:rsidR="007D728E" w:rsidRPr="00CB13F7" w:rsidRDefault="0080D2BD" w:rsidP="007D728E">
            <w:pPr>
              <w:rPr>
                <w:rFonts w:eastAsia="Times New Roman"/>
                <w:sz w:val="16"/>
                <w:szCs w:val="16"/>
                <w:lang w:eastAsia="en-US"/>
              </w:rPr>
            </w:pPr>
            <w:r w:rsidRPr="00CB13F7">
              <w:rPr>
                <w:rFonts w:eastAsia="Times New Roman"/>
                <w:sz w:val="16"/>
                <w:szCs w:val="16"/>
                <w:lang w:eastAsia="en-US"/>
              </w:rPr>
              <w:t xml:space="preserve">Të garantohet që personat me aftësi të kufizuara të ushtrojnë plotësisht zotësinë </w:t>
            </w:r>
            <w:r w:rsidR="757651BD" w:rsidRPr="00CB13F7">
              <w:rPr>
                <w:rFonts w:eastAsia="Times New Roman"/>
                <w:sz w:val="16"/>
                <w:szCs w:val="16"/>
                <w:lang w:eastAsia="en-US"/>
              </w:rPr>
              <w:t>p</w:t>
            </w:r>
            <w:r w:rsidR="004B03EF" w:rsidRPr="00CB13F7">
              <w:rPr>
                <w:rFonts w:eastAsia="Times New Roman"/>
                <w:sz w:val="16"/>
                <w:szCs w:val="16"/>
                <w:lang w:eastAsia="en-US"/>
              </w:rPr>
              <w:t>ë</w:t>
            </w:r>
            <w:r w:rsidR="757651BD" w:rsidRPr="00CB13F7">
              <w:rPr>
                <w:rFonts w:eastAsia="Times New Roman"/>
                <w:sz w:val="16"/>
                <w:szCs w:val="16"/>
                <w:lang w:eastAsia="en-US"/>
              </w:rPr>
              <w:t>r t</w:t>
            </w:r>
            <w:r w:rsidR="004B03EF" w:rsidRPr="00CB13F7">
              <w:rPr>
                <w:rFonts w:eastAsia="Times New Roman"/>
                <w:sz w:val="16"/>
                <w:szCs w:val="16"/>
                <w:lang w:eastAsia="en-US"/>
              </w:rPr>
              <w:t>ë</w:t>
            </w:r>
            <w:r w:rsidR="757651BD" w:rsidRPr="00CB13F7">
              <w:rPr>
                <w:rFonts w:eastAsia="Times New Roman"/>
                <w:sz w:val="16"/>
                <w:szCs w:val="16"/>
                <w:lang w:eastAsia="en-US"/>
              </w:rPr>
              <w:t xml:space="preserve"> vepruar</w:t>
            </w:r>
            <w:r w:rsidRPr="00CB13F7">
              <w:rPr>
                <w:rFonts w:eastAsia="Times New Roman"/>
                <w:sz w:val="16"/>
                <w:szCs w:val="16"/>
                <w:lang w:eastAsia="en-US"/>
              </w:rPr>
              <w:t>, të kenë akses të barabartë dhe efektiv në sistemin e drejtësisë dhe të mbrohen nga dhuna, abuzimi dhe shkeljet e të drejtave, përmes vendimmarrjes së mbështetur dhe akomodimit të arsyeshëm.</w:t>
            </w:r>
          </w:p>
        </w:tc>
        <w:tc>
          <w:tcPr>
            <w:tcW w:w="2493" w:type="dxa"/>
            <w:gridSpan w:val="2"/>
            <w:tcBorders>
              <w:top w:val="single" w:sz="4" w:space="0" w:color="000000" w:themeColor="text1"/>
              <w:left w:val="nil"/>
              <w:bottom w:val="nil"/>
              <w:right w:val="nil"/>
            </w:tcBorders>
            <w:shd w:val="clear" w:color="auto" w:fill="D8F1D0"/>
            <w:hideMark/>
          </w:tcPr>
          <w:p w14:paraId="1414A4EE" w14:textId="61BC699D"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 xml:space="preserve">Personat me aftësi të kufizuara kanë akses efektiv dhe të barabartë në sistemin e drejtësisë, përmes ushtrimit të zotësisë </w:t>
            </w:r>
            <w:r w:rsidR="7876A60C" w:rsidRPr="00CB13F7">
              <w:rPr>
                <w:rFonts w:eastAsia="Times New Roman"/>
                <w:color w:val="000000" w:themeColor="text1"/>
                <w:sz w:val="16"/>
                <w:szCs w:val="16"/>
                <w:lang w:eastAsia="en-US"/>
              </w:rPr>
              <w:t>p</w:t>
            </w:r>
            <w:r w:rsidR="004B03EF" w:rsidRPr="00CB13F7">
              <w:rPr>
                <w:rFonts w:eastAsia="Times New Roman"/>
                <w:color w:val="000000" w:themeColor="text1"/>
                <w:sz w:val="16"/>
                <w:szCs w:val="16"/>
                <w:lang w:eastAsia="en-US"/>
              </w:rPr>
              <w:t>ë</w:t>
            </w:r>
            <w:r w:rsidR="7876A60C" w:rsidRPr="00CB13F7">
              <w:rPr>
                <w:rFonts w:eastAsia="Times New Roman"/>
                <w:color w:val="000000" w:themeColor="text1"/>
                <w:sz w:val="16"/>
                <w:szCs w:val="16"/>
                <w:lang w:eastAsia="en-US"/>
              </w:rPr>
              <w:t>r t</w:t>
            </w:r>
            <w:r w:rsidR="004B03EF" w:rsidRPr="00CB13F7">
              <w:rPr>
                <w:rFonts w:eastAsia="Times New Roman"/>
                <w:color w:val="000000" w:themeColor="text1"/>
                <w:sz w:val="16"/>
                <w:szCs w:val="16"/>
                <w:lang w:eastAsia="en-US"/>
              </w:rPr>
              <w:t>ë</w:t>
            </w:r>
            <w:r w:rsidR="7876A60C" w:rsidRPr="00CB13F7">
              <w:rPr>
                <w:rFonts w:eastAsia="Times New Roman"/>
                <w:color w:val="000000" w:themeColor="text1"/>
                <w:sz w:val="16"/>
                <w:szCs w:val="16"/>
                <w:lang w:eastAsia="en-US"/>
              </w:rPr>
              <w:t xml:space="preserve"> vepruar</w:t>
            </w:r>
            <w:r w:rsidRPr="00CB13F7">
              <w:rPr>
                <w:rFonts w:eastAsia="Times New Roman"/>
                <w:color w:val="000000" w:themeColor="text1"/>
                <w:sz w:val="16"/>
                <w:szCs w:val="16"/>
                <w:lang w:eastAsia="en-US"/>
              </w:rPr>
              <w:t>, përdorimit të shërbimeve të ndihmës juridike dhe marrjes së akomodimit të arsyeshëm në procedurat administrative, civile dhe penale.</w:t>
            </w:r>
          </w:p>
        </w:tc>
        <w:tc>
          <w:tcPr>
            <w:tcW w:w="819" w:type="dxa"/>
            <w:tcBorders>
              <w:top w:val="nil"/>
              <w:left w:val="nil"/>
              <w:bottom w:val="nil"/>
              <w:right w:val="single" w:sz="4" w:space="0" w:color="000000" w:themeColor="text1"/>
            </w:tcBorders>
            <w:shd w:val="clear" w:color="auto" w:fill="D8F1D0"/>
            <w:hideMark/>
          </w:tcPr>
          <w:p w14:paraId="7707FC9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18" w:type="dxa"/>
            <w:tcBorders>
              <w:top w:val="nil"/>
              <w:left w:val="nil"/>
              <w:bottom w:val="nil"/>
              <w:right w:val="single" w:sz="4" w:space="0" w:color="000000" w:themeColor="text1"/>
            </w:tcBorders>
            <w:shd w:val="clear" w:color="auto" w:fill="D8F1D0"/>
            <w:hideMark/>
          </w:tcPr>
          <w:p w14:paraId="0871838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Më shumë se 6500 persona</w:t>
            </w:r>
          </w:p>
        </w:tc>
        <w:tc>
          <w:tcPr>
            <w:tcW w:w="1417" w:type="dxa"/>
            <w:gridSpan w:val="2"/>
            <w:tcBorders>
              <w:top w:val="single" w:sz="4" w:space="0" w:color="000000" w:themeColor="text1"/>
              <w:left w:val="nil"/>
              <w:bottom w:val="nil"/>
              <w:right w:val="single" w:sz="4" w:space="0" w:color="000000" w:themeColor="text1"/>
            </w:tcBorders>
            <w:shd w:val="clear" w:color="auto" w:fill="D8F1D0"/>
            <w:hideMark/>
          </w:tcPr>
          <w:p w14:paraId="05CE6EC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Më shumë se 7800 persona</w:t>
            </w:r>
          </w:p>
        </w:tc>
        <w:tc>
          <w:tcPr>
            <w:tcW w:w="1060" w:type="dxa"/>
            <w:gridSpan w:val="2"/>
            <w:tcBorders>
              <w:top w:val="nil"/>
              <w:left w:val="nil"/>
              <w:bottom w:val="nil"/>
              <w:right w:val="nil"/>
            </w:tcBorders>
            <w:shd w:val="clear" w:color="auto" w:fill="D8F1D0"/>
            <w:hideMark/>
          </w:tcPr>
          <w:p w14:paraId="5B7CF21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Raportet vjetore të institucioneve të drejtësisë (MD, KLGJ, Prokuroria, DPP, DNJF);</w:t>
            </w:r>
            <w:r w:rsidRPr="00CB13F7">
              <w:rPr>
                <w:rFonts w:eastAsia="Times New Roman"/>
                <w:color w:val="000000"/>
                <w:sz w:val="16"/>
                <w:szCs w:val="16"/>
                <w:lang w:eastAsia="en-US"/>
              </w:rPr>
              <w:br/>
              <w:t>Raportet e Avokatit të Popullit;</w:t>
            </w:r>
            <w:r w:rsidRPr="00CB13F7">
              <w:rPr>
                <w:rFonts w:eastAsia="Times New Roman"/>
                <w:color w:val="000000"/>
                <w:sz w:val="16"/>
                <w:szCs w:val="16"/>
                <w:lang w:eastAsia="en-US"/>
              </w:rPr>
              <w:br/>
              <w:t>Raportet e monitorimit të zbatimit të Planit Kombëtar;</w:t>
            </w:r>
            <w:r w:rsidRPr="00CB13F7">
              <w:rPr>
                <w:rFonts w:eastAsia="Times New Roman"/>
                <w:color w:val="000000"/>
                <w:sz w:val="16"/>
                <w:szCs w:val="16"/>
                <w:lang w:eastAsia="en-US"/>
              </w:rPr>
              <w:br/>
              <w:t>Raportime nga shërbimi i ndihmës juridike falas;</w:t>
            </w:r>
          </w:p>
        </w:tc>
        <w:tc>
          <w:tcPr>
            <w:tcW w:w="2560" w:type="dxa"/>
            <w:tcBorders>
              <w:top w:val="nil"/>
              <w:left w:val="nil"/>
              <w:bottom w:val="nil"/>
              <w:right w:val="single" w:sz="4" w:space="0" w:color="000000" w:themeColor="text1"/>
            </w:tcBorders>
            <w:shd w:val="clear" w:color="auto" w:fill="D8F1D0"/>
            <w:hideMark/>
          </w:tcPr>
          <w:p w14:paraId="635FDA08" w14:textId="4733AE67" w:rsidR="007D728E" w:rsidRPr="00CB13F7" w:rsidRDefault="0080D2BD" w:rsidP="661F9D2E">
            <w:pPr>
              <w:rPr>
                <w:rFonts w:eastAsia="Times New Roman"/>
                <w:color w:val="000000"/>
                <w:sz w:val="16"/>
                <w:szCs w:val="16"/>
                <w:lang w:eastAsia="en-US"/>
              </w:rPr>
            </w:pPr>
            <w:r w:rsidRPr="00CB13F7">
              <w:rPr>
                <w:rFonts w:eastAsia="Times New Roman"/>
                <w:color w:val="000000" w:themeColor="text1"/>
                <w:sz w:val="16"/>
                <w:szCs w:val="16"/>
                <w:lang w:eastAsia="en-US"/>
              </w:rPr>
              <w:t>Konventën e OKB për të Drejtat e Personave me Aftësi të Kufizuara (</w:t>
            </w:r>
            <w:r w:rsidR="22F879D2" w:rsidRPr="00CB13F7">
              <w:rPr>
                <w:rFonts w:eastAsia="Times New Roman"/>
              </w:rPr>
              <w:t xml:space="preserve"> </w:t>
            </w:r>
            <w:r w:rsidR="22F879D2" w:rsidRPr="00CB13F7">
              <w:rPr>
                <w:rFonts w:eastAsia="Times New Roman"/>
                <w:sz w:val="16"/>
                <w:szCs w:val="16"/>
              </w:rPr>
              <w:t>KDPAK</w:t>
            </w:r>
            <w:r w:rsidRPr="00CB13F7">
              <w:rPr>
                <w:rFonts w:eastAsia="Times New Roman"/>
                <w:color w:val="000000" w:themeColor="text1"/>
                <w:sz w:val="16"/>
                <w:szCs w:val="16"/>
                <w:lang w:eastAsia="en-US"/>
              </w:rPr>
              <w:t>), neni 13 “Aksesi në drejtësi” OZHQ 16; OZHQ 10;</w:t>
            </w:r>
            <w:r w:rsidR="007D728E" w:rsidRPr="00CB13F7">
              <w:br/>
            </w:r>
            <w:r w:rsidRPr="00CB13F7">
              <w:rPr>
                <w:rFonts w:eastAsia="Times New Roman"/>
                <w:color w:val="000000" w:themeColor="text1"/>
                <w:sz w:val="16"/>
                <w:szCs w:val="16"/>
                <w:lang w:eastAsia="en-US"/>
              </w:rPr>
              <w:t>Strategjinë e BE për të Drejtat e Personave me Aftësi të Kufizuara 2021-2030;</w:t>
            </w:r>
            <w:r w:rsidR="007D728E" w:rsidRPr="00CB13F7">
              <w:br/>
            </w:r>
            <w:r w:rsidRPr="00CB13F7">
              <w:rPr>
                <w:rFonts w:eastAsia="Times New Roman"/>
                <w:color w:val="000000" w:themeColor="text1"/>
                <w:sz w:val="16"/>
                <w:szCs w:val="16"/>
                <w:lang w:eastAsia="en-US"/>
              </w:rPr>
              <w:t>Programi Kombëtar për Integrimin Evropian (PKIE);</w:t>
            </w:r>
            <w:r w:rsidR="007D728E" w:rsidRPr="00CB13F7">
              <w:br/>
            </w:r>
            <w:r w:rsidRPr="00CB13F7">
              <w:rPr>
                <w:rFonts w:eastAsia="Times New Roman"/>
                <w:color w:val="000000" w:themeColor="text1"/>
                <w:sz w:val="16"/>
                <w:szCs w:val="16"/>
                <w:lang w:eastAsia="en-US"/>
              </w:rPr>
              <w:t xml:space="preserve">Shtyllën Evropiane të të Drejtave Sociale (Parimi 20 </w:t>
            </w:r>
            <w:r w:rsidR="77B74F3F" w:rsidRPr="00CB13F7">
              <w:rPr>
                <w:rFonts w:eastAsia="Times New Roman"/>
                <w:color w:val="000000" w:themeColor="text1"/>
                <w:sz w:val="16"/>
                <w:szCs w:val="16"/>
                <w:lang w:eastAsia="en-US"/>
              </w:rPr>
              <w:t>-</w:t>
            </w:r>
            <w:r w:rsidRPr="00CB13F7">
              <w:rPr>
                <w:rFonts w:eastAsia="Times New Roman"/>
                <w:color w:val="000000" w:themeColor="text1"/>
                <w:sz w:val="16"/>
                <w:szCs w:val="16"/>
                <w:lang w:eastAsia="en-US"/>
              </w:rPr>
              <w:t xml:space="preserve"> Përfshirja e personave me aftësi të kufizuara);</w:t>
            </w:r>
            <w:r w:rsidR="007D728E" w:rsidRPr="00CB13F7">
              <w:br/>
            </w:r>
            <w:r w:rsidRPr="00CB13F7">
              <w:rPr>
                <w:rFonts w:eastAsia="Times New Roman"/>
                <w:color w:val="000000" w:themeColor="text1"/>
                <w:sz w:val="16"/>
                <w:szCs w:val="16"/>
                <w:lang w:eastAsia="en-US"/>
              </w:rPr>
              <w:t xml:space="preserve">Strategjinë Kombëtare për Zhvillim dhe Integrim Evropian (SKZHIE) </w:t>
            </w:r>
            <w:r w:rsidR="77B74F3F" w:rsidRPr="00CB13F7">
              <w:rPr>
                <w:rFonts w:eastAsia="Times New Roman"/>
                <w:color w:val="000000" w:themeColor="text1"/>
                <w:sz w:val="16"/>
                <w:szCs w:val="16"/>
                <w:lang w:eastAsia="en-US"/>
              </w:rPr>
              <w:t>-</w:t>
            </w:r>
            <w:r w:rsidRPr="00CB13F7">
              <w:rPr>
                <w:rFonts w:eastAsia="Times New Roman"/>
                <w:color w:val="000000" w:themeColor="text1"/>
                <w:sz w:val="16"/>
                <w:szCs w:val="16"/>
                <w:lang w:eastAsia="en-US"/>
              </w:rPr>
              <w:t xml:space="preserve"> qeverisja e mirë dhe barazia para ligjit;</w:t>
            </w:r>
            <w:r w:rsidR="007D728E" w:rsidRPr="00CB13F7">
              <w:br/>
            </w:r>
            <w:r w:rsidRPr="00CB13F7">
              <w:rPr>
                <w:rFonts w:eastAsia="Times New Roman"/>
                <w:color w:val="000000" w:themeColor="text1"/>
                <w:sz w:val="16"/>
                <w:szCs w:val="16"/>
                <w:lang w:eastAsia="en-US"/>
              </w:rPr>
              <w:t xml:space="preserve">Raportet e Progresit të Komisionit </w:t>
            </w:r>
            <w:r w:rsidR="48A00EEC" w:rsidRPr="00CB13F7">
              <w:rPr>
                <w:rFonts w:eastAsia="Times New Roman"/>
                <w:color w:val="000000" w:themeColor="text1"/>
                <w:sz w:val="16"/>
                <w:szCs w:val="16"/>
                <w:lang w:eastAsia="en-US"/>
              </w:rPr>
              <w:t>Evropian</w:t>
            </w:r>
            <w:r w:rsidRPr="00CB13F7">
              <w:rPr>
                <w:rFonts w:eastAsia="Times New Roman"/>
                <w:color w:val="000000" w:themeColor="text1"/>
                <w:sz w:val="16"/>
                <w:szCs w:val="16"/>
                <w:lang w:eastAsia="en-US"/>
              </w:rPr>
              <w:t xml:space="preserve"> për Shqipërinë (Kapitulli 23 </w:t>
            </w:r>
            <w:r w:rsidR="77B74F3F" w:rsidRPr="00CB13F7">
              <w:rPr>
                <w:rFonts w:eastAsia="Times New Roman"/>
                <w:color w:val="000000" w:themeColor="text1"/>
                <w:sz w:val="16"/>
                <w:szCs w:val="16"/>
                <w:lang w:eastAsia="en-US"/>
              </w:rPr>
              <w:t>-</w:t>
            </w:r>
            <w:r w:rsidRPr="00CB13F7">
              <w:rPr>
                <w:rFonts w:eastAsia="Times New Roman"/>
                <w:color w:val="000000" w:themeColor="text1"/>
                <w:sz w:val="16"/>
                <w:szCs w:val="16"/>
                <w:lang w:eastAsia="en-US"/>
              </w:rPr>
              <w:t xml:space="preserve"> Gjyqësori dhe të Drejtat Themelore);</w:t>
            </w:r>
          </w:p>
        </w:tc>
      </w:tr>
      <w:tr w:rsidR="00830E31" w:rsidRPr="00CB13F7" w14:paraId="4BA9C2DE" w14:textId="77777777" w:rsidTr="661F9D2E">
        <w:trPr>
          <w:trHeight w:val="1695"/>
        </w:trPr>
        <w:tc>
          <w:tcPr>
            <w:tcW w:w="1020" w:type="dxa"/>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775F3E9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1BF2014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Objektivi Specifik 1. Të sigurohet që të gjithë personat me aftësi të kufizuara të kenë akses fizik, procedural, informativ dhe digjital në gjykata, prokurori, polici dhe shërbime ligjore, si pjesëmarrës të drejtpërdrejtë apo jo të drejtpërdrejtë në të gjitha nivelet që nga hetimi, gjykimi etj. jetës</w:t>
            </w:r>
          </w:p>
        </w:tc>
        <w:tc>
          <w:tcPr>
            <w:tcW w:w="2493" w:type="dxa"/>
            <w:gridSpan w:val="2"/>
            <w:tcBorders>
              <w:top w:val="single" w:sz="4" w:space="0" w:color="000000" w:themeColor="text1"/>
              <w:left w:val="nil"/>
              <w:bottom w:val="nil"/>
              <w:right w:val="nil"/>
            </w:tcBorders>
            <w:shd w:val="clear" w:color="auto" w:fill="CAEDFA"/>
            <w:hideMark/>
          </w:tcPr>
          <w:p w14:paraId="2E26C39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Institucionet kryesore të sistemit të drejtësisë (gjykata, prokurori, polici dhe shërbimi i ndihmës juridike falas) që zbatojnë masa për aksesueshmëri fizike, procedurale dhe informuese për personat me aftësi të kufizuara.</w:t>
            </w:r>
          </w:p>
        </w:tc>
        <w:tc>
          <w:tcPr>
            <w:tcW w:w="819" w:type="dxa"/>
            <w:tcBorders>
              <w:top w:val="single" w:sz="4" w:space="0" w:color="000000" w:themeColor="text1"/>
              <w:left w:val="nil"/>
              <w:bottom w:val="nil"/>
              <w:right w:val="single" w:sz="4" w:space="0" w:color="000000" w:themeColor="text1"/>
            </w:tcBorders>
            <w:shd w:val="clear" w:color="auto" w:fill="CAEDFA"/>
            <w:hideMark/>
          </w:tcPr>
          <w:p w14:paraId="202AAC2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single" w:sz="4" w:space="0" w:color="000000" w:themeColor="text1"/>
              <w:left w:val="nil"/>
              <w:bottom w:val="nil"/>
              <w:right w:val="single" w:sz="4" w:space="0" w:color="000000" w:themeColor="text1"/>
            </w:tcBorders>
            <w:shd w:val="clear" w:color="auto" w:fill="CAEDFA"/>
            <w:hideMark/>
          </w:tcPr>
          <w:p w14:paraId="201A6F3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20%</w:t>
            </w:r>
          </w:p>
        </w:tc>
        <w:tc>
          <w:tcPr>
            <w:tcW w:w="1417" w:type="dxa"/>
            <w:gridSpan w:val="2"/>
            <w:tcBorders>
              <w:top w:val="single" w:sz="4" w:space="0" w:color="000000" w:themeColor="text1"/>
              <w:left w:val="nil"/>
              <w:bottom w:val="nil"/>
              <w:right w:val="single" w:sz="4" w:space="0" w:color="000000" w:themeColor="text1"/>
            </w:tcBorders>
            <w:shd w:val="clear" w:color="auto" w:fill="CAEDFA"/>
            <w:hideMark/>
          </w:tcPr>
          <w:p w14:paraId="312A5DA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50%</w:t>
            </w:r>
          </w:p>
        </w:tc>
        <w:tc>
          <w:tcPr>
            <w:tcW w:w="1060" w:type="dxa"/>
            <w:gridSpan w:val="2"/>
            <w:tcBorders>
              <w:top w:val="single" w:sz="4" w:space="0" w:color="000000" w:themeColor="text1"/>
              <w:left w:val="nil"/>
              <w:bottom w:val="nil"/>
              <w:right w:val="nil"/>
            </w:tcBorders>
            <w:shd w:val="clear" w:color="auto" w:fill="CAEDFA"/>
            <w:hideMark/>
          </w:tcPr>
          <w:p w14:paraId="415808D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Ministria e Drejtësisë, KLGJ, </w:t>
            </w:r>
            <w:r w:rsidRPr="00CB13F7">
              <w:rPr>
                <w:rFonts w:eastAsia="Times New Roman"/>
                <w:sz w:val="16"/>
                <w:szCs w:val="16"/>
                <w:lang w:eastAsia="en-US"/>
              </w:rPr>
              <w:br/>
              <w:t>Prokuroria e Përgjithshme, Policia e Shtetit;</w:t>
            </w:r>
          </w:p>
        </w:tc>
        <w:tc>
          <w:tcPr>
            <w:tcW w:w="2560"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69570D65" w14:textId="477E9F6C" w:rsidR="007D728E" w:rsidRPr="00CB13F7" w:rsidRDefault="410C0B80" w:rsidP="661F9D2E">
            <w:pPr>
              <w:rPr>
                <w:rFonts w:eastAsia="Times New Roman"/>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sz w:val="16"/>
                <w:szCs w:val="16"/>
                <w:lang w:eastAsia="en-US"/>
              </w:rPr>
              <w:t xml:space="preserve"> nenet 12 dhe 13 OZHQ 16; OZHQ 10;</w:t>
            </w:r>
            <w:r w:rsidR="007D728E" w:rsidRPr="00CB13F7">
              <w:br/>
            </w:r>
            <w:r w:rsidR="0080D2BD" w:rsidRPr="00CB13F7">
              <w:rPr>
                <w:rFonts w:eastAsia="Times New Roman"/>
                <w:sz w:val="16"/>
                <w:szCs w:val="16"/>
                <w:lang w:eastAsia="en-US"/>
              </w:rPr>
              <w:t>Strategjinë e BE për të Drejtat e Personave me Aftësi të Kufizuara 2021-2030;</w:t>
            </w:r>
            <w:r w:rsidR="007D728E" w:rsidRPr="00CB13F7">
              <w:br/>
            </w:r>
            <w:r w:rsidR="0080D2BD" w:rsidRPr="00CB13F7">
              <w:rPr>
                <w:rFonts w:eastAsia="Times New Roman"/>
                <w:sz w:val="16"/>
                <w:szCs w:val="16"/>
                <w:lang w:eastAsia="en-US"/>
              </w:rPr>
              <w:t>Programi Kombëtar për Integrimin Evropian (PKIE);</w:t>
            </w:r>
            <w:r w:rsidR="007D728E" w:rsidRPr="00CB13F7">
              <w:br/>
            </w:r>
            <w:r w:rsidR="0080D2BD" w:rsidRPr="00CB13F7">
              <w:rPr>
                <w:rFonts w:eastAsia="Times New Roman"/>
                <w:sz w:val="16"/>
                <w:szCs w:val="16"/>
                <w:lang w:eastAsia="en-US"/>
              </w:rPr>
              <w:t xml:space="preserve">Shtyllën Evropiane të të Drejtave Sociale (Parimi 20 </w:t>
            </w:r>
            <w:r w:rsidR="77B74F3F" w:rsidRPr="00CB13F7">
              <w:rPr>
                <w:rFonts w:eastAsia="Times New Roman"/>
                <w:sz w:val="16"/>
                <w:szCs w:val="16"/>
                <w:lang w:eastAsia="en-US"/>
              </w:rPr>
              <w:t>-</w:t>
            </w:r>
            <w:r w:rsidR="0080D2BD" w:rsidRPr="00CB13F7">
              <w:rPr>
                <w:rFonts w:eastAsia="Times New Roman"/>
                <w:sz w:val="16"/>
                <w:szCs w:val="16"/>
                <w:lang w:eastAsia="en-US"/>
              </w:rPr>
              <w:t xml:space="preserve"> Përfshirja e personave me aftësi të kufizuara);</w:t>
            </w:r>
            <w:r w:rsidR="007D728E" w:rsidRPr="00CB13F7">
              <w:br/>
            </w:r>
            <w:r w:rsidR="0080D2BD" w:rsidRPr="00CB13F7">
              <w:rPr>
                <w:rFonts w:eastAsia="Times New Roman"/>
                <w:sz w:val="16"/>
                <w:szCs w:val="16"/>
                <w:lang w:eastAsia="en-US"/>
              </w:rPr>
              <w:t xml:space="preserve">Strategjinë Kombëtare për Zhvillim dhe Integrim Evropian(SKZHIE) </w:t>
            </w:r>
            <w:r w:rsidR="77B74F3F" w:rsidRPr="00CB13F7">
              <w:rPr>
                <w:rFonts w:eastAsia="Times New Roman"/>
                <w:sz w:val="16"/>
                <w:szCs w:val="16"/>
                <w:lang w:eastAsia="en-US"/>
              </w:rPr>
              <w:t>-</w:t>
            </w:r>
            <w:r w:rsidR="0080D2BD" w:rsidRPr="00CB13F7">
              <w:rPr>
                <w:rFonts w:eastAsia="Times New Roman"/>
                <w:sz w:val="16"/>
                <w:szCs w:val="16"/>
                <w:lang w:eastAsia="en-US"/>
              </w:rPr>
              <w:t xml:space="preserve"> qeverisja e mirë dhe barazia para ligjit;</w:t>
            </w:r>
            <w:r w:rsidR="007D728E" w:rsidRPr="00CB13F7">
              <w:br/>
            </w:r>
            <w:r w:rsidR="0080D2BD" w:rsidRPr="00CB13F7">
              <w:rPr>
                <w:rFonts w:eastAsia="Times New Roman"/>
                <w:sz w:val="16"/>
                <w:szCs w:val="16"/>
                <w:lang w:eastAsia="en-US"/>
              </w:rPr>
              <w:t xml:space="preserve">Raportet e Progresit të Komisionit </w:t>
            </w:r>
            <w:r w:rsidR="48A00EEC" w:rsidRPr="00CB13F7">
              <w:rPr>
                <w:rFonts w:eastAsia="Times New Roman"/>
                <w:sz w:val="16"/>
                <w:szCs w:val="16"/>
                <w:lang w:eastAsia="en-US"/>
              </w:rPr>
              <w:t>Evropian</w:t>
            </w:r>
            <w:r w:rsidR="0080D2BD" w:rsidRPr="00CB13F7">
              <w:rPr>
                <w:rFonts w:eastAsia="Times New Roman"/>
                <w:sz w:val="16"/>
                <w:szCs w:val="16"/>
                <w:lang w:eastAsia="en-US"/>
              </w:rPr>
              <w:t xml:space="preserve"> për Shqipërinë, Kapitulli </w:t>
            </w:r>
            <w:r w:rsidR="0080D2BD" w:rsidRPr="00CB13F7">
              <w:rPr>
                <w:rFonts w:eastAsia="Times New Roman"/>
                <w:sz w:val="16"/>
                <w:szCs w:val="16"/>
                <w:lang w:eastAsia="en-US"/>
              </w:rPr>
              <w:lastRenderedPageBreak/>
              <w:t xml:space="preserve">23 i negociatave të anëtarësimit në BE; </w:t>
            </w:r>
            <w:r w:rsidR="007D728E" w:rsidRPr="00CB13F7">
              <w:br/>
            </w:r>
            <w:r w:rsidR="0080D2BD" w:rsidRPr="00CB13F7">
              <w:rPr>
                <w:rFonts w:eastAsia="Times New Roman"/>
                <w:sz w:val="16"/>
                <w:szCs w:val="16"/>
                <w:lang w:eastAsia="en-US"/>
              </w:rPr>
              <w:t>Direktivën 2016/1919 të BE për ndihmën juridike falas;</w:t>
            </w:r>
            <w:r w:rsidR="007D728E" w:rsidRPr="00CB13F7">
              <w:br/>
            </w:r>
            <w:r w:rsidR="0080D2BD" w:rsidRPr="00CB13F7">
              <w:rPr>
                <w:rFonts w:eastAsia="Times New Roman"/>
                <w:sz w:val="16"/>
                <w:szCs w:val="16"/>
                <w:lang w:eastAsia="en-US"/>
              </w:rPr>
              <w:t>Direktivën 2012/29/BE për të drejtat e viktimave;</w:t>
            </w:r>
            <w:r w:rsidR="007D728E" w:rsidRPr="00CB13F7">
              <w:br/>
            </w:r>
            <w:r w:rsidR="0080D2BD" w:rsidRPr="00CB13F7">
              <w:rPr>
                <w:rFonts w:eastAsia="Times New Roman"/>
                <w:sz w:val="16"/>
                <w:szCs w:val="16"/>
                <w:lang w:eastAsia="en-US"/>
              </w:rPr>
              <w:t>Strategjinë Ndërsektoriale të Drejtësisë 2021-2025;</w:t>
            </w:r>
            <w:r w:rsidR="007D728E" w:rsidRPr="00CB13F7">
              <w:br/>
            </w:r>
            <w:r w:rsidR="0080D2BD" w:rsidRPr="00CB13F7">
              <w:rPr>
                <w:rFonts w:eastAsia="Times New Roman"/>
                <w:sz w:val="16"/>
                <w:szCs w:val="16"/>
                <w:lang w:eastAsia="en-US"/>
              </w:rPr>
              <w:t>Strategjinë për të Drejtat e Fëmijëve (akses në drejtësi për të miturit);</w:t>
            </w:r>
          </w:p>
        </w:tc>
      </w:tr>
      <w:tr w:rsidR="00830E31" w:rsidRPr="00CB13F7" w14:paraId="0D70E4B5" w14:textId="77777777" w:rsidTr="661F9D2E">
        <w:trPr>
          <w:trHeight w:val="225"/>
        </w:trPr>
        <w:tc>
          <w:tcPr>
            <w:tcW w:w="1020" w:type="dxa"/>
            <w:tcBorders>
              <w:top w:val="nil"/>
              <w:left w:val="single" w:sz="4" w:space="0" w:color="000000" w:themeColor="text1"/>
              <w:bottom w:val="nil"/>
              <w:right w:val="single" w:sz="4" w:space="0" w:color="000000" w:themeColor="text1"/>
            </w:tcBorders>
            <w:shd w:val="clear" w:color="auto" w:fill="CAEDFA"/>
            <w:hideMark/>
          </w:tcPr>
          <w:p w14:paraId="4AA59D0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hideMark/>
          </w:tcPr>
          <w:p w14:paraId="4E871D31" w14:textId="77777777" w:rsidR="007D728E" w:rsidRPr="00CB13F7" w:rsidRDefault="007D728E" w:rsidP="007D728E">
            <w:pPr>
              <w:rPr>
                <w:rFonts w:eastAsia="Times New Roman"/>
                <w:sz w:val="16"/>
                <w:szCs w:val="16"/>
                <w:lang w:eastAsia="en-US"/>
              </w:rPr>
            </w:pPr>
          </w:p>
        </w:tc>
        <w:tc>
          <w:tcPr>
            <w:tcW w:w="2493" w:type="dxa"/>
            <w:gridSpan w:val="2"/>
            <w:tcBorders>
              <w:top w:val="nil"/>
              <w:left w:val="nil"/>
              <w:bottom w:val="nil"/>
              <w:right w:val="nil"/>
            </w:tcBorders>
            <w:shd w:val="clear" w:color="auto" w:fill="CAEDFA"/>
            <w:hideMark/>
          </w:tcPr>
          <w:p w14:paraId="3077CB5A" w14:textId="77777777" w:rsidR="007D728E" w:rsidRPr="00CB13F7" w:rsidRDefault="007D728E" w:rsidP="007D728E">
            <w:pPr>
              <w:tabs>
                <w:tab w:val="center" w:pos="1138"/>
              </w:tabs>
              <w:rPr>
                <w:rFonts w:eastAsia="Times New Roman"/>
                <w:sz w:val="16"/>
                <w:szCs w:val="16"/>
                <w:lang w:eastAsia="en-US"/>
              </w:rPr>
            </w:pPr>
            <w:r w:rsidRPr="00CB13F7">
              <w:rPr>
                <w:rFonts w:eastAsia="Times New Roman"/>
                <w:sz w:val="16"/>
                <w:szCs w:val="16"/>
                <w:lang w:eastAsia="en-US"/>
              </w:rPr>
              <w:t> </w:t>
            </w:r>
            <w:r w:rsidRPr="00CB13F7">
              <w:rPr>
                <w:rFonts w:eastAsia="Times New Roman"/>
                <w:sz w:val="16"/>
                <w:szCs w:val="16"/>
                <w:lang w:eastAsia="en-US"/>
              </w:rPr>
              <w:tab/>
            </w:r>
          </w:p>
        </w:tc>
        <w:tc>
          <w:tcPr>
            <w:tcW w:w="819" w:type="dxa"/>
            <w:tcBorders>
              <w:top w:val="nil"/>
              <w:left w:val="nil"/>
              <w:bottom w:val="nil"/>
              <w:right w:val="single" w:sz="4" w:space="0" w:color="000000" w:themeColor="text1"/>
            </w:tcBorders>
            <w:shd w:val="clear" w:color="auto" w:fill="CAEDFA"/>
            <w:hideMark/>
          </w:tcPr>
          <w:p w14:paraId="7EC0FA6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18" w:type="dxa"/>
            <w:tcBorders>
              <w:top w:val="nil"/>
              <w:left w:val="nil"/>
              <w:bottom w:val="nil"/>
              <w:right w:val="single" w:sz="4" w:space="0" w:color="000000" w:themeColor="text1"/>
            </w:tcBorders>
            <w:shd w:val="clear" w:color="auto" w:fill="CAEDFA"/>
            <w:hideMark/>
          </w:tcPr>
          <w:p w14:paraId="4C53694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17" w:type="dxa"/>
            <w:gridSpan w:val="2"/>
            <w:tcBorders>
              <w:top w:val="nil"/>
              <w:left w:val="nil"/>
              <w:bottom w:val="nil"/>
              <w:right w:val="single" w:sz="4" w:space="0" w:color="000000" w:themeColor="text1"/>
            </w:tcBorders>
            <w:shd w:val="clear" w:color="auto" w:fill="CAEDFA"/>
            <w:hideMark/>
          </w:tcPr>
          <w:p w14:paraId="36F9DE0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60" w:type="dxa"/>
            <w:gridSpan w:val="2"/>
            <w:tcBorders>
              <w:top w:val="nil"/>
              <w:left w:val="nil"/>
              <w:bottom w:val="nil"/>
              <w:right w:val="nil"/>
            </w:tcBorders>
            <w:shd w:val="clear" w:color="auto" w:fill="CAEDFA"/>
            <w:hideMark/>
          </w:tcPr>
          <w:p w14:paraId="2AC745E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60" w:type="dxa"/>
            <w:vMerge/>
            <w:hideMark/>
          </w:tcPr>
          <w:p w14:paraId="39D076F8" w14:textId="77777777" w:rsidR="007D728E" w:rsidRPr="00CB13F7" w:rsidRDefault="007D728E" w:rsidP="007D728E">
            <w:pPr>
              <w:rPr>
                <w:rFonts w:eastAsia="Times New Roman"/>
                <w:sz w:val="16"/>
                <w:szCs w:val="16"/>
                <w:lang w:eastAsia="en-US"/>
              </w:rPr>
            </w:pPr>
          </w:p>
        </w:tc>
      </w:tr>
      <w:tr w:rsidR="00830E31" w:rsidRPr="00CB13F7" w14:paraId="52AC1BF7" w14:textId="77777777" w:rsidTr="661F9D2E">
        <w:trPr>
          <w:trHeight w:val="740"/>
        </w:trPr>
        <w:tc>
          <w:tcPr>
            <w:tcW w:w="1020" w:type="dxa"/>
            <w:tcBorders>
              <w:top w:val="nil"/>
              <w:left w:val="single" w:sz="4" w:space="0" w:color="000000" w:themeColor="text1"/>
              <w:bottom w:val="nil"/>
              <w:right w:val="single" w:sz="4" w:space="0" w:color="000000" w:themeColor="text1"/>
            </w:tcBorders>
            <w:shd w:val="clear" w:color="auto" w:fill="CAEDFA"/>
            <w:hideMark/>
          </w:tcPr>
          <w:p w14:paraId="3F02BAB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hideMark/>
          </w:tcPr>
          <w:p w14:paraId="66C1B27B" w14:textId="77777777" w:rsidR="007D728E" w:rsidRPr="00CB13F7" w:rsidRDefault="007D728E" w:rsidP="007D728E">
            <w:pPr>
              <w:rPr>
                <w:rFonts w:eastAsia="Times New Roman"/>
                <w:sz w:val="16"/>
                <w:szCs w:val="16"/>
                <w:lang w:eastAsia="en-US"/>
              </w:rPr>
            </w:pPr>
          </w:p>
        </w:tc>
        <w:tc>
          <w:tcPr>
            <w:tcW w:w="2493" w:type="dxa"/>
            <w:gridSpan w:val="2"/>
            <w:vMerge w:val="restart"/>
            <w:tcBorders>
              <w:top w:val="nil"/>
              <w:left w:val="single" w:sz="4" w:space="0" w:color="000000" w:themeColor="text1"/>
              <w:bottom w:val="nil"/>
              <w:right w:val="nil"/>
            </w:tcBorders>
            <w:shd w:val="clear" w:color="auto" w:fill="CAEDFA"/>
            <w:hideMark/>
          </w:tcPr>
          <w:p w14:paraId="2FE8F4C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Persona me aftësi të kufizuara që përdorin shërbime të sistemit të drejtësisë (ndihmë juridike falas ose pjesëmarrje në procedura gjyqësore)</w:t>
            </w:r>
          </w:p>
        </w:tc>
        <w:tc>
          <w:tcPr>
            <w:tcW w:w="819" w:type="dxa"/>
            <w:tcBorders>
              <w:top w:val="nil"/>
              <w:left w:val="nil"/>
              <w:bottom w:val="nil"/>
              <w:right w:val="single" w:sz="4" w:space="0" w:color="000000" w:themeColor="text1"/>
            </w:tcBorders>
            <w:shd w:val="clear" w:color="auto" w:fill="CAEDFA"/>
            <w:hideMark/>
          </w:tcPr>
          <w:p w14:paraId="17030C7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5530</w:t>
            </w:r>
          </w:p>
        </w:tc>
        <w:tc>
          <w:tcPr>
            <w:tcW w:w="1418" w:type="dxa"/>
            <w:tcBorders>
              <w:top w:val="nil"/>
              <w:left w:val="nil"/>
              <w:bottom w:val="nil"/>
              <w:right w:val="single" w:sz="4" w:space="0" w:color="000000" w:themeColor="text1"/>
            </w:tcBorders>
            <w:shd w:val="clear" w:color="auto" w:fill="CAEDFA"/>
            <w:hideMark/>
          </w:tcPr>
          <w:p w14:paraId="6B024EC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20 % më shumë se baseline</w:t>
            </w:r>
          </w:p>
        </w:tc>
        <w:tc>
          <w:tcPr>
            <w:tcW w:w="1417" w:type="dxa"/>
            <w:gridSpan w:val="2"/>
            <w:tcBorders>
              <w:top w:val="nil"/>
              <w:left w:val="nil"/>
              <w:bottom w:val="nil"/>
              <w:right w:val="single" w:sz="4" w:space="0" w:color="000000" w:themeColor="text1"/>
            </w:tcBorders>
            <w:shd w:val="clear" w:color="auto" w:fill="CAEDFA"/>
            <w:hideMark/>
          </w:tcPr>
          <w:p w14:paraId="52960E4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45 % më shumë se baseline</w:t>
            </w:r>
          </w:p>
        </w:tc>
        <w:tc>
          <w:tcPr>
            <w:tcW w:w="1060" w:type="dxa"/>
            <w:gridSpan w:val="2"/>
            <w:tcBorders>
              <w:top w:val="nil"/>
              <w:left w:val="nil"/>
              <w:bottom w:val="nil"/>
              <w:right w:val="nil"/>
            </w:tcBorders>
            <w:shd w:val="clear" w:color="auto" w:fill="CAEDFA"/>
            <w:hideMark/>
          </w:tcPr>
          <w:p w14:paraId="61AF752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Drejtoria e Ndihmës Juridike Falas, </w:t>
            </w:r>
            <w:r w:rsidRPr="00CB13F7">
              <w:rPr>
                <w:rFonts w:eastAsia="Times New Roman"/>
                <w:color w:val="000000"/>
                <w:sz w:val="16"/>
                <w:szCs w:val="16"/>
                <w:lang w:eastAsia="en-US"/>
              </w:rPr>
              <w:br/>
              <w:t>Ministria e Drejtësisë;</w:t>
            </w:r>
          </w:p>
        </w:tc>
        <w:tc>
          <w:tcPr>
            <w:tcW w:w="2560" w:type="dxa"/>
            <w:vMerge/>
            <w:hideMark/>
          </w:tcPr>
          <w:p w14:paraId="232EBA41" w14:textId="77777777" w:rsidR="007D728E" w:rsidRPr="00CB13F7" w:rsidRDefault="007D728E" w:rsidP="007D728E">
            <w:pPr>
              <w:rPr>
                <w:rFonts w:eastAsia="Times New Roman"/>
                <w:sz w:val="16"/>
                <w:szCs w:val="16"/>
                <w:lang w:eastAsia="en-US"/>
              </w:rPr>
            </w:pPr>
          </w:p>
        </w:tc>
      </w:tr>
      <w:tr w:rsidR="00830E31" w:rsidRPr="00CB13F7" w14:paraId="75CD60A1" w14:textId="77777777" w:rsidTr="661F9D2E">
        <w:trPr>
          <w:trHeight w:val="3570"/>
        </w:trPr>
        <w:tc>
          <w:tcPr>
            <w:tcW w:w="1020" w:type="dxa"/>
            <w:tcBorders>
              <w:top w:val="nil"/>
              <w:left w:val="single" w:sz="4" w:space="0" w:color="000000" w:themeColor="text1"/>
              <w:bottom w:val="nil"/>
              <w:right w:val="single" w:sz="4" w:space="0" w:color="000000" w:themeColor="text1"/>
            </w:tcBorders>
            <w:shd w:val="clear" w:color="auto" w:fill="CAEDFA"/>
            <w:hideMark/>
          </w:tcPr>
          <w:p w14:paraId="2FB9B01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40" w:type="dxa"/>
            <w:gridSpan w:val="2"/>
            <w:vMerge/>
            <w:hideMark/>
          </w:tcPr>
          <w:p w14:paraId="01A548A3" w14:textId="77777777" w:rsidR="007D728E" w:rsidRPr="00CB13F7" w:rsidRDefault="007D728E" w:rsidP="007D728E">
            <w:pPr>
              <w:rPr>
                <w:rFonts w:eastAsia="Times New Roman"/>
                <w:sz w:val="16"/>
                <w:szCs w:val="16"/>
                <w:lang w:eastAsia="en-US"/>
              </w:rPr>
            </w:pPr>
          </w:p>
        </w:tc>
        <w:tc>
          <w:tcPr>
            <w:tcW w:w="2493" w:type="dxa"/>
            <w:gridSpan w:val="2"/>
            <w:vMerge/>
            <w:hideMark/>
          </w:tcPr>
          <w:p w14:paraId="3CE0465E" w14:textId="77777777" w:rsidR="007D728E" w:rsidRPr="00CB13F7" w:rsidRDefault="007D728E" w:rsidP="007D728E">
            <w:pPr>
              <w:rPr>
                <w:rFonts w:eastAsia="Times New Roman"/>
                <w:color w:val="000000"/>
                <w:sz w:val="16"/>
                <w:szCs w:val="16"/>
                <w:lang w:eastAsia="en-US"/>
              </w:rPr>
            </w:pPr>
          </w:p>
        </w:tc>
        <w:tc>
          <w:tcPr>
            <w:tcW w:w="819" w:type="dxa"/>
            <w:tcBorders>
              <w:top w:val="nil"/>
              <w:left w:val="nil"/>
              <w:bottom w:val="nil"/>
              <w:right w:val="single" w:sz="4" w:space="0" w:color="000000" w:themeColor="text1"/>
            </w:tcBorders>
            <w:shd w:val="clear" w:color="auto" w:fill="CAEDFA"/>
            <w:hideMark/>
          </w:tcPr>
          <w:p w14:paraId="02F863F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418" w:type="dxa"/>
            <w:tcBorders>
              <w:top w:val="nil"/>
              <w:left w:val="nil"/>
              <w:bottom w:val="nil"/>
              <w:right w:val="single" w:sz="4" w:space="0" w:color="000000" w:themeColor="text1"/>
            </w:tcBorders>
            <w:shd w:val="clear" w:color="auto" w:fill="CAEDFA"/>
            <w:hideMark/>
          </w:tcPr>
          <w:p w14:paraId="0E2085B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17" w:type="dxa"/>
            <w:gridSpan w:val="2"/>
            <w:tcBorders>
              <w:top w:val="nil"/>
              <w:left w:val="nil"/>
              <w:bottom w:val="nil"/>
              <w:right w:val="single" w:sz="4" w:space="0" w:color="000000" w:themeColor="text1"/>
            </w:tcBorders>
            <w:shd w:val="clear" w:color="auto" w:fill="CAEDFA"/>
            <w:hideMark/>
          </w:tcPr>
          <w:p w14:paraId="10B604F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060" w:type="dxa"/>
            <w:gridSpan w:val="2"/>
            <w:tcBorders>
              <w:top w:val="nil"/>
              <w:left w:val="nil"/>
              <w:bottom w:val="nil"/>
              <w:right w:val="nil"/>
            </w:tcBorders>
            <w:shd w:val="clear" w:color="auto" w:fill="CAEDFA"/>
            <w:hideMark/>
          </w:tcPr>
          <w:p w14:paraId="31EA2A0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60" w:type="dxa"/>
            <w:vMerge/>
            <w:hideMark/>
          </w:tcPr>
          <w:p w14:paraId="7F5B8A16" w14:textId="77777777" w:rsidR="007D728E" w:rsidRPr="00CB13F7" w:rsidRDefault="007D728E" w:rsidP="007D728E">
            <w:pPr>
              <w:rPr>
                <w:rFonts w:eastAsia="Times New Roman"/>
                <w:sz w:val="16"/>
                <w:szCs w:val="16"/>
                <w:lang w:eastAsia="en-US"/>
              </w:rPr>
            </w:pPr>
          </w:p>
        </w:tc>
      </w:tr>
      <w:tr w:rsidR="00830E31" w:rsidRPr="00CB13F7" w14:paraId="27C9C556" w14:textId="77777777" w:rsidTr="661F9D2E">
        <w:trPr>
          <w:trHeight w:val="675"/>
        </w:trPr>
        <w:tc>
          <w:tcPr>
            <w:tcW w:w="1020" w:type="dxa"/>
            <w:tcBorders>
              <w:top w:val="nil"/>
              <w:left w:val="single" w:sz="4" w:space="0" w:color="000000" w:themeColor="text1"/>
              <w:bottom w:val="nil"/>
              <w:right w:val="single" w:sz="4" w:space="0" w:color="000000" w:themeColor="text1"/>
            </w:tcBorders>
            <w:shd w:val="clear" w:color="auto" w:fill="CAEDFA"/>
            <w:hideMark/>
          </w:tcPr>
          <w:p w14:paraId="6300FD3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40"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38001DFF" w14:textId="431D8A81" w:rsidR="007D728E" w:rsidRPr="00CB13F7" w:rsidRDefault="0080D2BD" w:rsidP="007D728E">
            <w:pPr>
              <w:rPr>
                <w:rFonts w:eastAsia="Times New Roman"/>
                <w:sz w:val="16"/>
                <w:szCs w:val="16"/>
                <w:lang w:eastAsia="en-US"/>
              </w:rPr>
            </w:pPr>
            <w:r w:rsidRPr="00CB13F7">
              <w:rPr>
                <w:rFonts w:eastAsia="Times New Roman"/>
                <w:sz w:val="16"/>
                <w:szCs w:val="16"/>
                <w:lang w:eastAsia="en-US"/>
              </w:rPr>
              <w:t>Objektivi Specifik 2. Të garantohet njohja e barabartë para ligjit dhe ushtrimi i plotë i zotësisë për të vepruar për personat me aftësi të kufizuara, duke zëvendësuar kujdestarinë</w:t>
            </w:r>
            <w:r w:rsidR="26D9F8C9" w:rsidRPr="00CB13F7">
              <w:rPr>
                <w:rFonts w:eastAsia="Times New Roman"/>
                <w:sz w:val="16"/>
                <w:szCs w:val="16"/>
                <w:lang w:eastAsia="en-US"/>
              </w:rPr>
              <w:t xml:space="preserve"> ligjore</w:t>
            </w:r>
            <w:r w:rsidRPr="00CB13F7">
              <w:rPr>
                <w:rFonts w:eastAsia="Times New Roman"/>
                <w:sz w:val="16"/>
                <w:szCs w:val="16"/>
                <w:lang w:eastAsia="en-US"/>
              </w:rPr>
              <w:t xml:space="preserve"> me mekanizma të vendimmarrjes së mbështetur.</w:t>
            </w:r>
          </w:p>
        </w:tc>
        <w:tc>
          <w:tcPr>
            <w:tcW w:w="2493" w:type="dxa"/>
            <w:gridSpan w:val="2"/>
            <w:vMerge w:val="restart"/>
            <w:tcBorders>
              <w:top w:val="single" w:sz="4" w:space="0" w:color="000000" w:themeColor="text1"/>
              <w:left w:val="single" w:sz="4" w:space="0" w:color="000000" w:themeColor="text1"/>
              <w:bottom w:val="nil"/>
              <w:right w:val="nil"/>
            </w:tcBorders>
            <w:shd w:val="clear" w:color="auto" w:fill="CAEDFA"/>
            <w:hideMark/>
          </w:tcPr>
          <w:p w14:paraId="778B9DBE" w14:textId="38B0D5CE" w:rsidR="007D728E" w:rsidRPr="00CB13F7" w:rsidRDefault="0080D2BD" w:rsidP="007D728E">
            <w:pPr>
              <w:rPr>
                <w:rFonts w:eastAsia="Times New Roman"/>
                <w:sz w:val="16"/>
                <w:szCs w:val="16"/>
                <w:lang w:eastAsia="en-US"/>
              </w:rPr>
            </w:pPr>
            <w:r w:rsidRPr="00CB13F7">
              <w:rPr>
                <w:rFonts w:eastAsia="Times New Roman"/>
                <w:sz w:val="16"/>
                <w:szCs w:val="16"/>
                <w:lang w:eastAsia="en-US"/>
              </w:rPr>
              <w:t xml:space="preserve">Kuadri ligjor dhe institucional për vendimmarrjen e mbështetur i miratuar dhe funksional, duke garantuar ushtrimin e plotë të zotësisë </w:t>
            </w:r>
            <w:r w:rsidR="71DACAF1" w:rsidRPr="00CB13F7">
              <w:rPr>
                <w:rFonts w:eastAsia="Times New Roman"/>
                <w:sz w:val="16"/>
                <w:szCs w:val="16"/>
                <w:lang w:eastAsia="en-US"/>
              </w:rPr>
              <w:t>p</w:t>
            </w:r>
            <w:r w:rsidR="004B03EF" w:rsidRPr="00CB13F7">
              <w:rPr>
                <w:rFonts w:eastAsia="Times New Roman"/>
                <w:sz w:val="16"/>
                <w:szCs w:val="16"/>
                <w:lang w:eastAsia="en-US"/>
              </w:rPr>
              <w:t>ë</w:t>
            </w:r>
            <w:r w:rsidR="71DACAF1" w:rsidRPr="00CB13F7">
              <w:rPr>
                <w:rFonts w:eastAsia="Times New Roman"/>
                <w:sz w:val="16"/>
                <w:szCs w:val="16"/>
                <w:lang w:eastAsia="en-US"/>
              </w:rPr>
              <w:t>r t</w:t>
            </w:r>
            <w:r w:rsidR="004B03EF" w:rsidRPr="00CB13F7">
              <w:rPr>
                <w:rFonts w:eastAsia="Times New Roman"/>
                <w:sz w:val="16"/>
                <w:szCs w:val="16"/>
                <w:lang w:eastAsia="en-US"/>
              </w:rPr>
              <w:t>ë</w:t>
            </w:r>
            <w:r w:rsidR="71DACAF1" w:rsidRPr="00CB13F7">
              <w:rPr>
                <w:rFonts w:eastAsia="Times New Roman"/>
                <w:sz w:val="16"/>
                <w:szCs w:val="16"/>
                <w:lang w:eastAsia="en-US"/>
              </w:rPr>
              <w:t xml:space="preserve"> vepruar</w:t>
            </w:r>
            <w:r w:rsidRPr="00CB13F7">
              <w:rPr>
                <w:rFonts w:eastAsia="Times New Roman"/>
                <w:sz w:val="16"/>
                <w:szCs w:val="16"/>
                <w:lang w:eastAsia="en-US"/>
              </w:rPr>
              <w:t xml:space="preserve"> për personat me aftësi të kufizuara në përputhje me parimin e njohjes së barabartë para ligjit.</w:t>
            </w:r>
          </w:p>
        </w:tc>
        <w:tc>
          <w:tcPr>
            <w:tcW w:w="819"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422F879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3472B38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 ligje të ndryshuara</w:t>
            </w:r>
          </w:p>
        </w:tc>
        <w:tc>
          <w:tcPr>
            <w:tcW w:w="1417"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2F5D466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4 ligje të tjera të ndryshuara</w:t>
            </w:r>
          </w:p>
        </w:tc>
        <w:tc>
          <w:tcPr>
            <w:tcW w:w="1060" w:type="dxa"/>
            <w:gridSpan w:val="2"/>
            <w:vMerge w:val="restart"/>
            <w:tcBorders>
              <w:top w:val="single" w:sz="4" w:space="0" w:color="000000" w:themeColor="text1"/>
              <w:left w:val="single" w:sz="4" w:space="0" w:color="000000" w:themeColor="text1"/>
              <w:bottom w:val="nil"/>
              <w:right w:val="nil"/>
            </w:tcBorders>
            <w:shd w:val="clear" w:color="auto" w:fill="CAEDFA"/>
            <w:hideMark/>
          </w:tcPr>
          <w:p w14:paraId="28630F3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Fletorja Zyrtare;</w:t>
            </w:r>
            <w:r w:rsidRPr="00CB13F7">
              <w:rPr>
                <w:rFonts w:eastAsia="Times New Roman"/>
                <w:sz w:val="16"/>
                <w:szCs w:val="16"/>
                <w:lang w:eastAsia="en-US"/>
              </w:rPr>
              <w:br/>
              <w:t>Aktet nënligjore; Udhëzimet zbatuese të Ministrisë së Drejtësisë dhe institucioneve përkatëse.</w:t>
            </w:r>
          </w:p>
        </w:tc>
        <w:tc>
          <w:tcPr>
            <w:tcW w:w="2560"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7B4BD8D1" w14:textId="054BAD88" w:rsidR="007D728E" w:rsidRPr="00CB13F7" w:rsidRDefault="056E0E8B" w:rsidP="661F9D2E">
            <w:pPr>
              <w:rPr>
                <w:rFonts w:eastAsia="Times New Roman"/>
                <w:color w:val="000000"/>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12 “Njohja e barabartë para ligjit”;</w:t>
            </w:r>
            <w:r w:rsidR="007D728E" w:rsidRPr="00CB13F7">
              <w:br/>
            </w:r>
            <w:r w:rsidR="0080D2BD" w:rsidRPr="00CB13F7">
              <w:rPr>
                <w:rFonts w:eastAsia="Times New Roman"/>
                <w:color w:val="000000" w:themeColor="text1"/>
                <w:sz w:val="16"/>
                <w:szCs w:val="16"/>
                <w:lang w:eastAsia="en-US"/>
              </w:rPr>
              <w:t xml:space="preserve">Strategjinë e BE për të Drejtat e Personave me Aftësi të Kufizuara 2021-2030; </w:t>
            </w:r>
            <w:r w:rsidR="007D728E" w:rsidRPr="00CB13F7">
              <w:br/>
            </w:r>
            <w:r w:rsidR="0080D2BD" w:rsidRPr="00CB13F7">
              <w:rPr>
                <w:rFonts w:eastAsia="Times New Roman"/>
                <w:color w:val="000000" w:themeColor="text1"/>
                <w:sz w:val="16"/>
                <w:szCs w:val="16"/>
                <w:lang w:eastAsia="en-US"/>
              </w:rPr>
              <w:t>European Accessibility Act (Direktiva (BE) 2019/882);</w:t>
            </w:r>
            <w:r w:rsidR="007D728E" w:rsidRPr="00CB13F7">
              <w:br/>
            </w:r>
            <w:r w:rsidR="0080D2BD" w:rsidRPr="00CB13F7">
              <w:rPr>
                <w:rFonts w:eastAsia="Times New Roman"/>
                <w:color w:val="000000" w:themeColor="text1"/>
                <w:sz w:val="16"/>
                <w:szCs w:val="16"/>
                <w:lang w:eastAsia="en-US"/>
              </w:rPr>
              <w:t xml:space="preserve">Komentin e Përgjithshëm nr. 1 të Komitetit të </w:t>
            </w:r>
            <w:r w:rsidR="7F189F0E" w:rsidRPr="00CB13F7">
              <w:rPr>
                <w:rFonts w:eastAsia="Times New Roman"/>
              </w:rPr>
              <w:t xml:space="preserve"> </w:t>
            </w:r>
            <w:r w:rsidR="7F189F0E" w:rsidRPr="00CB13F7">
              <w:rPr>
                <w:rFonts w:eastAsia="Times New Roman"/>
                <w:sz w:val="16"/>
                <w:szCs w:val="16"/>
              </w:rPr>
              <w:t>KDPAK</w:t>
            </w:r>
            <w:r w:rsidR="0080D2BD" w:rsidRPr="00CB13F7">
              <w:rPr>
                <w:rFonts w:eastAsia="Times New Roman"/>
                <w:color w:val="000000" w:themeColor="text1"/>
                <w:sz w:val="16"/>
                <w:szCs w:val="16"/>
                <w:lang w:eastAsia="en-US"/>
              </w:rPr>
              <w:t xml:space="preserve"> për zotësinë </w:t>
            </w:r>
            <w:r w:rsidR="422A5141" w:rsidRPr="00CB13F7">
              <w:rPr>
                <w:rFonts w:eastAsia="Times New Roman"/>
                <w:color w:val="000000" w:themeColor="text1"/>
                <w:sz w:val="16"/>
                <w:szCs w:val="16"/>
                <w:lang w:eastAsia="en-US"/>
              </w:rPr>
              <w:t>p</w:t>
            </w:r>
            <w:r w:rsidR="004B03EF" w:rsidRPr="00CB13F7">
              <w:rPr>
                <w:rFonts w:eastAsia="Times New Roman"/>
                <w:color w:val="000000" w:themeColor="text1"/>
                <w:sz w:val="16"/>
                <w:szCs w:val="16"/>
                <w:lang w:eastAsia="en-US"/>
              </w:rPr>
              <w:t>ë</w:t>
            </w:r>
            <w:r w:rsidR="422A5141" w:rsidRPr="00CB13F7">
              <w:rPr>
                <w:rFonts w:eastAsia="Times New Roman"/>
                <w:color w:val="000000" w:themeColor="text1"/>
                <w:sz w:val="16"/>
                <w:szCs w:val="16"/>
                <w:lang w:eastAsia="en-US"/>
              </w:rPr>
              <w:t>r t</w:t>
            </w:r>
            <w:r w:rsidR="004B03EF" w:rsidRPr="00CB13F7">
              <w:rPr>
                <w:rFonts w:eastAsia="Times New Roman"/>
                <w:color w:val="000000" w:themeColor="text1"/>
                <w:sz w:val="16"/>
                <w:szCs w:val="16"/>
                <w:lang w:eastAsia="en-US"/>
              </w:rPr>
              <w:t>ë</w:t>
            </w:r>
            <w:r w:rsidR="422A5141" w:rsidRPr="00CB13F7">
              <w:rPr>
                <w:rFonts w:eastAsia="Times New Roman"/>
                <w:color w:val="000000" w:themeColor="text1"/>
                <w:sz w:val="16"/>
                <w:szCs w:val="16"/>
                <w:lang w:eastAsia="en-US"/>
              </w:rPr>
              <w:t xml:space="preserve"> vepruar</w:t>
            </w:r>
            <w:r w:rsidR="0080D2BD" w:rsidRPr="00CB13F7">
              <w:rPr>
                <w:rFonts w:eastAsia="Times New Roman"/>
                <w:color w:val="000000" w:themeColor="text1"/>
                <w:sz w:val="16"/>
                <w:szCs w:val="16"/>
                <w:lang w:eastAsia="en-US"/>
              </w:rPr>
              <w:t>;</w:t>
            </w:r>
            <w:r w:rsidR="007D728E" w:rsidRPr="00CB13F7">
              <w:br/>
            </w:r>
            <w:r w:rsidR="0080D2BD" w:rsidRPr="00CB13F7">
              <w:rPr>
                <w:rFonts w:eastAsia="Times New Roman"/>
                <w:color w:val="000000" w:themeColor="text1"/>
                <w:sz w:val="16"/>
                <w:szCs w:val="16"/>
                <w:lang w:eastAsia="en-US"/>
              </w:rPr>
              <w:t>Plani Kombëtar i Shëndetit Mendor;</w:t>
            </w:r>
            <w:r w:rsidR="007D728E" w:rsidRPr="00CB13F7">
              <w:br/>
            </w:r>
            <w:r w:rsidR="0080D2BD" w:rsidRPr="00CB13F7">
              <w:rPr>
                <w:rFonts w:eastAsia="Times New Roman"/>
                <w:color w:val="000000" w:themeColor="text1"/>
                <w:sz w:val="16"/>
                <w:szCs w:val="16"/>
                <w:lang w:eastAsia="en-US"/>
              </w:rPr>
              <w:t>Strategjinë për Përfshirjen Sociale;</w:t>
            </w:r>
            <w:r w:rsidR="007D728E" w:rsidRPr="00CB13F7">
              <w:br/>
            </w:r>
            <w:r w:rsidR="0080D2BD" w:rsidRPr="00CB13F7">
              <w:rPr>
                <w:rFonts w:eastAsia="Times New Roman"/>
                <w:color w:val="000000" w:themeColor="text1"/>
                <w:sz w:val="16"/>
                <w:szCs w:val="16"/>
                <w:lang w:eastAsia="en-US"/>
              </w:rPr>
              <w:t xml:space="preserve">Raportet e Komisionit </w:t>
            </w:r>
            <w:r w:rsidR="48A00EEC" w:rsidRPr="00CB13F7">
              <w:rPr>
                <w:rFonts w:eastAsia="Times New Roman"/>
                <w:color w:val="000000" w:themeColor="text1"/>
                <w:sz w:val="16"/>
                <w:szCs w:val="16"/>
                <w:lang w:eastAsia="en-US"/>
              </w:rPr>
              <w:t>Evropian</w:t>
            </w:r>
            <w:r w:rsidR="0080D2BD" w:rsidRPr="00CB13F7">
              <w:rPr>
                <w:rFonts w:eastAsia="Times New Roman"/>
                <w:color w:val="000000" w:themeColor="text1"/>
                <w:sz w:val="16"/>
                <w:szCs w:val="16"/>
                <w:lang w:eastAsia="en-US"/>
              </w:rPr>
              <w:t>, Kapitulli 23;</w:t>
            </w:r>
          </w:p>
        </w:tc>
      </w:tr>
      <w:tr w:rsidR="007D728E" w:rsidRPr="00CB13F7" w14:paraId="00E0A271" w14:textId="77777777" w:rsidTr="661F9D2E">
        <w:trPr>
          <w:trHeight w:val="295"/>
        </w:trPr>
        <w:tc>
          <w:tcPr>
            <w:tcW w:w="1020" w:type="dxa"/>
            <w:tcBorders>
              <w:top w:val="nil"/>
              <w:left w:val="single" w:sz="4" w:space="0" w:color="000000" w:themeColor="text1"/>
              <w:bottom w:val="nil"/>
              <w:right w:val="single" w:sz="4" w:space="0" w:color="000000" w:themeColor="text1"/>
            </w:tcBorders>
            <w:shd w:val="clear" w:color="auto" w:fill="CAEDFA"/>
            <w:hideMark/>
          </w:tcPr>
          <w:p w14:paraId="02A42E0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hideMark/>
          </w:tcPr>
          <w:p w14:paraId="6F8604A6" w14:textId="77777777" w:rsidR="007D728E" w:rsidRPr="00CB13F7" w:rsidRDefault="007D728E" w:rsidP="007D728E">
            <w:pPr>
              <w:rPr>
                <w:rFonts w:eastAsia="Times New Roman"/>
                <w:sz w:val="16"/>
                <w:szCs w:val="16"/>
                <w:lang w:eastAsia="en-US"/>
              </w:rPr>
            </w:pPr>
          </w:p>
        </w:tc>
        <w:tc>
          <w:tcPr>
            <w:tcW w:w="2493" w:type="dxa"/>
            <w:gridSpan w:val="2"/>
            <w:vMerge/>
            <w:hideMark/>
          </w:tcPr>
          <w:p w14:paraId="036D532A" w14:textId="77777777" w:rsidR="007D728E" w:rsidRPr="00CB13F7" w:rsidRDefault="007D728E" w:rsidP="007D728E">
            <w:pPr>
              <w:rPr>
                <w:rFonts w:eastAsia="Times New Roman"/>
                <w:sz w:val="16"/>
                <w:szCs w:val="16"/>
                <w:lang w:eastAsia="en-US"/>
              </w:rPr>
            </w:pPr>
          </w:p>
        </w:tc>
        <w:tc>
          <w:tcPr>
            <w:tcW w:w="819" w:type="dxa"/>
            <w:vMerge/>
            <w:hideMark/>
          </w:tcPr>
          <w:p w14:paraId="141C2A3B" w14:textId="77777777" w:rsidR="007D728E" w:rsidRPr="00CB13F7" w:rsidRDefault="007D728E" w:rsidP="007D728E">
            <w:pPr>
              <w:rPr>
                <w:rFonts w:eastAsia="Times New Roman"/>
                <w:sz w:val="16"/>
                <w:szCs w:val="16"/>
                <w:lang w:eastAsia="en-US"/>
              </w:rPr>
            </w:pPr>
          </w:p>
        </w:tc>
        <w:tc>
          <w:tcPr>
            <w:tcW w:w="1418" w:type="dxa"/>
            <w:vMerge/>
            <w:hideMark/>
          </w:tcPr>
          <w:p w14:paraId="178CE736" w14:textId="77777777" w:rsidR="007D728E" w:rsidRPr="00CB13F7" w:rsidRDefault="007D728E" w:rsidP="007D728E">
            <w:pPr>
              <w:rPr>
                <w:rFonts w:eastAsia="Times New Roman"/>
                <w:sz w:val="16"/>
                <w:szCs w:val="16"/>
                <w:lang w:eastAsia="en-US"/>
              </w:rPr>
            </w:pPr>
          </w:p>
        </w:tc>
        <w:tc>
          <w:tcPr>
            <w:tcW w:w="1417" w:type="dxa"/>
            <w:gridSpan w:val="2"/>
            <w:vMerge/>
            <w:hideMark/>
          </w:tcPr>
          <w:p w14:paraId="138ECAED" w14:textId="77777777" w:rsidR="007D728E" w:rsidRPr="00CB13F7" w:rsidRDefault="007D728E" w:rsidP="007D728E">
            <w:pPr>
              <w:rPr>
                <w:rFonts w:eastAsia="Times New Roman"/>
                <w:sz w:val="16"/>
                <w:szCs w:val="16"/>
                <w:lang w:eastAsia="en-US"/>
              </w:rPr>
            </w:pPr>
          </w:p>
        </w:tc>
        <w:tc>
          <w:tcPr>
            <w:tcW w:w="1060" w:type="dxa"/>
            <w:gridSpan w:val="2"/>
            <w:vMerge/>
            <w:hideMark/>
          </w:tcPr>
          <w:p w14:paraId="680BA470" w14:textId="77777777" w:rsidR="007D728E" w:rsidRPr="00CB13F7" w:rsidRDefault="007D728E" w:rsidP="007D728E">
            <w:pPr>
              <w:rPr>
                <w:rFonts w:eastAsia="Times New Roman"/>
                <w:sz w:val="16"/>
                <w:szCs w:val="16"/>
                <w:lang w:eastAsia="en-US"/>
              </w:rPr>
            </w:pPr>
          </w:p>
        </w:tc>
        <w:tc>
          <w:tcPr>
            <w:tcW w:w="2560" w:type="dxa"/>
            <w:vMerge/>
            <w:hideMark/>
          </w:tcPr>
          <w:p w14:paraId="21B03B53" w14:textId="77777777" w:rsidR="007D728E" w:rsidRPr="00CB13F7" w:rsidRDefault="007D728E" w:rsidP="007D728E">
            <w:pPr>
              <w:rPr>
                <w:rFonts w:eastAsia="Times New Roman"/>
                <w:color w:val="000000"/>
                <w:sz w:val="16"/>
                <w:szCs w:val="16"/>
                <w:lang w:eastAsia="en-US"/>
              </w:rPr>
            </w:pPr>
          </w:p>
        </w:tc>
      </w:tr>
      <w:tr w:rsidR="007D728E" w:rsidRPr="00CB13F7" w14:paraId="35B1BC9A" w14:textId="77777777" w:rsidTr="661F9D2E">
        <w:trPr>
          <w:trHeight w:val="295"/>
        </w:trPr>
        <w:tc>
          <w:tcPr>
            <w:tcW w:w="1020" w:type="dxa"/>
            <w:tcBorders>
              <w:top w:val="nil"/>
              <w:left w:val="single" w:sz="4" w:space="0" w:color="000000" w:themeColor="text1"/>
              <w:bottom w:val="nil"/>
              <w:right w:val="single" w:sz="4" w:space="0" w:color="000000" w:themeColor="text1"/>
            </w:tcBorders>
            <w:shd w:val="clear" w:color="auto" w:fill="CAEDFA"/>
            <w:hideMark/>
          </w:tcPr>
          <w:p w14:paraId="44C480DF"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Objektivi</w:t>
            </w:r>
          </w:p>
        </w:tc>
        <w:tc>
          <w:tcPr>
            <w:tcW w:w="2140" w:type="dxa"/>
            <w:gridSpan w:val="2"/>
            <w:vMerge/>
            <w:hideMark/>
          </w:tcPr>
          <w:p w14:paraId="4190D137" w14:textId="77777777" w:rsidR="007D728E" w:rsidRPr="00CB13F7" w:rsidRDefault="007D728E" w:rsidP="007D728E">
            <w:pPr>
              <w:rPr>
                <w:rFonts w:eastAsia="Times New Roman"/>
                <w:sz w:val="16"/>
                <w:szCs w:val="16"/>
                <w:lang w:eastAsia="en-US"/>
              </w:rPr>
            </w:pPr>
          </w:p>
        </w:tc>
        <w:tc>
          <w:tcPr>
            <w:tcW w:w="2493" w:type="dxa"/>
            <w:gridSpan w:val="2"/>
            <w:vMerge/>
            <w:hideMark/>
          </w:tcPr>
          <w:p w14:paraId="6BB706FD" w14:textId="77777777" w:rsidR="007D728E" w:rsidRPr="00CB13F7" w:rsidRDefault="007D728E" w:rsidP="007D728E">
            <w:pPr>
              <w:rPr>
                <w:rFonts w:eastAsia="Times New Roman"/>
                <w:sz w:val="16"/>
                <w:szCs w:val="16"/>
                <w:lang w:eastAsia="en-US"/>
              </w:rPr>
            </w:pPr>
          </w:p>
        </w:tc>
        <w:tc>
          <w:tcPr>
            <w:tcW w:w="819" w:type="dxa"/>
            <w:vMerge/>
            <w:hideMark/>
          </w:tcPr>
          <w:p w14:paraId="67941A35" w14:textId="77777777" w:rsidR="007D728E" w:rsidRPr="00CB13F7" w:rsidRDefault="007D728E" w:rsidP="007D728E">
            <w:pPr>
              <w:rPr>
                <w:rFonts w:eastAsia="Times New Roman"/>
                <w:sz w:val="16"/>
                <w:szCs w:val="16"/>
                <w:lang w:eastAsia="en-US"/>
              </w:rPr>
            </w:pPr>
          </w:p>
        </w:tc>
        <w:tc>
          <w:tcPr>
            <w:tcW w:w="1418" w:type="dxa"/>
            <w:vMerge/>
            <w:hideMark/>
          </w:tcPr>
          <w:p w14:paraId="37BE5EA9" w14:textId="77777777" w:rsidR="007D728E" w:rsidRPr="00CB13F7" w:rsidRDefault="007D728E" w:rsidP="007D728E">
            <w:pPr>
              <w:rPr>
                <w:rFonts w:eastAsia="Times New Roman"/>
                <w:sz w:val="16"/>
                <w:szCs w:val="16"/>
                <w:lang w:eastAsia="en-US"/>
              </w:rPr>
            </w:pPr>
          </w:p>
        </w:tc>
        <w:tc>
          <w:tcPr>
            <w:tcW w:w="1417" w:type="dxa"/>
            <w:gridSpan w:val="2"/>
            <w:vMerge/>
            <w:hideMark/>
          </w:tcPr>
          <w:p w14:paraId="1D425974" w14:textId="77777777" w:rsidR="007D728E" w:rsidRPr="00CB13F7" w:rsidRDefault="007D728E" w:rsidP="007D728E">
            <w:pPr>
              <w:rPr>
                <w:rFonts w:eastAsia="Times New Roman"/>
                <w:sz w:val="16"/>
                <w:szCs w:val="16"/>
                <w:lang w:eastAsia="en-US"/>
              </w:rPr>
            </w:pPr>
          </w:p>
        </w:tc>
        <w:tc>
          <w:tcPr>
            <w:tcW w:w="1060" w:type="dxa"/>
            <w:gridSpan w:val="2"/>
            <w:vMerge/>
            <w:hideMark/>
          </w:tcPr>
          <w:p w14:paraId="156E8BBD" w14:textId="77777777" w:rsidR="007D728E" w:rsidRPr="00CB13F7" w:rsidRDefault="007D728E" w:rsidP="007D728E">
            <w:pPr>
              <w:rPr>
                <w:rFonts w:eastAsia="Times New Roman"/>
                <w:sz w:val="16"/>
                <w:szCs w:val="16"/>
                <w:lang w:eastAsia="en-US"/>
              </w:rPr>
            </w:pPr>
          </w:p>
        </w:tc>
        <w:tc>
          <w:tcPr>
            <w:tcW w:w="2560" w:type="dxa"/>
            <w:vMerge/>
            <w:hideMark/>
          </w:tcPr>
          <w:p w14:paraId="4CF387E8" w14:textId="77777777" w:rsidR="007D728E" w:rsidRPr="00CB13F7" w:rsidRDefault="007D728E" w:rsidP="007D728E">
            <w:pPr>
              <w:rPr>
                <w:rFonts w:eastAsia="Times New Roman"/>
                <w:color w:val="000000"/>
                <w:sz w:val="16"/>
                <w:szCs w:val="16"/>
                <w:lang w:eastAsia="en-US"/>
              </w:rPr>
            </w:pPr>
          </w:p>
        </w:tc>
      </w:tr>
      <w:tr w:rsidR="007D728E" w:rsidRPr="00CB13F7" w14:paraId="1393FF7C" w14:textId="77777777" w:rsidTr="661F9D2E">
        <w:trPr>
          <w:trHeight w:val="225"/>
        </w:trPr>
        <w:tc>
          <w:tcPr>
            <w:tcW w:w="1020" w:type="dxa"/>
            <w:tcBorders>
              <w:top w:val="nil"/>
              <w:left w:val="single" w:sz="4" w:space="0" w:color="000000" w:themeColor="text1"/>
              <w:bottom w:val="nil"/>
              <w:right w:val="single" w:sz="4" w:space="0" w:color="000000" w:themeColor="text1"/>
            </w:tcBorders>
            <w:shd w:val="clear" w:color="auto" w:fill="CAEDFA"/>
            <w:hideMark/>
          </w:tcPr>
          <w:p w14:paraId="7E9D3A4E"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specifik</w:t>
            </w:r>
          </w:p>
        </w:tc>
        <w:tc>
          <w:tcPr>
            <w:tcW w:w="2140" w:type="dxa"/>
            <w:gridSpan w:val="2"/>
            <w:vMerge/>
            <w:hideMark/>
          </w:tcPr>
          <w:p w14:paraId="70D2C4C9" w14:textId="77777777" w:rsidR="007D728E" w:rsidRPr="00CB13F7" w:rsidRDefault="007D728E" w:rsidP="007D728E">
            <w:pPr>
              <w:rPr>
                <w:rFonts w:eastAsia="Times New Roman"/>
                <w:sz w:val="16"/>
                <w:szCs w:val="16"/>
                <w:lang w:eastAsia="en-US"/>
              </w:rPr>
            </w:pPr>
          </w:p>
        </w:tc>
        <w:tc>
          <w:tcPr>
            <w:tcW w:w="2493" w:type="dxa"/>
            <w:gridSpan w:val="2"/>
            <w:vMerge/>
            <w:hideMark/>
          </w:tcPr>
          <w:p w14:paraId="60D43600" w14:textId="77777777" w:rsidR="007D728E" w:rsidRPr="00CB13F7" w:rsidRDefault="007D728E" w:rsidP="007D728E">
            <w:pPr>
              <w:rPr>
                <w:rFonts w:eastAsia="Times New Roman"/>
                <w:sz w:val="16"/>
                <w:szCs w:val="16"/>
                <w:lang w:eastAsia="en-US"/>
              </w:rPr>
            </w:pPr>
          </w:p>
        </w:tc>
        <w:tc>
          <w:tcPr>
            <w:tcW w:w="819" w:type="dxa"/>
            <w:vMerge/>
            <w:hideMark/>
          </w:tcPr>
          <w:p w14:paraId="482875E4" w14:textId="77777777" w:rsidR="007D728E" w:rsidRPr="00CB13F7" w:rsidRDefault="007D728E" w:rsidP="007D728E">
            <w:pPr>
              <w:rPr>
                <w:rFonts w:eastAsia="Times New Roman"/>
                <w:sz w:val="16"/>
                <w:szCs w:val="16"/>
                <w:lang w:eastAsia="en-US"/>
              </w:rPr>
            </w:pPr>
          </w:p>
        </w:tc>
        <w:tc>
          <w:tcPr>
            <w:tcW w:w="1418" w:type="dxa"/>
            <w:vMerge/>
            <w:hideMark/>
          </w:tcPr>
          <w:p w14:paraId="533F8824" w14:textId="77777777" w:rsidR="007D728E" w:rsidRPr="00CB13F7" w:rsidRDefault="007D728E" w:rsidP="007D728E">
            <w:pPr>
              <w:rPr>
                <w:rFonts w:eastAsia="Times New Roman"/>
                <w:sz w:val="16"/>
                <w:szCs w:val="16"/>
                <w:lang w:eastAsia="en-US"/>
              </w:rPr>
            </w:pPr>
          </w:p>
        </w:tc>
        <w:tc>
          <w:tcPr>
            <w:tcW w:w="1417" w:type="dxa"/>
            <w:gridSpan w:val="2"/>
            <w:vMerge/>
            <w:hideMark/>
          </w:tcPr>
          <w:p w14:paraId="47569E86" w14:textId="77777777" w:rsidR="007D728E" w:rsidRPr="00CB13F7" w:rsidRDefault="007D728E" w:rsidP="007D728E">
            <w:pPr>
              <w:rPr>
                <w:rFonts w:eastAsia="Times New Roman"/>
                <w:sz w:val="16"/>
                <w:szCs w:val="16"/>
                <w:lang w:eastAsia="en-US"/>
              </w:rPr>
            </w:pPr>
          </w:p>
        </w:tc>
        <w:tc>
          <w:tcPr>
            <w:tcW w:w="1060" w:type="dxa"/>
            <w:gridSpan w:val="2"/>
            <w:vMerge/>
            <w:hideMark/>
          </w:tcPr>
          <w:p w14:paraId="610C6587" w14:textId="77777777" w:rsidR="007D728E" w:rsidRPr="00CB13F7" w:rsidRDefault="007D728E" w:rsidP="007D728E">
            <w:pPr>
              <w:rPr>
                <w:rFonts w:eastAsia="Times New Roman"/>
                <w:sz w:val="16"/>
                <w:szCs w:val="16"/>
                <w:lang w:eastAsia="en-US"/>
              </w:rPr>
            </w:pPr>
          </w:p>
        </w:tc>
        <w:tc>
          <w:tcPr>
            <w:tcW w:w="2560" w:type="dxa"/>
            <w:vMerge/>
            <w:hideMark/>
          </w:tcPr>
          <w:p w14:paraId="339FC6A2" w14:textId="77777777" w:rsidR="007D728E" w:rsidRPr="00CB13F7" w:rsidRDefault="007D728E" w:rsidP="007D728E">
            <w:pPr>
              <w:rPr>
                <w:rFonts w:eastAsia="Times New Roman"/>
                <w:color w:val="000000"/>
                <w:sz w:val="16"/>
                <w:szCs w:val="16"/>
                <w:lang w:eastAsia="en-US"/>
              </w:rPr>
            </w:pPr>
          </w:p>
        </w:tc>
      </w:tr>
      <w:tr w:rsidR="007D728E" w:rsidRPr="00CB13F7" w14:paraId="0E98B781" w14:textId="77777777" w:rsidTr="661F9D2E">
        <w:trPr>
          <w:trHeight w:val="1970"/>
        </w:trPr>
        <w:tc>
          <w:tcPr>
            <w:tcW w:w="1020" w:type="dxa"/>
            <w:tcBorders>
              <w:top w:val="nil"/>
              <w:left w:val="single" w:sz="4" w:space="0" w:color="000000" w:themeColor="text1"/>
              <w:bottom w:val="nil"/>
              <w:right w:val="single" w:sz="4" w:space="0" w:color="000000" w:themeColor="text1"/>
            </w:tcBorders>
            <w:shd w:val="clear" w:color="auto" w:fill="CAEDFA"/>
            <w:hideMark/>
          </w:tcPr>
          <w:p w14:paraId="2FBCE83A" w14:textId="77777777" w:rsidR="007D728E" w:rsidRPr="00CB13F7" w:rsidRDefault="007D728E" w:rsidP="007D728E">
            <w:pPr>
              <w:rPr>
                <w:rFonts w:eastAsia="Times New Roman"/>
                <w:b/>
                <w:bCs/>
                <w:sz w:val="16"/>
                <w:szCs w:val="16"/>
                <w:lang w:eastAsia="en-US"/>
              </w:rPr>
            </w:pPr>
          </w:p>
        </w:tc>
        <w:tc>
          <w:tcPr>
            <w:tcW w:w="2140" w:type="dxa"/>
            <w:gridSpan w:val="2"/>
            <w:vMerge/>
            <w:hideMark/>
          </w:tcPr>
          <w:p w14:paraId="7D25CB0A" w14:textId="77777777" w:rsidR="007D728E" w:rsidRPr="00CB13F7" w:rsidRDefault="007D728E" w:rsidP="007D728E">
            <w:pPr>
              <w:rPr>
                <w:rFonts w:eastAsia="Times New Roman"/>
                <w:sz w:val="16"/>
                <w:szCs w:val="16"/>
                <w:lang w:eastAsia="en-US"/>
              </w:rPr>
            </w:pPr>
          </w:p>
        </w:tc>
        <w:tc>
          <w:tcPr>
            <w:tcW w:w="2493" w:type="dxa"/>
            <w:gridSpan w:val="2"/>
            <w:vMerge/>
            <w:hideMark/>
          </w:tcPr>
          <w:p w14:paraId="2DEB33E6" w14:textId="77777777" w:rsidR="007D728E" w:rsidRPr="00CB13F7" w:rsidRDefault="007D728E" w:rsidP="007D728E">
            <w:pPr>
              <w:rPr>
                <w:rFonts w:eastAsia="Times New Roman"/>
                <w:sz w:val="16"/>
                <w:szCs w:val="16"/>
                <w:lang w:eastAsia="en-US"/>
              </w:rPr>
            </w:pPr>
          </w:p>
        </w:tc>
        <w:tc>
          <w:tcPr>
            <w:tcW w:w="819" w:type="dxa"/>
            <w:vMerge/>
            <w:hideMark/>
          </w:tcPr>
          <w:p w14:paraId="3332BC5F" w14:textId="77777777" w:rsidR="007D728E" w:rsidRPr="00CB13F7" w:rsidRDefault="007D728E" w:rsidP="007D728E">
            <w:pPr>
              <w:rPr>
                <w:rFonts w:eastAsia="Times New Roman"/>
                <w:sz w:val="16"/>
                <w:szCs w:val="16"/>
                <w:lang w:eastAsia="en-US"/>
              </w:rPr>
            </w:pPr>
          </w:p>
        </w:tc>
        <w:tc>
          <w:tcPr>
            <w:tcW w:w="1418" w:type="dxa"/>
            <w:vMerge/>
            <w:hideMark/>
          </w:tcPr>
          <w:p w14:paraId="3C715CBB" w14:textId="77777777" w:rsidR="007D728E" w:rsidRPr="00CB13F7" w:rsidRDefault="007D728E" w:rsidP="007D728E">
            <w:pPr>
              <w:rPr>
                <w:rFonts w:eastAsia="Times New Roman"/>
                <w:sz w:val="16"/>
                <w:szCs w:val="16"/>
                <w:lang w:eastAsia="en-US"/>
              </w:rPr>
            </w:pPr>
          </w:p>
        </w:tc>
        <w:tc>
          <w:tcPr>
            <w:tcW w:w="1417" w:type="dxa"/>
            <w:gridSpan w:val="2"/>
            <w:vMerge/>
            <w:hideMark/>
          </w:tcPr>
          <w:p w14:paraId="63FF5211" w14:textId="77777777" w:rsidR="007D728E" w:rsidRPr="00CB13F7" w:rsidRDefault="007D728E" w:rsidP="007D728E">
            <w:pPr>
              <w:rPr>
                <w:rFonts w:eastAsia="Times New Roman"/>
                <w:sz w:val="16"/>
                <w:szCs w:val="16"/>
                <w:lang w:eastAsia="en-US"/>
              </w:rPr>
            </w:pPr>
          </w:p>
        </w:tc>
        <w:tc>
          <w:tcPr>
            <w:tcW w:w="1060" w:type="dxa"/>
            <w:gridSpan w:val="2"/>
            <w:vMerge/>
            <w:hideMark/>
          </w:tcPr>
          <w:p w14:paraId="54FC31BD" w14:textId="77777777" w:rsidR="007D728E" w:rsidRPr="00CB13F7" w:rsidRDefault="007D728E" w:rsidP="007D728E">
            <w:pPr>
              <w:rPr>
                <w:rFonts w:eastAsia="Times New Roman"/>
                <w:sz w:val="16"/>
                <w:szCs w:val="16"/>
                <w:lang w:eastAsia="en-US"/>
              </w:rPr>
            </w:pPr>
          </w:p>
        </w:tc>
        <w:tc>
          <w:tcPr>
            <w:tcW w:w="2560" w:type="dxa"/>
            <w:vMerge/>
            <w:hideMark/>
          </w:tcPr>
          <w:p w14:paraId="6A0CF826" w14:textId="77777777" w:rsidR="007D728E" w:rsidRPr="00CB13F7" w:rsidRDefault="007D728E" w:rsidP="007D728E">
            <w:pPr>
              <w:rPr>
                <w:rFonts w:eastAsia="Times New Roman"/>
                <w:color w:val="000000"/>
                <w:sz w:val="16"/>
                <w:szCs w:val="16"/>
                <w:lang w:eastAsia="en-US"/>
              </w:rPr>
            </w:pPr>
          </w:p>
        </w:tc>
      </w:tr>
      <w:tr w:rsidR="007D728E" w:rsidRPr="00CB13F7" w14:paraId="57942122" w14:textId="77777777" w:rsidTr="661F9D2E">
        <w:trPr>
          <w:trHeight w:val="30"/>
        </w:trPr>
        <w:tc>
          <w:tcPr>
            <w:tcW w:w="1020" w:type="dxa"/>
            <w:tcBorders>
              <w:top w:val="nil"/>
              <w:left w:val="single" w:sz="4" w:space="0" w:color="000000" w:themeColor="text1"/>
              <w:bottom w:val="nil"/>
              <w:right w:val="single" w:sz="4" w:space="0" w:color="000000" w:themeColor="text1"/>
            </w:tcBorders>
            <w:shd w:val="clear" w:color="auto" w:fill="CAEDFA"/>
            <w:hideMark/>
          </w:tcPr>
          <w:p w14:paraId="13C4805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hideMark/>
          </w:tcPr>
          <w:p w14:paraId="747C7773" w14:textId="77777777" w:rsidR="007D728E" w:rsidRPr="00CB13F7" w:rsidRDefault="007D728E" w:rsidP="007D728E">
            <w:pPr>
              <w:rPr>
                <w:rFonts w:eastAsia="Times New Roman"/>
                <w:sz w:val="16"/>
                <w:szCs w:val="16"/>
                <w:lang w:eastAsia="en-US"/>
              </w:rPr>
            </w:pPr>
          </w:p>
        </w:tc>
        <w:tc>
          <w:tcPr>
            <w:tcW w:w="2493" w:type="dxa"/>
            <w:gridSpan w:val="2"/>
            <w:vMerge/>
            <w:hideMark/>
          </w:tcPr>
          <w:p w14:paraId="65FF5B8E" w14:textId="77777777" w:rsidR="007D728E" w:rsidRPr="00CB13F7" w:rsidRDefault="007D728E" w:rsidP="007D728E">
            <w:pPr>
              <w:rPr>
                <w:rFonts w:eastAsia="Times New Roman"/>
                <w:sz w:val="16"/>
                <w:szCs w:val="16"/>
                <w:lang w:eastAsia="en-US"/>
              </w:rPr>
            </w:pPr>
          </w:p>
        </w:tc>
        <w:tc>
          <w:tcPr>
            <w:tcW w:w="819" w:type="dxa"/>
            <w:vMerge/>
            <w:hideMark/>
          </w:tcPr>
          <w:p w14:paraId="10683C44" w14:textId="77777777" w:rsidR="007D728E" w:rsidRPr="00CB13F7" w:rsidRDefault="007D728E" w:rsidP="007D728E">
            <w:pPr>
              <w:rPr>
                <w:rFonts w:eastAsia="Times New Roman"/>
                <w:sz w:val="16"/>
                <w:szCs w:val="16"/>
                <w:lang w:eastAsia="en-US"/>
              </w:rPr>
            </w:pPr>
          </w:p>
        </w:tc>
        <w:tc>
          <w:tcPr>
            <w:tcW w:w="1418" w:type="dxa"/>
            <w:vMerge/>
            <w:hideMark/>
          </w:tcPr>
          <w:p w14:paraId="09DCC2D7" w14:textId="77777777" w:rsidR="007D728E" w:rsidRPr="00CB13F7" w:rsidRDefault="007D728E" w:rsidP="007D728E">
            <w:pPr>
              <w:rPr>
                <w:rFonts w:eastAsia="Times New Roman"/>
                <w:sz w:val="16"/>
                <w:szCs w:val="16"/>
                <w:lang w:eastAsia="en-US"/>
              </w:rPr>
            </w:pPr>
          </w:p>
        </w:tc>
        <w:tc>
          <w:tcPr>
            <w:tcW w:w="1417" w:type="dxa"/>
            <w:gridSpan w:val="2"/>
            <w:vMerge/>
            <w:hideMark/>
          </w:tcPr>
          <w:p w14:paraId="752B662D" w14:textId="77777777" w:rsidR="007D728E" w:rsidRPr="00CB13F7" w:rsidRDefault="007D728E" w:rsidP="007D728E">
            <w:pPr>
              <w:rPr>
                <w:rFonts w:eastAsia="Times New Roman"/>
                <w:sz w:val="16"/>
                <w:szCs w:val="16"/>
                <w:lang w:eastAsia="en-US"/>
              </w:rPr>
            </w:pPr>
          </w:p>
        </w:tc>
        <w:tc>
          <w:tcPr>
            <w:tcW w:w="1060" w:type="dxa"/>
            <w:gridSpan w:val="2"/>
            <w:vMerge/>
            <w:hideMark/>
          </w:tcPr>
          <w:p w14:paraId="1CFBD5C5" w14:textId="77777777" w:rsidR="007D728E" w:rsidRPr="00CB13F7" w:rsidRDefault="007D728E" w:rsidP="007D728E">
            <w:pPr>
              <w:rPr>
                <w:rFonts w:eastAsia="Times New Roman"/>
                <w:sz w:val="16"/>
                <w:szCs w:val="16"/>
                <w:lang w:eastAsia="en-US"/>
              </w:rPr>
            </w:pPr>
          </w:p>
        </w:tc>
        <w:tc>
          <w:tcPr>
            <w:tcW w:w="2560" w:type="dxa"/>
            <w:tcBorders>
              <w:top w:val="nil"/>
              <w:left w:val="nil"/>
              <w:bottom w:val="nil"/>
              <w:right w:val="single" w:sz="4" w:space="0" w:color="000000" w:themeColor="text1"/>
            </w:tcBorders>
            <w:shd w:val="clear" w:color="auto" w:fill="CAEDFA"/>
            <w:hideMark/>
          </w:tcPr>
          <w:p w14:paraId="04449EF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830E31" w:rsidRPr="00CB13F7" w14:paraId="29C3E842" w14:textId="77777777" w:rsidTr="661F9D2E">
        <w:trPr>
          <w:trHeight w:val="2350"/>
        </w:trPr>
        <w:tc>
          <w:tcPr>
            <w:tcW w:w="1020" w:type="dxa"/>
            <w:tcBorders>
              <w:top w:val="nil"/>
              <w:left w:val="single" w:sz="4" w:space="0" w:color="000000" w:themeColor="text1"/>
              <w:bottom w:val="nil"/>
              <w:right w:val="single" w:sz="4" w:space="0" w:color="000000" w:themeColor="text1"/>
            </w:tcBorders>
            <w:shd w:val="clear" w:color="auto" w:fill="CAEDFA"/>
            <w:hideMark/>
          </w:tcPr>
          <w:p w14:paraId="68C7EB4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40"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589A833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Objektivi Specifik 3. Të sigurohet që personat me aftësi të kufizuara në paraburgim dhe në institucionet e vuajtjes së dënimit të kenë ambiente të aksesueshme, shërbime shëndetësore e </w:t>
            </w:r>
            <w:r w:rsidR="00234FBC" w:rsidRPr="00CB13F7">
              <w:rPr>
                <w:rFonts w:eastAsia="Times New Roman"/>
                <w:sz w:val="16"/>
                <w:szCs w:val="16"/>
                <w:lang w:eastAsia="en-US"/>
              </w:rPr>
              <w:t>psiko-sociale</w:t>
            </w:r>
            <w:r w:rsidRPr="00CB13F7">
              <w:rPr>
                <w:rFonts w:eastAsia="Times New Roman"/>
                <w:sz w:val="16"/>
                <w:szCs w:val="16"/>
                <w:lang w:eastAsia="en-US"/>
              </w:rPr>
              <w:t xml:space="preserve"> dhe plane individuale mbështetjeje, për të garantuar trajtim dinjitoz dhe të barabartë.</w:t>
            </w:r>
          </w:p>
        </w:tc>
        <w:tc>
          <w:tcPr>
            <w:tcW w:w="2493" w:type="dxa"/>
            <w:gridSpan w:val="2"/>
            <w:tcBorders>
              <w:top w:val="single" w:sz="4" w:space="0" w:color="000000" w:themeColor="text1"/>
              <w:left w:val="nil"/>
              <w:bottom w:val="nil"/>
              <w:right w:val="nil"/>
            </w:tcBorders>
            <w:shd w:val="clear" w:color="auto" w:fill="CAEDFA"/>
            <w:hideMark/>
          </w:tcPr>
          <w:p w14:paraId="3AA8050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Institucionet e paraburgimit dhe të vuajtjes së dënimit zbatojnë standarde të aksesueshmërisë, identifikimit dhe mbështetjes për personat me aftësi të kufizuara, duke përfshirë procedurat e vlerësimit dhe planet individuale të mbështetjes.</w:t>
            </w:r>
          </w:p>
        </w:tc>
        <w:tc>
          <w:tcPr>
            <w:tcW w:w="819" w:type="dxa"/>
            <w:tcBorders>
              <w:top w:val="nil"/>
              <w:left w:val="nil"/>
              <w:bottom w:val="nil"/>
              <w:right w:val="single" w:sz="4" w:space="0" w:color="000000" w:themeColor="text1"/>
            </w:tcBorders>
            <w:shd w:val="clear" w:color="auto" w:fill="CAEDFA"/>
            <w:hideMark/>
          </w:tcPr>
          <w:p w14:paraId="5AD5E50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nil"/>
              <w:right w:val="single" w:sz="4" w:space="0" w:color="000000" w:themeColor="text1"/>
            </w:tcBorders>
            <w:shd w:val="clear" w:color="auto" w:fill="CAEDFA"/>
            <w:noWrap/>
            <w:hideMark/>
          </w:tcPr>
          <w:p w14:paraId="5ABF8D8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0,2</w:t>
            </w:r>
          </w:p>
        </w:tc>
        <w:tc>
          <w:tcPr>
            <w:tcW w:w="1417" w:type="dxa"/>
            <w:gridSpan w:val="2"/>
            <w:tcBorders>
              <w:top w:val="single" w:sz="4" w:space="0" w:color="000000" w:themeColor="text1"/>
              <w:left w:val="nil"/>
              <w:bottom w:val="nil"/>
              <w:right w:val="single" w:sz="4" w:space="0" w:color="000000" w:themeColor="text1"/>
            </w:tcBorders>
            <w:shd w:val="clear" w:color="auto" w:fill="CAEDFA"/>
            <w:noWrap/>
            <w:hideMark/>
          </w:tcPr>
          <w:p w14:paraId="01A4CA3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0,5</w:t>
            </w:r>
          </w:p>
        </w:tc>
        <w:tc>
          <w:tcPr>
            <w:tcW w:w="1060" w:type="dxa"/>
            <w:gridSpan w:val="2"/>
            <w:tcBorders>
              <w:top w:val="nil"/>
              <w:left w:val="nil"/>
              <w:bottom w:val="nil"/>
              <w:right w:val="nil"/>
            </w:tcBorders>
            <w:shd w:val="clear" w:color="auto" w:fill="CAEDFA"/>
            <w:hideMark/>
          </w:tcPr>
          <w:p w14:paraId="29EF2C0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Akte administrative të Drejtorisë së Përgjithshme të Burgjeve;</w:t>
            </w:r>
            <w:r w:rsidRPr="00CB13F7">
              <w:rPr>
                <w:rFonts w:eastAsia="Times New Roman"/>
                <w:sz w:val="16"/>
                <w:szCs w:val="16"/>
                <w:lang w:eastAsia="en-US"/>
              </w:rPr>
              <w:br/>
              <w:t>Protokollet e miratuara;</w:t>
            </w:r>
            <w:r w:rsidRPr="00CB13F7">
              <w:rPr>
                <w:rFonts w:eastAsia="Times New Roman"/>
                <w:sz w:val="16"/>
                <w:szCs w:val="16"/>
                <w:lang w:eastAsia="en-US"/>
              </w:rPr>
              <w:br/>
              <w:t>Raportet e inspektimit/monitorimit institucional;</w:t>
            </w:r>
          </w:p>
        </w:tc>
        <w:tc>
          <w:tcPr>
            <w:tcW w:w="2560" w:type="dxa"/>
            <w:vMerge w:val="restart"/>
            <w:tcBorders>
              <w:top w:val="nil"/>
              <w:left w:val="single" w:sz="4" w:space="0" w:color="000000" w:themeColor="text1"/>
              <w:bottom w:val="nil"/>
              <w:right w:val="single" w:sz="4" w:space="0" w:color="000000" w:themeColor="text1"/>
            </w:tcBorders>
            <w:shd w:val="clear" w:color="auto" w:fill="CAEDFA"/>
            <w:hideMark/>
          </w:tcPr>
          <w:p w14:paraId="5777CB6D" w14:textId="7666EA6C" w:rsidR="007D728E" w:rsidRPr="00CB13F7" w:rsidRDefault="45CF7B68" w:rsidP="661F9D2E">
            <w:pPr>
              <w:rPr>
                <w:rFonts w:eastAsia="Times New Roman"/>
                <w:color w:val="000000"/>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14 (liria dhe siguria e personit) dhe neni 15 (trajtim dinjitoz);</w:t>
            </w:r>
            <w:r w:rsidR="007D728E" w:rsidRPr="00CB13F7">
              <w:br/>
            </w:r>
            <w:r w:rsidR="0080D2BD" w:rsidRPr="00CB13F7">
              <w:rPr>
                <w:rFonts w:eastAsia="Times New Roman"/>
                <w:color w:val="000000" w:themeColor="text1"/>
                <w:sz w:val="16"/>
                <w:szCs w:val="16"/>
                <w:lang w:eastAsia="en-US"/>
              </w:rPr>
              <w:t xml:space="preserve">Strategjinë e BE për të Drejtat e Personave me Aftësi të Kufizuara 2021-2030; </w:t>
            </w:r>
            <w:r w:rsidR="007D728E" w:rsidRPr="00CB13F7">
              <w:br/>
            </w:r>
            <w:r w:rsidR="0080D2BD" w:rsidRPr="00CB13F7">
              <w:rPr>
                <w:rFonts w:eastAsia="Times New Roman"/>
                <w:color w:val="000000" w:themeColor="text1"/>
                <w:sz w:val="16"/>
                <w:szCs w:val="16"/>
                <w:lang w:eastAsia="en-US"/>
              </w:rPr>
              <w:t>European Accessibility Act (Direktiva (BE) 2019/882);</w:t>
            </w:r>
            <w:r w:rsidR="007D728E" w:rsidRPr="00CB13F7">
              <w:br/>
            </w:r>
            <w:r w:rsidR="0080D2BD" w:rsidRPr="00CB13F7">
              <w:rPr>
                <w:rFonts w:eastAsia="Times New Roman"/>
                <w:color w:val="000000" w:themeColor="text1"/>
                <w:sz w:val="16"/>
                <w:szCs w:val="16"/>
                <w:lang w:eastAsia="en-US"/>
              </w:rPr>
              <w:t>Strategjinë për të Drejtat e Fëmijëve (të miturit në konflikt me ligjin);</w:t>
            </w:r>
          </w:p>
        </w:tc>
      </w:tr>
      <w:tr w:rsidR="00830E31" w:rsidRPr="00CB13F7" w14:paraId="29054F0B" w14:textId="77777777" w:rsidTr="661F9D2E">
        <w:trPr>
          <w:trHeight w:val="73"/>
        </w:trPr>
        <w:tc>
          <w:tcPr>
            <w:tcW w:w="1020" w:type="dxa"/>
            <w:tcBorders>
              <w:top w:val="nil"/>
              <w:left w:val="single" w:sz="4" w:space="0" w:color="000000" w:themeColor="text1"/>
              <w:bottom w:val="nil"/>
              <w:right w:val="single" w:sz="4" w:space="0" w:color="000000" w:themeColor="text1"/>
            </w:tcBorders>
            <w:shd w:val="clear" w:color="auto" w:fill="CAEDFA"/>
            <w:hideMark/>
          </w:tcPr>
          <w:p w14:paraId="5BB1EB1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hideMark/>
          </w:tcPr>
          <w:p w14:paraId="5393C2C4" w14:textId="77777777" w:rsidR="007D728E" w:rsidRPr="00CB13F7" w:rsidRDefault="007D728E" w:rsidP="007D728E">
            <w:pPr>
              <w:rPr>
                <w:rFonts w:eastAsia="Times New Roman"/>
                <w:sz w:val="16"/>
                <w:szCs w:val="16"/>
                <w:lang w:eastAsia="en-US"/>
              </w:rPr>
            </w:pPr>
          </w:p>
        </w:tc>
        <w:tc>
          <w:tcPr>
            <w:tcW w:w="2493" w:type="dxa"/>
            <w:gridSpan w:val="2"/>
            <w:tcBorders>
              <w:top w:val="nil"/>
              <w:left w:val="nil"/>
              <w:bottom w:val="nil"/>
              <w:right w:val="nil"/>
            </w:tcBorders>
            <w:shd w:val="clear" w:color="auto" w:fill="CAEDFA"/>
            <w:hideMark/>
          </w:tcPr>
          <w:p w14:paraId="66A3C00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819" w:type="dxa"/>
            <w:tcBorders>
              <w:top w:val="nil"/>
              <w:left w:val="nil"/>
              <w:bottom w:val="nil"/>
              <w:right w:val="single" w:sz="4" w:space="0" w:color="000000" w:themeColor="text1"/>
            </w:tcBorders>
            <w:shd w:val="clear" w:color="auto" w:fill="CAEDFA"/>
            <w:hideMark/>
          </w:tcPr>
          <w:p w14:paraId="3309C84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418" w:type="dxa"/>
            <w:tcBorders>
              <w:top w:val="nil"/>
              <w:left w:val="nil"/>
              <w:bottom w:val="nil"/>
              <w:right w:val="single" w:sz="4" w:space="0" w:color="000000" w:themeColor="text1"/>
            </w:tcBorders>
            <w:shd w:val="clear" w:color="auto" w:fill="CAEDFA"/>
            <w:hideMark/>
          </w:tcPr>
          <w:p w14:paraId="1955CE9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417" w:type="dxa"/>
            <w:gridSpan w:val="2"/>
            <w:tcBorders>
              <w:top w:val="nil"/>
              <w:left w:val="nil"/>
              <w:bottom w:val="nil"/>
              <w:right w:val="single" w:sz="4" w:space="0" w:color="000000" w:themeColor="text1"/>
            </w:tcBorders>
            <w:shd w:val="clear" w:color="auto" w:fill="CAEDFA"/>
            <w:hideMark/>
          </w:tcPr>
          <w:p w14:paraId="0BE385E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060" w:type="dxa"/>
            <w:gridSpan w:val="2"/>
            <w:tcBorders>
              <w:top w:val="nil"/>
              <w:left w:val="nil"/>
              <w:bottom w:val="nil"/>
              <w:right w:val="nil"/>
            </w:tcBorders>
            <w:shd w:val="clear" w:color="auto" w:fill="CAEDFA"/>
            <w:hideMark/>
          </w:tcPr>
          <w:p w14:paraId="3294728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60" w:type="dxa"/>
            <w:vMerge/>
            <w:hideMark/>
          </w:tcPr>
          <w:p w14:paraId="03FA0102" w14:textId="77777777" w:rsidR="007D728E" w:rsidRPr="00CB13F7" w:rsidRDefault="007D728E" w:rsidP="007D728E">
            <w:pPr>
              <w:rPr>
                <w:rFonts w:eastAsia="Times New Roman"/>
                <w:color w:val="000000"/>
                <w:sz w:val="16"/>
                <w:szCs w:val="16"/>
                <w:lang w:eastAsia="en-US"/>
              </w:rPr>
            </w:pPr>
          </w:p>
        </w:tc>
      </w:tr>
      <w:tr w:rsidR="007D728E" w:rsidRPr="00CB13F7" w14:paraId="267ABDA6" w14:textId="77777777" w:rsidTr="661F9D2E">
        <w:trPr>
          <w:trHeight w:val="1425"/>
        </w:trPr>
        <w:tc>
          <w:tcPr>
            <w:tcW w:w="1020" w:type="dxa"/>
            <w:tcBorders>
              <w:top w:val="single" w:sz="4" w:space="0" w:color="auto"/>
              <w:left w:val="single" w:sz="4" w:space="0" w:color="auto"/>
              <w:bottom w:val="nil"/>
              <w:right w:val="nil"/>
            </w:tcBorders>
            <w:hideMark/>
          </w:tcPr>
          <w:p w14:paraId="4BB61E0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single" w:sz="4" w:space="0" w:color="auto"/>
              <w:left w:val="single" w:sz="4" w:space="0" w:color="auto"/>
              <w:bottom w:val="nil"/>
              <w:right w:val="single" w:sz="4" w:space="0" w:color="000000" w:themeColor="text1"/>
            </w:tcBorders>
            <w:hideMark/>
          </w:tcPr>
          <w:p w14:paraId="24A9F15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 </w:t>
            </w:r>
            <w:r w:rsidR="00234FBC" w:rsidRPr="00CB13F7">
              <w:rPr>
                <w:rFonts w:eastAsia="Times New Roman"/>
                <w:sz w:val="16"/>
                <w:szCs w:val="16"/>
                <w:lang w:eastAsia="en-US"/>
              </w:rPr>
              <w:t>1.1. Rishikimi</w:t>
            </w:r>
            <w:r w:rsidRPr="00CB13F7">
              <w:rPr>
                <w:rFonts w:eastAsia="Times New Roman"/>
                <w:sz w:val="16"/>
                <w:szCs w:val="16"/>
                <w:lang w:eastAsia="en-US"/>
              </w:rPr>
              <w:t xml:space="preserve"> i kuadrit ligjor për të mundësuar akses të barabartë në drejtësi për personat me aftësi të kufizuara.</w:t>
            </w:r>
          </w:p>
        </w:tc>
        <w:tc>
          <w:tcPr>
            <w:tcW w:w="2493" w:type="dxa"/>
            <w:gridSpan w:val="2"/>
            <w:tcBorders>
              <w:top w:val="single" w:sz="4" w:space="0" w:color="auto"/>
              <w:left w:val="nil"/>
              <w:bottom w:val="nil"/>
              <w:right w:val="nil"/>
            </w:tcBorders>
            <w:hideMark/>
          </w:tcPr>
          <w:p w14:paraId="269D774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Kuadri ligjor dhe nënligjor i sistemit të drejtësisë i rishikuar dhe në fuqi, duke përfshirë përshtatjet e arsyeshme procedurale dhe mekanizmat e aksesueshëm për personat me aftësi të kufizuara.</w:t>
            </w:r>
          </w:p>
        </w:tc>
        <w:tc>
          <w:tcPr>
            <w:tcW w:w="819" w:type="dxa"/>
            <w:tcBorders>
              <w:top w:val="single" w:sz="4" w:space="0" w:color="auto"/>
              <w:left w:val="nil"/>
              <w:bottom w:val="nil"/>
              <w:right w:val="single" w:sz="4" w:space="0" w:color="auto"/>
            </w:tcBorders>
            <w:noWrap/>
            <w:hideMark/>
          </w:tcPr>
          <w:p w14:paraId="01F6516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18" w:type="dxa"/>
            <w:tcBorders>
              <w:top w:val="single" w:sz="4" w:space="0" w:color="auto"/>
              <w:left w:val="nil"/>
              <w:bottom w:val="nil"/>
              <w:right w:val="single" w:sz="4" w:space="0" w:color="auto"/>
            </w:tcBorders>
            <w:hideMark/>
          </w:tcPr>
          <w:p w14:paraId="619E08D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ligje të ndryshuara</w:t>
            </w:r>
          </w:p>
        </w:tc>
        <w:tc>
          <w:tcPr>
            <w:tcW w:w="1417" w:type="dxa"/>
            <w:gridSpan w:val="2"/>
            <w:tcBorders>
              <w:top w:val="single" w:sz="4" w:space="0" w:color="auto"/>
              <w:left w:val="nil"/>
              <w:bottom w:val="nil"/>
              <w:right w:val="single" w:sz="4" w:space="0" w:color="000000" w:themeColor="text1"/>
            </w:tcBorders>
            <w:hideMark/>
          </w:tcPr>
          <w:p w14:paraId="06C5852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 ligje të tjera të ndryshuara</w:t>
            </w:r>
          </w:p>
        </w:tc>
        <w:tc>
          <w:tcPr>
            <w:tcW w:w="1060" w:type="dxa"/>
            <w:gridSpan w:val="2"/>
            <w:tcBorders>
              <w:top w:val="single" w:sz="4" w:space="0" w:color="auto"/>
              <w:left w:val="nil"/>
              <w:bottom w:val="nil"/>
              <w:right w:val="nil"/>
            </w:tcBorders>
            <w:hideMark/>
          </w:tcPr>
          <w:p w14:paraId="62914B3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Fletorja Zyrtare;</w:t>
            </w:r>
            <w:r w:rsidRPr="00CB13F7">
              <w:rPr>
                <w:rFonts w:eastAsia="Times New Roman"/>
                <w:sz w:val="16"/>
                <w:szCs w:val="16"/>
                <w:lang w:eastAsia="en-US"/>
              </w:rPr>
              <w:br/>
              <w:t>Ministria e Drejtësisë;</w:t>
            </w:r>
          </w:p>
        </w:tc>
        <w:tc>
          <w:tcPr>
            <w:tcW w:w="2560" w:type="dxa"/>
            <w:vMerge w:val="restart"/>
            <w:tcBorders>
              <w:top w:val="single" w:sz="4" w:space="0" w:color="auto"/>
              <w:left w:val="single" w:sz="4" w:space="0" w:color="auto"/>
              <w:bottom w:val="single" w:sz="4" w:space="0" w:color="000000" w:themeColor="text1"/>
              <w:right w:val="single" w:sz="4" w:space="0" w:color="auto"/>
            </w:tcBorders>
            <w:hideMark/>
          </w:tcPr>
          <w:p w14:paraId="7AFF12A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0F3B941" w14:textId="77777777" w:rsidTr="661F9D2E">
        <w:trPr>
          <w:trHeight w:val="1890"/>
        </w:trPr>
        <w:tc>
          <w:tcPr>
            <w:tcW w:w="1020" w:type="dxa"/>
            <w:tcBorders>
              <w:top w:val="nil"/>
              <w:left w:val="nil"/>
              <w:bottom w:val="nil"/>
              <w:right w:val="nil"/>
            </w:tcBorders>
            <w:noWrap/>
            <w:hideMark/>
          </w:tcPr>
          <w:p w14:paraId="4DCA5941" w14:textId="77777777" w:rsidR="007D728E" w:rsidRPr="00CB13F7" w:rsidRDefault="007D728E" w:rsidP="007D728E">
            <w:pPr>
              <w:rPr>
                <w:rFonts w:eastAsia="Times New Roman"/>
                <w:color w:val="000000"/>
                <w:sz w:val="16"/>
                <w:szCs w:val="16"/>
                <w:lang w:eastAsia="en-US"/>
              </w:rPr>
            </w:pPr>
          </w:p>
        </w:tc>
        <w:tc>
          <w:tcPr>
            <w:tcW w:w="2140" w:type="dxa"/>
            <w:gridSpan w:val="2"/>
            <w:tcBorders>
              <w:top w:val="nil"/>
              <w:left w:val="single" w:sz="4" w:space="0" w:color="auto"/>
              <w:bottom w:val="single" w:sz="4" w:space="0" w:color="auto"/>
              <w:right w:val="single" w:sz="4" w:space="0" w:color="000000" w:themeColor="text1"/>
            </w:tcBorders>
            <w:hideMark/>
          </w:tcPr>
          <w:p w14:paraId="66CEE52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3" w:type="dxa"/>
            <w:gridSpan w:val="2"/>
            <w:tcBorders>
              <w:top w:val="nil"/>
              <w:left w:val="nil"/>
              <w:bottom w:val="single" w:sz="4" w:space="0" w:color="auto"/>
              <w:right w:val="nil"/>
            </w:tcBorders>
            <w:hideMark/>
          </w:tcPr>
          <w:p w14:paraId="2A3B1C5C"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t>Procedura</w:t>
            </w:r>
            <w:r w:rsidR="007D728E" w:rsidRPr="00CB13F7">
              <w:rPr>
                <w:rFonts w:eastAsia="Times New Roman"/>
                <w:sz w:val="16"/>
                <w:szCs w:val="16"/>
                <w:lang w:eastAsia="en-US"/>
              </w:rPr>
              <w:t xml:space="preserve"> dhe mjete të aksesueshme të komunikimit dhe mbështetjes për personat me aftësi të kufizuara të vendosura dhe të përdorshme në institucionet e sistemit të drejtësisë (p.sh. formularë “easy-to-read”, interpretim në gjuhën e shenjave, materiale audio/video, udhëzime </w:t>
            </w:r>
            <w:r w:rsidRPr="00CB13F7">
              <w:rPr>
                <w:rFonts w:eastAsia="Times New Roman"/>
                <w:sz w:val="16"/>
                <w:szCs w:val="16"/>
                <w:lang w:eastAsia="en-US"/>
              </w:rPr>
              <w:t>procedurale</w:t>
            </w:r>
            <w:r w:rsidR="007D728E" w:rsidRPr="00CB13F7">
              <w:rPr>
                <w:rFonts w:eastAsia="Times New Roman"/>
                <w:sz w:val="16"/>
                <w:szCs w:val="16"/>
                <w:lang w:eastAsia="en-US"/>
              </w:rPr>
              <w:t xml:space="preserve"> të aksesueshme).</w:t>
            </w:r>
          </w:p>
        </w:tc>
        <w:tc>
          <w:tcPr>
            <w:tcW w:w="819" w:type="dxa"/>
            <w:tcBorders>
              <w:top w:val="nil"/>
              <w:left w:val="nil"/>
              <w:bottom w:val="single" w:sz="4" w:space="0" w:color="auto"/>
              <w:right w:val="single" w:sz="4" w:space="0" w:color="auto"/>
            </w:tcBorders>
            <w:hideMark/>
          </w:tcPr>
          <w:p w14:paraId="38BBB88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single" w:sz="4" w:space="0" w:color="auto"/>
              <w:right w:val="single" w:sz="4" w:space="0" w:color="auto"/>
            </w:tcBorders>
            <w:hideMark/>
          </w:tcPr>
          <w:p w14:paraId="14A4163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20% e institucioneve të drejtësisë </w:t>
            </w:r>
          </w:p>
        </w:tc>
        <w:tc>
          <w:tcPr>
            <w:tcW w:w="1417" w:type="dxa"/>
            <w:gridSpan w:val="2"/>
            <w:tcBorders>
              <w:top w:val="nil"/>
              <w:left w:val="nil"/>
              <w:bottom w:val="single" w:sz="4" w:space="0" w:color="auto"/>
              <w:right w:val="single" w:sz="4" w:space="0" w:color="000000" w:themeColor="text1"/>
            </w:tcBorders>
            <w:hideMark/>
          </w:tcPr>
          <w:p w14:paraId="75F46A9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50 % e institucioneve të drejtësisë</w:t>
            </w:r>
          </w:p>
        </w:tc>
        <w:tc>
          <w:tcPr>
            <w:tcW w:w="1060" w:type="dxa"/>
            <w:gridSpan w:val="2"/>
            <w:tcBorders>
              <w:top w:val="nil"/>
              <w:left w:val="nil"/>
              <w:bottom w:val="single" w:sz="4" w:space="0" w:color="auto"/>
              <w:right w:val="nil"/>
            </w:tcBorders>
            <w:hideMark/>
          </w:tcPr>
          <w:p w14:paraId="3CAAB27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Ministria e Drejtësisë;</w:t>
            </w:r>
            <w:r w:rsidRPr="00CB13F7">
              <w:rPr>
                <w:rFonts w:eastAsia="Times New Roman"/>
                <w:sz w:val="16"/>
                <w:szCs w:val="16"/>
                <w:lang w:eastAsia="en-US"/>
              </w:rPr>
              <w:br/>
              <w:t>KLGJ;</w:t>
            </w:r>
            <w:r w:rsidRPr="00CB13F7">
              <w:rPr>
                <w:rFonts w:eastAsia="Times New Roman"/>
                <w:sz w:val="16"/>
                <w:szCs w:val="16"/>
                <w:lang w:eastAsia="en-US"/>
              </w:rPr>
              <w:br/>
              <w:t>Prokuroria e Përgjithshme;</w:t>
            </w:r>
          </w:p>
        </w:tc>
        <w:tc>
          <w:tcPr>
            <w:tcW w:w="2560" w:type="dxa"/>
            <w:vMerge/>
            <w:hideMark/>
          </w:tcPr>
          <w:p w14:paraId="7B8D90AA" w14:textId="77777777" w:rsidR="007D728E" w:rsidRPr="00CB13F7" w:rsidRDefault="007D728E" w:rsidP="007D728E">
            <w:pPr>
              <w:rPr>
                <w:rFonts w:eastAsia="Times New Roman"/>
                <w:color w:val="000000"/>
                <w:sz w:val="16"/>
                <w:szCs w:val="16"/>
                <w:lang w:eastAsia="en-US"/>
              </w:rPr>
            </w:pPr>
          </w:p>
        </w:tc>
      </w:tr>
      <w:tr w:rsidR="007D728E" w:rsidRPr="00CB13F7" w14:paraId="027CCDD7" w14:textId="77777777" w:rsidTr="661F9D2E">
        <w:trPr>
          <w:trHeight w:val="885"/>
        </w:trPr>
        <w:tc>
          <w:tcPr>
            <w:tcW w:w="1020" w:type="dxa"/>
            <w:vMerge w:val="restart"/>
            <w:tcBorders>
              <w:top w:val="nil"/>
              <w:left w:val="single" w:sz="4" w:space="0" w:color="auto"/>
              <w:bottom w:val="nil"/>
              <w:right w:val="single" w:sz="4" w:space="0" w:color="auto"/>
            </w:tcBorders>
            <w:hideMark/>
          </w:tcPr>
          <w:p w14:paraId="2116B0E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nil"/>
              <w:left w:val="nil"/>
              <w:bottom w:val="nil"/>
              <w:right w:val="single" w:sz="4" w:space="0" w:color="000000" w:themeColor="text1"/>
            </w:tcBorders>
            <w:hideMark/>
          </w:tcPr>
          <w:p w14:paraId="7E8C7F67"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t>1.2. Ofrimi</w:t>
            </w:r>
            <w:r w:rsidR="007D728E" w:rsidRPr="00CB13F7">
              <w:rPr>
                <w:rFonts w:eastAsia="Times New Roman"/>
                <w:sz w:val="16"/>
                <w:szCs w:val="16"/>
                <w:lang w:eastAsia="en-US"/>
              </w:rPr>
              <w:t xml:space="preserve"> i shërbimeve të aksesueshme të ndihmës juridike falas për personat me aftësi të kufizuara </w:t>
            </w:r>
          </w:p>
        </w:tc>
        <w:tc>
          <w:tcPr>
            <w:tcW w:w="2493" w:type="dxa"/>
            <w:gridSpan w:val="2"/>
            <w:tcBorders>
              <w:top w:val="nil"/>
              <w:left w:val="nil"/>
              <w:bottom w:val="nil"/>
              <w:right w:val="nil"/>
            </w:tcBorders>
            <w:hideMark/>
          </w:tcPr>
          <w:p w14:paraId="6F008BB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personave me aftësi të kufizuara që përfitojnë ndihmë juridike falas (parësore ose dytësore) gjatë vitit.</w:t>
            </w:r>
          </w:p>
        </w:tc>
        <w:tc>
          <w:tcPr>
            <w:tcW w:w="819" w:type="dxa"/>
            <w:tcBorders>
              <w:top w:val="nil"/>
              <w:left w:val="nil"/>
              <w:bottom w:val="nil"/>
              <w:right w:val="single" w:sz="4" w:space="0" w:color="000000" w:themeColor="text1"/>
            </w:tcBorders>
            <w:hideMark/>
          </w:tcPr>
          <w:p w14:paraId="02FBCB5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5530</w:t>
            </w:r>
          </w:p>
        </w:tc>
        <w:tc>
          <w:tcPr>
            <w:tcW w:w="1418" w:type="dxa"/>
            <w:tcBorders>
              <w:top w:val="nil"/>
              <w:left w:val="nil"/>
              <w:bottom w:val="nil"/>
              <w:right w:val="single" w:sz="4" w:space="0" w:color="000000" w:themeColor="text1"/>
            </w:tcBorders>
            <w:hideMark/>
          </w:tcPr>
          <w:p w14:paraId="10B55BF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20 përqind më shumë se baseline</w:t>
            </w:r>
          </w:p>
        </w:tc>
        <w:tc>
          <w:tcPr>
            <w:tcW w:w="1417" w:type="dxa"/>
            <w:gridSpan w:val="2"/>
            <w:tcBorders>
              <w:top w:val="nil"/>
              <w:left w:val="nil"/>
              <w:bottom w:val="nil"/>
              <w:right w:val="single" w:sz="4" w:space="0" w:color="000000" w:themeColor="text1"/>
            </w:tcBorders>
            <w:hideMark/>
          </w:tcPr>
          <w:p w14:paraId="189600E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45 përqind më shumë se baseline</w:t>
            </w:r>
          </w:p>
        </w:tc>
        <w:tc>
          <w:tcPr>
            <w:tcW w:w="1060" w:type="dxa"/>
            <w:gridSpan w:val="2"/>
            <w:tcBorders>
              <w:top w:val="nil"/>
              <w:left w:val="nil"/>
              <w:bottom w:val="nil"/>
              <w:right w:val="nil"/>
            </w:tcBorders>
            <w:hideMark/>
          </w:tcPr>
          <w:p w14:paraId="4DAC82A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Drejtoria e Ndihmës Juridike Falas;</w:t>
            </w:r>
            <w:r w:rsidRPr="00CB13F7">
              <w:rPr>
                <w:rFonts w:eastAsia="Times New Roman"/>
                <w:sz w:val="16"/>
                <w:szCs w:val="16"/>
                <w:lang w:eastAsia="en-US"/>
              </w:rPr>
              <w:br/>
              <w:t>Ministria e Drejtësisë DNJF;</w:t>
            </w:r>
          </w:p>
        </w:tc>
        <w:tc>
          <w:tcPr>
            <w:tcW w:w="2560" w:type="dxa"/>
            <w:vMerge w:val="restart"/>
            <w:tcBorders>
              <w:top w:val="nil"/>
              <w:left w:val="single" w:sz="4" w:space="0" w:color="000000" w:themeColor="text1"/>
              <w:bottom w:val="single" w:sz="4" w:space="0" w:color="000000" w:themeColor="text1"/>
              <w:right w:val="single" w:sz="4" w:space="0" w:color="000000" w:themeColor="text1"/>
            </w:tcBorders>
            <w:hideMark/>
          </w:tcPr>
          <w:p w14:paraId="6E1DA62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36A9AF0D" w14:textId="77777777" w:rsidTr="661F9D2E">
        <w:trPr>
          <w:trHeight w:val="960"/>
        </w:trPr>
        <w:tc>
          <w:tcPr>
            <w:tcW w:w="1020" w:type="dxa"/>
            <w:vMerge/>
            <w:hideMark/>
          </w:tcPr>
          <w:p w14:paraId="08F15B25" w14:textId="77777777" w:rsidR="007D728E" w:rsidRPr="00CB13F7" w:rsidRDefault="007D728E" w:rsidP="007D728E">
            <w:pPr>
              <w:rPr>
                <w:rFonts w:eastAsia="Times New Roman"/>
                <w:color w:val="000000"/>
                <w:sz w:val="16"/>
                <w:szCs w:val="16"/>
                <w:lang w:eastAsia="en-US"/>
              </w:rPr>
            </w:pPr>
          </w:p>
        </w:tc>
        <w:tc>
          <w:tcPr>
            <w:tcW w:w="2140" w:type="dxa"/>
            <w:gridSpan w:val="2"/>
            <w:tcBorders>
              <w:top w:val="nil"/>
              <w:left w:val="nil"/>
              <w:bottom w:val="single" w:sz="4" w:space="0" w:color="000000" w:themeColor="text1"/>
              <w:right w:val="single" w:sz="4" w:space="0" w:color="000000" w:themeColor="text1"/>
            </w:tcBorders>
            <w:hideMark/>
          </w:tcPr>
          <w:p w14:paraId="2E424A1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3" w:type="dxa"/>
            <w:gridSpan w:val="2"/>
            <w:tcBorders>
              <w:top w:val="nil"/>
              <w:left w:val="nil"/>
              <w:bottom w:val="single" w:sz="4" w:space="0" w:color="000000" w:themeColor="text1"/>
              <w:right w:val="nil"/>
            </w:tcBorders>
            <w:hideMark/>
          </w:tcPr>
          <w:p w14:paraId="40217FA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Informacioni mbi të drejtën për ndihmë juridike falas i ofruar në formate të aksesueshme për personat me aftësi të kufizuara</w:t>
            </w:r>
          </w:p>
        </w:tc>
        <w:tc>
          <w:tcPr>
            <w:tcW w:w="819" w:type="dxa"/>
            <w:tcBorders>
              <w:top w:val="nil"/>
              <w:left w:val="nil"/>
              <w:bottom w:val="single" w:sz="4" w:space="0" w:color="000000" w:themeColor="text1"/>
              <w:right w:val="single" w:sz="4" w:space="0" w:color="000000" w:themeColor="text1"/>
            </w:tcBorders>
            <w:hideMark/>
          </w:tcPr>
          <w:p w14:paraId="602A3D4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19 takime informuese</w:t>
            </w:r>
          </w:p>
        </w:tc>
        <w:tc>
          <w:tcPr>
            <w:tcW w:w="1418" w:type="dxa"/>
            <w:tcBorders>
              <w:top w:val="nil"/>
              <w:left w:val="nil"/>
              <w:bottom w:val="single" w:sz="4" w:space="0" w:color="000000" w:themeColor="text1"/>
              <w:right w:val="single" w:sz="4" w:space="0" w:color="000000" w:themeColor="text1"/>
            </w:tcBorders>
            <w:hideMark/>
          </w:tcPr>
          <w:p w14:paraId="4F7DEA1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15 takime më shumë se baseline</w:t>
            </w:r>
          </w:p>
        </w:tc>
        <w:tc>
          <w:tcPr>
            <w:tcW w:w="1417" w:type="dxa"/>
            <w:gridSpan w:val="2"/>
            <w:tcBorders>
              <w:top w:val="nil"/>
              <w:left w:val="nil"/>
              <w:bottom w:val="single" w:sz="4" w:space="0" w:color="000000" w:themeColor="text1"/>
              <w:right w:val="single" w:sz="4" w:space="0" w:color="000000" w:themeColor="text1"/>
            </w:tcBorders>
            <w:hideMark/>
          </w:tcPr>
          <w:p w14:paraId="2C89722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35 takime më shume se baseline</w:t>
            </w:r>
          </w:p>
        </w:tc>
        <w:tc>
          <w:tcPr>
            <w:tcW w:w="1060" w:type="dxa"/>
            <w:gridSpan w:val="2"/>
            <w:tcBorders>
              <w:top w:val="nil"/>
              <w:left w:val="nil"/>
              <w:bottom w:val="single" w:sz="4" w:space="0" w:color="000000" w:themeColor="text1"/>
              <w:right w:val="nil"/>
            </w:tcBorders>
            <w:hideMark/>
          </w:tcPr>
          <w:p w14:paraId="2FEC41A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60" w:type="dxa"/>
            <w:vMerge/>
            <w:hideMark/>
          </w:tcPr>
          <w:p w14:paraId="15A00342" w14:textId="77777777" w:rsidR="007D728E" w:rsidRPr="00CB13F7" w:rsidRDefault="007D728E" w:rsidP="007D728E">
            <w:pPr>
              <w:rPr>
                <w:rFonts w:eastAsia="Times New Roman"/>
                <w:color w:val="000000"/>
                <w:sz w:val="16"/>
                <w:szCs w:val="16"/>
                <w:lang w:eastAsia="en-US"/>
              </w:rPr>
            </w:pPr>
          </w:p>
        </w:tc>
      </w:tr>
      <w:tr w:rsidR="007D728E" w:rsidRPr="00CB13F7" w14:paraId="6767C71E" w14:textId="77777777" w:rsidTr="661F9D2E">
        <w:trPr>
          <w:trHeight w:val="1410"/>
        </w:trPr>
        <w:tc>
          <w:tcPr>
            <w:tcW w:w="1020" w:type="dxa"/>
            <w:tcBorders>
              <w:top w:val="nil"/>
              <w:left w:val="single" w:sz="4" w:space="0" w:color="auto"/>
              <w:bottom w:val="nil"/>
              <w:right w:val="single" w:sz="4" w:space="0" w:color="auto"/>
            </w:tcBorders>
            <w:hideMark/>
          </w:tcPr>
          <w:p w14:paraId="26AD68C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40" w:type="dxa"/>
            <w:gridSpan w:val="2"/>
            <w:tcBorders>
              <w:top w:val="single" w:sz="4" w:space="0" w:color="000000" w:themeColor="text1"/>
              <w:left w:val="nil"/>
              <w:bottom w:val="nil"/>
              <w:right w:val="single" w:sz="4" w:space="0" w:color="000000" w:themeColor="text1"/>
            </w:tcBorders>
            <w:hideMark/>
          </w:tcPr>
          <w:p w14:paraId="65997913"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t>1.3. Ndërgjegjësimi</w:t>
            </w:r>
            <w:r w:rsidR="007D728E" w:rsidRPr="00CB13F7">
              <w:rPr>
                <w:rFonts w:eastAsia="Times New Roman"/>
                <w:sz w:val="16"/>
                <w:szCs w:val="16"/>
                <w:lang w:eastAsia="en-US"/>
              </w:rPr>
              <w:t xml:space="preserve"> i profesionistëve të sistemit të drejtësisë mbi të drejtën për të </w:t>
            </w:r>
            <w:r w:rsidRPr="00CB13F7">
              <w:rPr>
                <w:rFonts w:eastAsia="Times New Roman"/>
                <w:sz w:val="16"/>
                <w:szCs w:val="16"/>
                <w:lang w:eastAsia="en-US"/>
              </w:rPr>
              <w:t>pasur</w:t>
            </w:r>
            <w:r w:rsidR="007D728E" w:rsidRPr="00CB13F7">
              <w:rPr>
                <w:rFonts w:eastAsia="Times New Roman"/>
                <w:sz w:val="16"/>
                <w:szCs w:val="16"/>
                <w:lang w:eastAsia="en-US"/>
              </w:rPr>
              <w:t xml:space="preserve"> akses në drejtësi të personave me aftësi të kufizuara, bazuar në praktikat dhe </w:t>
            </w:r>
            <w:r w:rsidRPr="00CB13F7">
              <w:rPr>
                <w:rFonts w:eastAsia="Times New Roman"/>
                <w:sz w:val="16"/>
                <w:szCs w:val="16"/>
                <w:lang w:eastAsia="en-US"/>
              </w:rPr>
              <w:t>standardet</w:t>
            </w:r>
            <w:r w:rsidR="007D728E" w:rsidRPr="00CB13F7">
              <w:rPr>
                <w:rFonts w:eastAsia="Times New Roman"/>
                <w:sz w:val="16"/>
                <w:szCs w:val="16"/>
                <w:lang w:eastAsia="en-US"/>
              </w:rPr>
              <w:t xml:space="preserve"> më të mira ndërkombëtare.</w:t>
            </w:r>
          </w:p>
        </w:tc>
        <w:tc>
          <w:tcPr>
            <w:tcW w:w="2493" w:type="dxa"/>
            <w:gridSpan w:val="2"/>
            <w:tcBorders>
              <w:top w:val="single" w:sz="4" w:space="0" w:color="000000" w:themeColor="text1"/>
              <w:left w:val="nil"/>
              <w:bottom w:val="nil"/>
              <w:right w:val="nil"/>
            </w:tcBorders>
            <w:hideMark/>
          </w:tcPr>
          <w:p w14:paraId="4BC6C57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profesionistëve të sistemit të drejtësisë (gjyqtarë, prokurorë, avokatë, noterë) të trajnuar mbi të drejtat e personave me aftësi të kufizuara dhe aksesin në drejtësi</w:t>
            </w:r>
          </w:p>
        </w:tc>
        <w:tc>
          <w:tcPr>
            <w:tcW w:w="819" w:type="dxa"/>
            <w:tcBorders>
              <w:top w:val="nil"/>
              <w:left w:val="nil"/>
              <w:bottom w:val="nil"/>
              <w:right w:val="single" w:sz="4" w:space="0" w:color="000000" w:themeColor="text1"/>
            </w:tcBorders>
            <w:hideMark/>
          </w:tcPr>
          <w:p w14:paraId="2393225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nil"/>
              <w:right w:val="single" w:sz="4" w:space="0" w:color="000000" w:themeColor="text1"/>
            </w:tcBorders>
            <w:noWrap/>
            <w:hideMark/>
          </w:tcPr>
          <w:p w14:paraId="5E99BDA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 trajnime</w:t>
            </w:r>
          </w:p>
        </w:tc>
        <w:tc>
          <w:tcPr>
            <w:tcW w:w="1417" w:type="dxa"/>
            <w:gridSpan w:val="2"/>
            <w:tcBorders>
              <w:top w:val="single" w:sz="4" w:space="0" w:color="000000" w:themeColor="text1"/>
              <w:left w:val="nil"/>
              <w:bottom w:val="nil"/>
              <w:right w:val="single" w:sz="4" w:space="0" w:color="000000" w:themeColor="text1"/>
            </w:tcBorders>
            <w:noWrap/>
            <w:hideMark/>
          </w:tcPr>
          <w:p w14:paraId="4B0D52C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30 trajnime</w:t>
            </w:r>
          </w:p>
        </w:tc>
        <w:tc>
          <w:tcPr>
            <w:tcW w:w="1060" w:type="dxa"/>
            <w:gridSpan w:val="2"/>
            <w:tcBorders>
              <w:top w:val="nil"/>
              <w:left w:val="nil"/>
              <w:bottom w:val="nil"/>
              <w:right w:val="nil"/>
            </w:tcBorders>
            <w:hideMark/>
          </w:tcPr>
          <w:p w14:paraId="592EB04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Shkolla e Magjistraturës, Dhoma Kombëtare e Avokatisë;</w:t>
            </w:r>
            <w:r w:rsidRPr="00CB13F7">
              <w:rPr>
                <w:rFonts w:eastAsia="Times New Roman"/>
                <w:sz w:val="16"/>
                <w:szCs w:val="16"/>
                <w:lang w:eastAsia="en-US"/>
              </w:rPr>
              <w:br/>
              <w:t>Ministria e Drejtësisë; Shkolla e Magjistraturës;</w:t>
            </w:r>
          </w:p>
        </w:tc>
        <w:tc>
          <w:tcPr>
            <w:tcW w:w="2560" w:type="dxa"/>
            <w:vMerge w:val="restart"/>
            <w:tcBorders>
              <w:top w:val="nil"/>
              <w:left w:val="single" w:sz="4" w:space="0" w:color="000000" w:themeColor="text1"/>
              <w:bottom w:val="single" w:sz="4" w:space="0" w:color="000000" w:themeColor="text1"/>
              <w:right w:val="single" w:sz="4" w:space="0" w:color="000000" w:themeColor="text1"/>
            </w:tcBorders>
            <w:hideMark/>
          </w:tcPr>
          <w:p w14:paraId="6F2E89C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41C6F93" w14:textId="77777777" w:rsidTr="661F9D2E">
        <w:trPr>
          <w:trHeight w:val="940"/>
        </w:trPr>
        <w:tc>
          <w:tcPr>
            <w:tcW w:w="1020" w:type="dxa"/>
            <w:tcBorders>
              <w:top w:val="nil"/>
              <w:left w:val="single" w:sz="4" w:space="0" w:color="auto"/>
              <w:bottom w:val="nil"/>
              <w:right w:val="single" w:sz="4" w:space="0" w:color="auto"/>
            </w:tcBorders>
            <w:hideMark/>
          </w:tcPr>
          <w:p w14:paraId="134EBC7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nil"/>
              <w:left w:val="nil"/>
              <w:bottom w:val="single" w:sz="4" w:space="0" w:color="000000" w:themeColor="text1"/>
              <w:right w:val="single" w:sz="4" w:space="0" w:color="000000" w:themeColor="text1"/>
            </w:tcBorders>
            <w:hideMark/>
          </w:tcPr>
          <w:p w14:paraId="4EA0F0A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3" w:type="dxa"/>
            <w:gridSpan w:val="2"/>
            <w:tcBorders>
              <w:top w:val="nil"/>
              <w:left w:val="nil"/>
              <w:bottom w:val="single" w:sz="4" w:space="0" w:color="000000" w:themeColor="text1"/>
              <w:right w:val="nil"/>
            </w:tcBorders>
            <w:hideMark/>
          </w:tcPr>
          <w:p w14:paraId="0F3D253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Udhëzime ose programe trajnimi të miratuara dhe në zbatim për trajtimin e personave me aftësi të kufizuara në procedurat gjyqësore (përfshirë nevojën për interpretim në gjuhën e shenjave).</w:t>
            </w:r>
          </w:p>
        </w:tc>
        <w:tc>
          <w:tcPr>
            <w:tcW w:w="819" w:type="dxa"/>
            <w:tcBorders>
              <w:top w:val="nil"/>
              <w:left w:val="nil"/>
              <w:bottom w:val="single" w:sz="4" w:space="0" w:color="000000" w:themeColor="text1"/>
              <w:right w:val="single" w:sz="4" w:space="0" w:color="000000" w:themeColor="text1"/>
            </w:tcBorders>
            <w:hideMark/>
          </w:tcPr>
          <w:p w14:paraId="37C8793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18" w:type="dxa"/>
            <w:tcBorders>
              <w:top w:val="nil"/>
              <w:left w:val="nil"/>
              <w:bottom w:val="single" w:sz="4" w:space="0" w:color="000000" w:themeColor="text1"/>
              <w:right w:val="single" w:sz="4" w:space="0" w:color="000000" w:themeColor="text1"/>
            </w:tcBorders>
            <w:hideMark/>
          </w:tcPr>
          <w:p w14:paraId="20DEA6C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program trajnimi</w:t>
            </w:r>
          </w:p>
        </w:tc>
        <w:tc>
          <w:tcPr>
            <w:tcW w:w="1417" w:type="dxa"/>
            <w:gridSpan w:val="2"/>
            <w:tcBorders>
              <w:top w:val="nil"/>
              <w:left w:val="nil"/>
              <w:bottom w:val="single" w:sz="4" w:space="0" w:color="000000" w:themeColor="text1"/>
              <w:right w:val="single" w:sz="4" w:space="0" w:color="000000" w:themeColor="text1"/>
            </w:tcBorders>
            <w:hideMark/>
          </w:tcPr>
          <w:p w14:paraId="18B0961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programe trajnimi</w:t>
            </w:r>
          </w:p>
        </w:tc>
        <w:tc>
          <w:tcPr>
            <w:tcW w:w="1060" w:type="dxa"/>
            <w:gridSpan w:val="2"/>
            <w:tcBorders>
              <w:top w:val="nil"/>
              <w:left w:val="nil"/>
              <w:bottom w:val="single" w:sz="4" w:space="0" w:color="000000" w:themeColor="text1"/>
              <w:right w:val="nil"/>
            </w:tcBorders>
            <w:hideMark/>
          </w:tcPr>
          <w:p w14:paraId="497B48A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60" w:type="dxa"/>
            <w:vMerge/>
            <w:hideMark/>
          </w:tcPr>
          <w:p w14:paraId="199FD789" w14:textId="77777777" w:rsidR="007D728E" w:rsidRPr="00CB13F7" w:rsidRDefault="007D728E" w:rsidP="007D728E">
            <w:pPr>
              <w:rPr>
                <w:rFonts w:eastAsia="Times New Roman"/>
                <w:color w:val="000000"/>
                <w:sz w:val="16"/>
                <w:szCs w:val="16"/>
                <w:lang w:eastAsia="en-US"/>
              </w:rPr>
            </w:pPr>
          </w:p>
        </w:tc>
      </w:tr>
      <w:tr w:rsidR="007D728E" w:rsidRPr="00CB13F7" w14:paraId="61679247" w14:textId="77777777" w:rsidTr="661F9D2E">
        <w:trPr>
          <w:trHeight w:val="1560"/>
        </w:trPr>
        <w:tc>
          <w:tcPr>
            <w:tcW w:w="1020" w:type="dxa"/>
            <w:tcBorders>
              <w:top w:val="nil"/>
              <w:left w:val="single" w:sz="4" w:space="0" w:color="auto"/>
              <w:bottom w:val="nil"/>
              <w:right w:val="single" w:sz="4" w:space="0" w:color="auto"/>
            </w:tcBorders>
            <w:hideMark/>
          </w:tcPr>
          <w:p w14:paraId="71F114D8"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Masat prioritare</w:t>
            </w:r>
          </w:p>
        </w:tc>
        <w:tc>
          <w:tcPr>
            <w:tcW w:w="2140" w:type="dxa"/>
            <w:gridSpan w:val="2"/>
            <w:tcBorders>
              <w:top w:val="single" w:sz="4" w:space="0" w:color="000000" w:themeColor="text1"/>
              <w:left w:val="nil"/>
              <w:bottom w:val="nil"/>
              <w:right w:val="single" w:sz="4" w:space="0" w:color="000000" w:themeColor="text1"/>
            </w:tcBorders>
            <w:hideMark/>
          </w:tcPr>
          <w:p w14:paraId="48B99662" w14:textId="77777777" w:rsidR="007D728E" w:rsidRPr="00CB13F7" w:rsidRDefault="00234FBC" w:rsidP="007D728E">
            <w:pPr>
              <w:rPr>
                <w:rFonts w:eastAsia="Times New Roman"/>
                <w:sz w:val="16"/>
                <w:szCs w:val="16"/>
                <w:lang w:eastAsia="en-US"/>
              </w:rPr>
            </w:pPr>
            <w:r w:rsidRPr="00CB13F7">
              <w:rPr>
                <w:rFonts w:eastAsia="Times New Roman"/>
                <w:sz w:val="16"/>
                <w:szCs w:val="16"/>
                <w:lang w:eastAsia="en-US"/>
              </w:rPr>
              <w:t>1.4. Garantimi</w:t>
            </w:r>
            <w:r w:rsidR="007D728E" w:rsidRPr="00CB13F7">
              <w:rPr>
                <w:rFonts w:eastAsia="Times New Roman"/>
                <w:sz w:val="16"/>
                <w:szCs w:val="16"/>
                <w:lang w:eastAsia="en-US"/>
              </w:rPr>
              <w:t xml:space="preserve"> i aksesueshmërisë në mjedise, informacion e komunikim për personat me aftësi të kufizuara në institucione të sistemit të drejtësisë, apo të lidhura me të.</w:t>
            </w:r>
          </w:p>
        </w:tc>
        <w:tc>
          <w:tcPr>
            <w:tcW w:w="2493" w:type="dxa"/>
            <w:gridSpan w:val="2"/>
            <w:tcBorders>
              <w:top w:val="single" w:sz="4" w:space="0" w:color="000000" w:themeColor="text1"/>
              <w:left w:val="nil"/>
              <w:bottom w:val="nil"/>
              <w:right w:val="nil"/>
            </w:tcBorders>
            <w:hideMark/>
          </w:tcPr>
          <w:p w14:paraId="12CB077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Institucionet e sistemit të drejtësisë që kanë kryer vlerësimin e aksesueshmërisë dhe kanë miratuar masa për përmirësimin e aksesit fizik, të informacionit dhe komunikimit për personat me aftësi të kufizuara.</w:t>
            </w:r>
          </w:p>
        </w:tc>
        <w:tc>
          <w:tcPr>
            <w:tcW w:w="819" w:type="dxa"/>
            <w:tcBorders>
              <w:top w:val="nil"/>
              <w:left w:val="nil"/>
              <w:bottom w:val="nil"/>
              <w:right w:val="single" w:sz="4" w:space="0" w:color="000000" w:themeColor="text1"/>
            </w:tcBorders>
            <w:hideMark/>
          </w:tcPr>
          <w:p w14:paraId="11E94BB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nil"/>
              <w:right w:val="single" w:sz="4" w:space="0" w:color="000000" w:themeColor="text1"/>
            </w:tcBorders>
            <w:noWrap/>
            <w:hideMark/>
          </w:tcPr>
          <w:p w14:paraId="3E0AD19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 institucione</w:t>
            </w:r>
          </w:p>
        </w:tc>
        <w:tc>
          <w:tcPr>
            <w:tcW w:w="1417" w:type="dxa"/>
            <w:gridSpan w:val="2"/>
            <w:tcBorders>
              <w:top w:val="single" w:sz="4" w:space="0" w:color="000000" w:themeColor="text1"/>
              <w:left w:val="nil"/>
              <w:bottom w:val="nil"/>
              <w:right w:val="single" w:sz="4" w:space="0" w:color="000000" w:themeColor="text1"/>
            </w:tcBorders>
            <w:noWrap/>
            <w:hideMark/>
          </w:tcPr>
          <w:p w14:paraId="4017A8C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25 institucione</w:t>
            </w:r>
          </w:p>
        </w:tc>
        <w:tc>
          <w:tcPr>
            <w:tcW w:w="1060" w:type="dxa"/>
            <w:gridSpan w:val="2"/>
            <w:tcBorders>
              <w:top w:val="nil"/>
              <w:left w:val="nil"/>
              <w:bottom w:val="nil"/>
              <w:right w:val="nil"/>
            </w:tcBorders>
            <w:hideMark/>
          </w:tcPr>
          <w:p w14:paraId="66B3D8F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Ministria e Drejtësisë; KLGJ;</w:t>
            </w:r>
            <w:r w:rsidRPr="00CB13F7">
              <w:rPr>
                <w:rFonts w:eastAsia="Times New Roman"/>
                <w:color w:val="000000"/>
                <w:sz w:val="16"/>
                <w:szCs w:val="16"/>
                <w:lang w:eastAsia="en-US"/>
              </w:rPr>
              <w:br/>
              <w:t xml:space="preserve">Prokuroria e Përgjithshme; Policia e Shtetit; </w:t>
            </w:r>
            <w:r w:rsidRPr="00CB13F7">
              <w:rPr>
                <w:rFonts w:eastAsia="Times New Roman"/>
                <w:color w:val="000000"/>
                <w:sz w:val="16"/>
                <w:szCs w:val="16"/>
                <w:lang w:eastAsia="en-US"/>
              </w:rPr>
              <w:br/>
              <w:t>Institucionet e sistemit të drejtësisë;</w:t>
            </w:r>
          </w:p>
        </w:tc>
        <w:tc>
          <w:tcPr>
            <w:tcW w:w="2560" w:type="dxa"/>
            <w:vMerge w:val="restart"/>
            <w:tcBorders>
              <w:top w:val="nil"/>
              <w:left w:val="single" w:sz="4" w:space="0" w:color="000000" w:themeColor="text1"/>
              <w:bottom w:val="single" w:sz="4" w:space="0" w:color="000000" w:themeColor="text1"/>
              <w:right w:val="single" w:sz="4" w:space="0" w:color="000000" w:themeColor="text1"/>
            </w:tcBorders>
            <w:hideMark/>
          </w:tcPr>
          <w:p w14:paraId="1C96D49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6B5AC5B8" w14:textId="77777777" w:rsidTr="661F9D2E">
        <w:trPr>
          <w:trHeight w:val="1140"/>
        </w:trPr>
        <w:tc>
          <w:tcPr>
            <w:tcW w:w="1020" w:type="dxa"/>
            <w:tcBorders>
              <w:top w:val="nil"/>
              <w:left w:val="single" w:sz="4" w:space="0" w:color="auto"/>
              <w:bottom w:val="nil"/>
              <w:right w:val="single" w:sz="4" w:space="0" w:color="auto"/>
            </w:tcBorders>
            <w:hideMark/>
          </w:tcPr>
          <w:p w14:paraId="5D63A8A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nil"/>
              <w:left w:val="nil"/>
              <w:bottom w:val="single" w:sz="4" w:space="0" w:color="000000" w:themeColor="text1"/>
              <w:right w:val="single" w:sz="4" w:space="0" w:color="000000" w:themeColor="text1"/>
            </w:tcBorders>
            <w:hideMark/>
          </w:tcPr>
          <w:p w14:paraId="534ACA7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3" w:type="dxa"/>
            <w:gridSpan w:val="2"/>
            <w:tcBorders>
              <w:top w:val="nil"/>
              <w:left w:val="nil"/>
              <w:bottom w:val="single" w:sz="4" w:space="0" w:color="000000" w:themeColor="text1"/>
              <w:right w:val="nil"/>
            </w:tcBorders>
            <w:hideMark/>
          </w:tcPr>
          <w:p w14:paraId="77470ED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Protokolle dhe procedura të aksesueshme të miratuara dhe në përdorim për komunikimin dhe akomodimin e arsyeshëm të personave me aftësi të kufizuara gjatë proceseve gjyqësore.</w:t>
            </w:r>
          </w:p>
        </w:tc>
        <w:tc>
          <w:tcPr>
            <w:tcW w:w="819" w:type="dxa"/>
            <w:tcBorders>
              <w:top w:val="nil"/>
              <w:left w:val="nil"/>
              <w:bottom w:val="single" w:sz="4" w:space="0" w:color="000000" w:themeColor="text1"/>
              <w:right w:val="single" w:sz="4" w:space="0" w:color="000000" w:themeColor="text1"/>
            </w:tcBorders>
            <w:hideMark/>
          </w:tcPr>
          <w:p w14:paraId="7C119B2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single" w:sz="4" w:space="0" w:color="000000" w:themeColor="text1"/>
              <w:right w:val="single" w:sz="4" w:space="0" w:color="000000" w:themeColor="text1"/>
            </w:tcBorders>
            <w:noWrap/>
            <w:hideMark/>
          </w:tcPr>
          <w:p w14:paraId="4A7B39C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17" w:type="dxa"/>
            <w:gridSpan w:val="2"/>
            <w:tcBorders>
              <w:top w:val="nil"/>
              <w:left w:val="nil"/>
              <w:bottom w:val="single" w:sz="4" w:space="0" w:color="000000" w:themeColor="text1"/>
              <w:right w:val="single" w:sz="4" w:space="0" w:color="000000" w:themeColor="text1"/>
            </w:tcBorders>
            <w:hideMark/>
          </w:tcPr>
          <w:p w14:paraId="74639FA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Protokolle e proceduara</w:t>
            </w:r>
          </w:p>
        </w:tc>
        <w:tc>
          <w:tcPr>
            <w:tcW w:w="1060" w:type="dxa"/>
            <w:gridSpan w:val="2"/>
            <w:tcBorders>
              <w:top w:val="nil"/>
              <w:left w:val="nil"/>
              <w:bottom w:val="single" w:sz="4" w:space="0" w:color="000000" w:themeColor="text1"/>
              <w:right w:val="nil"/>
            </w:tcBorders>
            <w:hideMark/>
          </w:tcPr>
          <w:p w14:paraId="2CF134F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60" w:type="dxa"/>
            <w:vMerge/>
            <w:hideMark/>
          </w:tcPr>
          <w:p w14:paraId="3C88E8E1" w14:textId="77777777" w:rsidR="007D728E" w:rsidRPr="00CB13F7" w:rsidRDefault="007D728E" w:rsidP="007D728E">
            <w:pPr>
              <w:rPr>
                <w:rFonts w:eastAsia="Times New Roman"/>
                <w:color w:val="000000"/>
                <w:sz w:val="16"/>
                <w:szCs w:val="16"/>
                <w:lang w:eastAsia="en-US"/>
              </w:rPr>
            </w:pPr>
          </w:p>
        </w:tc>
      </w:tr>
      <w:tr w:rsidR="00830E31" w:rsidRPr="00CB13F7" w14:paraId="3AC2504A" w14:textId="77777777" w:rsidTr="661F9D2E">
        <w:trPr>
          <w:trHeight w:val="1710"/>
        </w:trPr>
        <w:tc>
          <w:tcPr>
            <w:tcW w:w="1020" w:type="dxa"/>
            <w:tcBorders>
              <w:top w:val="nil"/>
              <w:left w:val="single" w:sz="4" w:space="0" w:color="auto"/>
              <w:bottom w:val="nil"/>
              <w:right w:val="single" w:sz="4" w:space="0" w:color="auto"/>
            </w:tcBorders>
            <w:hideMark/>
          </w:tcPr>
          <w:p w14:paraId="146016B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single" w:sz="4" w:space="0" w:color="000000" w:themeColor="text1"/>
              <w:left w:val="nil"/>
              <w:bottom w:val="nil"/>
              <w:right w:val="single" w:sz="4" w:space="0" w:color="000000" w:themeColor="text1"/>
            </w:tcBorders>
            <w:hideMark/>
          </w:tcPr>
          <w:p w14:paraId="4554092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1.5: Forcimi i mekanizmave ndërkombëtarë të mbrojtjes së të drejtave të personave me aftësi të kufizuara përmes aderimit në Protokollin Opsional të Konventës për të Drejtat e Personave me Aftësi të Kufizuara.</w:t>
            </w:r>
          </w:p>
        </w:tc>
        <w:tc>
          <w:tcPr>
            <w:tcW w:w="2493" w:type="dxa"/>
            <w:gridSpan w:val="2"/>
            <w:tcBorders>
              <w:top w:val="single" w:sz="4" w:space="0" w:color="000000" w:themeColor="text1"/>
              <w:left w:val="nil"/>
              <w:bottom w:val="nil"/>
              <w:right w:val="nil"/>
            </w:tcBorders>
            <w:hideMark/>
          </w:tcPr>
          <w:p w14:paraId="43EEF5A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Protokolli Opsional i Konventës për të Drejtat e Personave me Aftësi të Kufizuara i nënshkruar dhe ratifikuar nga Republika e Shqipërisë.</w:t>
            </w:r>
          </w:p>
        </w:tc>
        <w:tc>
          <w:tcPr>
            <w:tcW w:w="819" w:type="dxa"/>
            <w:tcBorders>
              <w:top w:val="nil"/>
              <w:left w:val="nil"/>
              <w:bottom w:val="nil"/>
              <w:right w:val="single" w:sz="4" w:space="0" w:color="000000" w:themeColor="text1"/>
            </w:tcBorders>
            <w:hideMark/>
          </w:tcPr>
          <w:p w14:paraId="4151F5A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nil"/>
              <w:right w:val="single" w:sz="4" w:space="0" w:color="000000" w:themeColor="text1"/>
            </w:tcBorders>
            <w:noWrap/>
            <w:hideMark/>
          </w:tcPr>
          <w:p w14:paraId="0049210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82" w:type="dxa"/>
            <w:tcBorders>
              <w:top w:val="nil"/>
              <w:left w:val="nil"/>
              <w:bottom w:val="nil"/>
              <w:right w:val="nil"/>
            </w:tcBorders>
            <w:hideMark/>
          </w:tcPr>
          <w:p w14:paraId="1084762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Protokolli Opsional I nënshkruar e ratifikuar</w:t>
            </w:r>
          </w:p>
        </w:tc>
        <w:tc>
          <w:tcPr>
            <w:tcW w:w="236" w:type="dxa"/>
            <w:gridSpan w:val="2"/>
            <w:tcBorders>
              <w:top w:val="nil"/>
              <w:left w:val="nil"/>
              <w:bottom w:val="nil"/>
              <w:right w:val="single" w:sz="4" w:space="0" w:color="000000" w:themeColor="text1"/>
            </w:tcBorders>
            <w:noWrap/>
            <w:hideMark/>
          </w:tcPr>
          <w:p w14:paraId="44B4F4D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958" w:type="dxa"/>
            <w:tcBorders>
              <w:top w:val="nil"/>
              <w:left w:val="nil"/>
              <w:bottom w:val="nil"/>
              <w:right w:val="nil"/>
            </w:tcBorders>
            <w:hideMark/>
          </w:tcPr>
          <w:p w14:paraId="6D21689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Fletorja Zyrtare, Ministria për Evropën dhe Punët e Jashtme; </w:t>
            </w:r>
            <w:r w:rsidRPr="00CB13F7">
              <w:rPr>
                <w:rFonts w:eastAsia="Times New Roman"/>
                <w:sz w:val="16"/>
                <w:szCs w:val="16"/>
                <w:lang w:eastAsia="en-US"/>
              </w:rPr>
              <w:br/>
              <w:t>Kuvendi i Shqipërisë; Fletorja Zyrtare, Ministria e Drejtësisë;</w:t>
            </w:r>
          </w:p>
        </w:tc>
        <w:tc>
          <w:tcPr>
            <w:tcW w:w="2560" w:type="dxa"/>
            <w:tcBorders>
              <w:top w:val="nil"/>
              <w:left w:val="nil"/>
              <w:bottom w:val="nil"/>
              <w:right w:val="single" w:sz="4" w:space="0" w:color="000000" w:themeColor="text1"/>
            </w:tcBorders>
            <w:hideMark/>
          </w:tcPr>
          <w:p w14:paraId="35B6A41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1FF7B4E" w14:textId="77777777" w:rsidTr="661F9D2E">
        <w:trPr>
          <w:trHeight w:val="20"/>
        </w:trPr>
        <w:tc>
          <w:tcPr>
            <w:tcW w:w="1020" w:type="dxa"/>
            <w:tcBorders>
              <w:top w:val="nil"/>
              <w:left w:val="single" w:sz="4" w:space="0" w:color="auto"/>
              <w:bottom w:val="nil"/>
              <w:right w:val="single" w:sz="4" w:space="0" w:color="auto"/>
            </w:tcBorders>
            <w:hideMark/>
          </w:tcPr>
          <w:p w14:paraId="4B8EEE5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single" w:sz="4" w:space="0" w:color="auto"/>
              <w:left w:val="nil"/>
              <w:bottom w:val="nil"/>
              <w:right w:val="single" w:sz="4" w:space="0" w:color="000000" w:themeColor="text1"/>
            </w:tcBorders>
            <w:hideMark/>
          </w:tcPr>
          <w:p w14:paraId="455B4A9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2.1. Përgatitja e kuadrit ligjor dhe fuqizimi i kapaciteteve për të mundësuar vendimmarrjen e mbështetur</w:t>
            </w:r>
          </w:p>
        </w:tc>
        <w:tc>
          <w:tcPr>
            <w:tcW w:w="2493" w:type="dxa"/>
            <w:gridSpan w:val="2"/>
            <w:tcBorders>
              <w:top w:val="single" w:sz="4" w:space="0" w:color="auto"/>
              <w:left w:val="nil"/>
              <w:bottom w:val="nil"/>
              <w:right w:val="nil"/>
            </w:tcBorders>
            <w:hideMark/>
          </w:tcPr>
          <w:p w14:paraId="5A485BEA" w14:textId="304F7517"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 xml:space="preserve">Kuadri ligjor dhe nënligjor për vendimmarrjen e mbështetur i miratuar dhe në fuqi, duke garantuar ushtrimin e zotësisë </w:t>
            </w:r>
            <w:r w:rsidR="6E1638F2" w:rsidRPr="00CB13F7">
              <w:rPr>
                <w:rFonts w:eastAsia="Times New Roman"/>
                <w:color w:val="000000" w:themeColor="text1"/>
                <w:sz w:val="16"/>
                <w:szCs w:val="16"/>
                <w:lang w:eastAsia="en-US"/>
              </w:rPr>
              <w:t>p</w:t>
            </w:r>
            <w:r w:rsidR="004B03EF" w:rsidRPr="00CB13F7">
              <w:rPr>
                <w:rFonts w:eastAsia="Times New Roman"/>
                <w:color w:val="000000" w:themeColor="text1"/>
                <w:sz w:val="16"/>
                <w:szCs w:val="16"/>
                <w:lang w:eastAsia="en-US"/>
              </w:rPr>
              <w:t>ë</w:t>
            </w:r>
            <w:r w:rsidR="6E1638F2" w:rsidRPr="00CB13F7">
              <w:rPr>
                <w:rFonts w:eastAsia="Times New Roman"/>
                <w:color w:val="000000" w:themeColor="text1"/>
                <w:sz w:val="16"/>
                <w:szCs w:val="16"/>
                <w:lang w:eastAsia="en-US"/>
              </w:rPr>
              <w:t xml:space="preserve">r </w:t>
            </w:r>
            <w:r w:rsidR="6E1638F2" w:rsidRPr="00CB13F7">
              <w:rPr>
                <w:rFonts w:eastAsia="Times New Roman"/>
                <w:color w:val="000000" w:themeColor="text1"/>
                <w:sz w:val="16"/>
                <w:szCs w:val="16"/>
                <w:lang w:eastAsia="en-US"/>
              </w:rPr>
              <w:lastRenderedPageBreak/>
              <w:t>t</w:t>
            </w:r>
            <w:r w:rsidR="004B03EF" w:rsidRPr="00CB13F7">
              <w:rPr>
                <w:rFonts w:eastAsia="Times New Roman"/>
                <w:color w:val="000000" w:themeColor="text1"/>
                <w:sz w:val="16"/>
                <w:szCs w:val="16"/>
                <w:lang w:eastAsia="en-US"/>
              </w:rPr>
              <w:t>ë</w:t>
            </w:r>
            <w:r w:rsidR="6E1638F2" w:rsidRPr="00CB13F7">
              <w:rPr>
                <w:rFonts w:eastAsia="Times New Roman"/>
                <w:color w:val="000000" w:themeColor="text1"/>
                <w:sz w:val="16"/>
                <w:szCs w:val="16"/>
                <w:lang w:eastAsia="en-US"/>
              </w:rPr>
              <w:t xml:space="preserve"> vepruar</w:t>
            </w:r>
            <w:r w:rsidRPr="00CB13F7">
              <w:rPr>
                <w:rFonts w:eastAsia="Times New Roman"/>
                <w:color w:val="000000" w:themeColor="text1"/>
                <w:sz w:val="16"/>
                <w:szCs w:val="16"/>
                <w:lang w:eastAsia="en-US"/>
              </w:rPr>
              <w:t xml:space="preserve"> për personat me aftësi të kufizuara.</w:t>
            </w:r>
          </w:p>
        </w:tc>
        <w:tc>
          <w:tcPr>
            <w:tcW w:w="819" w:type="dxa"/>
            <w:tcBorders>
              <w:top w:val="single" w:sz="4" w:space="0" w:color="auto"/>
              <w:left w:val="nil"/>
              <w:bottom w:val="nil"/>
              <w:right w:val="single" w:sz="4" w:space="0" w:color="auto"/>
            </w:tcBorders>
            <w:hideMark/>
          </w:tcPr>
          <w:p w14:paraId="24FB058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N/A</w:t>
            </w:r>
          </w:p>
        </w:tc>
        <w:tc>
          <w:tcPr>
            <w:tcW w:w="1418" w:type="dxa"/>
            <w:tcBorders>
              <w:top w:val="single" w:sz="4" w:space="0" w:color="auto"/>
              <w:left w:val="nil"/>
              <w:bottom w:val="nil"/>
              <w:right w:val="single" w:sz="4" w:space="0" w:color="auto"/>
            </w:tcBorders>
            <w:hideMark/>
          </w:tcPr>
          <w:p w14:paraId="4D10375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ligje të ndryshuara</w:t>
            </w:r>
          </w:p>
        </w:tc>
        <w:tc>
          <w:tcPr>
            <w:tcW w:w="1417" w:type="dxa"/>
            <w:gridSpan w:val="2"/>
            <w:tcBorders>
              <w:top w:val="single" w:sz="4" w:space="0" w:color="auto"/>
              <w:left w:val="nil"/>
              <w:bottom w:val="nil"/>
              <w:right w:val="single" w:sz="4" w:space="0" w:color="000000" w:themeColor="text1"/>
            </w:tcBorders>
            <w:hideMark/>
          </w:tcPr>
          <w:p w14:paraId="0227743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 ligje të tjera të ndryshuara</w:t>
            </w:r>
          </w:p>
        </w:tc>
        <w:tc>
          <w:tcPr>
            <w:tcW w:w="1060" w:type="dxa"/>
            <w:gridSpan w:val="2"/>
            <w:tcBorders>
              <w:top w:val="single" w:sz="4" w:space="0" w:color="auto"/>
              <w:left w:val="nil"/>
              <w:bottom w:val="nil"/>
              <w:right w:val="nil"/>
            </w:tcBorders>
            <w:hideMark/>
          </w:tcPr>
          <w:p w14:paraId="3EA1847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Ministria e Drejtësisë; Shkolla e Magjistraturës; </w:t>
            </w:r>
            <w:r w:rsidRPr="00CB13F7">
              <w:rPr>
                <w:rFonts w:eastAsia="Times New Roman"/>
                <w:color w:val="000000"/>
                <w:sz w:val="16"/>
                <w:szCs w:val="16"/>
                <w:lang w:eastAsia="en-US"/>
              </w:rPr>
              <w:lastRenderedPageBreak/>
              <w:t>Institucionet përkatëse;</w:t>
            </w:r>
          </w:p>
        </w:tc>
        <w:tc>
          <w:tcPr>
            <w:tcW w:w="2560" w:type="dxa"/>
            <w:vMerge w:val="restart"/>
            <w:tcBorders>
              <w:top w:val="single" w:sz="4" w:space="0" w:color="auto"/>
              <w:left w:val="single" w:sz="4" w:space="0" w:color="auto"/>
              <w:bottom w:val="single" w:sz="4" w:space="0" w:color="000000" w:themeColor="text1"/>
              <w:right w:val="single" w:sz="4" w:space="0" w:color="auto"/>
            </w:tcBorders>
            <w:hideMark/>
          </w:tcPr>
          <w:p w14:paraId="5563D56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r>
      <w:tr w:rsidR="007D728E" w:rsidRPr="00CB13F7" w14:paraId="51D6205C" w14:textId="77777777" w:rsidTr="661F9D2E">
        <w:trPr>
          <w:trHeight w:val="276"/>
        </w:trPr>
        <w:tc>
          <w:tcPr>
            <w:tcW w:w="1020" w:type="dxa"/>
            <w:vMerge w:val="restart"/>
            <w:tcBorders>
              <w:top w:val="nil"/>
              <w:left w:val="single" w:sz="4" w:space="0" w:color="auto"/>
              <w:bottom w:val="nil"/>
              <w:right w:val="single" w:sz="4" w:space="0" w:color="auto"/>
            </w:tcBorders>
            <w:hideMark/>
          </w:tcPr>
          <w:p w14:paraId="712A4ED4" w14:textId="2FDDD944" w:rsidR="007D728E" w:rsidRPr="00CB13F7" w:rsidRDefault="007D728E" w:rsidP="007D728E">
            <w:pPr>
              <w:rPr>
                <w:rFonts w:eastAsia="Times New Roman"/>
                <w:color w:val="000000"/>
                <w:sz w:val="16"/>
                <w:szCs w:val="16"/>
                <w:lang w:eastAsia="en-US"/>
              </w:rPr>
            </w:pPr>
          </w:p>
        </w:tc>
        <w:tc>
          <w:tcPr>
            <w:tcW w:w="2140" w:type="dxa"/>
            <w:gridSpan w:val="2"/>
            <w:vMerge w:val="restart"/>
            <w:tcBorders>
              <w:top w:val="nil"/>
              <w:left w:val="nil"/>
              <w:bottom w:val="single" w:sz="4" w:space="0" w:color="000000" w:themeColor="text1"/>
              <w:right w:val="single" w:sz="4" w:space="0" w:color="000000" w:themeColor="text1"/>
            </w:tcBorders>
            <w:hideMark/>
          </w:tcPr>
          <w:p w14:paraId="7F1EFFA4" w14:textId="77777777" w:rsidR="007D728E" w:rsidRPr="00CB13F7" w:rsidRDefault="007D728E" w:rsidP="007D728E">
            <w:pPr>
              <w:rPr>
                <w:rFonts w:eastAsia="Times New Roman"/>
                <w:sz w:val="16"/>
                <w:szCs w:val="16"/>
                <w:lang w:eastAsia="en-US"/>
              </w:rPr>
            </w:pPr>
          </w:p>
        </w:tc>
        <w:tc>
          <w:tcPr>
            <w:tcW w:w="2493" w:type="dxa"/>
            <w:gridSpan w:val="2"/>
            <w:vMerge w:val="restart"/>
            <w:tcBorders>
              <w:top w:val="nil"/>
              <w:left w:val="single" w:sz="4" w:space="0" w:color="auto"/>
              <w:bottom w:val="single" w:sz="4" w:space="0" w:color="000000" w:themeColor="text1"/>
              <w:right w:val="nil"/>
            </w:tcBorders>
            <w:hideMark/>
          </w:tcPr>
          <w:p w14:paraId="634234A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Udhëzime dhe programe trajnimi për zbatimin e vendimmarrjes së mbështetur të miratuara dhe të përdorura nga profesionistët e sektorëve përkatës (gjyqësor, shëndetësi, polici, shërbime sociale).</w:t>
            </w:r>
          </w:p>
        </w:tc>
        <w:tc>
          <w:tcPr>
            <w:tcW w:w="819" w:type="dxa"/>
            <w:vMerge w:val="restart"/>
            <w:tcBorders>
              <w:top w:val="nil"/>
              <w:left w:val="single" w:sz="4" w:space="0" w:color="auto"/>
              <w:bottom w:val="single" w:sz="4" w:space="0" w:color="000000" w:themeColor="text1"/>
              <w:right w:val="single" w:sz="4" w:space="0" w:color="auto"/>
            </w:tcBorders>
            <w:hideMark/>
          </w:tcPr>
          <w:p w14:paraId="7DEBEC0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86</w:t>
            </w:r>
          </w:p>
        </w:tc>
        <w:tc>
          <w:tcPr>
            <w:tcW w:w="1418" w:type="dxa"/>
            <w:vMerge w:val="restart"/>
            <w:tcBorders>
              <w:top w:val="nil"/>
              <w:left w:val="single" w:sz="4" w:space="0" w:color="auto"/>
              <w:bottom w:val="single" w:sz="4" w:space="0" w:color="000000" w:themeColor="text1"/>
              <w:right w:val="single" w:sz="4" w:space="0" w:color="auto"/>
            </w:tcBorders>
            <w:hideMark/>
          </w:tcPr>
          <w:p w14:paraId="5ECA82D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 më shumë se baseline</w:t>
            </w:r>
          </w:p>
        </w:tc>
        <w:tc>
          <w:tcPr>
            <w:tcW w:w="1417" w:type="dxa"/>
            <w:gridSpan w:val="2"/>
            <w:vMerge w:val="restart"/>
            <w:tcBorders>
              <w:top w:val="nil"/>
              <w:left w:val="single" w:sz="4" w:space="0" w:color="auto"/>
              <w:bottom w:val="single" w:sz="4" w:space="0" w:color="000000" w:themeColor="text1"/>
              <w:right w:val="single" w:sz="4" w:space="0" w:color="000000" w:themeColor="text1"/>
            </w:tcBorders>
            <w:hideMark/>
          </w:tcPr>
          <w:p w14:paraId="1A0A31B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100 më shumë se baseline</w:t>
            </w:r>
          </w:p>
        </w:tc>
        <w:tc>
          <w:tcPr>
            <w:tcW w:w="1060" w:type="dxa"/>
            <w:gridSpan w:val="2"/>
            <w:vMerge w:val="restart"/>
            <w:tcBorders>
              <w:top w:val="nil"/>
              <w:left w:val="single" w:sz="4" w:space="0" w:color="auto"/>
              <w:bottom w:val="single" w:sz="4" w:space="0" w:color="000000" w:themeColor="text1"/>
              <w:right w:val="nil"/>
            </w:tcBorders>
            <w:hideMark/>
          </w:tcPr>
          <w:p w14:paraId="142241D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60" w:type="dxa"/>
            <w:vMerge/>
            <w:hideMark/>
          </w:tcPr>
          <w:p w14:paraId="01451227" w14:textId="77777777" w:rsidR="007D728E" w:rsidRPr="00CB13F7" w:rsidRDefault="007D728E" w:rsidP="007D728E">
            <w:pPr>
              <w:rPr>
                <w:rFonts w:eastAsia="Times New Roman"/>
                <w:color w:val="000000"/>
                <w:sz w:val="16"/>
                <w:szCs w:val="16"/>
                <w:lang w:eastAsia="en-US"/>
              </w:rPr>
            </w:pPr>
          </w:p>
        </w:tc>
      </w:tr>
      <w:tr w:rsidR="007D728E" w:rsidRPr="00CB13F7" w14:paraId="0B7D6F77" w14:textId="77777777" w:rsidTr="661F9D2E">
        <w:trPr>
          <w:trHeight w:val="464"/>
        </w:trPr>
        <w:tc>
          <w:tcPr>
            <w:tcW w:w="1020" w:type="dxa"/>
            <w:vMerge/>
            <w:hideMark/>
          </w:tcPr>
          <w:p w14:paraId="1EA43A20"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1D568E42" w14:textId="77777777" w:rsidR="007D728E" w:rsidRPr="00CB13F7" w:rsidRDefault="007D728E" w:rsidP="007D728E">
            <w:pPr>
              <w:rPr>
                <w:rFonts w:eastAsia="Times New Roman"/>
                <w:sz w:val="16"/>
                <w:szCs w:val="16"/>
                <w:lang w:eastAsia="en-US"/>
              </w:rPr>
            </w:pPr>
          </w:p>
        </w:tc>
        <w:tc>
          <w:tcPr>
            <w:tcW w:w="2493" w:type="dxa"/>
            <w:gridSpan w:val="2"/>
            <w:vMerge/>
            <w:hideMark/>
          </w:tcPr>
          <w:p w14:paraId="1C9C2909" w14:textId="77777777" w:rsidR="007D728E" w:rsidRPr="00CB13F7" w:rsidRDefault="007D728E" w:rsidP="007D728E">
            <w:pPr>
              <w:rPr>
                <w:rFonts w:eastAsia="Times New Roman"/>
                <w:sz w:val="16"/>
                <w:szCs w:val="16"/>
                <w:lang w:eastAsia="en-US"/>
              </w:rPr>
            </w:pPr>
          </w:p>
        </w:tc>
        <w:tc>
          <w:tcPr>
            <w:tcW w:w="819" w:type="dxa"/>
            <w:vMerge/>
            <w:hideMark/>
          </w:tcPr>
          <w:p w14:paraId="2DDEF472" w14:textId="77777777" w:rsidR="007D728E" w:rsidRPr="00CB13F7" w:rsidRDefault="007D728E" w:rsidP="007D728E">
            <w:pPr>
              <w:rPr>
                <w:rFonts w:eastAsia="Times New Roman"/>
                <w:sz w:val="16"/>
                <w:szCs w:val="16"/>
                <w:lang w:eastAsia="en-US"/>
              </w:rPr>
            </w:pPr>
          </w:p>
        </w:tc>
        <w:tc>
          <w:tcPr>
            <w:tcW w:w="1418" w:type="dxa"/>
            <w:vMerge/>
            <w:hideMark/>
          </w:tcPr>
          <w:p w14:paraId="5D547967"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0CC242E8" w14:textId="77777777" w:rsidR="007D728E" w:rsidRPr="00CB13F7" w:rsidRDefault="007D728E" w:rsidP="007D728E">
            <w:pPr>
              <w:rPr>
                <w:rFonts w:eastAsia="Times New Roman"/>
                <w:sz w:val="16"/>
                <w:szCs w:val="16"/>
                <w:lang w:eastAsia="en-US"/>
              </w:rPr>
            </w:pPr>
          </w:p>
        </w:tc>
        <w:tc>
          <w:tcPr>
            <w:tcW w:w="1060" w:type="dxa"/>
            <w:gridSpan w:val="2"/>
            <w:vMerge/>
            <w:hideMark/>
          </w:tcPr>
          <w:p w14:paraId="138D73A2" w14:textId="77777777" w:rsidR="007D728E" w:rsidRPr="00CB13F7" w:rsidRDefault="007D728E" w:rsidP="007D728E">
            <w:pPr>
              <w:rPr>
                <w:rFonts w:eastAsia="Times New Roman"/>
                <w:sz w:val="16"/>
                <w:szCs w:val="16"/>
                <w:lang w:eastAsia="en-US"/>
              </w:rPr>
            </w:pPr>
          </w:p>
        </w:tc>
        <w:tc>
          <w:tcPr>
            <w:tcW w:w="2560" w:type="dxa"/>
            <w:vMerge/>
            <w:hideMark/>
          </w:tcPr>
          <w:p w14:paraId="3499CDEB" w14:textId="77777777" w:rsidR="007D728E" w:rsidRPr="00CB13F7" w:rsidRDefault="007D728E" w:rsidP="007D728E">
            <w:pPr>
              <w:rPr>
                <w:rFonts w:eastAsia="Times New Roman"/>
                <w:color w:val="000000"/>
                <w:sz w:val="16"/>
                <w:szCs w:val="16"/>
                <w:lang w:eastAsia="en-US"/>
              </w:rPr>
            </w:pPr>
          </w:p>
        </w:tc>
      </w:tr>
      <w:tr w:rsidR="007D728E" w:rsidRPr="00CB13F7" w14:paraId="40D2B578" w14:textId="77777777" w:rsidTr="661F9D2E">
        <w:trPr>
          <w:trHeight w:val="464"/>
        </w:trPr>
        <w:tc>
          <w:tcPr>
            <w:tcW w:w="1020" w:type="dxa"/>
            <w:vMerge/>
            <w:hideMark/>
          </w:tcPr>
          <w:p w14:paraId="6629D975"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6E88444E" w14:textId="77777777" w:rsidR="007D728E" w:rsidRPr="00CB13F7" w:rsidRDefault="007D728E" w:rsidP="007D728E">
            <w:pPr>
              <w:rPr>
                <w:rFonts w:eastAsia="Times New Roman"/>
                <w:sz w:val="16"/>
                <w:szCs w:val="16"/>
                <w:lang w:eastAsia="en-US"/>
              </w:rPr>
            </w:pPr>
          </w:p>
        </w:tc>
        <w:tc>
          <w:tcPr>
            <w:tcW w:w="2493" w:type="dxa"/>
            <w:gridSpan w:val="2"/>
            <w:vMerge/>
            <w:hideMark/>
          </w:tcPr>
          <w:p w14:paraId="7CB14644" w14:textId="77777777" w:rsidR="007D728E" w:rsidRPr="00CB13F7" w:rsidRDefault="007D728E" w:rsidP="007D728E">
            <w:pPr>
              <w:rPr>
                <w:rFonts w:eastAsia="Times New Roman"/>
                <w:sz w:val="16"/>
                <w:szCs w:val="16"/>
                <w:lang w:eastAsia="en-US"/>
              </w:rPr>
            </w:pPr>
          </w:p>
        </w:tc>
        <w:tc>
          <w:tcPr>
            <w:tcW w:w="819" w:type="dxa"/>
            <w:vMerge/>
            <w:hideMark/>
          </w:tcPr>
          <w:p w14:paraId="37E18821" w14:textId="77777777" w:rsidR="007D728E" w:rsidRPr="00CB13F7" w:rsidRDefault="007D728E" w:rsidP="007D728E">
            <w:pPr>
              <w:rPr>
                <w:rFonts w:eastAsia="Times New Roman"/>
                <w:sz w:val="16"/>
                <w:szCs w:val="16"/>
                <w:lang w:eastAsia="en-US"/>
              </w:rPr>
            </w:pPr>
          </w:p>
        </w:tc>
        <w:tc>
          <w:tcPr>
            <w:tcW w:w="1418" w:type="dxa"/>
            <w:vMerge/>
            <w:hideMark/>
          </w:tcPr>
          <w:p w14:paraId="62302357"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6BC8BA23" w14:textId="77777777" w:rsidR="007D728E" w:rsidRPr="00CB13F7" w:rsidRDefault="007D728E" w:rsidP="007D728E">
            <w:pPr>
              <w:rPr>
                <w:rFonts w:eastAsia="Times New Roman"/>
                <w:sz w:val="16"/>
                <w:szCs w:val="16"/>
                <w:lang w:eastAsia="en-US"/>
              </w:rPr>
            </w:pPr>
          </w:p>
        </w:tc>
        <w:tc>
          <w:tcPr>
            <w:tcW w:w="1060" w:type="dxa"/>
            <w:gridSpan w:val="2"/>
            <w:vMerge/>
            <w:hideMark/>
          </w:tcPr>
          <w:p w14:paraId="0E99C262" w14:textId="77777777" w:rsidR="007D728E" w:rsidRPr="00CB13F7" w:rsidRDefault="007D728E" w:rsidP="007D728E">
            <w:pPr>
              <w:rPr>
                <w:rFonts w:eastAsia="Times New Roman"/>
                <w:sz w:val="16"/>
                <w:szCs w:val="16"/>
                <w:lang w:eastAsia="en-US"/>
              </w:rPr>
            </w:pPr>
          </w:p>
        </w:tc>
        <w:tc>
          <w:tcPr>
            <w:tcW w:w="2560" w:type="dxa"/>
            <w:vMerge/>
            <w:hideMark/>
          </w:tcPr>
          <w:p w14:paraId="3BC2F235" w14:textId="77777777" w:rsidR="007D728E" w:rsidRPr="00CB13F7" w:rsidRDefault="007D728E" w:rsidP="007D728E">
            <w:pPr>
              <w:rPr>
                <w:rFonts w:eastAsia="Times New Roman"/>
                <w:color w:val="000000"/>
                <w:sz w:val="16"/>
                <w:szCs w:val="16"/>
                <w:lang w:eastAsia="en-US"/>
              </w:rPr>
            </w:pPr>
          </w:p>
        </w:tc>
      </w:tr>
      <w:tr w:rsidR="007D728E" w:rsidRPr="00CB13F7" w14:paraId="15D9FFC6" w14:textId="77777777" w:rsidTr="661F9D2E">
        <w:trPr>
          <w:trHeight w:val="464"/>
        </w:trPr>
        <w:tc>
          <w:tcPr>
            <w:tcW w:w="1020" w:type="dxa"/>
            <w:vMerge/>
            <w:hideMark/>
          </w:tcPr>
          <w:p w14:paraId="6E888ABE"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073F862D" w14:textId="77777777" w:rsidR="007D728E" w:rsidRPr="00CB13F7" w:rsidRDefault="007D728E" w:rsidP="007D728E">
            <w:pPr>
              <w:rPr>
                <w:rFonts w:eastAsia="Times New Roman"/>
                <w:sz w:val="16"/>
                <w:szCs w:val="16"/>
                <w:lang w:eastAsia="en-US"/>
              </w:rPr>
            </w:pPr>
          </w:p>
        </w:tc>
        <w:tc>
          <w:tcPr>
            <w:tcW w:w="2493" w:type="dxa"/>
            <w:gridSpan w:val="2"/>
            <w:vMerge/>
            <w:hideMark/>
          </w:tcPr>
          <w:p w14:paraId="2B0B1616" w14:textId="77777777" w:rsidR="007D728E" w:rsidRPr="00CB13F7" w:rsidRDefault="007D728E" w:rsidP="007D728E">
            <w:pPr>
              <w:rPr>
                <w:rFonts w:eastAsia="Times New Roman"/>
                <w:sz w:val="16"/>
                <w:szCs w:val="16"/>
                <w:lang w:eastAsia="en-US"/>
              </w:rPr>
            </w:pPr>
          </w:p>
        </w:tc>
        <w:tc>
          <w:tcPr>
            <w:tcW w:w="819" w:type="dxa"/>
            <w:vMerge/>
            <w:hideMark/>
          </w:tcPr>
          <w:p w14:paraId="635B0422" w14:textId="77777777" w:rsidR="007D728E" w:rsidRPr="00CB13F7" w:rsidRDefault="007D728E" w:rsidP="007D728E">
            <w:pPr>
              <w:rPr>
                <w:rFonts w:eastAsia="Times New Roman"/>
                <w:sz w:val="16"/>
                <w:szCs w:val="16"/>
                <w:lang w:eastAsia="en-US"/>
              </w:rPr>
            </w:pPr>
          </w:p>
        </w:tc>
        <w:tc>
          <w:tcPr>
            <w:tcW w:w="1418" w:type="dxa"/>
            <w:vMerge/>
            <w:hideMark/>
          </w:tcPr>
          <w:p w14:paraId="35BA8AC2"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5069F85C" w14:textId="77777777" w:rsidR="007D728E" w:rsidRPr="00CB13F7" w:rsidRDefault="007D728E" w:rsidP="007D728E">
            <w:pPr>
              <w:rPr>
                <w:rFonts w:eastAsia="Times New Roman"/>
                <w:sz w:val="16"/>
                <w:szCs w:val="16"/>
                <w:lang w:eastAsia="en-US"/>
              </w:rPr>
            </w:pPr>
          </w:p>
        </w:tc>
        <w:tc>
          <w:tcPr>
            <w:tcW w:w="1060" w:type="dxa"/>
            <w:gridSpan w:val="2"/>
            <w:vMerge/>
            <w:hideMark/>
          </w:tcPr>
          <w:p w14:paraId="0C69D0FE" w14:textId="77777777" w:rsidR="007D728E" w:rsidRPr="00CB13F7" w:rsidRDefault="007D728E" w:rsidP="007D728E">
            <w:pPr>
              <w:rPr>
                <w:rFonts w:eastAsia="Times New Roman"/>
                <w:sz w:val="16"/>
                <w:szCs w:val="16"/>
                <w:lang w:eastAsia="en-US"/>
              </w:rPr>
            </w:pPr>
          </w:p>
        </w:tc>
        <w:tc>
          <w:tcPr>
            <w:tcW w:w="2560" w:type="dxa"/>
            <w:vMerge/>
            <w:hideMark/>
          </w:tcPr>
          <w:p w14:paraId="52836582" w14:textId="77777777" w:rsidR="007D728E" w:rsidRPr="00CB13F7" w:rsidRDefault="007D728E" w:rsidP="007D728E">
            <w:pPr>
              <w:rPr>
                <w:rFonts w:eastAsia="Times New Roman"/>
                <w:color w:val="000000"/>
                <w:sz w:val="16"/>
                <w:szCs w:val="16"/>
                <w:lang w:eastAsia="en-US"/>
              </w:rPr>
            </w:pPr>
          </w:p>
        </w:tc>
      </w:tr>
      <w:tr w:rsidR="007D728E" w:rsidRPr="00CB13F7" w14:paraId="21894B0B" w14:textId="77777777" w:rsidTr="661F9D2E">
        <w:trPr>
          <w:trHeight w:val="464"/>
        </w:trPr>
        <w:tc>
          <w:tcPr>
            <w:tcW w:w="1020" w:type="dxa"/>
            <w:vMerge/>
            <w:hideMark/>
          </w:tcPr>
          <w:p w14:paraId="673616B5"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21121E68" w14:textId="77777777" w:rsidR="007D728E" w:rsidRPr="00CB13F7" w:rsidRDefault="007D728E" w:rsidP="007D728E">
            <w:pPr>
              <w:rPr>
                <w:rFonts w:eastAsia="Times New Roman"/>
                <w:sz w:val="16"/>
                <w:szCs w:val="16"/>
                <w:lang w:eastAsia="en-US"/>
              </w:rPr>
            </w:pPr>
          </w:p>
        </w:tc>
        <w:tc>
          <w:tcPr>
            <w:tcW w:w="2493" w:type="dxa"/>
            <w:gridSpan w:val="2"/>
            <w:vMerge/>
            <w:hideMark/>
          </w:tcPr>
          <w:p w14:paraId="4F2550E6" w14:textId="77777777" w:rsidR="007D728E" w:rsidRPr="00CB13F7" w:rsidRDefault="007D728E" w:rsidP="007D728E">
            <w:pPr>
              <w:rPr>
                <w:rFonts w:eastAsia="Times New Roman"/>
                <w:sz w:val="16"/>
                <w:szCs w:val="16"/>
                <w:lang w:eastAsia="en-US"/>
              </w:rPr>
            </w:pPr>
          </w:p>
        </w:tc>
        <w:tc>
          <w:tcPr>
            <w:tcW w:w="819" w:type="dxa"/>
            <w:vMerge/>
            <w:hideMark/>
          </w:tcPr>
          <w:p w14:paraId="659D6E94" w14:textId="77777777" w:rsidR="007D728E" w:rsidRPr="00CB13F7" w:rsidRDefault="007D728E" w:rsidP="007D728E">
            <w:pPr>
              <w:rPr>
                <w:rFonts w:eastAsia="Times New Roman"/>
                <w:sz w:val="16"/>
                <w:szCs w:val="16"/>
                <w:lang w:eastAsia="en-US"/>
              </w:rPr>
            </w:pPr>
          </w:p>
        </w:tc>
        <w:tc>
          <w:tcPr>
            <w:tcW w:w="1418" w:type="dxa"/>
            <w:vMerge/>
            <w:hideMark/>
          </w:tcPr>
          <w:p w14:paraId="63A81A9A"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431162EE" w14:textId="77777777" w:rsidR="007D728E" w:rsidRPr="00CB13F7" w:rsidRDefault="007D728E" w:rsidP="007D728E">
            <w:pPr>
              <w:rPr>
                <w:rFonts w:eastAsia="Times New Roman"/>
                <w:sz w:val="16"/>
                <w:szCs w:val="16"/>
                <w:lang w:eastAsia="en-US"/>
              </w:rPr>
            </w:pPr>
          </w:p>
        </w:tc>
        <w:tc>
          <w:tcPr>
            <w:tcW w:w="1060" w:type="dxa"/>
            <w:gridSpan w:val="2"/>
            <w:vMerge/>
            <w:hideMark/>
          </w:tcPr>
          <w:p w14:paraId="0D0D2E43" w14:textId="77777777" w:rsidR="007D728E" w:rsidRPr="00CB13F7" w:rsidRDefault="007D728E" w:rsidP="007D728E">
            <w:pPr>
              <w:rPr>
                <w:rFonts w:eastAsia="Times New Roman"/>
                <w:sz w:val="16"/>
                <w:szCs w:val="16"/>
                <w:lang w:eastAsia="en-US"/>
              </w:rPr>
            </w:pPr>
          </w:p>
        </w:tc>
        <w:tc>
          <w:tcPr>
            <w:tcW w:w="2560" w:type="dxa"/>
            <w:vMerge/>
            <w:hideMark/>
          </w:tcPr>
          <w:p w14:paraId="4DB48619" w14:textId="77777777" w:rsidR="007D728E" w:rsidRPr="00CB13F7" w:rsidRDefault="007D728E" w:rsidP="007D728E">
            <w:pPr>
              <w:rPr>
                <w:rFonts w:eastAsia="Times New Roman"/>
                <w:color w:val="000000"/>
                <w:sz w:val="16"/>
                <w:szCs w:val="16"/>
                <w:lang w:eastAsia="en-US"/>
              </w:rPr>
            </w:pPr>
          </w:p>
        </w:tc>
      </w:tr>
      <w:tr w:rsidR="007D728E" w:rsidRPr="00CB13F7" w14:paraId="0D9F0410" w14:textId="77777777" w:rsidTr="661F9D2E">
        <w:trPr>
          <w:trHeight w:val="464"/>
        </w:trPr>
        <w:tc>
          <w:tcPr>
            <w:tcW w:w="1020" w:type="dxa"/>
            <w:vMerge/>
            <w:hideMark/>
          </w:tcPr>
          <w:p w14:paraId="2B10B64B"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3B2E3828" w14:textId="77777777" w:rsidR="007D728E" w:rsidRPr="00CB13F7" w:rsidRDefault="007D728E" w:rsidP="007D728E">
            <w:pPr>
              <w:rPr>
                <w:rFonts w:eastAsia="Times New Roman"/>
                <w:sz w:val="16"/>
                <w:szCs w:val="16"/>
                <w:lang w:eastAsia="en-US"/>
              </w:rPr>
            </w:pPr>
          </w:p>
        </w:tc>
        <w:tc>
          <w:tcPr>
            <w:tcW w:w="2493" w:type="dxa"/>
            <w:gridSpan w:val="2"/>
            <w:vMerge/>
            <w:hideMark/>
          </w:tcPr>
          <w:p w14:paraId="772D395C" w14:textId="77777777" w:rsidR="007D728E" w:rsidRPr="00CB13F7" w:rsidRDefault="007D728E" w:rsidP="007D728E">
            <w:pPr>
              <w:rPr>
                <w:rFonts w:eastAsia="Times New Roman"/>
                <w:sz w:val="16"/>
                <w:szCs w:val="16"/>
                <w:lang w:eastAsia="en-US"/>
              </w:rPr>
            </w:pPr>
          </w:p>
        </w:tc>
        <w:tc>
          <w:tcPr>
            <w:tcW w:w="819" w:type="dxa"/>
            <w:vMerge/>
            <w:hideMark/>
          </w:tcPr>
          <w:p w14:paraId="1CFE6EAB" w14:textId="77777777" w:rsidR="007D728E" w:rsidRPr="00CB13F7" w:rsidRDefault="007D728E" w:rsidP="007D728E">
            <w:pPr>
              <w:rPr>
                <w:rFonts w:eastAsia="Times New Roman"/>
                <w:sz w:val="16"/>
                <w:szCs w:val="16"/>
                <w:lang w:eastAsia="en-US"/>
              </w:rPr>
            </w:pPr>
          </w:p>
        </w:tc>
        <w:tc>
          <w:tcPr>
            <w:tcW w:w="1418" w:type="dxa"/>
            <w:vMerge/>
            <w:hideMark/>
          </w:tcPr>
          <w:p w14:paraId="67E84D57"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55EBFDC9" w14:textId="77777777" w:rsidR="007D728E" w:rsidRPr="00CB13F7" w:rsidRDefault="007D728E" w:rsidP="007D728E">
            <w:pPr>
              <w:rPr>
                <w:rFonts w:eastAsia="Times New Roman"/>
                <w:sz w:val="16"/>
                <w:szCs w:val="16"/>
                <w:lang w:eastAsia="en-US"/>
              </w:rPr>
            </w:pPr>
          </w:p>
        </w:tc>
        <w:tc>
          <w:tcPr>
            <w:tcW w:w="1060" w:type="dxa"/>
            <w:gridSpan w:val="2"/>
            <w:vMerge/>
            <w:hideMark/>
          </w:tcPr>
          <w:p w14:paraId="5973F989" w14:textId="77777777" w:rsidR="007D728E" w:rsidRPr="00CB13F7" w:rsidRDefault="007D728E" w:rsidP="007D728E">
            <w:pPr>
              <w:rPr>
                <w:rFonts w:eastAsia="Times New Roman"/>
                <w:sz w:val="16"/>
                <w:szCs w:val="16"/>
                <w:lang w:eastAsia="en-US"/>
              </w:rPr>
            </w:pPr>
          </w:p>
        </w:tc>
        <w:tc>
          <w:tcPr>
            <w:tcW w:w="2560" w:type="dxa"/>
            <w:vMerge/>
            <w:hideMark/>
          </w:tcPr>
          <w:p w14:paraId="5138DDBA" w14:textId="77777777" w:rsidR="007D728E" w:rsidRPr="00CB13F7" w:rsidRDefault="007D728E" w:rsidP="007D728E">
            <w:pPr>
              <w:rPr>
                <w:rFonts w:eastAsia="Times New Roman"/>
                <w:color w:val="000000"/>
                <w:sz w:val="16"/>
                <w:szCs w:val="16"/>
                <w:lang w:eastAsia="en-US"/>
              </w:rPr>
            </w:pPr>
          </w:p>
        </w:tc>
      </w:tr>
      <w:tr w:rsidR="007D728E" w:rsidRPr="00CB13F7" w14:paraId="1D576C69" w14:textId="77777777" w:rsidTr="661F9D2E">
        <w:trPr>
          <w:trHeight w:val="464"/>
        </w:trPr>
        <w:tc>
          <w:tcPr>
            <w:tcW w:w="1020" w:type="dxa"/>
            <w:vMerge/>
            <w:hideMark/>
          </w:tcPr>
          <w:p w14:paraId="286B84F9"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3FD90FE9" w14:textId="77777777" w:rsidR="007D728E" w:rsidRPr="00CB13F7" w:rsidRDefault="007D728E" w:rsidP="007D728E">
            <w:pPr>
              <w:rPr>
                <w:rFonts w:eastAsia="Times New Roman"/>
                <w:sz w:val="16"/>
                <w:szCs w:val="16"/>
                <w:lang w:eastAsia="en-US"/>
              </w:rPr>
            </w:pPr>
          </w:p>
        </w:tc>
        <w:tc>
          <w:tcPr>
            <w:tcW w:w="2493" w:type="dxa"/>
            <w:gridSpan w:val="2"/>
            <w:vMerge/>
            <w:hideMark/>
          </w:tcPr>
          <w:p w14:paraId="0544341E" w14:textId="77777777" w:rsidR="007D728E" w:rsidRPr="00CB13F7" w:rsidRDefault="007D728E" w:rsidP="007D728E">
            <w:pPr>
              <w:rPr>
                <w:rFonts w:eastAsia="Times New Roman"/>
                <w:sz w:val="16"/>
                <w:szCs w:val="16"/>
                <w:lang w:eastAsia="en-US"/>
              </w:rPr>
            </w:pPr>
          </w:p>
        </w:tc>
        <w:tc>
          <w:tcPr>
            <w:tcW w:w="819" w:type="dxa"/>
            <w:vMerge/>
            <w:hideMark/>
          </w:tcPr>
          <w:p w14:paraId="2490078A" w14:textId="77777777" w:rsidR="007D728E" w:rsidRPr="00CB13F7" w:rsidRDefault="007D728E" w:rsidP="007D728E">
            <w:pPr>
              <w:rPr>
                <w:rFonts w:eastAsia="Times New Roman"/>
                <w:sz w:val="16"/>
                <w:szCs w:val="16"/>
                <w:lang w:eastAsia="en-US"/>
              </w:rPr>
            </w:pPr>
          </w:p>
        </w:tc>
        <w:tc>
          <w:tcPr>
            <w:tcW w:w="1418" w:type="dxa"/>
            <w:vMerge/>
            <w:hideMark/>
          </w:tcPr>
          <w:p w14:paraId="447E0C27"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32A517E6" w14:textId="77777777" w:rsidR="007D728E" w:rsidRPr="00CB13F7" w:rsidRDefault="007D728E" w:rsidP="007D728E">
            <w:pPr>
              <w:rPr>
                <w:rFonts w:eastAsia="Times New Roman"/>
                <w:sz w:val="16"/>
                <w:szCs w:val="16"/>
                <w:lang w:eastAsia="en-US"/>
              </w:rPr>
            </w:pPr>
          </w:p>
        </w:tc>
        <w:tc>
          <w:tcPr>
            <w:tcW w:w="1060" w:type="dxa"/>
            <w:gridSpan w:val="2"/>
            <w:vMerge/>
            <w:hideMark/>
          </w:tcPr>
          <w:p w14:paraId="0292A355" w14:textId="77777777" w:rsidR="007D728E" w:rsidRPr="00CB13F7" w:rsidRDefault="007D728E" w:rsidP="007D728E">
            <w:pPr>
              <w:rPr>
                <w:rFonts w:eastAsia="Times New Roman"/>
                <w:sz w:val="16"/>
                <w:szCs w:val="16"/>
                <w:lang w:eastAsia="en-US"/>
              </w:rPr>
            </w:pPr>
          </w:p>
        </w:tc>
        <w:tc>
          <w:tcPr>
            <w:tcW w:w="2560" w:type="dxa"/>
            <w:vMerge/>
            <w:hideMark/>
          </w:tcPr>
          <w:p w14:paraId="4E90A003" w14:textId="77777777" w:rsidR="007D728E" w:rsidRPr="00CB13F7" w:rsidRDefault="007D728E" w:rsidP="007D728E">
            <w:pPr>
              <w:rPr>
                <w:rFonts w:eastAsia="Times New Roman"/>
                <w:color w:val="000000"/>
                <w:sz w:val="16"/>
                <w:szCs w:val="16"/>
                <w:lang w:eastAsia="en-US"/>
              </w:rPr>
            </w:pPr>
          </w:p>
        </w:tc>
      </w:tr>
      <w:tr w:rsidR="007D728E" w:rsidRPr="00CB13F7" w14:paraId="059AD17F" w14:textId="77777777" w:rsidTr="661F9D2E">
        <w:trPr>
          <w:trHeight w:val="464"/>
        </w:trPr>
        <w:tc>
          <w:tcPr>
            <w:tcW w:w="1020" w:type="dxa"/>
            <w:vMerge/>
            <w:hideMark/>
          </w:tcPr>
          <w:p w14:paraId="3DE6B00B"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55FC5CCD" w14:textId="77777777" w:rsidR="007D728E" w:rsidRPr="00CB13F7" w:rsidRDefault="007D728E" w:rsidP="007D728E">
            <w:pPr>
              <w:rPr>
                <w:rFonts w:eastAsia="Times New Roman"/>
                <w:sz w:val="16"/>
                <w:szCs w:val="16"/>
                <w:lang w:eastAsia="en-US"/>
              </w:rPr>
            </w:pPr>
          </w:p>
        </w:tc>
        <w:tc>
          <w:tcPr>
            <w:tcW w:w="2493" w:type="dxa"/>
            <w:gridSpan w:val="2"/>
            <w:vMerge/>
            <w:hideMark/>
          </w:tcPr>
          <w:p w14:paraId="4D811743" w14:textId="77777777" w:rsidR="007D728E" w:rsidRPr="00CB13F7" w:rsidRDefault="007D728E" w:rsidP="007D728E">
            <w:pPr>
              <w:rPr>
                <w:rFonts w:eastAsia="Times New Roman"/>
                <w:sz w:val="16"/>
                <w:szCs w:val="16"/>
                <w:lang w:eastAsia="en-US"/>
              </w:rPr>
            </w:pPr>
          </w:p>
        </w:tc>
        <w:tc>
          <w:tcPr>
            <w:tcW w:w="819" w:type="dxa"/>
            <w:vMerge/>
            <w:hideMark/>
          </w:tcPr>
          <w:p w14:paraId="6C6649AB" w14:textId="77777777" w:rsidR="007D728E" w:rsidRPr="00CB13F7" w:rsidRDefault="007D728E" w:rsidP="007D728E">
            <w:pPr>
              <w:rPr>
                <w:rFonts w:eastAsia="Times New Roman"/>
                <w:sz w:val="16"/>
                <w:szCs w:val="16"/>
                <w:lang w:eastAsia="en-US"/>
              </w:rPr>
            </w:pPr>
          </w:p>
        </w:tc>
        <w:tc>
          <w:tcPr>
            <w:tcW w:w="1418" w:type="dxa"/>
            <w:vMerge/>
            <w:hideMark/>
          </w:tcPr>
          <w:p w14:paraId="2B250747"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469506AF" w14:textId="77777777" w:rsidR="007D728E" w:rsidRPr="00CB13F7" w:rsidRDefault="007D728E" w:rsidP="007D728E">
            <w:pPr>
              <w:rPr>
                <w:rFonts w:eastAsia="Times New Roman"/>
                <w:sz w:val="16"/>
                <w:szCs w:val="16"/>
                <w:lang w:eastAsia="en-US"/>
              </w:rPr>
            </w:pPr>
          </w:p>
        </w:tc>
        <w:tc>
          <w:tcPr>
            <w:tcW w:w="1060" w:type="dxa"/>
            <w:gridSpan w:val="2"/>
            <w:vMerge/>
            <w:hideMark/>
          </w:tcPr>
          <w:p w14:paraId="5E2E43E2" w14:textId="77777777" w:rsidR="007D728E" w:rsidRPr="00CB13F7" w:rsidRDefault="007D728E" w:rsidP="007D728E">
            <w:pPr>
              <w:rPr>
                <w:rFonts w:eastAsia="Times New Roman"/>
                <w:sz w:val="16"/>
                <w:szCs w:val="16"/>
                <w:lang w:eastAsia="en-US"/>
              </w:rPr>
            </w:pPr>
          </w:p>
        </w:tc>
        <w:tc>
          <w:tcPr>
            <w:tcW w:w="2560" w:type="dxa"/>
            <w:vMerge/>
            <w:hideMark/>
          </w:tcPr>
          <w:p w14:paraId="2FEF2CEA" w14:textId="77777777" w:rsidR="007D728E" w:rsidRPr="00CB13F7" w:rsidRDefault="007D728E" w:rsidP="007D728E">
            <w:pPr>
              <w:rPr>
                <w:rFonts w:eastAsia="Times New Roman"/>
                <w:color w:val="000000"/>
                <w:sz w:val="16"/>
                <w:szCs w:val="16"/>
                <w:lang w:eastAsia="en-US"/>
              </w:rPr>
            </w:pPr>
          </w:p>
        </w:tc>
      </w:tr>
      <w:tr w:rsidR="007D728E" w:rsidRPr="00CB13F7" w14:paraId="57324124" w14:textId="77777777" w:rsidTr="661F9D2E">
        <w:trPr>
          <w:trHeight w:val="464"/>
        </w:trPr>
        <w:tc>
          <w:tcPr>
            <w:tcW w:w="1020" w:type="dxa"/>
            <w:vMerge/>
            <w:hideMark/>
          </w:tcPr>
          <w:p w14:paraId="1F63A95D"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4D651F6A" w14:textId="77777777" w:rsidR="007D728E" w:rsidRPr="00CB13F7" w:rsidRDefault="007D728E" w:rsidP="007D728E">
            <w:pPr>
              <w:rPr>
                <w:rFonts w:eastAsia="Times New Roman"/>
                <w:sz w:val="16"/>
                <w:szCs w:val="16"/>
                <w:lang w:eastAsia="en-US"/>
              </w:rPr>
            </w:pPr>
          </w:p>
        </w:tc>
        <w:tc>
          <w:tcPr>
            <w:tcW w:w="2493" w:type="dxa"/>
            <w:gridSpan w:val="2"/>
            <w:vMerge/>
            <w:hideMark/>
          </w:tcPr>
          <w:p w14:paraId="3B72FC0D" w14:textId="77777777" w:rsidR="007D728E" w:rsidRPr="00CB13F7" w:rsidRDefault="007D728E" w:rsidP="007D728E">
            <w:pPr>
              <w:rPr>
                <w:rFonts w:eastAsia="Times New Roman"/>
                <w:sz w:val="16"/>
                <w:szCs w:val="16"/>
                <w:lang w:eastAsia="en-US"/>
              </w:rPr>
            </w:pPr>
          </w:p>
        </w:tc>
        <w:tc>
          <w:tcPr>
            <w:tcW w:w="819" w:type="dxa"/>
            <w:vMerge/>
            <w:hideMark/>
          </w:tcPr>
          <w:p w14:paraId="453C50B2" w14:textId="77777777" w:rsidR="007D728E" w:rsidRPr="00CB13F7" w:rsidRDefault="007D728E" w:rsidP="007D728E">
            <w:pPr>
              <w:rPr>
                <w:rFonts w:eastAsia="Times New Roman"/>
                <w:sz w:val="16"/>
                <w:szCs w:val="16"/>
                <w:lang w:eastAsia="en-US"/>
              </w:rPr>
            </w:pPr>
          </w:p>
        </w:tc>
        <w:tc>
          <w:tcPr>
            <w:tcW w:w="1418" w:type="dxa"/>
            <w:vMerge/>
            <w:hideMark/>
          </w:tcPr>
          <w:p w14:paraId="35F08B91" w14:textId="77777777" w:rsidR="007D728E" w:rsidRPr="00CB13F7" w:rsidRDefault="007D728E" w:rsidP="007D728E">
            <w:pPr>
              <w:rPr>
                <w:rFonts w:eastAsia="Times New Roman"/>
                <w:color w:val="000000"/>
                <w:sz w:val="16"/>
                <w:szCs w:val="16"/>
                <w:lang w:eastAsia="en-US"/>
              </w:rPr>
            </w:pPr>
          </w:p>
        </w:tc>
        <w:tc>
          <w:tcPr>
            <w:tcW w:w="1417" w:type="dxa"/>
            <w:gridSpan w:val="2"/>
            <w:vMerge/>
            <w:hideMark/>
          </w:tcPr>
          <w:p w14:paraId="6826F76A" w14:textId="77777777" w:rsidR="007D728E" w:rsidRPr="00CB13F7" w:rsidRDefault="007D728E" w:rsidP="007D728E">
            <w:pPr>
              <w:rPr>
                <w:rFonts w:eastAsia="Times New Roman"/>
                <w:sz w:val="16"/>
                <w:szCs w:val="16"/>
                <w:lang w:eastAsia="en-US"/>
              </w:rPr>
            </w:pPr>
          </w:p>
        </w:tc>
        <w:tc>
          <w:tcPr>
            <w:tcW w:w="1060" w:type="dxa"/>
            <w:gridSpan w:val="2"/>
            <w:vMerge/>
            <w:hideMark/>
          </w:tcPr>
          <w:p w14:paraId="39EE911F" w14:textId="77777777" w:rsidR="007D728E" w:rsidRPr="00CB13F7" w:rsidRDefault="007D728E" w:rsidP="007D728E">
            <w:pPr>
              <w:rPr>
                <w:rFonts w:eastAsia="Times New Roman"/>
                <w:sz w:val="16"/>
                <w:szCs w:val="16"/>
                <w:lang w:eastAsia="en-US"/>
              </w:rPr>
            </w:pPr>
          </w:p>
        </w:tc>
        <w:tc>
          <w:tcPr>
            <w:tcW w:w="2560" w:type="dxa"/>
            <w:vMerge/>
            <w:hideMark/>
          </w:tcPr>
          <w:p w14:paraId="10423685" w14:textId="77777777" w:rsidR="007D728E" w:rsidRPr="00CB13F7" w:rsidRDefault="007D728E" w:rsidP="007D728E">
            <w:pPr>
              <w:rPr>
                <w:rFonts w:eastAsia="Times New Roman"/>
                <w:color w:val="000000"/>
                <w:sz w:val="16"/>
                <w:szCs w:val="16"/>
                <w:lang w:eastAsia="en-US"/>
              </w:rPr>
            </w:pPr>
          </w:p>
        </w:tc>
      </w:tr>
      <w:tr w:rsidR="00830E31" w:rsidRPr="00CB13F7" w14:paraId="153DB86A" w14:textId="77777777" w:rsidTr="661F9D2E">
        <w:trPr>
          <w:trHeight w:val="1485"/>
        </w:trPr>
        <w:tc>
          <w:tcPr>
            <w:tcW w:w="1020" w:type="dxa"/>
            <w:tcBorders>
              <w:top w:val="nil"/>
              <w:left w:val="single" w:sz="4" w:space="0" w:color="auto"/>
              <w:bottom w:val="nil"/>
              <w:right w:val="single" w:sz="4" w:space="0" w:color="auto"/>
            </w:tcBorders>
            <w:hideMark/>
          </w:tcPr>
          <w:p w14:paraId="3DF9DE1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tcBorders>
              <w:top w:val="nil"/>
              <w:left w:val="nil"/>
              <w:bottom w:val="nil"/>
              <w:right w:val="single" w:sz="4" w:space="0" w:color="000000" w:themeColor="text1"/>
            </w:tcBorders>
            <w:hideMark/>
          </w:tcPr>
          <w:p w14:paraId="35C9F44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3.1. Realizimi i aksesueshmërisë fizike dhe aksesueshmërisë në informacion e komunikim për të gjitha kategoritë e personave me aftësi të kufizuara në të gjitha institucionet e vuajtjes së dënimeve. </w:t>
            </w:r>
          </w:p>
        </w:tc>
        <w:tc>
          <w:tcPr>
            <w:tcW w:w="2493" w:type="dxa"/>
            <w:gridSpan w:val="2"/>
            <w:tcBorders>
              <w:top w:val="nil"/>
              <w:left w:val="nil"/>
              <w:bottom w:val="nil"/>
              <w:right w:val="nil"/>
            </w:tcBorders>
            <w:hideMark/>
          </w:tcPr>
          <w:p w14:paraId="1FADB63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Institucionet e vuajtjes së dënimit që kanë kryer vlerësimin e aksesueshmërisë dhe kanë përfshirë masat për përmirësimin e aksesit fizik, të informacionit dhe komunikimit në planifikimin dhe buxhetet institucionale.</w:t>
            </w:r>
          </w:p>
        </w:tc>
        <w:tc>
          <w:tcPr>
            <w:tcW w:w="819" w:type="dxa"/>
            <w:tcBorders>
              <w:top w:val="nil"/>
              <w:left w:val="nil"/>
              <w:bottom w:val="nil"/>
              <w:right w:val="single" w:sz="4" w:space="0" w:color="000000" w:themeColor="text1"/>
            </w:tcBorders>
            <w:hideMark/>
          </w:tcPr>
          <w:p w14:paraId="6634351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nil"/>
              <w:right w:val="single" w:sz="4" w:space="0" w:color="000000" w:themeColor="text1"/>
            </w:tcBorders>
            <w:hideMark/>
          </w:tcPr>
          <w:p w14:paraId="7BE4CC4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20 % e institucioneve të vuajtjes së dënimit</w:t>
            </w:r>
          </w:p>
        </w:tc>
        <w:tc>
          <w:tcPr>
            <w:tcW w:w="1282" w:type="dxa"/>
            <w:tcBorders>
              <w:top w:val="nil"/>
              <w:left w:val="nil"/>
              <w:bottom w:val="nil"/>
              <w:right w:val="nil"/>
            </w:tcBorders>
            <w:hideMark/>
          </w:tcPr>
          <w:p w14:paraId="137CB5D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45 % e institucioneve të vuajtjes së dënimit</w:t>
            </w:r>
          </w:p>
        </w:tc>
        <w:tc>
          <w:tcPr>
            <w:tcW w:w="236" w:type="dxa"/>
            <w:gridSpan w:val="2"/>
            <w:tcBorders>
              <w:top w:val="nil"/>
              <w:left w:val="nil"/>
              <w:bottom w:val="nil"/>
              <w:right w:val="single" w:sz="4" w:space="0" w:color="000000" w:themeColor="text1"/>
            </w:tcBorders>
            <w:hideMark/>
          </w:tcPr>
          <w:p w14:paraId="325936C0" w14:textId="77777777" w:rsidR="007D728E" w:rsidRPr="00CB13F7" w:rsidRDefault="007D728E" w:rsidP="00830E31">
            <w:pPr>
              <w:ind w:left="-920" w:firstLine="920"/>
              <w:rPr>
                <w:rFonts w:eastAsia="Times New Roman"/>
                <w:color w:val="000000"/>
                <w:sz w:val="16"/>
                <w:szCs w:val="16"/>
                <w:lang w:eastAsia="en-US"/>
              </w:rPr>
            </w:pPr>
            <w:r w:rsidRPr="00CB13F7">
              <w:rPr>
                <w:rFonts w:eastAsia="Times New Roman"/>
                <w:color w:val="000000"/>
                <w:sz w:val="16"/>
                <w:szCs w:val="16"/>
                <w:lang w:eastAsia="en-US"/>
              </w:rPr>
              <w:t> </w:t>
            </w:r>
          </w:p>
        </w:tc>
        <w:tc>
          <w:tcPr>
            <w:tcW w:w="958" w:type="dxa"/>
            <w:tcBorders>
              <w:top w:val="nil"/>
              <w:left w:val="nil"/>
              <w:bottom w:val="nil"/>
              <w:right w:val="nil"/>
            </w:tcBorders>
            <w:hideMark/>
          </w:tcPr>
          <w:p w14:paraId="2396335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Drejtoria e Përgjithshme e Burgjeve; </w:t>
            </w:r>
            <w:r w:rsidRPr="00CB13F7">
              <w:rPr>
                <w:rFonts w:eastAsia="Times New Roman"/>
                <w:sz w:val="16"/>
                <w:szCs w:val="16"/>
                <w:lang w:eastAsia="en-US"/>
              </w:rPr>
              <w:br/>
              <w:t>Ministria e Drejtësisë;</w:t>
            </w:r>
          </w:p>
        </w:tc>
        <w:tc>
          <w:tcPr>
            <w:tcW w:w="2560" w:type="dxa"/>
            <w:tcBorders>
              <w:top w:val="nil"/>
              <w:left w:val="single" w:sz="4" w:space="0" w:color="000000" w:themeColor="text1"/>
              <w:bottom w:val="single" w:sz="4" w:space="0" w:color="000000" w:themeColor="text1"/>
              <w:right w:val="single" w:sz="4" w:space="0" w:color="000000" w:themeColor="text1"/>
            </w:tcBorders>
            <w:hideMark/>
          </w:tcPr>
          <w:p w14:paraId="543BCD3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3155BAB6" w14:textId="77777777" w:rsidTr="661F9D2E">
        <w:trPr>
          <w:trHeight w:val="1545"/>
        </w:trPr>
        <w:tc>
          <w:tcPr>
            <w:tcW w:w="1020" w:type="dxa"/>
            <w:vMerge w:val="restart"/>
            <w:tcBorders>
              <w:top w:val="nil"/>
              <w:left w:val="single" w:sz="4" w:space="0" w:color="auto"/>
              <w:bottom w:val="single" w:sz="4" w:space="0" w:color="000000" w:themeColor="text1"/>
              <w:right w:val="single" w:sz="4" w:space="0" w:color="auto"/>
            </w:tcBorders>
            <w:hideMark/>
          </w:tcPr>
          <w:p w14:paraId="7BD87BC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40" w:type="dxa"/>
            <w:gridSpan w:val="2"/>
            <w:vMerge w:val="restart"/>
            <w:tcBorders>
              <w:top w:val="nil"/>
              <w:left w:val="nil"/>
              <w:bottom w:val="single" w:sz="4" w:space="0" w:color="000000" w:themeColor="text1"/>
              <w:right w:val="single" w:sz="4" w:space="0" w:color="000000" w:themeColor="text1"/>
            </w:tcBorders>
            <w:hideMark/>
          </w:tcPr>
          <w:p w14:paraId="3B11166C" w14:textId="77777777" w:rsidR="007D728E" w:rsidRPr="00CB13F7" w:rsidRDefault="00234FBC" w:rsidP="007D728E">
            <w:pPr>
              <w:rPr>
                <w:rFonts w:eastAsia="Times New Roman"/>
                <w:color w:val="000000"/>
                <w:sz w:val="16"/>
                <w:szCs w:val="16"/>
                <w:lang w:eastAsia="en-US"/>
              </w:rPr>
            </w:pPr>
            <w:r w:rsidRPr="00CB13F7">
              <w:rPr>
                <w:rFonts w:eastAsia="Times New Roman"/>
                <w:color w:val="000000"/>
                <w:sz w:val="16"/>
                <w:szCs w:val="16"/>
                <w:lang w:eastAsia="en-US"/>
              </w:rPr>
              <w:t>3.2. Fuqizimi</w:t>
            </w:r>
            <w:r w:rsidR="007D728E" w:rsidRPr="00CB13F7">
              <w:rPr>
                <w:rFonts w:eastAsia="Times New Roman"/>
                <w:color w:val="000000"/>
                <w:sz w:val="16"/>
                <w:szCs w:val="16"/>
                <w:lang w:eastAsia="en-US"/>
              </w:rPr>
              <w:t xml:space="preserve"> i kapaciteteve në institucionet e paraburgimit dhe ato të vuajtjes së dënimit, duke mundësuar mbështetjen bazuar në nevojat e personave me aftësi të kufizuara. </w:t>
            </w:r>
          </w:p>
        </w:tc>
        <w:tc>
          <w:tcPr>
            <w:tcW w:w="2493" w:type="dxa"/>
            <w:gridSpan w:val="2"/>
            <w:tcBorders>
              <w:top w:val="nil"/>
              <w:left w:val="nil"/>
              <w:bottom w:val="nil"/>
              <w:right w:val="nil"/>
            </w:tcBorders>
            <w:hideMark/>
          </w:tcPr>
          <w:p w14:paraId="19960F9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Procedura dhe protokolle për identifikimin, vlerësimin dhe planin individual të mbështetjes për personat me aftësi të kufizuara të miratuara dhe të zbatuara në institucionet e paraburgimit dhe vuajtjes së dënimit.</w:t>
            </w:r>
          </w:p>
        </w:tc>
        <w:tc>
          <w:tcPr>
            <w:tcW w:w="819" w:type="dxa"/>
            <w:tcBorders>
              <w:top w:val="nil"/>
              <w:left w:val="nil"/>
              <w:bottom w:val="nil"/>
              <w:right w:val="single" w:sz="4" w:space="0" w:color="000000" w:themeColor="text1"/>
            </w:tcBorders>
            <w:hideMark/>
          </w:tcPr>
          <w:p w14:paraId="2CE1E6D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18" w:type="dxa"/>
            <w:tcBorders>
              <w:top w:val="nil"/>
              <w:left w:val="nil"/>
              <w:bottom w:val="nil"/>
              <w:right w:val="single" w:sz="4" w:space="0" w:color="000000" w:themeColor="text1"/>
            </w:tcBorders>
            <w:hideMark/>
          </w:tcPr>
          <w:p w14:paraId="7161495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30 % e institucioneve </w:t>
            </w:r>
          </w:p>
        </w:tc>
        <w:tc>
          <w:tcPr>
            <w:tcW w:w="1417" w:type="dxa"/>
            <w:gridSpan w:val="2"/>
            <w:tcBorders>
              <w:top w:val="nil"/>
              <w:left w:val="nil"/>
              <w:bottom w:val="nil"/>
              <w:right w:val="single" w:sz="4" w:space="0" w:color="000000" w:themeColor="text1"/>
            </w:tcBorders>
            <w:hideMark/>
          </w:tcPr>
          <w:p w14:paraId="3C46EE1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60% e institucioneve</w:t>
            </w:r>
          </w:p>
        </w:tc>
        <w:tc>
          <w:tcPr>
            <w:tcW w:w="1060" w:type="dxa"/>
            <w:gridSpan w:val="2"/>
            <w:tcBorders>
              <w:top w:val="nil"/>
              <w:left w:val="nil"/>
              <w:bottom w:val="nil"/>
              <w:right w:val="nil"/>
            </w:tcBorders>
            <w:hideMark/>
          </w:tcPr>
          <w:p w14:paraId="0828A24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Drejtoria e Përgjithshme e Burgjeve; </w:t>
            </w:r>
            <w:r w:rsidRPr="00CB13F7">
              <w:rPr>
                <w:rFonts w:eastAsia="Times New Roman"/>
                <w:sz w:val="16"/>
                <w:szCs w:val="16"/>
                <w:lang w:eastAsia="en-US"/>
              </w:rPr>
              <w:br/>
              <w:t>Ministria e Drejtësisë;</w:t>
            </w:r>
          </w:p>
        </w:tc>
        <w:tc>
          <w:tcPr>
            <w:tcW w:w="2560" w:type="dxa"/>
            <w:vMerge w:val="restart"/>
            <w:tcBorders>
              <w:top w:val="nil"/>
              <w:left w:val="single" w:sz="4" w:space="0" w:color="000000" w:themeColor="text1"/>
              <w:bottom w:val="single" w:sz="4" w:space="0" w:color="000000" w:themeColor="text1"/>
              <w:right w:val="single" w:sz="4" w:space="0" w:color="000000" w:themeColor="text1"/>
            </w:tcBorders>
            <w:hideMark/>
          </w:tcPr>
          <w:p w14:paraId="19E640EE" w14:textId="77777777" w:rsidR="007D728E" w:rsidRPr="00CB13F7" w:rsidRDefault="007D728E" w:rsidP="007D728E">
            <w:pPr>
              <w:rPr>
                <w:rFonts w:eastAsia="Times New Roman"/>
                <w:color w:val="000000"/>
                <w:sz w:val="16"/>
                <w:szCs w:val="16"/>
                <w:lang w:eastAsia="en-US"/>
              </w:rPr>
            </w:pPr>
          </w:p>
        </w:tc>
      </w:tr>
      <w:tr w:rsidR="007D728E" w:rsidRPr="00CB13F7" w14:paraId="79CDD28F" w14:textId="77777777" w:rsidTr="661F9D2E">
        <w:trPr>
          <w:trHeight w:val="1035"/>
        </w:trPr>
        <w:tc>
          <w:tcPr>
            <w:tcW w:w="1020" w:type="dxa"/>
            <w:vMerge/>
            <w:hideMark/>
          </w:tcPr>
          <w:p w14:paraId="40E8A033" w14:textId="77777777" w:rsidR="007D728E" w:rsidRPr="00CB13F7" w:rsidRDefault="007D728E" w:rsidP="007D728E">
            <w:pPr>
              <w:rPr>
                <w:rFonts w:eastAsia="Times New Roman"/>
                <w:color w:val="000000"/>
                <w:sz w:val="16"/>
                <w:szCs w:val="16"/>
                <w:lang w:eastAsia="en-US"/>
              </w:rPr>
            </w:pPr>
          </w:p>
        </w:tc>
        <w:tc>
          <w:tcPr>
            <w:tcW w:w="2140" w:type="dxa"/>
            <w:gridSpan w:val="2"/>
            <w:vMerge/>
            <w:hideMark/>
          </w:tcPr>
          <w:p w14:paraId="37569454" w14:textId="77777777" w:rsidR="007D728E" w:rsidRPr="00CB13F7" w:rsidRDefault="007D728E" w:rsidP="007D728E">
            <w:pPr>
              <w:rPr>
                <w:rFonts w:eastAsia="Times New Roman"/>
                <w:color w:val="000000"/>
                <w:sz w:val="16"/>
                <w:szCs w:val="16"/>
                <w:lang w:eastAsia="en-US"/>
              </w:rPr>
            </w:pPr>
          </w:p>
        </w:tc>
        <w:tc>
          <w:tcPr>
            <w:tcW w:w="2493" w:type="dxa"/>
            <w:gridSpan w:val="2"/>
            <w:tcBorders>
              <w:top w:val="nil"/>
              <w:left w:val="nil"/>
              <w:bottom w:val="single" w:sz="4" w:space="0" w:color="000000" w:themeColor="text1"/>
              <w:right w:val="nil"/>
            </w:tcBorders>
            <w:hideMark/>
          </w:tcPr>
          <w:p w14:paraId="0F851F2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Punonjës të institucioneve të paraburgimit dhe vuajtjes së dënimit të trajnuar për trajtimin dhe mbështetjen e personave me aftësi të kufizuara.</w:t>
            </w:r>
          </w:p>
        </w:tc>
        <w:tc>
          <w:tcPr>
            <w:tcW w:w="819" w:type="dxa"/>
            <w:tcBorders>
              <w:top w:val="nil"/>
              <w:left w:val="nil"/>
              <w:bottom w:val="single" w:sz="4" w:space="0" w:color="000000" w:themeColor="text1"/>
              <w:right w:val="single" w:sz="4" w:space="0" w:color="000000" w:themeColor="text1"/>
            </w:tcBorders>
            <w:hideMark/>
          </w:tcPr>
          <w:p w14:paraId="0108DD5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1418" w:type="dxa"/>
            <w:tcBorders>
              <w:top w:val="nil"/>
              <w:left w:val="nil"/>
              <w:bottom w:val="single" w:sz="4" w:space="0" w:color="000000" w:themeColor="text1"/>
              <w:right w:val="single" w:sz="4" w:space="0" w:color="000000" w:themeColor="text1"/>
            </w:tcBorders>
            <w:hideMark/>
          </w:tcPr>
          <w:p w14:paraId="4C1FC84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 e stafit të trajnuar</w:t>
            </w:r>
          </w:p>
        </w:tc>
        <w:tc>
          <w:tcPr>
            <w:tcW w:w="1417" w:type="dxa"/>
            <w:gridSpan w:val="2"/>
            <w:tcBorders>
              <w:top w:val="nil"/>
              <w:left w:val="nil"/>
              <w:bottom w:val="single" w:sz="4" w:space="0" w:color="000000" w:themeColor="text1"/>
              <w:right w:val="single" w:sz="4" w:space="0" w:color="000000" w:themeColor="text1"/>
            </w:tcBorders>
            <w:hideMark/>
          </w:tcPr>
          <w:p w14:paraId="7A52AFF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55% e stafit të trajnuar</w:t>
            </w:r>
          </w:p>
        </w:tc>
        <w:tc>
          <w:tcPr>
            <w:tcW w:w="1060" w:type="dxa"/>
            <w:gridSpan w:val="2"/>
            <w:tcBorders>
              <w:top w:val="nil"/>
              <w:left w:val="nil"/>
              <w:bottom w:val="single" w:sz="4" w:space="0" w:color="000000" w:themeColor="text1"/>
              <w:right w:val="nil"/>
            </w:tcBorders>
            <w:hideMark/>
          </w:tcPr>
          <w:p w14:paraId="5136A00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Drejtoria e Përgjithshme e Burgjeve;</w:t>
            </w:r>
          </w:p>
        </w:tc>
        <w:tc>
          <w:tcPr>
            <w:tcW w:w="2560" w:type="dxa"/>
            <w:vMerge/>
            <w:hideMark/>
          </w:tcPr>
          <w:p w14:paraId="37A61704" w14:textId="77777777" w:rsidR="007D728E" w:rsidRPr="00CB13F7" w:rsidRDefault="007D728E" w:rsidP="007D728E">
            <w:pPr>
              <w:rPr>
                <w:rFonts w:eastAsia="Times New Roman"/>
                <w:color w:val="000000"/>
                <w:sz w:val="16"/>
                <w:szCs w:val="16"/>
                <w:lang w:eastAsia="en-US"/>
              </w:rPr>
            </w:pPr>
          </w:p>
        </w:tc>
      </w:tr>
      <w:tr w:rsidR="00830E31" w:rsidRPr="00CB13F7" w14:paraId="5E901A45" w14:textId="77777777" w:rsidTr="661F9D2E">
        <w:trPr>
          <w:trHeight w:val="240"/>
        </w:trPr>
        <w:tc>
          <w:tcPr>
            <w:tcW w:w="1020" w:type="dxa"/>
            <w:tcBorders>
              <w:top w:val="nil"/>
              <w:left w:val="nil"/>
              <w:bottom w:val="nil"/>
              <w:right w:val="nil"/>
            </w:tcBorders>
            <w:noWrap/>
            <w:hideMark/>
          </w:tcPr>
          <w:p w14:paraId="6813BD8B" w14:textId="77777777" w:rsidR="007D728E" w:rsidRPr="00CB13F7" w:rsidRDefault="007D728E" w:rsidP="007D728E">
            <w:pPr>
              <w:rPr>
                <w:rFonts w:eastAsia="Times New Roman"/>
                <w:color w:val="000000"/>
                <w:sz w:val="16"/>
                <w:szCs w:val="16"/>
                <w:lang w:eastAsia="en-US"/>
              </w:rPr>
            </w:pPr>
          </w:p>
        </w:tc>
        <w:tc>
          <w:tcPr>
            <w:tcW w:w="1071" w:type="dxa"/>
            <w:tcBorders>
              <w:top w:val="nil"/>
              <w:left w:val="nil"/>
              <w:bottom w:val="nil"/>
              <w:right w:val="nil"/>
            </w:tcBorders>
            <w:noWrap/>
            <w:hideMark/>
          </w:tcPr>
          <w:p w14:paraId="585B789A" w14:textId="77777777" w:rsidR="007D728E" w:rsidRPr="00CB13F7" w:rsidRDefault="007D728E" w:rsidP="007D728E">
            <w:pPr>
              <w:rPr>
                <w:rFonts w:eastAsia="Times New Roman"/>
                <w:color w:val="000000"/>
                <w:sz w:val="16"/>
                <w:szCs w:val="16"/>
                <w:lang w:eastAsia="en-US"/>
              </w:rPr>
            </w:pPr>
          </w:p>
        </w:tc>
        <w:tc>
          <w:tcPr>
            <w:tcW w:w="1069" w:type="dxa"/>
            <w:tcBorders>
              <w:top w:val="nil"/>
              <w:left w:val="nil"/>
              <w:bottom w:val="nil"/>
              <w:right w:val="nil"/>
            </w:tcBorders>
            <w:noWrap/>
            <w:hideMark/>
          </w:tcPr>
          <w:p w14:paraId="482E967E" w14:textId="77777777" w:rsidR="007D728E" w:rsidRPr="00CB13F7" w:rsidRDefault="007D728E" w:rsidP="007D728E">
            <w:pPr>
              <w:rPr>
                <w:rFonts w:eastAsia="Times New Roman"/>
                <w:color w:val="000000"/>
                <w:sz w:val="16"/>
                <w:szCs w:val="16"/>
                <w:lang w:eastAsia="en-US"/>
              </w:rPr>
            </w:pPr>
          </w:p>
        </w:tc>
        <w:tc>
          <w:tcPr>
            <w:tcW w:w="1248" w:type="dxa"/>
            <w:tcBorders>
              <w:top w:val="nil"/>
              <w:left w:val="nil"/>
              <w:bottom w:val="nil"/>
              <w:right w:val="nil"/>
            </w:tcBorders>
            <w:noWrap/>
            <w:hideMark/>
          </w:tcPr>
          <w:p w14:paraId="3E5044DA" w14:textId="77777777" w:rsidR="007D728E" w:rsidRPr="00CB13F7" w:rsidRDefault="007D728E" w:rsidP="007D728E">
            <w:pPr>
              <w:rPr>
                <w:rFonts w:eastAsia="Times New Roman"/>
                <w:color w:val="000000"/>
                <w:sz w:val="16"/>
                <w:szCs w:val="16"/>
                <w:lang w:eastAsia="en-US"/>
              </w:rPr>
            </w:pPr>
          </w:p>
        </w:tc>
        <w:tc>
          <w:tcPr>
            <w:tcW w:w="1245" w:type="dxa"/>
            <w:tcBorders>
              <w:top w:val="nil"/>
              <w:left w:val="nil"/>
              <w:bottom w:val="nil"/>
              <w:right w:val="nil"/>
            </w:tcBorders>
            <w:noWrap/>
            <w:hideMark/>
          </w:tcPr>
          <w:p w14:paraId="286E3A4F" w14:textId="77777777" w:rsidR="007D728E" w:rsidRPr="00CB13F7" w:rsidRDefault="007D728E" w:rsidP="007D728E">
            <w:pPr>
              <w:rPr>
                <w:rFonts w:eastAsia="Times New Roman"/>
                <w:color w:val="000000"/>
                <w:sz w:val="16"/>
                <w:szCs w:val="16"/>
                <w:lang w:eastAsia="en-US"/>
              </w:rPr>
            </w:pPr>
          </w:p>
        </w:tc>
        <w:tc>
          <w:tcPr>
            <w:tcW w:w="819" w:type="dxa"/>
            <w:tcBorders>
              <w:top w:val="nil"/>
              <w:left w:val="nil"/>
              <w:bottom w:val="nil"/>
              <w:right w:val="nil"/>
            </w:tcBorders>
            <w:noWrap/>
            <w:hideMark/>
          </w:tcPr>
          <w:p w14:paraId="27BFBDBF" w14:textId="77777777" w:rsidR="007D728E" w:rsidRPr="00CB13F7" w:rsidRDefault="007D728E" w:rsidP="007D728E">
            <w:pPr>
              <w:rPr>
                <w:rFonts w:eastAsia="Times New Roman"/>
                <w:color w:val="000000"/>
                <w:sz w:val="16"/>
                <w:szCs w:val="16"/>
                <w:lang w:eastAsia="en-US"/>
              </w:rPr>
            </w:pPr>
          </w:p>
        </w:tc>
        <w:tc>
          <w:tcPr>
            <w:tcW w:w="1418" w:type="dxa"/>
            <w:tcBorders>
              <w:top w:val="nil"/>
              <w:left w:val="nil"/>
              <w:bottom w:val="nil"/>
              <w:right w:val="nil"/>
            </w:tcBorders>
            <w:noWrap/>
            <w:hideMark/>
          </w:tcPr>
          <w:p w14:paraId="01DF0216" w14:textId="77777777" w:rsidR="007D728E" w:rsidRPr="00CB13F7" w:rsidRDefault="007D728E" w:rsidP="007D728E">
            <w:pPr>
              <w:rPr>
                <w:rFonts w:eastAsia="Times New Roman"/>
                <w:color w:val="000000"/>
                <w:sz w:val="16"/>
                <w:szCs w:val="16"/>
                <w:lang w:eastAsia="en-US"/>
              </w:rPr>
            </w:pPr>
          </w:p>
        </w:tc>
        <w:tc>
          <w:tcPr>
            <w:tcW w:w="1282" w:type="dxa"/>
            <w:tcBorders>
              <w:top w:val="nil"/>
              <w:left w:val="nil"/>
              <w:bottom w:val="nil"/>
              <w:right w:val="nil"/>
            </w:tcBorders>
            <w:noWrap/>
            <w:hideMark/>
          </w:tcPr>
          <w:p w14:paraId="635FB439" w14:textId="77777777" w:rsidR="007D728E" w:rsidRPr="00CB13F7" w:rsidRDefault="007D728E" w:rsidP="007D728E">
            <w:pPr>
              <w:rPr>
                <w:rFonts w:eastAsia="Times New Roman"/>
                <w:color w:val="000000"/>
                <w:sz w:val="16"/>
                <w:szCs w:val="16"/>
                <w:lang w:eastAsia="en-US"/>
              </w:rPr>
            </w:pPr>
          </w:p>
        </w:tc>
        <w:tc>
          <w:tcPr>
            <w:tcW w:w="236" w:type="dxa"/>
            <w:gridSpan w:val="2"/>
            <w:tcBorders>
              <w:top w:val="nil"/>
              <w:left w:val="nil"/>
              <w:bottom w:val="nil"/>
              <w:right w:val="nil"/>
            </w:tcBorders>
            <w:noWrap/>
            <w:hideMark/>
          </w:tcPr>
          <w:p w14:paraId="6991CB52" w14:textId="77777777" w:rsidR="007D728E" w:rsidRPr="00CB13F7" w:rsidRDefault="007D728E" w:rsidP="007D728E">
            <w:pPr>
              <w:rPr>
                <w:rFonts w:eastAsia="Times New Roman"/>
                <w:color w:val="000000"/>
                <w:sz w:val="16"/>
                <w:szCs w:val="16"/>
                <w:lang w:eastAsia="en-US"/>
              </w:rPr>
            </w:pPr>
          </w:p>
        </w:tc>
        <w:tc>
          <w:tcPr>
            <w:tcW w:w="958" w:type="dxa"/>
            <w:tcBorders>
              <w:top w:val="nil"/>
              <w:left w:val="nil"/>
              <w:bottom w:val="nil"/>
              <w:right w:val="nil"/>
            </w:tcBorders>
            <w:noWrap/>
            <w:hideMark/>
          </w:tcPr>
          <w:p w14:paraId="1931E6C0" w14:textId="77777777" w:rsidR="007D728E" w:rsidRPr="00CB13F7" w:rsidRDefault="007D728E" w:rsidP="007D728E">
            <w:pPr>
              <w:rPr>
                <w:rFonts w:eastAsia="Times New Roman"/>
                <w:color w:val="000000"/>
                <w:sz w:val="16"/>
                <w:szCs w:val="16"/>
                <w:lang w:eastAsia="en-US"/>
              </w:rPr>
            </w:pPr>
          </w:p>
        </w:tc>
        <w:tc>
          <w:tcPr>
            <w:tcW w:w="2560" w:type="dxa"/>
            <w:tcBorders>
              <w:top w:val="nil"/>
              <w:left w:val="nil"/>
              <w:bottom w:val="nil"/>
              <w:right w:val="nil"/>
            </w:tcBorders>
            <w:noWrap/>
            <w:hideMark/>
          </w:tcPr>
          <w:p w14:paraId="2A6E250D" w14:textId="77777777" w:rsidR="007D728E" w:rsidRPr="00CB13F7" w:rsidRDefault="007D728E" w:rsidP="007D728E">
            <w:pPr>
              <w:rPr>
                <w:rFonts w:eastAsia="Times New Roman"/>
                <w:color w:val="000000"/>
                <w:sz w:val="16"/>
                <w:szCs w:val="16"/>
                <w:lang w:eastAsia="en-US"/>
              </w:rPr>
            </w:pPr>
          </w:p>
        </w:tc>
      </w:tr>
    </w:tbl>
    <w:p w14:paraId="594CABE5" w14:textId="77777777" w:rsidR="007D728E" w:rsidRPr="00CB13F7" w:rsidRDefault="007D728E" w:rsidP="007D728E">
      <w:pPr>
        <w:rPr>
          <w:rFonts w:ascii="Cambria" w:eastAsia="MS Mincho" w:hAnsi="Cambria"/>
          <w:lang w:eastAsia="en-US"/>
        </w:rPr>
      </w:pPr>
    </w:p>
    <w:p w14:paraId="6D6B606E" w14:textId="47044B8C" w:rsidR="007D728E" w:rsidRPr="00CB13F7" w:rsidRDefault="007D728E" w:rsidP="007D728E">
      <w:pPr>
        <w:rPr>
          <w:rFonts w:eastAsia="Times New Roman"/>
          <w:lang w:eastAsia="en-US"/>
        </w:rPr>
      </w:pPr>
      <w:r w:rsidRPr="00CB13F7">
        <w:rPr>
          <w:rFonts w:eastAsia="Times New Roman"/>
          <w:b/>
          <w:bCs/>
          <w:lang w:eastAsia="en-US"/>
        </w:rPr>
        <w:lastRenderedPageBreak/>
        <w:t>6.3</w:t>
      </w:r>
      <w:r w:rsidR="00736097" w:rsidRPr="00CB13F7">
        <w:rPr>
          <w:rFonts w:eastAsia="Times New Roman"/>
          <w:b/>
          <w:bCs/>
          <w:lang w:eastAsia="en-US"/>
        </w:rPr>
        <w:t xml:space="preserve">  </w:t>
      </w:r>
      <w:r w:rsidRPr="00CB13F7">
        <w:rPr>
          <w:rFonts w:eastAsia="Times New Roman"/>
          <w:b/>
          <w:bCs/>
          <w:lang w:eastAsia="en-US"/>
        </w:rPr>
        <w:t>Punësimi dhe Aftësimi</w:t>
      </w:r>
    </w:p>
    <w:p w14:paraId="4B5F5FE9" w14:textId="77777777" w:rsidR="007D728E" w:rsidRPr="00CB13F7" w:rsidRDefault="007D728E" w:rsidP="007D728E">
      <w:pPr>
        <w:rPr>
          <w:rFonts w:ascii="Cambria" w:eastAsia="MS Mincho" w:hAnsi="Cambria"/>
          <w:lang w:eastAsia="en-US"/>
        </w:rPr>
      </w:pPr>
    </w:p>
    <w:tbl>
      <w:tblPr>
        <w:tblW w:w="16150" w:type="dxa"/>
        <w:tblLayout w:type="fixed"/>
        <w:tblLook w:val="04A0" w:firstRow="1" w:lastRow="0" w:firstColumn="1" w:lastColumn="0" w:noHBand="0" w:noVBand="1"/>
      </w:tblPr>
      <w:tblGrid>
        <w:gridCol w:w="895"/>
        <w:gridCol w:w="2125"/>
        <w:gridCol w:w="2268"/>
        <w:gridCol w:w="1160"/>
        <w:gridCol w:w="539"/>
        <w:gridCol w:w="236"/>
        <w:gridCol w:w="643"/>
        <w:gridCol w:w="1417"/>
        <w:gridCol w:w="1985"/>
        <w:gridCol w:w="2382"/>
        <w:gridCol w:w="236"/>
        <w:gridCol w:w="236"/>
        <w:gridCol w:w="236"/>
        <w:gridCol w:w="236"/>
        <w:gridCol w:w="236"/>
        <w:gridCol w:w="1320"/>
      </w:tblGrid>
      <w:tr w:rsidR="00830E31" w:rsidRPr="00CB13F7" w14:paraId="23001AC1" w14:textId="77777777" w:rsidTr="661F9D2E">
        <w:trPr>
          <w:gridAfter w:val="6"/>
          <w:wAfter w:w="2500" w:type="dxa"/>
          <w:trHeight w:val="327"/>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vAlign w:val="center"/>
            <w:hideMark/>
          </w:tcPr>
          <w:p w14:paraId="24EF428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5"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09D87A42"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Objektivat</w:t>
            </w:r>
          </w:p>
        </w:tc>
        <w:tc>
          <w:tcPr>
            <w:tcW w:w="2268" w:type="dxa"/>
            <w:tcBorders>
              <w:top w:val="single" w:sz="4" w:space="0" w:color="000000" w:themeColor="text1"/>
              <w:left w:val="nil"/>
              <w:bottom w:val="single" w:sz="4" w:space="0" w:color="000000" w:themeColor="text1"/>
              <w:right w:val="nil"/>
            </w:tcBorders>
            <w:shd w:val="clear" w:color="auto" w:fill="C0E5F3"/>
            <w:hideMark/>
          </w:tcPr>
          <w:p w14:paraId="50D6EC73"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Treguesi</w:t>
            </w:r>
          </w:p>
        </w:tc>
        <w:tc>
          <w:tcPr>
            <w:tcW w:w="1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6039D3A3"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Vlera bazë</w:t>
            </w:r>
          </w:p>
        </w:tc>
        <w:tc>
          <w:tcPr>
            <w:tcW w:w="1418" w:type="dxa"/>
            <w:gridSpan w:val="3"/>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25790895"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2028</w:t>
            </w:r>
          </w:p>
        </w:tc>
        <w:tc>
          <w:tcPr>
            <w:tcW w:w="1417" w:type="dxa"/>
            <w:tcBorders>
              <w:top w:val="single" w:sz="4" w:space="0" w:color="000000" w:themeColor="text1"/>
              <w:left w:val="nil"/>
              <w:bottom w:val="single" w:sz="4" w:space="0" w:color="000000" w:themeColor="text1"/>
              <w:right w:val="nil"/>
            </w:tcBorders>
            <w:shd w:val="clear" w:color="auto" w:fill="C0E5F3"/>
            <w:hideMark/>
          </w:tcPr>
          <w:p w14:paraId="2F4AF2F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 xml:space="preserve">Synimi 2030 </w:t>
            </w:r>
          </w:p>
        </w:tc>
        <w:tc>
          <w:tcPr>
            <w:tcW w:w="1985" w:type="dxa"/>
            <w:tcBorders>
              <w:top w:val="single" w:sz="4" w:space="0" w:color="000000" w:themeColor="text1"/>
              <w:left w:val="single" w:sz="4" w:space="0" w:color="000000" w:themeColor="text1"/>
              <w:bottom w:val="single" w:sz="4" w:space="0" w:color="000000" w:themeColor="text1"/>
              <w:right w:val="nil"/>
            </w:tcBorders>
            <w:shd w:val="clear" w:color="auto" w:fill="C0E5F3"/>
            <w:hideMark/>
          </w:tcPr>
          <w:p w14:paraId="69583929" w14:textId="77777777" w:rsidR="007D728E" w:rsidRPr="00CB13F7" w:rsidRDefault="007D728E" w:rsidP="007D728E">
            <w:pPr>
              <w:ind w:right="6532"/>
              <w:rPr>
                <w:rFonts w:eastAsia="Times New Roman"/>
                <w:b/>
                <w:bCs/>
                <w:sz w:val="16"/>
                <w:szCs w:val="16"/>
                <w:lang w:eastAsia="en-US"/>
              </w:rPr>
            </w:pP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7895B9A6"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830E31" w:rsidRPr="00CB13F7" w14:paraId="5B2CA610" w14:textId="77777777" w:rsidTr="661F9D2E">
        <w:trPr>
          <w:gridAfter w:val="6"/>
          <w:wAfter w:w="2500" w:type="dxa"/>
          <w:trHeight w:val="3960"/>
        </w:trPr>
        <w:tc>
          <w:tcPr>
            <w:tcW w:w="895" w:type="dxa"/>
            <w:vMerge w:val="restart"/>
            <w:tcBorders>
              <w:top w:val="nil"/>
              <w:left w:val="single" w:sz="4" w:space="0" w:color="000000" w:themeColor="text1"/>
              <w:bottom w:val="nil"/>
              <w:right w:val="single" w:sz="4" w:space="0" w:color="000000" w:themeColor="text1"/>
            </w:tcBorders>
            <w:shd w:val="clear" w:color="auto" w:fill="D8F1D0"/>
            <w:vAlign w:val="center"/>
            <w:hideMark/>
          </w:tcPr>
          <w:p w14:paraId="560F24EB"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Qëllimi i politikës (Ndikimi)</w:t>
            </w:r>
          </w:p>
        </w:tc>
        <w:tc>
          <w:tcPr>
            <w:tcW w:w="212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D8F1D0"/>
            <w:hideMark/>
          </w:tcPr>
          <w:p w14:paraId="1E083E2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Qëllimi i politikës: Përfshirja e personave me aftësi të kufizuara në baza të barabarta me të tjerët, në një treg dhe mjedis pune të hapur, gjithëpërfshirës dhe të aksesueshëm. </w:t>
            </w:r>
          </w:p>
        </w:tc>
        <w:tc>
          <w:tcPr>
            <w:tcW w:w="2268" w:type="dxa"/>
            <w:vMerge w:val="restart"/>
            <w:tcBorders>
              <w:top w:val="single" w:sz="4" w:space="0" w:color="000000" w:themeColor="text1"/>
              <w:left w:val="nil"/>
              <w:bottom w:val="nil"/>
              <w:right w:val="nil"/>
            </w:tcBorders>
            <w:shd w:val="clear" w:color="auto" w:fill="D8F1D0"/>
            <w:hideMark/>
          </w:tcPr>
          <w:p w14:paraId="3D458F3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Shkalla e punësimit të personave me aftësi të kufizuara (%) sipas gjinisë krahasuar me shkallën kombëtare të punësimit.</w:t>
            </w:r>
            <w:r w:rsidRPr="00CB13F7">
              <w:rPr>
                <w:rFonts w:eastAsia="Times New Roman"/>
                <w:color w:val="000000"/>
                <w:sz w:val="16"/>
                <w:szCs w:val="16"/>
                <w:lang w:eastAsia="en-US"/>
              </w:rPr>
              <w:br/>
            </w:r>
            <w:r w:rsidRPr="00CB13F7">
              <w:rPr>
                <w:rFonts w:eastAsia="Times New Roman"/>
                <w:color w:val="000000"/>
                <w:sz w:val="16"/>
                <w:szCs w:val="16"/>
                <w:lang w:eastAsia="en-US"/>
              </w:rPr>
              <w:br/>
              <w:t>Ulja e hendekut të punësimit (%) midis personave me aftësi të kufizuara dhe popullsisë së përgjithshme.</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Shkalla e papunësisë te personat me aftësi të kufizuara sipas gjinisë dhe llojit të aftësisë së kufizuar. </w:t>
            </w:r>
            <w:r w:rsidRPr="00CB13F7">
              <w:rPr>
                <w:rFonts w:eastAsia="Times New Roman"/>
                <w:color w:val="000000"/>
                <w:sz w:val="16"/>
                <w:szCs w:val="16"/>
                <w:lang w:eastAsia="en-US"/>
              </w:rPr>
              <w:br/>
              <w:t xml:space="preserve"> </w:t>
            </w:r>
            <w:r w:rsidRPr="00CB13F7">
              <w:rPr>
                <w:rFonts w:eastAsia="Times New Roman"/>
                <w:color w:val="000000"/>
                <w:sz w:val="16"/>
                <w:szCs w:val="16"/>
                <w:lang w:eastAsia="en-US"/>
              </w:rPr>
              <w:br/>
              <w:t xml:space="preserve">Niveli i përmbushjes së kuotave. </w:t>
            </w:r>
            <w:r w:rsidRPr="00CB13F7">
              <w:rPr>
                <w:rFonts w:eastAsia="Times New Roman"/>
                <w:color w:val="000000"/>
                <w:sz w:val="16"/>
                <w:szCs w:val="16"/>
                <w:lang w:eastAsia="en-US"/>
              </w:rPr>
              <w:br/>
              <w:t xml:space="preserve"> </w:t>
            </w:r>
            <w:r w:rsidRPr="00CB13F7">
              <w:rPr>
                <w:rFonts w:eastAsia="Times New Roman"/>
                <w:color w:val="000000"/>
                <w:sz w:val="16"/>
                <w:szCs w:val="16"/>
                <w:lang w:eastAsia="en-US"/>
              </w:rPr>
              <w:br/>
              <w:t xml:space="preserve">Përqindja e personave me aftësi të kufizuara që mbeten të punësuar për më shumë se 12 muaj.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Qasja në avancim në karrierë dhe trajnime/arsim profesional </w:t>
            </w:r>
          </w:p>
        </w:tc>
        <w:tc>
          <w:tcPr>
            <w:tcW w:w="1160"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8F1D0"/>
            <w:hideMark/>
          </w:tcPr>
          <w:p w14:paraId="30945FDD" w14:textId="0AD31FB1"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10</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13 pp (pikë përqindje)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t>N/A</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1%</w:t>
            </w:r>
          </w:p>
        </w:tc>
        <w:tc>
          <w:tcPr>
            <w:tcW w:w="1418" w:type="dxa"/>
            <w:gridSpan w:val="3"/>
            <w:vMerge w:val="restart"/>
            <w:tcBorders>
              <w:top w:val="nil"/>
              <w:left w:val="single" w:sz="4" w:space="0" w:color="000000" w:themeColor="text1"/>
              <w:bottom w:val="single" w:sz="4" w:space="0" w:color="000000" w:themeColor="text1"/>
              <w:right w:val="single" w:sz="4" w:space="0" w:color="000000" w:themeColor="text1"/>
            </w:tcBorders>
            <w:shd w:val="clear" w:color="auto" w:fill="D8F1D0"/>
            <w:hideMark/>
          </w:tcPr>
          <w:p w14:paraId="472E792D" w14:textId="23EB968A" w:rsidR="007D728E" w:rsidRPr="00CB13F7" w:rsidRDefault="007D728E" w:rsidP="007D728E">
            <w:pPr>
              <w:spacing w:after="240"/>
              <w:rPr>
                <w:rFonts w:eastAsia="Times New Roman"/>
                <w:color w:val="000000"/>
                <w:sz w:val="16"/>
                <w:szCs w:val="16"/>
                <w:lang w:eastAsia="en-US"/>
              </w:rPr>
            </w:pPr>
            <w:r w:rsidRPr="00CB13F7">
              <w:rPr>
                <w:rFonts w:eastAsia="Times New Roman"/>
                <w:color w:val="000000"/>
                <w:sz w:val="16"/>
                <w:szCs w:val="16"/>
                <w:lang w:eastAsia="en-US"/>
              </w:rPr>
              <w:t xml:space="preserve">2%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4%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7</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10 pp</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~18% në ~15%.</w:t>
            </w:r>
            <w:r w:rsidRPr="00CB13F7">
              <w:rPr>
                <w:rFonts w:eastAsia="Times New Roman"/>
                <w:color w:val="000000"/>
                <w:sz w:val="16"/>
                <w:szCs w:val="16"/>
                <w:lang w:eastAsia="en-US"/>
              </w:rPr>
              <w:br/>
              <w:t xml:space="preserve"> femrat 19% në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16%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40%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50%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40%</w:t>
            </w:r>
            <w:r w:rsidRPr="00CB13F7">
              <w:rPr>
                <w:rFonts w:eastAsia="Times New Roman"/>
                <w:color w:val="000000"/>
                <w:sz w:val="16"/>
                <w:szCs w:val="16"/>
                <w:lang w:eastAsia="en-US"/>
              </w:rPr>
              <w:br/>
            </w:r>
          </w:p>
        </w:tc>
        <w:tc>
          <w:tcPr>
            <w:tcW w:w="141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8F1D0"/>
            <w:hideMark/>
          </w:tcPr>
          <w:p w14:paraId="5CEB8FA8" w14:textId="7BD076BF"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~3%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6%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4</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7 pp</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~15% në ~13%femrat 16% në ~14%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45%</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45%</w:t>
            </w:r>
            <w:r w:rsidRPr="00CB13F7">
              <w:rPr>
                <w:rFonts w:eastAsia="Times New Roman"/>
                <w:color w:val="000000"/>
                <w:sz w:val="16"/>
                <w:szCs w:val="16"/>
                <w:lang w:eastAsia="en-US"/>
              </w:rPr>
              <w:br/>
              <w:t xml:space="preserve"> </w:t>
            </w:r>
          </w:p>
        </w:tc>
        <w:tc>
          <w:tcPr>
            <w:tcW w:w="1985" w:type="dxa"/>
            <w:vMerge w:val="restart"/>
            <w:tcBorders>
              <w:top w:val="nil"/>
              <w:left w:val="single" w:sz="4" w:space="0" w:color="000000" w:themeColor="text1"/>
              <w:bottom w:val="single" w:sz="4" w:space="0" w:color="000000" w:themeColor="text1"/>
              <w:right w:val="single" w:sz="4" w:space="0" w:color="000000" w:themeColor="text1"/>
            </w:tcBorders>
            <w:shd w:val="clear" w:color="auto" w:fill="D8F1D0"/>
            <w:hideMark/>
          </w:tcPr>
          <w:p w14:paraId="53F317D7" w14:textId="63F80501"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Anketa e Forcave të Punës </w:t>
            </w:r>
            <w:r w:rsidR="00582B12" w:rsidRPr="00CB13F7">
              <w:rPr>
                <w:rFonts w:eastAsia="Times New Roman"/>
                <w:sz w:val="16"/>
                <w:szCs w:val="16"/>
                <w:lang w:eastAsia="en-US"/>
              </w:rPr>
              <w:t>-</w:t>
            </w:r>
            <w:r w:rsidRPr="00CB13F7">
              <w:rPr>
                <w:rFonts w:eastAsia="Times New Roman"/>
                <w:sz w:val="16"/>
                <w:szCs w:val="16"/>
                <w:lang w:eastAsia="en-US"/>
              </w:rPr>
              <w:t xml:space="preserve"> Instituti i Statistikave (INSTAT); </w:t>
            </w:r>
            <w:r w:rsidRPr="00CB13F7">
              <w:rPr>
                <w:rFonts w:eastAsia="Times New Roman"/>
                <w:sz w:val="16"/>
                <w:szCs w:val="16"/>
                <w:lang w:eastAsia="en-US"/>
              </w:rPr>
              <w:br/>
            </w:r>
            <w:r w:rsidR="00736097" w:rsidRPr="00CB13F7">
              <w:rPr>
                <w:rFonts w:eastAsia="Times New Roman"/>
                <w:sz w:val="16"/>
                <w:szCs w:val="16"/>
                <w:lang w:eastAsia="en-US"/>
              </w:rPr>
              <w:t xml:space="preserve">Baza e të dhënave </w:t>
            </w:r>
            <w:r w:rsidRPr="00CB13F7">
              <w:rPr>
                <w:rFonts w:eastAsia="Times New Roman"/>
                <w:sz w:val="16"/>
                <w:szCs w:val="16"/>
                <w:lang w:eastAsia="en-US"/>
              </w:rPr>
              <w:t>e Agjencia Kombëtare e Punësimit dhe Aftësive (AKPA);</w:t>
            </w:r>
            <w:r w:rsidRPr="00CB13F7">
              <w:rPr>
                <w:rFonts w:eastAsia="Times New Roman"/>
                <w:sz w:val="16"/>
                <w:szCs w:val="16"/>
                <w:lang w:eastAsia="en-US"/>
              </w:rPr>
              <w:br/>
              <w:t>INSTAT (LFS) Raportet e progresit sektorial;</w:t>
            </w:r>
            <w:r w:rsidRPr="00CB13F7">
              <w:rPr>
                <w:rFonts w:eastAsia="Times New Roman"/>
                <w:sz w:val="16"/>
                <w:szCs w:val="16"/>
                <w:lang w:eastAsia="en-US"/>
              </w:rPr>
              <w:br/>
              <w:t>Anketime kombëtare të bizneseve, Inspektorati i Punës, AKPA;</w:t>
            </w:r>
            <w:r w:rsidRPr="00CB13F7">
              <w:rPr>
                <w:rFonts w:eastAsia="Times New Roman"/>
                <w:sz w:val="16"/>
                <w:szCs w:val="16"/>
                <w:lang w:eastAsia="en-US"/>
              </w:rPr>
              <w:br/>
              <w:t>Anketime periodike kombëtare, sondazhe të AKPA;</w:t>
            </w:r>
            <w:r w:rsidRPr="00CB13F7">
              <w:rPr>
                <w:rFonts w:eastAsia="Times New Roman"/>
                <w:sz w:val="16"/>
                <w:szCs w:val="16"/>
                <w:lang w:eastAsia="en-US"/>
              </w:rPr>
              <w:br/>
              <w:t>Sistemi i monitorimit të AKPA, të dhëna tatimore;</w:t>
            </w:r>
          </w:p>
        </w:tc>
        <w:tc>
          <w:tcPr>
            <w:tcW w:w="2382" w:type="dxa"/>
            <w:vMerge w:val="restart"/>
            <w:tcBorders>
              <w:top w:val="nil"/>
              <w:left w:val="single" w:sz="4" w:space="0" w:color="000000" w:themeColor="text1"/>
              <w:bottom w:val="nil"/>
              <w:right w:val="single" w:sz="4" w:space="0" w:color="000000" w:themeColor="text1"/>
            </w:tcBorders>
            <w:shd w:val="clear" w:color="auto" w:fill="D8F1D0"/>
            <w:hideMark/>
          </w:tcPr>
          <w:p w14:paraId="2FE67DF4" w14:textId="4EA11BDC"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Strategjia e BE-së për të Drejtat e Personave me Aftësi të Kufizuara 2021</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2030;</w:t>
            </w:r>
          </w:p>
          <w:p w14:paraId="387AD43B" w14:textId="53953970"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 Strategjia Kombëtare e Punësimit dhe Aftësive 2023-2030;</w:t>
            </w:r>
            <w:r w:rsidRPr="00CB13F7">
              <w:rPr>
                <w:rFonts w:eastAsia="Times New Roman"/>
                <w:color w:val="000000"/>
                <w:sz w:val="16"/>
                <w:szCs w:val="16"/>
                <w:lang w:eastAsia="en-US"/>
              </w:rPr>
              <w:br/>
              <w:t>Plani Kombëtar i Garancisë Rinore 2023 - 2025 dhe 2026</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2029;</w:t>
            </w:r>
            <w:r w:rsidRPr="00CB13F7">
              <w:rPr>
                <w:rFonts w:eastAsia="Times New Roman"/>
                <w:color w:val="000000"/>
                <w:sz w:val="16"/>
                <w:szCs w:val="16"/>
                <w:lang w:eastAsia="en-US"/>
              </w:rPr>
              <w:br/>
              <w:t>Strategjia Kombëtare për Zhvillim dhe Integrim 2022-2030;</w:t>
            </w:r>
            <w:r w:rsidRPr="00CB13F7">
              <w:rPr>
                <w:rFonts w:eastAsia="Times New Roman"/>
                <w:color w:val="000000"/>
                <w:sz w:val="16"/>
                <w:szCs w:val="16"/>
                <w:lang w:eastAsia="en-US"/>
              </w:rPr>
              <w:br/>
              <w:t xml:space="preserve">Kapitali njerëzor dhe mirëqenia sociale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Arsimi, shëndetësia, mbrojtja sociale dhe fuqia punëtore, Strategjia Kombëtare për Mbrojtjen Sociale 2024-2030; </w:t>
            </w:r>
            <w:r w:rsidRPr="00CB13F7">
              <w:rPr>
                <w:rFonts w:eastAsia="Times New Roman"/>
                <w:color w:val="000000"/>
                <w:sz w:val="16"/>
                <w:szCs w:val="16"/>
                <w:lang w:eastAsia="en-US"/>
              </w:rPr>
              <w:br/>
              <w:t>Strategjia Ndërsektoriale “Agjenda Digjitale e Shqipërisë 2022</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2026”;</w:t>
            </w:r>
            <w:r w:rsidRPr="00CB13F7">
              <w:rPr>
                <w:rFonts w:eastAsia="Times New Roman"/>
                <w:color w:val="000000"/>
                <w:sz w:val="16"/>
                <w:szCs w:val="16"/>
                <w:lang w:eastAsia="en-US"/>
              </w:rPr>
              <w:br/>
              <w:t xml:space="preserve">Strategjia Kombëtare e Zhvillimit të Sipërmarrjes Inovative, Shtylla III/ Zhvillimi Gjithëpërfshirëse; </w:t>
            </w:r>
            <w:r w:rsidRPr="00CB13F7">
              <w:rPr>
                <w:rFonts w:eastAsia="Times New Roman"/>
                <w:color w:val="000000"/>
                <w:sz w:val="16"/>
                <w:szCs w:val="16"/>
                <w:lang w:eastAsia="en-US"/>
              </w:rPr>
              <w:br/>
              <w:t xml:space="preserve">Disability Employment Package (2022), paketë udhëzuese për politika punësimi/përfshirje në tregun e punës. </w:t>
            </w:r>
            <w:r w:rsidRPr="00CB13F7">
              <w:rPr>
                <w:rFonts w:eastAsia="Times New Roman"/>
                <w:color w:val="000000"/>
                <w:sz w:val="16"/>
                <w:szCs w:val="16"/>
                <w:lang w:eastAsia="en-US"/>
              </w:rPr>
              <w:br/>
              <w:t xml:space="preserve">Shtylla Evropiane për të Drejtat Sociale, Parimi 17, OZHQ 8 “Promovimi i rritjes ekonomike të qëndrueshme, gjithëpërfshirëse e të qëndrueshme, punësim i plotë e produktiv dhe punë e denjë për të gjithë”,: 8.5 (punësimi i denjë), 8.3 (produktiviteti), 8.2 (inovacioni), 8.6 (punësimi i të rinjve) dhe 8.8 (të drejtat në punë). </w:t>
            </w:r>
          </w:p>
        </w:tc>
      </w:tr>
      <w:tr w:rsidR="007D728E" w:rsidRPr="00CB13F7" w14:paraId="23CB4359" w14:textId="77777777" w:rsidTr="661F9D2E">
        <w:trPr>
          <w:gridAfter w:val="6"/>
          <w:wAfter w:w="2500" w:type="dxa"/>
          <w:trHeight w:val="1454"/>
        </w:trPr>
        <w:tc>
          <w:tcPr>
            <w:tcW w:w="895" w:type="dxa"/>
            <w:vMerge/>
            <w:vAlign w:val="center"/>
            <w:hideMark/>
          </w:tcPr>
          <w:p w14:paraId="5AEB8A5A" w14:textId="77777777" w:rsidR="007D728E" w:rsidRPr="00CB13F7" w:rsidRDefault="007D728E" w:rsidP="007D728E">
            <w:pPr>
              <w:rPr>
                <w:rFonts w:eastAsia="Times New Roman"/>
                <w:b/>
                <w:bCs/>
                <w:sz w:val="16"/>
                <w:szCs w:val="16"/>
                <w:lang w:eastAsia="en-US"/>
              </w:rPr>
            </w:pPr>
          </w:p>
        </w:tc>
        <w:tc>
          <w:tcPr>
            <w:tcW w:w="2125" w:type="dxa"/>
            <w:vMerge/>
            <w:vAlign w:val="center"/>
            <w:hideMark/>
          </w:tcPr>
          <w:p w14:paraId="19279708" w14:textId="77777777" w:rsidR="007D728E" w:rsidRPr="00CB13F7" w:rsidRDefault="007D728E" w:rsidP="007D728E">
            <w:pPr>
              <w:rPr>
                <w:rFonts w:eastAsia="Times New Roman"/>
                <w:sz w:val="16"/>
                <w:szCs w:val="16"/>
                <w:lang w:eastAsia="en-US"/>
              </w:rPr>
            </w:pPr>
          </w:p>
        </w:tc>
        <w:tc>
          <w:tcPr>
            <w:tcW w:w="2268" w:type="dxa"/>
            <w:vMerge/>
            <w:vAlign w:val="center"/>
            <w:hideMark/>
          </w:tcPr>
          <w:p w14:paraId="1ED9DCCF" w14:textId="77777777" w:rsidR="007D728E" w:rsidRPr="00CB13F7" w:rsidRDefault="007D728E" w:rsidP="007D728E">
            <w:pPr>
              <w:rPr>
                <w:rFonts w:eastAsia="Times New Roman"/>
                <w:color w:val="000000"/>
                <w:sz w:val="16"/>
                <w:szCs w:val="16"/>
                <w:lang w:eastAsia="en-US"/>
              </w:rPr>
            </w:pPr>
          </w:p>
        </w:tc>
        <w:tc>
          <w:tcPr>
            <w:tcW w:w="1160" w:type="dxa"/>
            <w:vMerge/>
            <w:vAlign w:val="center"/>
            <w:hideMark/>
          </w:tcPr>
          <w:p w14:paraId="26F8AEF1" w14:textId="77777777" w:rsidR="007D728E" w:rsidRPr="00CB13F7" w:rsidRDefault="007D728E" w:rsidP="007D728E">
            <w:pPr>
              <w:rPr>
                <w:rFonts w:eastAsia="Times New Roman"/>
                <w:color w:val="000000"/>
                <w:sz w:val="16"/>
                <w:szCs w:val="16"/>
                <w:lang w:eastAsia="en-US"/>
              </w:rPr>
            </w:pPr>
          </w:p>
        </w:tc>
        <w:tc>
          <w:tcPr>
            <w:tcW w:w="1418" w:type="dxa"/>
            <w:gridSpan w:val="3"/>
            <w:vMerge/>
            <w:vAlign w:val="center"/>
            <w:hideMark/>
          </w:tcPr>
          <w:p w14:paraId="2D5C20CE" w14:textId="77777777" w:rsidR="007D728E" w:rsidRPr="00CB13F7" w:rsidRDefault="007D728E" w:rsidP="007D728E">
            <w:pPr>
              <w:rPr>
                <w:rFonts w:eastAsia="Times New Roman"/>
                <w:color w:val="000000"/>
                <w:sz w:val="16"/>
                <w:szCs w:val="16"/>
                <w:lang w:eastAsia="en-US"/>
              </w:rPr>
            </w:pPr>
          </w:p>
        </w:tc>
        <w:tc>
          <w:tcPr>
            <w:tcW w:w="1417" w:type="dxa"/>
            <w:vMerge/>
            <w:vAlign w:val="center"/>
            <w:hideMark/>
          </w:tcPr>
          <w:p w14:paraId="42633CBA" w14:textId="77777777" w:rsidR="007D728E" w:rsidRPr="00CB13F7" w:rsidRDefault="007D728E" w:rsidP="007D728E">
            <w:pPr>
              <w:rPr>
                <w:rFonts w:eastAsia="Times New Roman"/>
                <w:color w:val="000000"/>
                <w:sz w:val="16"/>
                <w:szCs w:val="16"/>
                <w:lang w:eastAsia="en-US"/>
              </w:rPr>
            </w:pPr>
          </w:p>
        </w:tc>
        <w:tc>
          <w:tcPr>
            <w:tcW w:w="1985" w:type="dxa"/>
            <w:vMerge/>
            <w:vAlign w:val="center"/>
            <w:hideMark/>
          </w:tcPr>
          <w:p w14:paraId="741D86C1" w14:textId="77777777" w:rsidR="007D728E" w:rsidRPr="00CB13F7" w:rsidRDefault="007D728E" w:rsidP="007D728E">
            <w:pPr>
              <w:rPr>
                <w:rFonts w:eastAsia="Times New Roman"/>
                <w:sz w:val="16"/>
                <w:szCs w:val="16"/>
                <w:lang w:eastAsia="en-US"/>
              </w:rPr>
            </w:pPr>
          </w:p>
        </w:tc>
        <w:tc>
          <w:tcPr>
            <w:tcW w:w="2382" w:type="dxa"/>
            <w:vMerge/>
            <w:vAlign w:val="center"/>
            <w:hideMark/>
          </w:tcPr>
          <w:p w14:paraId="2BC79C7D" w14:textId="77777777" w:rsidR="007D728E" w:rsidRPr="00CB13F7" w:rsidRDefault="007D728E" w:rsidP="007D728E">
            <w:pPr>
              <w:rPr>
                <w:rFonts w:eastAsia="Times New Roman"/>
                <w:color w:val="000000"/>
                <w:sz w:val="16"/>
                <w:szCs w:val="16"/>
                <w:lang w:eastAsia="en-US"/>
              </w:rPr>
            </w:pPr>
          </w:p>
        </w:tc>
      </w:tr>
      <w:tr w:rsidR="00830E31" w:rsidRPr="00CB13F7" w14:paraId="4786659B" w14:textId="77777777" w:rsidTr="661F9D2E">
        <w:trPr>
          <w:gridAfter w:val="6"/>
          <w:wAfter w:w="2500" w:type="dxa"/>
          <w:trHeight w:val="3375"/>
        </w:trPr>
        <w:tc>
          <w:tcPr>
            <w:tcW w:w="895" w:type="dxa"/>
            <w:tcBorders>
              <w:top w:val="single" w:sz="4" w:space="0" w:color="000000" w:themeColor="text1"/>
              <w:left w:val="single" w:sz="4" w:space="0" w:color="000000" w:themeColor="text1"/>
              <w:bottom w:val="nil"/>
              <w:right w:val="single" w:sz="4" w:space="0" w:color="000000" w:themeColor="text1"/>
            </w:tcBorders>
            <w:shd w:val="clear" w:color="auto" w:fill="CAEDFA"/>
            <w:vAlign w:val="center"/>
            <w:hideMark/>
          </w:tcPr>
          <w:p w14:paraId="47E3824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2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7E0A9D0F" w14:textId="423C1419"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xml:space="preserve">Objektivi </w:t>
            </w:r>
            <w:r w:rsidR="00AA5183">
              <w:rPr>
                <w:rFonts w:eastAsia="Times New Roman"/>
                <w:sz w:val="16"/>
                <w:szCs w:val="16"/>
                <w:lang w:eastAsia="en-US"/>
              </w:rPr>
              <w:t xml:space="preserve">specifik </w:t>
            </w:r>
            <w:r w:rsidRPr="00CB13F7">
              <w:rPr>
                <w:rFonts w:eastAsia="Times New Roman"/>
                <w:sz w:val="16"/>
                <w:szCs w:val="16"/>
                <w:lang w:eastAsia="en-US"/>
              </w:rPr>
              <w:t>1. Nxitja e pjesëmarrjes, zgjerimi i aksesit dhe përfitimit të nxënësve dhe kursantëve me aftësi të kufizuara nga programet e arsimit dhe formimit profesional, në përputhje me nevojat e tregut të punës dhe parimet e arsimit gjithëpërfshirës.</w:t>
            </w:r>
          </w:p>
        </w:tc>
        <w:tc>
          <w:tcPr>
            <w:tcW w:w="2268" w:type="dxa"/>
            <w:vMerge w:val="restart"/>
            <w:tcBorders>
              <w:top w:val="single" w:sz="4" w:space="0" w:color="000000" w:themeColor="text1"/>
              <w:left w:val="single" w:sz="4" w:space="0" w:color="000000" w:themeColor="text1"/>
              <w:bottom w:val="nil"/>
              <w:right w:val="nil"/>
            </w:tcBorders>
            <w:shd w:val="clear" w:color="auto" w:fill="CAEDFA"/>
            <w:hideMark/>
          </w:tcPr>
          <w:p w14:paraId="78384786" w14:textId="1EC96F5B"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dhe përqindja e nxënësve/kursantëve me aftësi të kufizuara të regjistruar në programe AFP.</w:t>
            </w:r>
            <w:r w:rsidRPr="00CB13F7">
              <w:rPr>
                <w:rFonts w:eastAsia="Times New Roman"/>
                <w:sz w:val="16"/>
                <w:szCs w:val="16"/>
                <w:lang w:eastAsia="en-US"/>
              </w:rPr>
              <w:br/>
            </w:r>
            <w:r w:rsidRPr="00CB13F7">
              <w:rPr>
                <w:rFonts w:eastAsia="Times New Roman"/>
                <w:sz w:val="16"/>
                <w:szCs w:val="16"/>
                <w:lang w:eastAsia="en-US"/>
              </w:rPr>
              <w:br/>
              <w:t>Përqindja e institucioneve AFP që ofrojnë infrastrukturë dhe materiale mësimore të aksesueshme.</w:t>
            </w:r>
            <w:r w:rsidRPr="00CB13F7">
              <w:rPr>
                <w:rFonts w:eastAsia="Times New Roman"/>
                <w:sz w:val="16"/>
                <w:szCs w:val="16"/>
                <w:lang w:eastAsia="en-US"/>
              </w:rPr>
              <w:br/>
            </w:r>
            <w:r w:rsidRPr="00CB13F7">
              <w:rPr>
                <w:rFonts w:eastAsia="Times New Roman"/>
                <w:sz w:val="16"/>
                <w:szCs w:val="16"/>
                <w:lang w:eastAsia="en-US"/>
              </w:rPr>
              <w:br/>
              <w:t>Numri i programeve të AFP të përshtatura për personat me aftësi të kufizuara sipas nevojave të tregut të punës.</w:t>
            </w:r>
            <w:r w:rsidRPr="00CB13F7">
              <w:rPr>
                <w:rFonts w:eastAsia="Times New Roman"/>
                <w:sz w:val="16"/>
                <w:szCs w:val="16"/>
                <w:lang w:eastAsia="en-US"/>
              </w:rPr>
              <w:br/>
            </w:r>
            <w:r w:rsidRPr="00CB13F7">
              <w:rPr>
                <w:rFonts w:eastAsia="Times New Roman"/>
                <w:sz w:val="16"/>
                <w:szCs w:val="16"/>
                <w:lang w:eastAsia="en-US"/>
              </w:rPr>
              <w:br/>
              <w:t>Përqindja e të diplomuarve me aftësi të kufizuara që punësohen brenda 6</w:t>
            </w:r>
            <w:r w:rsidR="00582B12" w:rsidRPr="00CB13F7">
              <w:rPr>
                <w:rFonts w:eastAsia="Times New Roman"/>
                <w:sz w:val="16"/>
                <w:szCs w:val="16"/>
                <w:lang w:eastAsia="en-US"/>
              </w:rPr>
              <w:t>-</w:t>
            </w:r>
            <w:r w:rsidRPr="00CB13F7">
              <w:rPr>
                <w:rFonts w:eastAsia="Times New Roman"/>
                <w:sz w:val="16"/>
                <w:szCs w:val="16"/>
                <w:lang w:eastAsia="en-US"/>
              </w:rPr>
              <w:t>12 muajve pas përfundimit të programit.</w:t>
            </w:r>
          </w:p>
        </w:tc>
        <w:tc>
          <w:tcPr>
            <w:tcW w:w="1160" w:type="dxa"/>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221CE24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5%</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0,4%</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1 program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me pak se 1%</w:t>
            </w:r>
          </w:p>
        </w:tc>
        <w:tc>
          <w:tcPr>
            <w:tcW w:w="1418" w:type="dxa"/>
            <w:gridSpan w:val="3"/>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4921AEB6" w14:textId="13B97A1B"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1.5% </w:t>
            </w:r>
            <w:r w:rsidR="00582B12" w:rsidRPr="00CB13F7">
              <w:rPr>
                <w:rFonts w:eastAsia="Times New Roman"/>
                <w:sz w:val="16"/>
                <w:szCs w:val="16"/>
                <w:lang w:eastAsia="en-US"/>
              </w:rPr>
              <w:t>-</w:t>
            </w:r>
            <w:r w:rsidRPr="00CB13F7">
              <w:rPr>
                <w:rFonts w:eastAsia="Times New Roman"/>
                <w:sz w:val="16"/>
                <w:szCs w:val="16"/>
                <w:lang w:eastAsia="en-US"/>
              </w:rPr>
              <w:t xml:space="preserve"> 5.5%/ (50% femra)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14% </w:t>
            </w:r>
            <w:r w:rsidR="00582B12" w:rsidRPr="00CB13F7">
              <w:rPr>
                <w:rFonts w:eastAsia="Times New Roman"/>
                <w:sz w:val="16"/>
                <w:szCs w:val="16"/>
                <w:lang w:eastAsia="en-US"/>
              </w:rPr>
              <w:t>-</w:t>
            </w:r>
            <w:r w:rsidRPr="00CB13F7">
              <w:rPr>
                <w:rFonts w:eastAsia="Times New Roman"/>
                <w:sz w:val="16"/>
                <w:szCs w:val="16"/>
                <w:lang w:eastAsia="en-US"/>
              </w:rPr>
              <w:t xml:space="preserve"> 27%</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3 programe</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2%-10%</w:t>
            </w:r>
          </w:p>
        </w:tc>
        <w:tc>
          <w:tcPr>
            <w:tcW w:w="141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2C384BB1" w14:textId="5D179C40"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3.5% </w:t>
            </w:r>
            <w:r w:rsidR="00582B12" w:rsidRPr="00CB13F7">
              <w:rPr>
                <w:rFonts w:eastAsia="Times New Roman"/>
                <w:sz w:val="16"/>
                <w:szCs w:val="16"/>
                <w:lang w:eastAsia="en-US"/>
              </w:rPr>
              <w:t>-</w:t>
            </w:r>
            <w:r w:rsidRPr="00CB13F7">
              <w:rPr>
                <w:rFonts w:eastAsia="Times New Roman"/>
                <w:sz w:val="16"/>
                <w:szCs w:val="16"/>
                <w:lang w:eastAsia="en-US"/>
              </w:rPr>
              <w:t xml:space="preserve"> 7.5%(50% femra)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20% </w:t>
            </w:r>
            <w:r w:rsidR="00582B12" w:rsidRPr="00CB13F7">
              <w:rPr>
                <w:rFonts w:eastAsia="Times New Roman"/>
                <w:sz w:val="16"/>
                <w:szCs w:val="16"/>
                <w:lang w:eastAsia="en-US"/>
              </w:rPr>
              <w:t>-</w:t>
            </w:r>
            <w:r w:rsidRPr="00CB13F7">
              <w:rPr>
                <w:rFonts w:eastAsia="Times New Roman"/>
                <w:sz w:val="16"/>
                <w:szCs w:val="16"/>
                <w:lang w:eastAsia="en-US"/>
              </w:rPr>
              <w:t xml:space="preserve"> 33%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10% -15%</w:t>
            </w:r>
          </w:p>
        </w:tc>
        <w:tc>
          <w:tcPr>
            <w:tcW w:w="1985" w:type="dxa"/>
            <w:vMerge w:val="restart"/>
            <w:tcBorders>
              <w:top w:val="nil"/>
              <w:left w:val="single" w:sz="4" w:space="0" w:color="000000" w:themeColor="text1"/>
              <w:bottom w:val="nil"/>
              <w:right w:val="single" w:sz="4" w:space="0" w:color="000000" w:themeColor="text1"/>
            </w:tcBorders>
            <w:shd w:val="clear" w:color="auto" w:fill="CAEDFA"/>
            <w:hideMark/>
          </w:tcPr>
          <w:p w14:paraId="06BC9B66" w14:textId="0C05E5C2" w:rsidR="007D728E" w:rsidRPr="00CB13F7" w:rsidRDefault="0080D2BD" w:rsidP="007D728E">
            <w:pPr>
              <w:rPr>
                <w:rFonts w:eastAsia="Times New Roman"/>
                <w:sz w:val="16"/>
                <w:szCs w:val="16"/>
                <w:lang w:eastAsia="en-US"/>
              </w:rPr>
            </w:pPr>
            <w:r w:rsidRPr="00CB13F7">
              <w:rPr>
                <w:rFonts w:eastAsia="Times New Roman"/>
                <w:sz w:val="16"/>
                <w:szCs w:val="16"/>
                <w:lang w:eastAsia="en-US"/>
              </w:rPr>
              <w:t xml:space="preserve">Sistemi </w:t>
            </w:r>
            <w:r w:rsidR="4CE802F6" w:rsidRPr="00CB13F7">
              <w:rPr>
                <w:rFonts w:eastAsia="Times New Roman"/>
                <w:sz w:val="16"/>
                <w:szCs w:val="16"/>
                <w:lang w:eastAsia="en-US"/>
              </w:rPr>
              <w:t>SMIP</w:t>
            </w:r>
            <w:r w:rsidRPr="00CB13F7">
              <w:rPr>
                <w:rFonts w:eastAsia="Times New Roman"/>
                <w:sz w:val="16"/>
                <w:szCs w:val="16"/>
                <w:lang w:eastAsia="en-US"/>
              </w:rPr>
              <w:t>;</w:t>
            </w:r>
            <w:r w:rsidR="007D728E" w:rsidRPr="00CB13F7">
              <w:br/>
            </w:r>
            <w:r w:rsidRPr="00CB13F7">
              <w:rPr>
                <w:rFonts w:eastAsia="Times New Roman"/>
                <w:sz w:val="16"/>
                <w:szCs w:val="16"/>
                <w:lang w:eastAsia="en-US"/>
              </w:rPr>
              <w:t>Regjistrat e institucioneve AFP; INSTAT</w:t>
            </w:r>
            <w:r w:rsidR="007D728E" w:rsidRPr="00CB13F7">
              <w:br/>
            </w:r>
            <w:r w:rsidRPr="00CB13F7">
              <w:rPr>
                <w:rFonts w:eastAsia="Times New Roman"/>
                <w:sz w:val="16"/>
                <w:szCs w:val="16"/>
                <w:lang w:eastAsia="en-US"/>
              </w:rPr>
              <w:t>Raporte vjetore të Ministrisë së Arsimit;</w:t>
            </w:r>
            <w:r w:rsidR="007D728E" w:rsidRPr="00CB13F7">
              <w:br/>
            </w:r>
            <w:r w:rsidRPr="00CB13F7">
              <w:rPr>
                <w:rFonts w:eastAsia="Times New Roman"/>
                <w:sz w:val="16"/>
                <w:szCs w:val="16"/>
                <w:lang w:eastAsia="en-US"/>
              </w:rPr>
              <w:t>Auditime infrastrukturore; Raporte inspektimi;</w:t>
            </w:r>
            <w:r w:rsidR="007D728E" w:rsidRPr="00CB13F7">
              <w:br/>
            </w:r>
            <w:r w:rsidRPr="00CB13F7">
              <w:rPr>
                <w:rFonts w:eastAsia="Times New Roman"/>
                <w:sz w:val="16"/>
                <w:szCs w:val="16"/>
                <w:lang w:eastAsia="en-US"/>
              </w:rPr>
              <w:t>Vendime të Agjencisë së AFP; Korniza Kombëtare e Kualifikimeve</w:t>
            </w:r>
            <w:r w:rsidR="007D728E" w:rsidRPr="00CB13F7">
              <w:br/>
            </w:r>
            <w:r w:rsidR="06B71BD6" w:rsidRPr="00CB13F7">
              <w:rPr>
                <w:rFonts w:eastAsia="Times New Roman"/>
                <w:sz w:val="16"/>
                <w:szCs w:val="16"/>
                <w:lang w:eastAsia="en-US"/>
              </w:rPr>
              <w:t>SMIP</w:t>
            </w:r>
            <w:r w:rsidRPr="00CB13F7">
              <w:rPr>
                <w:rFonts w:eastAsia="Times New Roman"/>
                <w:sz w:val="16"/>
                <w:szCs w:val="16"/>
                <w:lang w:eastAsia="en-US"/>
              </w:rPr>
              <w:t>;</w:t>
            </w:r>
            <w:r w:rsidR="007D728E" w:rsidRPr="00CB13F7">
              <w:br/>
            </w:r>
            <w:r w:rsidRPr="00CB13F7">
              <w:rPr>
                <w:rFonts w:eastAsia="Times New Roman"/>
                <w:sz w:val="16"/>
                <w:szCs w:val="16"/>
                <w:lang w:eastAsia="en-US"/>
              </w:rPr>
              <w:t>Regjistra diplomimi;</w:t>
            </w:r>
            <w:r w:rsidR="007D728E" w:rsidRPr="00CB13F7">
              <w:br/>
            </w:r>
            <w:r w:rsidR="5E32DE78" w:rsidRPr="00CB13F7">
              <w:rPr>
                <w:rFonts w:eastAsia="Times New Roman"/>
                <w:sz w:val="16"/>
                <w:szCs w:val="16"/>
                <w:lang w:eastAsia="en-US"/>
              </w:rPr>
              <w:t>Baza e të dhënave</w:t>
            </w:r>
            <w:r w:rsidRPr="00CB13F7">
              <w:rPr>
                <w:rFonts w:eastAsia="Times New Roman"/>
                <w:sz w:val="16"/>
                <w:szCs w:val="16"/>
                <w:lang w:eastAsia="en-US"/>
              </w:rPr>
              <w:t xml:space="preserve"> e AKPA; </w:t>
            </w:r>
            <w:r w:rsidR="007D728E" w:rsidRPr="00CB13F7">
              <w:br/>
            </w:r>
            <w:r w:rsidRPr="00CB13F7">
              <w:rPr>
                <w:rFonts w:eastAsia="Times New Roman"/>
                <w:sz w:val="16"/>
                <w:szCs w:val="16"/>
                <w:lang w:eastAsia="en-US"/>
              </w:rPr>
              <w:t>Ndjekje gjurmimi (tracer studies)</w:t>
            </w:r>
          </w:p>
        </w:tc>
        <w:tc>
          <w:tcPr>
            <w:tcW w:w="2382" w:type="dxa"/>
            <w:vMerge w:val="restart"/>
            <w:tcBorders>
              <w:top w:val="single" w:sz="4" w:space="0" w:color="000000" w:themeColor="text1"/>
              <w:left w:val="single" w:sz="4" w:space="0" w:color="000000" w:themeColor="text1"/>
              <w:bottom w:val="nil"/>
              <w:right w:val="single" w:sz="4" w:space="0" w:color="000000" w:themeColor="text1"/>
            </w:tcBorders>
            <w:shd w:val="clear" w:color="auto" w:fill="B7DEE8"/>
            <w:hideMark/>
          </w:tcPr>
          <w:p w14:paraId="0CA24038" w14:textId="7F947251" w:rsidR="007D728E" w:rsidRPr="00CB13F7" w:rsidRDefault="0080D2BD" w:rsidP="661F9D2E">
            <w:pPr>
              <w:jc w:val="both"/>
              <w:rPr>
                <w:rFonts w:eastAsia="Times New Roman"/>
                <w:sz w:val="16"/>
                <w:szCs w:val="16"/>
                <w:lang w:eastAsia="en-US"/>
              </w:rPr>
            </w:pPr>
            <w:r w:rsidRPr="00CB13F7">
              <w:rPr>
                <w:rFonts w:eastAsia="Times New Roman"/>
                <w:sz w:val="16"/>
                <w:szCs w:val="16"/>
                <w:lang w:eastAsia="en-US"/>
              </w:rPr>
              <w:t xml:space="preserve">Ligji nr. 15/2019 “Për nxitjen e punësimit”- Ligji nr. 93/2014 “Për përfshirjen dhe aksesueshmërinë e personave me aftësi të kufizuara”; </w:t>
            </w:r>
            <w:r w:rsidR="007D728E" w:rsidRPr="00CB13F7">
              <w:br/>
            </w:r>
            <w:r w:rsidRPr="00CB13F7">
              <w:rPr>
                <w:rFonts w:eastAsia="Times New Roman"/>
                <w:sz w:val="16"/>
                <w:szCs w:val="16"/>
                <w:lang w:eastAsia="en-US"/>
              </w:rPr>
              <w:t>Ligji për arsimin parauniversitar, Ligji për arsimin dhe Formimin Profesional;</w:t>
            </w:r>
            <w:r w:rsidR="007D728E" w:rsidRPr="00CB13F7">
              <w:br/>
            </w:r>
            <w:r w:rsidRPr="00CB13F7">
              <w:rPr>
                <w:rFonts w:eastAsia="Times New Roman"/>
                <w:sz w:val="16"/>
                <w:szCs w:val="16"/>
                <w:lang w:eastAsia="en-US"/>
              </w:rPr>
              <w:t>Strategjia e BE-së për të Drejtat e Personave me Aftësi të Kufizuara 2021</w:t>
            </w:r>
            <w:r w:rsidR="77B74F3F" w:rsidRPr="00CB13F7">
              <w:rPr>
                <w:rFonts w:eastAsia="Times New Roman"/>
                <w:sz w:val="16"/>
                <w:szCs w:val="16"/>
                <w:lang w:eastAsia="en-US"/>
              </w:rPr>
              <w:t>-</w:t>
            </w:r>
            <w:r w:rsidRPr="00CB13F7">
              <w:rPr>
                <w:rFonts w:eastAsia="Times New Roman"/>
                <w:sz w:val="16"/>
                <w:szCs w:val="16"/>
                <w:lang w:eastAsia="en-US"/>
              </w:rPr>
              <w:t xml:space="preserve">2030; </w:t>
            </w:r>
            <w:r w:rsidR="007D728E" w:rsidRPr="00CB13F7">
              <w:br/>
            </w:r>
            <w:r w:rsidR="00095673" w:rsidRPr="00CB13F7">
              <w:rPr>
                <w:rFonts w:eastAsia="Times New Roman"/>
              </w:rPr>
              <w:t xml:space="preserve"> </w:t>
            </w:r>
            <w:r w:rsidR="00095673" w:rsidRPr="00CB13F7">
              <w:rPr>
                <w:rFonts w:eastAsia="Times New Roman"/>
                <w:sz w:val="16"/>
                <w:szCs w:val="16"/>
              </w:rPr>
              <w:t>KDPAK</w:t>
            </w:r>
            <w:r w:rsidRPr="00CB13F7">
              <w:rPr>
                <w:rFonts w:eastAsia="Times New Roman"/>
                <w:sz w:val="16"/>
                <w:szCs w:val="16"/>
                <w:lang w:eastAsia="en-US"/>
              </w:rPr>
              <w:t xml:space="preserve"> (Neni 9 </w:t>
            </w:r>
            <w:r w:rsidR="77B74F3F" w:rsidRPr="00CB13F7">
              <w:rPr>
                <w:rFonts w:eastAsia="Times New Roman"/>
                <w:sz w:val="16"/>
                <w:szCs w:val="16"/>
                <w:lang w:eastAsia="en-US"/>
              </w:rPr>
              <w:t>-</w:t>
            </w:r>
            <w:r w:rsidRPr="00CB13F7">
              <w:rPr>
                <w:rFonts w:eastAsia="Times New Roman"/>
                <w:sz w:val="16"/>
                <w:szCs w:val="16"/>
                <w:lang w:eastAsia="en-US"/>
              </w:rPr>
              <w:t xml:space="preserve"> Aksesueshmëria);</w:t>
            </w:r>
            <w:r w:rsidR="007D728E" w:rsidRPr="00CB13F7">
              <w:br/>
            </w:r>
            <w:r w:rsidRPr="00CB13F7">
              <w:rPr>
                <w:rFonts w:eastAsia="Times New Roman"/>
                <w:sz w:val="16"/>
                <w:szCs w:val="16"/>
                <w:lang w:eastAsia="en-US"/>
              </w:rPr>
              <w:t>Udhëzimet e UNESCO-s për Arsimin Gjithëpërfshirës;</w:t>
            </w:r>
            <w:r w:rsidR="007D728E" w:rsidRPr="00CB13F7">
              <w:br/>
            </w:r>
            <w:r w:rsidR="77D198D7" w:rsidRPr="00CB13F7">
              <w:rPr>
                <w:rFonts w:eastAsia="Times New Roman"/>
              </w:rPr>
              <w:t xml:space="preserve"> </w:t>
            </w:r>
            <w:r w:rsidR="77D198D7" w:rsidRPr="00CB13F7">
              <w:rPr>
                <w:rFonts w:eastAsia="Times New Roman"/>
                <w:sz w:val="16"/>
                <w:szCs w:val="16"/>
              </w:rPr>
              <w:t>KDPAK</w:t>
            </w:r>
            <w:r w:rsidRPr="00CB13F7">
              <w:rPr>
                <w:rFonts w:eastAsia="Times New Roman"/>
                <w:sz w:val="16"/>
                <w:szCs w:val="16"/>
                <w:lang w:eastAsia="en-US"/>
              </w:rPr>
              <w:t xml:space="preserve"> (Neni 24 </w:t>
            </w:r>
            <w:r w:rsidR="77B74F3F" w:rsidRPr="00CB13F7">
              <w:rPr>
                <w:rFonts w:eastAsia="Times New Roman"/>
                <w:sz w:val="16"/>
                <w:szCs w:val="16"/>
                <w:lang w:eastAsia="en-US"/>
              </w:rPr>
              <w:t>-</w:t>
            </w:r>
            <w:r w:rsidRPr="00CB13F7">
              <w:rPr>
                <w:rFonts w:eastAsia="Times New Roman"/>
                <w:sz w:val="16"/>
                <w:szCs w:val="16"/>
                <w:lang w:eastAsia="en-US"/>
              </w:rPr>
              <w:t xml:space="preserve"> Arsimi);</w:t>
            </w:r>
            <w:r w:rsidR="007D728E" w:rsidRPr="00CB13F7">
              <w:br/>
            </w:r>
            <w:r w:rsidR="0B9A0556" w:rsidRPr="00CB13F7">
              <w:rPr>
                <w:rFonts w:eastAsia="Times New Roman"/>
                <w:sz w:val="16"/>
                <w:szCs w:val="16"/>
              </w:rPr>
              <w:t xml:space="preserve"> KDPAK</w:t>
            </w:r>
            <w:r w:rsidRPr="00CB13F7">
              <w:rPr>
                <w:rFonts w:eastAsia="Times New Roman"/>
                <w:sz w:val="16"/>
                <w:szCs w:val="16"/>
                <w:lang w:eastAsia="en-US"/>
              </w:rPr>
              <w:t xml:space="preserve"> (Neni 31 </w:t>
            </w:r>
            <w:r w:rsidR="77B74F3F" w:rsidRPr="00CB13F7">
              <w:rPr>
                <w:rFonts w:eastAsia="Times New Roman"/>
                <w:sz w:val="16"/>
                <w:szCs w:val="16"/>
                <w:lang w:eastAsia="en-US"/>
              </w:rPr>
              <w:t>-</w:t>
            </w:r>
            <w:r w:rsidRPr="00CB13F7">
              <w:rPr>
                <w:rFonts w:eastAsia="Times New Roman"/>
                <w:sz w:val="16"/>
                <w:szCs w:val="16"/>
                <w:lang w:eastAsia="en-US"/>
              </w:rPr>
              <w:t xml:space="preserve"> Statistikat dhe mbledhja e të dhënave) Shtylla Evropiane e të Drejtave Sociale, parimi 17;</w:t>
            </w:r>
            <w:r w:rsidR="007D728E" w:rsidRPr="00CB13F7">
              <w:br/>
            </w:r>
            <w:r w:rsidRPr="00CB13F7">
              <w:rPr>
                <w:rFonts w:eastAsia="Times New Roman"/>
                <w:sz w:val="16"/>
                <w:szCs w:val="16"/>
                <w:lang w:eastAsia="en-US"/>
              </w:rPr>
              <w:t xml:space="preserve">INSTAT </w:t>
            </w:r>
            <w:r w:rsidR="77B74F3F" w:rsidRPr="00CB13F7">
              <w:rPr>
                <w:rFonts w:eastAsia="Times New Roman"/>
                <w:sz w:val="16"/>
                <w:szCs w:val="16"/>
                <w:lang w:eastAsia="en-US"/>
              </w:rPr>
              <w:t>-</w:t>
            </w:r>
            <w:r w:rsidRPr="00CB13F7">
              <w:rPr>
                <w:rFonts w:eastAsia="Times New Roman"/>
                <w:sz w:val="16"/>
                <w:szCs w:val="16"/>
                <w:lang w:eastAsia="en-US"/>
              </w:rPr>
              <w:t xml:space="preserve"> Metodologjia e statistikave sociale;</w:t>
            </w:r>
          </w:p>
        </w:tc>
      </w:tr>
      <w:tr w:rsidR="007D728E" w:rsidRPr="00CB13F7" w14:paraId="0A5CDDB2" w14:textId="77777777" w:rsidTr="661F9D2E">
        <w:trPr>
          <w:gridAfter w:val="6"/>
          <w:wAfter w:w="2500" w:type="dxa"/>
          <w:trHeight w:val="282"/>
        </w:trPr>
        <w:tc>
          <w:tcPr>
            <w:tcW w:w="895" w:type="dxa"/>
            <w:tcBorders>
              <w:top w:val="nil"/>
              <w:left w:val="single" w:sz="4" w:space="0" w:color="000000" w:themeColor="text1"/>
              <w:bottom w:val="nil"/>
              <w:right w:val="single" w:sz="4" w:space="0" w:color="000000" w:themeColor="text1"/>
            </w:tcBorders>
            <w:shd w:val="clear" w:color="auto" w:fill="CAEDFA"/>
            <w:vAlign w:val="bottom"/>
            <w:hideMark/>
          </w:tcPr>
          <w:p w14:paraId="09F4CD2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5" w:type="dxa"/>
            <w:vMerge/>
            <w:vAlign w:val="center"/>
            <w:hideMark/>
          </w:tcPr>
          <w:p w14:paraId="0F6FA6A4" w14:textId="77777777" w:rsidR="007D728E" w:rsidRPr="00CB13F7" w:rsidRDefault="007D728E" w:rsidP="007D728E">
            <w:pPr>
              <w:rPr>
                <w:rFonts w:eastAsia="Times New Roman"/>
                <w:sz w:val="16"/>
                <w:szCs w:val="16"/>
                <w:lang w:eastAsia="en-US"/>
              </w:rPr>
            </w:pPr>
          </w:p>
        </w:tc>
        <w:tc>
          <w:tcPr>
            <w:tcW w:w="2268" w:type="dxa"/>
            <w:vMerge/>
            <w:vAlign w:val="center"/>
            <w:hideMark/>
          </w:tcPr>
          <w:p w14:paraId="4958A803" w14:textId="77777777" w:rsidR="007D728E" w:rsidRPr="00CB13F7" w:rsidRDefault="007D728E" w:rsidP="007D728E">
            <w:pPr>
              <w:rPr>
                <w:rFonts w:eastAsia="Times New Roman"/>
                <w:sz w:val="16"/>
                <w:szCs w:val="16"/>
                <w:lang w:eastAsia="en-US"/>
              </w:rPr>
            </w:pPr>
          </w:p>
        </w:tc>
        <w:tc>
          <w:tcPr>
            <w:tcW w:w="1160" w:type="dxa"/>
            <w:vMerge/>
            <w:vAlign w:val="center"/>
            <w:hideMark/>
          </w:tcPr>
          <w:p w14:paraId="69324B09" w14:textId="77777777" w:rsidR="007D728E" w:rsidRPr="00CB13F7" w:rsidRDefault="007D728E" w:rsidP="007D728E">
            <w:pPr>
              <w:rPr>
                <w:rFonts w:eastAsia="Times New Roman"/>
                <w:sz w:val="16"/>
                <w:szCs w:val="16"/>
                <w:lang w:eastAsia="en-US"/>
              </w:rPr>
            </w:pPr>
          </w:p>
        </w:tc>
        <w:tc>
          <w:tcPr>
            <w:tcW w:w="1418" w:type="dxa"/>
            <w:gridSpan w:val="3"/>
            <w:vMerge/>
            <w:vAlign w:val="center"/>
            <w:hideMark/>
          </w:tcPr>
          <w:p w14:paraId="49759134" w14:textId="77777777" w:rsidR="007D728E" w:rsidRPr="00CB13F7" w:rsidRDefault="007D728E" w:rsidP="007D728E">
            <w:pPr>
              <w:rPr>
                <w:rFonts w:eastAsia="Times New Roman"/>
                <w:sz w:val="16"/>
                <w:szCs w:val="16"/>
                <w:lang w:eastAsia="en-US"/>
              </w:rPr>
            </w:pPr>
          </w:p>
        </w:tc>
        <w:tc>
          <w:tcPr>
            <w:tcW w:w="1417" w:type="dxa"/>
            <w:vMerge/>
            <w:vAlign w:val="center"/>
            <w:hideMark/>
          </w:tcPr>
          <w:p w14:paraId="3E50582D" w14:textId="77777777" w:rsidR="007D728E" w:rsidRPr="00CB13F7" w:rsidRDefault="007D728E" w:rsidP="007D728E">
            <w:pPr>
              <w:rPr>
                <w:rFonts w:eastAsia="Times New Roman"/>
                <w:sz w:val="16"/>
                <w:szCs w:val="16"/>
                <w:lang w:eastAsia="en-US"/>
              </w:rPr>
            </w:pPr>
          </w:p>
        </w:tc>
        <w:tc>
          <w:tcPr>
            <w:tcW w:w="1985" w:type="dxa"/>
            <w:vMerge/>
            <w:vAlign w:val="center"/>
            <w:hideMark/>
          </w:tcPr>
          <w:p w14:paraId="2B53797C" w14:textId="77777777" w:rsidR="007D728E" w:rsidRPr="00CB13F7" w:rsidRDefault="007D728E" w:rsidP="007D728E">
            <w:pPr>
              <w:rPr>
                <w:rFonts w:eastAsia="Times New Roman"/>
                <w:sz w:val="16"/>
                <w:szCs w:val="16"/>
                <w:lang w:eastAsia="en-US"/>
              </w:rPr>
            </w:pPr>
          </w:p>
        </w:tc>
        <w:tc>
          <w:tcPr>
            <w:tcW w:w="2382" w:type="dxa"/>
            <w:vMerge/>
            <w:vAlign w:val="center"/>
            <w:hideMark/>
          </w:tcPr>
          <w:p w14:paraId="3C685A4C" w14:textId="77777777" w:rsidR="007D728E" w:rsidRPr="00CB13F7" w:rsidRDefault="007D728E" w:rsidP="007D728E">
            <w:pPr>
              <w:rPr>
                <w:rFonts w:eastAsia="Times New Roman"/>
                <w:sz w:val="16"/>
                <w:szCs w:val="16"/>
                <w:lang w:eastAsia="en-US"/>
              </w:rPr>
            </w:pPr>
          </w:p>
        </w:tc>
      </w:tr>
      <w:tr w:rsidR="00830E31" w:rsidRPr="00CB13F7" w14:paraId="34603B28" w14:textId="77777777" w:rsidTr="661F9D2E">
        <w:trPr>
          <w:gridAfter w:val="6"/>
          <w:wAfter w:w="2500" w:type="dxa"/>
          <w:trHeight w:val="2025"/>
        </w:trPr>
        <w:tc>
          <w:tcPr>
            <w:tcW w:w="895" w:type="dxa"/>
            <w:tcBorders>
              <w:top w:val="nil"/>
              <w:left w:val="single" w:sz="4" w:space="0" w:color="000000" w:themeColor="text1"/>
              <w:bottom w:val="nil"/>
              <w:right w:val="single" w:sz="4" w:space="0" w:color="000000" w:themeColor="text1"/>
            </w:tcBorders>
            <w:shd w:val="clear" w:color="auto" w:fill="CAEDFA"/>
            <w:hideMark/>
          </w:tcPr>
          <w:p w14:paraId="27B19F1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64316D14" w14:textId="6C2B5D53"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xml:space="preserve">Objektivi </w:t>
            </w:r>
            <w:r w:rsidR="00AA5183">
              <w:rPr>
                <w:rFonts w:eastAsia="Times New Roman"/>
                <w:sz w:val="16"/>
                <w:szCs w:val="16"/>
                <w:lang w:eastAsia="en-US"/>
              </w:rPr>
              <w:t xml:space="preserve">specifik </w:t>
            </w:r>
            <w:r w:rsidRPr="00CB13F7">
              <w:rPr>
                <w:rFonts w:eastAsia="Times New Roman"/>
                <w:sz w:val="16"/>
                <w:szCs w:val="16"/>
                <w:lang w:eastAsia="en-US"/>
              </w:rPr>
              <w:t xml:space="preserve">2. Zgjerimi dhe konsolidimi i shërbimeve të punësimit që synojnë fuqizimin ekonomik dhe përfshirjen në tregun e punës të personave me aftësi të kufizuara, përmes konsolidimit të shërbimeve dhe programeve të aftësimit dhe punësimit dhe ngritjes dhe konsolidimit të Fondit Social të Punësimit. </w:t>
            </w:r>
          </w:p>
        </w:tc>
        <w:tc>
          <w:tcPr>
            <w:tcW w:w="2268" w:type="dxa"/>
            <w:vMerge w:val="restart"/>
            <w:tcBorders>
              <w:top w:val="single" w:sz="4" w:space="0" w:color="000000" w:themeColor="text1"/>
              <w:left w:val="single" w:sz="4" w:space="0" w:color="000000" w:themeColor="text1"/>
              <w:bottom w:val="nil"/>
              <w:right w:val="nil"/>
            </w:tcBorders>
            <w:shd w:val="clear" w:color="auto" w:fill="CAEDFA"/>
            <w:hideMark/>
          </w:tcPr>
          <w:p w14:paraId="573280CA" w14:textId="77777777" w:rsidR="007D728E" w:rsidRPr="00CB13F7" w:rsidRDefault="007D728E" w:rsidP="007D728E">
            <w:pPr>
              <w:spacing w:after="240"/>
              <w:rPr>
                <w:rFonts w:eastAsia="Times New Roman"/>
                <w:sz w:val="16"/>
                <w:szCs w:val="16"/>
                <w:lang w:eastAsia="en-US"/>
              </w:rPr>
            </w:pPr>
            <w:r w:rsidRPr="00CB13F7">
              <w:rPr>
                <w:rFonts w:eastAsia="Times New Roman"/>
                <w:sz w:val="16"/>
                <w:szCs w:val="16"/>
                <w:lang w:eastAsia="en-US"/>
              </w:rPr>
              <w:t>Numri i personave me aftësi të kufizuara të regjistruar në shërbimet publike të punësimit.</w:t>
            </w:r>
            <w:r w:rsidRPr="00CB13F7">
              <w:rPr>
                <w:rFonts w:eastAsia="Times New Roman"/>
                <w:sz w:val="16"/>
                <w:szCs w:val="16"/>
                <w:lang w:eastAsia="en-US"/>
              </w:rPr>
              <w:br/>
              <w:t>Numri i përfituesve nga programet aktive të tregut të punës (subvencione, trajnime, ndërmjetësim).</w:t>
            </w:r>
            <w:r w:rsidRPr="00CB13F7">
              <w:rPr>
                <w:rFonts w:eastAsia="Times New Roman"/>
                <w:sz w:val="16"/>
                <w:szCs w:val="16"/>
                <w:lang w:eastAsia="en-US"/>
              </w:rPr>
              <w:br/>
              <w:t>Përqindja e përfituesve që punësohen pas përfundimit të programit.</w:t>
            </w:r>
            <w:r w:rsidRPr="00CB13F7">
              <w:rPr>
                <w:rFonts w:eastAsia="Times New Roman"/>
                <w:sz w:val="16"/>
                <w:szCs w:val="16"/>
                <w:lang w:eastAsia="en-US"/>
              </w:rPr>
              <w:br/>
              <w:t>Shuma vjetore e alokuar në Fondin Social të Punësimit.</w:t>
            </w:r>
            <w:r w:rsidRPr="00CB13F7">
              <w:rPr>
                <w:rFonts w:eastAsia="Times New Roman"/>
                <w:sz w:val="16"/>
                <w:szCs w:val="16"/>
                <w:lang w:eastAsia="en-US"/>
              </w:rPr>
              <w:br/>
              <w:t>Numri i bizneseve që përfitojnë nga skemat mbështetëse për punësimin e personave me aftësi të kufizuara.</w:t>
            </w:r>
            <w:r w:rsidRPr="00CB13F7">
              <w:rPr>
                <w:rFonts w:eastAsia="Times New Roman"/>
                <w:sz w:val="16"/>
                <w:szCs w:val="16"/>
                <w:lang w:eastAsia="en-US"/>
              </w:rPr>
              <w:br/>
            </w:r>
          </w:p>
        </w:tc>
        <w:tc>
          <w:tcPr>
            <w:tcW w:w="1160" w:type="dxa"/>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4783AE2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3428</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244</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 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 N/A </w:t>
            </w:r>
          </w:p>
        </w:tc>
        <w:tc>
          <w:tcPr>
            <w:tcW w:w="1418" w:type="dxa"/>
            <w:gridSpan w:val="3"/>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21BC25A5" w14:textId="498A365D"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3,600 </w:t>
            </w:r>
            <w:r w:rsidR="00582B12" w:rsidRPr="00CB13F7">
              <w:rPr>
                <w:rFonts w:eastAsia="Times New Roman"/>
                <w:sz w:val="16"/>
                <w:szCs w:val="16"/>
                <w:lang w:eastAsia="en-US"/>
              </w:rPr>
              <w:t>-</w:t>
            </w:r>
            <w:r w:rsidRPr="00CB13F7">
              <w:rPr>
                <w:rFonts w:eastAsia="Times New Roman"/>
                <w:sz w:val="16"/>
                <w:szCs w:val="16"/>
                <w:lang w:eastAsia="en-US"/>
              </w:rPr>
              <w:t xml:space="preserve"> 4,570</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980(ref pba)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50%</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200 milion lekë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60</w:t>
            </w:r>
          </w:p>
        </w:tc>
        <w:tc>
          <w:tcPr>
            <w:tcW w:w="1417" w:type="dxa"/>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49FCF5DF" w14:textId="5654691F"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4,160 </w:t>
            </w:r>
            <w:r w:rsidR="00582B12" w:rsidRPr="00CB13F7">
              <w:rPr>
                <w:rFonts w:eastAsia="Times New Roman"/>
                <w:sz w:val="16"/>
                <w:szCs w:val="16"/>
                <w:lang w:eastAsia="en-US"/>
              </w:rPr>
              <w:t>-</w:t>
            </w:r>
            <w:r w:rsidRPr="00CB13F7">
              <w:rPr>
                <w:rFonts w:eastAsia="Times New Roman"/>
                <w:sz w:val="16"/>
                <w:szCs w:val="16"/>
                <w:lang w:eastAsia="en-US"/>
              </w:rPr>
              <w:t xml:space="preserve"> 5,220</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500</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55%</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200 milion lekë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90</w:t>
            </w:r>
          </w:p>
        </w:tc>
        <w:tc>
          <w:tcPr>
            <w:tcW w:w="198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08713811" w14:textId="76F25E40" w:rsidR="007D728E" w:rsidRPr="00CB13F7" w:rsidRDefault="00736097" w:rsidP="007D728E">
            <w:pPr>
              <w:rPr>
                <w:rFonts w:eastAsia="Times New Roman"/>
                <w:sz w:val="16"/>
                <w:szCs w:val="16"/>
                <w:lang w:eastAsia="en-US"/>
              </w:rPr>
            </w:pPr>
            <w:r w:rsidRPr="00CB13F7">
              <w:rPr>
                <w:rFonts w:eastAsia="Times New Roman"/>
                <w:sz w:val="16"/>
                <w:szCs w:val="16"/>
                <w:lang w:eastAsia="en-US"/>
              </w:rPr>
              <w:t>Baza e të dhënave</w:t>
            </w:r>
            <w:r w:rsidR="007D728E" w:rsidRPr="00CB13F7">
              <w:rPr>
                <w:rFonts w:eastAsia="Times New Roman"/>
                <w:sz w:val="16"/>
                <w:szCs w:val="16"/>
                <w:lang w:eastAsia="en-US"/>
              </w:rPr>
              <w:t xml:space="preserve"> e AKPA; </w:t>
            </w:r>
            <w:r w:rsidR="007D728E" w:rsidRPr="00CB13F7">
              <w:rPr>
                <w:rFonts w:eastAsia="Times New Roman"/>
                <w:sz w:val="16"/>
                <w:szCs w:val="16"/>
                <w:lang w:eastAsia="en-US"/>
              </w:rPr>
              <w:br/>
              <w:t>Raporte mujore/vjetore;</w:t>
            </w:r>
            <w:r w:rsidR="007D728E" w:rsidRPr="00CB13F7">
              <w:rPr>
                <w:rFonts w:eastAsia="Times New Roman"/>
                <w:sz w:val="16"/>
                <w:szCs w:val="16"/>
                <w:lang w:eastAsia="en-US"/>
              </w:rPr>
              <w:br/>
              <w:t>Raporte programesh;</w:t>
            </w:r>
            <w:r w:rsidR="007D728E" w:rsidRPr="00CB13F7">
              <w:rPr>
                <w:rFonts w:eastAsia="Times New Roman"/>
                <w:sz w:val="16"/>
                <w:szCs w:val="16"/>
                <w:lang w:eastAsia="en-US"/>
              </w:rPr>
              <w:br/>
              <w:t>Kontrata subvencioni</w:t>
            </w:r>
            <w:r w:rsidR="007D728E" w:rsidRPr="00CB13F7">
              <w:rPr>
                <w:rFonts w:eastAsia="Times New Roman"/>
                <w:sz w:val="16"/>
                <w:szCs w:val="16"/>
                <w:lang w:eastAsia="en-US"/>
              </w:rPr>
              <w:br/>
              <w:t xml:space="preserve">Monitorim AKPA; </w:t>
            </w:r>
            <w:r w:rsidR="007D728E" w:rsidRPr="00CB13F7">
              <w:rPr>
                <w:rFonts w:eastAsia="Times New Roman"/>
                <w:sz w:val="16"/>
                <w:szCs w:val="16"/>
                <w:lang w:eastAsia="en-US"/>
              </w:rPr>
              <w:br/>
              <w:t>Sistem tatimor Ligji i Buxhetit; Raportet e Ministrisë së Financave</w:t>
            </w:r>
            <w:r w:rsidR="007D728E" w:rsidRPr="00CB13F7">
              <w:rPr>
                <w:rFonts w:eastAsia="Times New Roman"/>
                <w:sz w:val="16"/>
                <w:szCs w:val="16"/>
                <w:lang w:eastAsia="en-US"/>
              </w:rPr>
              <w:br/>
              <w:t>Regjistri i subvencioneve; AKPA</w:t>
            </w:r>
            <w:r w:rsidR="007D728E" w:rsidRPr="00CB13F7">
              <w:rPr>
                <w:rFonts w:eastAsia="Times New Roman"/>
                <w:sz w:val="16"/>
                <w:szCs w:val="16"/>
                <w:lang w:eastAsia="en-US"/>
              </w:rPr>
              <w:br/>
              <w:t xml:space="preserve">Regjistri i ndërmarrjeve sociale apo </w:t>
            </w:r>
            <w:r w:rsidR="00234FBC" w:rsidRPr="00CB13F7">
              <w:rPr>
                <w:rFonts w:eastAsia="Times New Roman"/>
                <w:sz w:val="16"/>
                <w:szCs w:val="16"/>
                <w:lang w:eastAsia="en-US"/>
              </w:rPr>
              <w:t>vetëpunësimeve</w:t>
            </w:r>
            <w:r w:rsidR="007D728E" w:rsidRPr="00CB13F7">
              <w:rPr>
                <w:rFonts w:eastAsia="Times New Roman"/>
                <w:sz w:val="16"/>
                <w:szCs w:val="16"/>
                <w:lang w:eastAsia="en-US"/>
              </w:rPr>
              <w:t xml:space="preserve">; </w:t>
            </w:r>
            <w:r w:rsidR="007D728E" w:rsidRPr="00CB13F7">
              <w:rPr>
                <w:rFonts w:eastAsia="Times New Roman"/>
                <w:sz w:val="16"/>
                <w:szCs w:val="16"/>
                <w:lang w:eastAsia="en-US"/>
              </w:rPr>
              <w:br/>
              <w:t>Raporte grantesh</w:t>
            </w:r>
            <w:r w:rsidR="007D728E" w:rsidRPr="00CB13F7">
              <w:rPr>
                <w:rFonts w:eastAsia="Times New Roman"/>
                <w:sz w:val="16"/>
                <w:szCs w:val="16"/>
                <w:lang w:eastAsia="en-US"/>
              </w:rPr>
              <w:br/>
              <w:t xml:space="preserve">Monitorim administrativ AKPA; </w:t>
            </w:r>
            <w:r w:rsidR="007D728E" w:rsidRPr="00CB13F7">
              <w:rPr>
                <w:rFonts w:eastAsia="Times New Roman"/>
                <w:sz w:val="16"/>
                <w:szCs w:val="16"/>
                <w:lang w:eastAsia="en-US"/>
              </w:rPr>
              <w:br/>
              <w:t>Të dhëna kontributesh</w:t>
            </w:r>
          </w:p>
        </w:tc>
        <w:tc>
          <w:tcPr>
            <w:tcW w:w="2382"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7A80A5A9"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AC23030" w14:textId="77777777" w:rsidTr="661F9D2E">
        <w:trPr>
          <w:gridAfter w:val="6"/>
          <w:wAfter w:w="2500" w:type="dxa"/>
          <w:trHeight w:val="1350"/>
        </w:trPr>
        <w:tc>
          <w:tcPr>
            <w:tcW w:w="895" w:type="dxa"/>
            <w:tcBorders>
              <w:top w:val="nil"/>
              <w:left w:val="single" w:sz="4" w:space="0" w:color="000000" w:themeColor="text1"/>
              <w:bottom w:val="nil"/>
              <w:right w:val="single" w:sz="4" w:space="0" w:color="000000" w:themeColor="text1"/>
            </w:tcBorders>
            <w:shd w:val="clear" w:color="auto" w:fill="CAEDFA"/>
            <w:vAlign w:val="bottom"/>
            <w:hideMark/>
          </w:tcPr>
          <w:p w14:paraId="6ACA439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5" w:type="dxa"/>
            <w:vMerge/>
            <w:vAlign w:val="center"/>
            <w:hideMark/>
          </w:tcPr>
          <w:p w14:paraId="6C911FA6" w14:textId="77777777" w:rsidR="007D728E" w:rsidRPr="00CB13F7" w:rsidRDefault="007D728E" w:rsidP="007D728E">
            <w:pPr>
              <w:rPr>
                <w:rFonts w:eastAsia="Times New Roman"/>
                <w:sz w:val="16"/>
                <w:szCs w:val="16"/>
                <w:lang w:eastAsia="en-US"/>
              </w:rPr>
            </w:pPr>
          </w:p>
        </w:tc>
        <w:tc>
          <w:tcPr>
            <w:tcW w:w="2268" w:type="dxa"/>
            <w:vMerge/>
            <w:vAlign w:val="center"/>
            <w:hideMark/>
          </w:tcPr>
          <w:p w14:paraId="16780AEF" w14:textId="77777777" w:rsidR="007D728E" w:rsidRPr="00CB13F7" w:rsidRDefault="007D728E" w:rsidP="007D728E">
            <w:pPr>
              <w:rPr>
                <w:rFonts w:eastAsia="Times New Roman"/>
                <w:sz w:val="16"/>
                <w:szCs w:val="16"/>
                <w:lang w:eastAsia="en-US"/>
              </w:rPr>
            </w:pPr>
          </w:p>
        </w:tc>
        <w:tc>
          <w:tcPr>
            <w:tcW w:w="1160" w:type="dxa"/>
            <w:vMerge/>
            <w:vAlign w:val="center"/>
            <w:hideMark/>
          </w:tcPr>
          <w:p w14:paraId="16482E65" w14:textId="77777777" w:rsidR="007D728E" w:rsidRPr="00CB13F7" w:rsidRDefault="007D728E" w:rsidP="007D728E">
            <w:pPr>
              <w:rPr>
                <w:rFonts w:eastAsia="Times New Roman"/>
                <w:sz w:val="16"/>
                <w:szCs w:val="16"/>
                <w:lang w:eastAsia="en-US"/>
              </w:rPr>
            </w:pPr>
          </w:p>
        </w:tc>
        <w:tc>
          <w:tcPr>
            <w:tcW w:w="1418" w:type="dxa"/>
            <w:gridSpan w:val="3"/>
            <w:vMerge/>
            <w:vAlign w:val="center"/>
            <w:hideMark/>
          </w:tcPr>
          <w:p w14:paraId="6A289BAD" w14:textId="77777777" w:rsidR="007D728E" w:rsidRPr="00CB13F7" w:rsidRDefault="007D728E" w:rsidP="007D728E">
            <w:pPr>
              <w:rPr>
                <w:rFonts w:eastAsia="Times New Roman"/>
                <w:sz w:val="16"/>
                <w:szCs w:val="16"/>
                <w:lang w:eastAsia="en-US"/>
              </w:rPr>
            </w:pPr>
          </w:p>
        </w:tc>
        <w:tc>
          <w:tcPr>
            <w:tcW w:w="1417" w:type="dxa"/>
            <w:vMerge/>
            <w:vAlign w:val="center"/>
            <w:hideMark/>
          </w:tcPr>
          <w:p w14:paraId="32E92486" w14:textId="77777777" w:rsidR="007D728E" w:rsidRPr="00CB13F7" w:rsidRDefault="007D728E" w:rsidP="007D728E">
            <w:pPr>
              <w:rPr>
                <w:rFonts w:eastAsia="Times New Roman"/>
                <w:sz w:val="16"/>
                <w:szCs w:val="16"/>
                <w:lang w:eastAsia="en-US"/>
              </w:rPr>
            </w:pPr>
          </w:p>
        </w:tc>
        <w:tc>
          <w:tcPr>
            <w:tcW w:w="1985" w:type="dxa"/>
            <w:vMerge/>
            <w:vAlign w:val="center"/>
            <w:hideMark/>
          </w:tcPr>
          <w:p w14:paraId="352AF901" w14:textId="77777777" w:rsidR="007D728E" w:rsidRPr="00CB13F7" w:rsidRDefault="007D728E" w:rsidP="007D728E">
            <w:pPr>
              <w:rPr>
                <w:rFonts w:eastAsia="Times New Roman"/>
                <w:sz w:val="16"/>
                <w:szCs w:val="16"/>
                <w:lang w:eastAsia="en-US"/>
              </w:rPr>
            </w:pPr>
          </w:p>
        </w:tc>
        <w:tc>
          <w:tcPr>
            <w:tcW w:w="2382" w:type="dxa"/>
            <w:vMerge/>
            <w:vAlign w:val="center"/>
            <w:hideMark/>
          </w:tcPr>
          <w:p w14:paraId="4C9F6A6A" w14:textId="77777777" w:rsidR="007D728E" w:rsidRPr="00CB13F7" w:rsidRDefault="007D728E" w:rsidP="007D728E">
            <w:pPr>
              <w:rPr>
                <w:rFonts w:eastAsia="Times New Roman"/>
                <w:color w:val="000000"/>
                <w:sz w:val="16"/>
                <w:szCs w:val="16"/>
                <w:lang w:eastAsia="en-US"/>
              </w:rPr>
            </w:pPr>
          </w:p>
        </w:tc>
      </w:tr>
      <w:tr w:rsidR="007D728E" w:rsidRPr="00CB13F7" w14:paraId="5C48A848" w14:textId="77777777" w:rsidTr="661F9D2E">
        <w:trPr>
          <w:gridAfter w:val="6"/>
          <w:wAfter w:w="2500" w:type="dxa"/>
          <w:trHeight w:val="63"/>
        </w:trPr>
        <w:tc>
          <w:tcPr>
            <w:tcW w:w="895" w:type="dxa"/>
            <w:tcBorders>
              <w:top w:val="nil"/>
              <w:left w:val="single" w:sz="4" w:space="0" w:color="000000" w:themeColor="text1"/>
              <w:bottom w:val="nil"/>
              <w:right w:val="single" w:sz="4" w:space="0" w:color="000000" w:themeColor="text1"/>
            </w:tcBorders>
            <w:shd w:val="clear" w:color="auto" w:fill="CAEDFA"/>
            <w:vAlign w:val="center"/>
            <w:hideMark/>
          </w:tcPr>
          <w:p w14:paraId="26BF667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5" w:type="dxa"/>
            <w:vMerge/>
            <w:vAlign w:val="center"/>
            <w:hideMark/>
          </w:tcPr>
          <w:p w14:paraId="17CA086C" w14:textId="77777777" w:rsidR="007D728E" w:rsidRPr="00CB13F7" w:rsidRDefault="007D728E" w:rsidP="007D728E">
            <w:pPr>
              <w:rPr>
                <w:rFonts w:eastAsia="Times New Roman"/>
                <w:sz w:val="16"/>
                <w:szCs w:val="16"/>
                <w:lang w:eastAsia="en-US"/>
              </w:rPr>
            </w:pPr>
          </w:p>
        </w:tc>
        <w:tc>
          <w:tcPr>
            <w:tcW w:w="2268" w:type="dxa"/>
            <w:vMerge/>
            <w:vAlign w:val="center"/>
            <w:hideMark/>
          </w:tcPr>
          <w:p w14:paraId="3CB1C504" w14:textId="77777777" w:rsidR="007D728E" w:rsidRPr="00CB13F7" w:rsidRDefault="007D728E" w:rsidP="007D728E">
            <w:pPr>
              <w:rPr>
                <w:rFonts w:eastAsia="Times New Roman"/>
                <w:sz w:val="16"/>
                <w:szCs w:val="16"/>
                <w:lang w:eastAsia="en-US"/>
              </w:rPr>
            </w:pPr>
          </w:p>
        </w:tc>
        <w:tc>
          <w:tcPr>
            <w:tcW w:w="1160" w:type="dxa"/>
            <w:vMerge/>
            <w:vAlign w:val="center"/>
            <w:hideMark/>
          </w:tcPr>
          <w:p w14:paraId="0AE0039F" w14:textId="77777777" w:rsidR="007D728E" w:rsidRPr="00CB13F7" w:rsidRDefault="007D728E" w:rsidP="007D728E">
            <w:pPr>
              <w:rPr>
                <w:rFonts w:eastAsia="Times New Roman"/>
                <w:sz w:val="16"/>
                <w:szCs w:val="16"/>
                <w:lang w:eastAsia="en-US"/>
              </w:rPr>
            </w:pPr>
          </w:p>
        </w:tc>
        <w:tc>
          <w:tcPr>
            <w:tcW w:w="1418" w:type="dxa"/>
            <w:gridSpan w:val="3"/>
            <w:vMerge/>
            <w:vAlign w:val="center"/>
            <w:hideMark/>
          </w:tcPr>
          <w:p w14:paraId="4EF7A415" w14:textId="77777777" w:rsidR="007D728E" w:rsidRPr="00CB13F7" w:rsidRDefault="007D728E" w:rsidP="007D728E">
            <w:pPr>
              <w:rPr>
                <w:rFonts w:eastAsia="Times New Roman"/>
                <w:sz w:val="16"/>
                <w:szCs w:val="16"/>
                <w:lang w:eastAsia="en-US"/>
              </w:rPr>
            </w:pPr>
          </w:p>
        </w:tc>
        <w:tc>
          <w:tcPr>
            <w:tcW w:w="1417" w:type="dxa"/>
            <w:vMerge/>
            <w:vAlign w:val="center"/>
            <w:hideMark/>
          </w:tcPr>
          <w:p w14:paraId="0D5E91BF" w14:textId="77777777" w:rsidR="007D728E" w:rsidRPr="00CB13F7" w:rsidRDefault="007D728E" w:rsidP="007D728E">
            <w:pPr>
              <w:rPr>
                <w:rFonts w:eastAsia="Times New Roman"/>
                <w:sz w:val="16"/>
                <w:szCs w:val="16"/>
                <w:lang w:eastAsia="en-US"/>
              </w:rPr>
            </w:pPr>
          </w:p>
        </w:tc>
        <w:tc>
          <w:tcPr>
            <w:tcW w:w="1985" w:type="dxa"/>
            <w:vMerge/>
            <w:vAlign w:val="center"/>
            <w:hideMark/>
          </w:tcPr>
          <w:p w14:paraId="000A173F" w14:textId="77777777" w:rsidR="007D728E" w:rsidRPr="00CB13F7" w:rsidRDefault="007D728E" w:rsidP="007D728E">
            <w:pPr>
              <w:rPr>
                <w:rFonts w:eastAsia="Times New Roman"/>
                <w:sz w:val="16"/>
                <w:szCs w:val="16"/>
                <w:lang w:eastAsia="en-US"/>
              </w:rPr>
            </w:pPr>
          </w:p>
        </w:tc>
        <w:tc>
          <w:tcPr>
            <w:tcW w:w="2382" w:type="dxa"/>
            <w:vMerge/>
            <w:vAlign w:val="center"/>
            <w:hideMark/>
          </w:tcPr>
          <w:p w14:paraId="1E2A6A9C" w14:textId="77777777" w:rsidR="007D728E" w:rsidRPr="00CB13F7" w:rsidRDefault="007D728E" w:rsidP="007D728E">
            <w:pPr>
              <w:rPr>
                <w:rFonts w:eastAsia="Times New Roman"/>
                <w:color w:val="000000"/>
                <w:sz w:val="16"/>
                <w:szCs w:val="16"/>
                <w:lang w:eastAsia="en-US"/>
              </w:rPr>
            </w:pPr>
          </w:p>
        </w:tc>
      </w:tr>
      <w:tr w:rsidR="007D728E" w:rsidRPr="00CB13F7" w14:paraId="02F14961" w14:textId="77777777" w:rsidTr="661F9D2E">
        <w:trPr>
          <w:gridAfter w:val="6"/>
          <w:wAfter w:w="2500" w:type="dxa"/>
          <w:trHeight w:val="1127"/>
        </w:trPr>
        <w:tc>
          <w:tcPr>
            <w:tcW w:w="895"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6A6CAFD0"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Masat prioritare</w:t>
            </w:r>
          </w:p>
        </w:tc>
        <w:tc>
          <w:tcPr>
            <w:tcW w:w="2125" w:type="dxa"/>
            <w:tcBorders>
              <w:top w:val="single" w:sz="4" w:space="0" w:color="auto"/>
              <w:left w:val="nil"/>
              <w:bottom w:val="single" w:sz="4" w:space="0" w:color="auto"/>
              <w:right w:val="single" w:sz="4" w:space="0" w:color="000000" w:themeColor="text1"/>
            </w:tcBorders>
            <w:hideMark/>
          </w:tcPr>
          <w:p w14:paraId="66A1C0B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1.1 Përmirësimi i kornizës politike, ligjore dhe institucionale për arsim e formim profesional gjithëpërfshirës për nxënësit e kursantët me aftësi të kufizuara</w:t>
            </w:r>
          </w:p>
        </w:tc>
        <w:tc>
          <w:tcPr>
            <w:tcW w:w="2268" w:type="dxa"/>
            <w:tcBorders>
              <w:top w:val="single" w:sz="4" w:space="0" w:color="auto"/>
              <w:left w:val="nil"/>
              <w:bottom w:val="single" w:sz="4" w:space="0" w:color="auto"/>
              <w:right w:val="single" w:sz="4" w:space="0" w:color="auto"/>
            </w:tcBorders>
            <w:hideMark/>
          </w:tcPr>
          <w:p w14:paraId="666AF38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 Nr. i akteve ligjore/nënligjore të rishikuara</w:t>
            </w:r>
            <w:r w:rsidRPr="00CB13F7">
              <w:rPr>
                <w:rFonts w:eastAsia="Times New Roman"/>
                <w:sz w:val="16"/>
                <w:szCs w:val="16"/>
                <w:lang w:eastAsia="en-US"/>
              </w:rPr>
              <w:br/>
              <w:t xml:space="preserve">Miratimi i </w:t>
            </w:r>
            <w:r w:rsidR="00234FBC" w:rsidRPr="00CB13F7">
              <w:rPr>
                <w:rFonts w:eastAsia="Times New Roman"/>
                <w:sz w:val="16"/>
                <w:szCs w:val="16"/>
                <w:lang w:eastAsia="en-US"/>
              </w:rPr>
              <w:t>Urdhrave</w:t>
            </w:r>
            <w:r w:rsidRPr="00CB13F7">
              <w:rPr>
                <w:rFonts w:eastAsia="Times New Roman"/>
                <w:sz w:val="16"/>
                <w:szCs w:val="16"/>
                <w:lang w:eastAsia="en-US"/>
              </w:rPr>
              <w:t>, Udhëzimeve, Manualeve, Standardeve dhe kritereve kombëtare për AFP gjithëpërfshirës</w:t>
            </w:r>
            <w:r w:rsidRPr="00CB13F7">
              <w:rPr>
                <w:rFonts w:eastAsia="Times New Roman"/>
                <w:sz w:val="16"/>
                <w:szCs w:val="16"/>
                <w:lang w:eastAsia="en-US"/>
              </w:rPr>
              <w:br/>
            </w:r>
          </w:p>
        </w:tc>
        <w:tc>
          <w:tcPr>
            <w:tcW w:w="1160" w:type="dxa"/>
            <w:tcBorders>
              <w:top w:val="nil"/>
              <w:left w:val="nil"/>
              <w:bottom w:val="single" w:sz="4" w:space="0" w:color="auto"/>
              <w:right w:val="single" w:sz="4" w:space="0" w:color="auto"/>
            </w:tcBorders>
            <w:noWrap/>
            <w:hideMark/>
          </w:tcPr>
          <w:p w14:paraId="300CC9EC"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3</w:t>
            </w:r>
          </w:p>
        </w:tc>
        <w:tc>
          <w:tcPr>
            <w:tcW w:w="1418" w:type="dxa"/>
            <w:gridSpan w:val="3"/>
            <w:tcBorders>
              <w:top w:val="nil"/>
              <w:left w:val="nil"/>
              <w:bottom w:val="single" w:sz="4" w:space="0" w:color="auto"/>
              <w:right w:val="single" w:sz="4" w:space="0" w:color="auto"/>
            </w:tcBorders>
            <w:noWrap/>
            <w:hideMark/>
          </w:tcPr>
          <w:p w14:paraId="75AB3AB2"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3 Rishikime ligjore, 3 </w:t>
            </w:r>
            <w:r w:rsidR="00234FBC" w:rsidRPr="00CB13F7">
              <w:rPr>
                <w:rFonts w:eastAsia="Times New Roman"/>
                <w:color w:val="000000"/>
                <w:sz w:val="16"/>
                <w:szCs w:val="16"/>
                <w:lang w:eastAsia="en-US"/>
              </w:rPr>
              <w:t>udhëzime</w:t>
            </w:r>
          </w:p>
        </w:tc>
        <w:tc>
          <w:tcPr>
            <w:tcW w:w="1417" w:type="dxa"/>
            <w:tcBorders>
              <w:top w:val="nil"/>
              <w:left w:val="nil"/>
              <w:bottom w:val="single" w:sz="4" w:space="0" w:color="auto"/>
              <w:right w:val="single" w:sz="4" w:space="0" w:color="auto"/>
            </w:tcBorders>
            <w:noWrap/>
            <w:hideMark/>
          </w:tcPr>
          <w:p w14:paraId="44F7C84F"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2 udhëzime</w:t>
            </w:r>
          </w:p>
        </w:tc>
        <w:tc>
          <w:tcPr>
            <w:tcW w:w="1985" w:type="dxa"/>
            <w:tcBorders>
              <w:top w:val="single" w:sz="4" w:space="0" w:color="auto"/>
              <w:left w:val="nil"/>
              <w:bottom w:val="single" w:sz="4" w:space="0" w:color="auto"/>
              <w:right w:val="single" w:sz="4" w:space="0" w:color="auto"/>
            </w:tcBorders>
            <w:hideMark/>
          </w:tcPr>
          <w:p w14:paraId="70CC4C1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Fletorja Zyrtare; </w:t>
            </w:r>
            <w:r w:rsidRPr="00CB13F7">
              <w:rPr>
                <w:rFonts w:eastAsia="Times New Roman"/>
                <w:color w:val="000000"/>
                <w:sz w:val="16"/>
                <w:szCs w:val="16"/>
                <w:lang w:eastAsia="en-US"/>
              </w:rPr>
              <w:br/>
              <w:t xml:space="preserve">Vendime të Këshillit të Ministrave; </w:t>
            </w:r>
            <w:r w:rsidRPr="00CB13F7">
              <w:rPr>
                <w:rFonts w:eastAsia="Times New Roman"/>
                <w:color w:val="000000"/>
                <w:sz w:val="16"/>
                <w:szCs w:val="16"/>
                <w:lang w:eastAsia="en-US"/>
              </w:rPr>
              <w:br/>
              <w:t xml:space="preserve">Raporte të MEI dhe AKPA për AFP; </w:t>
            </w:r>
          </w:p>
        </w:tc>
        <w:tc>
          <w:tcPr>
            <w:tcW w:w="2382" w:type="dxa"/>
            <w:tcBorders>
              <w:top w:val="single" w:sz="4" w:space="0" w:color="auto"/>
              <w:left w:val="nil"/>
              <w:bottom w:val="single" w:sz="4" w:space="0" w:color="auto"/>
              <w:right w:val="single" w:sz="4" w:space="0" w:color="auto"/>
            </w:tcBorders>
            <w:noWrap/>
            <w:hideMark/>
          </w:tcPr>
          <w:p w14:paraId="68904D45"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03A51EC" w14:textId="77777777" w:rsidTr="661F9D2E">
        <w:trPr>
          <w:gridAfter w:val="6"/>
          <w:wAfter w:w="2500" w:type="dxa"/>
          <w:trHeight w:val="1200"/>
        </w:trPr>
        <w:tc>
          <w:tcPr>
            <w:tcW w:w="895" w:type="dxa"/>
            <w:vMerge/>
            <w:vAlign w:val="center"/>
            <w:hideMark/>
          </w:tcPr>
          <w:p w14:paraId="7D98C4A2"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68BC761C" w14:textId="0AE2FB49"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xml:space="preserve">Masa prioritare 1.2: Përmirësimi i infrastrukturës dhe teknologjisë </w:t>
            </w:r>
            <w:r w:rsidR="00F00D71" w:rsidRPr="00CB13F7">
              <w:rPr>
                <w:rFonts w:eastAsia="Times New Roman"/>
                <w:sz w:val="16"/>
                <w:szCs w:val="16"/>
                <w:lang w:eastAsia="en-US"/>
              </w:rPr>
              <w:t>ndih</w:t>
            </w:r>
            <w:r w:rsidR="00086892" w:rsidRPr="00CB13F7">
              <w:rPr>
                <w:rFonts w:eastAsia="Times New Roman"/>
                <w:sz w:val="16"/>
                <w:szCs w:val="16"/>
                <w:lang w:eastAsia="en-US"/>
              </w:rPr>
              <w:t>mëse</w:t>
            </w:r>
            <w:r w:rsidRPr="00CB13F7">
              <w:rPr>
                <w:rFonts w:eastAsia="Times New Roman"/>
                <w:sz w:val="16"/>
                <w:szCs w:val="16"/>
                <w:lang w:eastAsia="en-US"/>
              </w:rPr>
              <w:t>: Krijimi i mjediseve mësimore të aksesueshme dhe të pajisura me teknologji mbështetëse.</w:t>
            </w:r>
          </w:p>
        </w:tc>
        <w:tc>
          <w:tcPr>
            <w:tcW w:w="2268" w:type="dxa"/>
            <w:tcBorders>
              <w:top w:val="single" w:sz="4" w:space="0" w:color="auto"/>
              <w:left w:val="nil"/>
              <w:bottom w:val="single" w:sz="4" w:space="0" w:color="auto"/>
              <w:right w:val="single" w:sz="4" w:space="0" w:color="auto"/>
            </w:tcBorders>
            <w:noWrap/>
            <w:hideMark/>
          </w:tcPr>
          <w:p w14:paraId="210BF94C" w14:textId="4C201889"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e institucioneve AFP të aksesueshme</w:t>
            </w:r>
            <w:r w:rsidRPr="00CB13F7">
              <w:rPr>
                <w:rFonts w:eastAsia="Times New Roman"/>
                <w:sz w:val="16"/>
                <w:szCs w:val="16"/>
                <w:lang w:eastAsia="en-US"/>
              </w:rPr>
              <w:br/>
              <w:t xml:space="preserve">Nr. i institucioneve të pajisura me teknologji </w:t>
            </w:r>
            <w:r w:rsidR="00086892" w:rsidRPr="00CB13F7">
              <w:rPr>
                <w:rFonts w:eastAsia="Times New Roman"/>
                <w:sz w:val="16"/>
                <w:szCs w:val="16"/>
                <w:lang w:eastAsia="en-US"/>
              </w:rPr>
              <w:t>ndihmëse</w:t>
            </w:r>
          </w:p>
        </w:tc>
        <w:tc>
          <w:tcPr>
            <w:tcW w:w="1160" w:type="dxa"/>
            <w:tcBorders>
              <w:top w:val="nil"/>
              <w:left w:val="nil"/>
              <w:bottom w:val="single" w:sz="4" w:space="0" w:color="auto"/>
              <w:right w:val="single" w:sz="4" w:space="0" w:color="auto"/>
            </w:tcBorders>
            <w:noWrap/>
            <w:hideMark/>
          </w:tcPr>
          <w:p w14:paraId="6367AC61"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0,4%</w:t>
            </w:r>
          </w:p>
        </w:tc>
        <w:tc>
          <w:tcPr>
            <w:tcW w:w="1418" w:type="dxa"/>
            <w:gridSpan w:val="3"/>
            <w:tcBorders>
              <w:top w:val="nil"/>
              <w:left w:val="nil"/>
              <w:bottom w:val="single" w:sz="4" w:space="0" w:color="auto"/>
              <w:right w:val="single" w:sz="4" w:space="0" w:color="auto"/>
            </w:tcBorders>
            <w:noWrap/>
            <w:hideMark/>
          </w:tcPr>
          <w:p w14:paraId="1B4CE1ED" w14:textId="7F51B435"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14%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27%</w:t>
            </w:r>
          </w:p>
        </w:tc>
        <w:tc>
          <w:tcPr>
            <w:tcW w:w="1417" w:type="dxa"/>
            <w:tcBorders>
              <w:top w:val="nil"/>
              <w:left w:val="nil"/>
              <w:bottom w:val="single" w:sz="4" w:space="0" w:color="auto"/>
              <w:right w:val="single" w:sz="4" w:space="0" w:color="auto"/>
            </w:tcBorders>
            <w:noWrap/>
            <w:hideMark/>
          </w:tcPr>
          <w:p w14:paraId="6F840F05" w14:textId="7C7B4F4F"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20% </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 xml:space="preserve"> 33% </w:t>
            </w:r>
          </w:p>
        </w:tc>
        <w:tc>
          <w:tcPr>
            <w:tcW w:w="1985" w:type="dxa"/>
            <w:tcBorders>
              <w:top w:val="nil"/>
              <w:left w:val="nil"/>
              <w:bottom w:val="single" w:sz="4" w:space="0" w:color="auto"/>
              <w:right w:val="single" w:sz="4" w:space="0" w:color="auto"/>
            </w:tcBorders>
            <w:noWrap/>
            <w:hideMark/>
          </w:tcPr>
          <w:p w14:paraId="38412F6C"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Inventarë fizikë të institucioneve- Raporte buxhetore- Auditime të aksesueshmërisë</w:t>
            </w:r>
          </w:p>
        </w:tc>
        <w:tc>
          <w:tcPr>
            <w:tcW w:w="2382" w:type="dxa"/>
            <w:tcBorders>
              <w:top w:val="nil"/>
              <w:left w:val="nil"/>
              <w:bottom w:val="single" w:sz="4" w:space="0" w:color="auto"/>
              <w:right w:val="single" w:sz="4" w:space="0" w:color="auto"/>
            </w:tcBorders>
            <w:noWrap/>
            <w:hideMark/>
          </w:tcPr>
          <w:p w14:paraId="37C51EC6"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9A25BDA" w14:textId="77777777" w:rsidTr="661F9D2E">
        <w:trPr>
          <w:gridAfter w:val="6"/>
          <w:wAfter w:w="2500" w:type="dxa"/>
          <w:trHeight w:val="1275"/>
        </w:trPr>
        <w:tc>
          <w:tcPr>
            <w:tcW w:w="895" w:type="dxa"/>
            <w:vMerge/>
            <w:vAlign w:val="center"/>
            <w:hideMark/>
          </w:tcPr>
          <w:p w14:paraId="786582DA"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6959E745"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Masa prioritare 1.3: Përshtatja e kurrikulave dhe programeve mësimore; Sigurimi që programet përfshirë programet digjitale dhe të gjelbra në AFP janë të aksesueshme dhe gjithëpërfshirëse.</w:t>
            </w:r>
          </w:p>
        </w:tc>
        <w:tc>
          <w:tcPr>
            <w:tcW w:w="2268" w:type="dxa"/>
            <w:tcBorders>
              <w:top w:val="single" w:sz="4" w:space="0" w:color="auto"/>
              <w:left w:val="nil"/>
              <w:bottom w:val="single" w:sz="4" w:space="0" w:color="auto"/>
              <w:right w:val="single" w:sz="4" w:space="0" w:color="auto"/>
            </w:tcBorders>
            <w:hideMark/>
          </w:tcPr>
          <w:p w14:paraId="390A287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Nr. programeve të rishikuara;</w:t>
            </w:r>
            <w:r w:rsidRPr="00CB13F7">
              <w:rPr>
                <w:rFonts w:eastAsia="Times New Roman"/>
                <w:sz w:val="16"/>
                <w:szCs w:val="16"/>
                <w:lang w:eastAsia="en-US"/>
              </w:rPr>
              <w:br/>
            </w:r>
            <w:r w:rsidRPr="00CB13F7">
              <w:rPr>
                <w:rFonts w:eastAsia="Times New Roman"/>
                <w:sz w:val="16"/>
                <w:szCs w:val="16"/>
                <w:lang w:eastAsia="en-US"/>
              </w:rPr>
              <w:br/>
              <w:t xml:space="preserve"> % e moduleve digjitale të aksesueshme;</w:t>
            </w:r>
            <w:r w:rsidRPr="00CB13F7">
              <w:rPr>
                <w:rFonts w:eastAsia="Times New Roman"/>
                <w:sz w:val="16"/>
                <w:szCs w:val="16"/>
                <w:lang w:eastAsia="en-US"/>
              </w:rPr>
              <w:br/>
            </w:r>
            <w:r w:rsidRPr="00CB13F7">
              <w:rPr>
                <w:rFonts w:eastAsia="Times New Roman"/>
                <w:sz w:val="16"/>
                <w:szCs w:val="16"/>
                <w:lang w:eastAsia="en-US"/>
              </w:rPr>
              <w:br/>
              <w:t xml:space="preserve"> Nr. mësimdhënësve të trajnuar</w:t>
            </w:r>
          </w:p>
        </w:tc>
        <w:tc>
          <w:tcPr>
            <w:tcW w:w="1160" w:type="dxa"/>
            <w:tcBorders>
              <w:top w:val="nil"/>
              <w:left w:val="nil"/>
              <w:bottom w:val="single" w:sz="4" w:space="0" w:color="auto"/>
              <w:right w:val="single" w:sz="4" w:space="0" w:color="auto"/>
            </w:tcBorders>
            <w:hideMark/>
          </w:tcPr>
          <w:p w14:paraId="55C04F3A"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1</w:t>
            </w:r>
            <w:r w:rsidRPr="00CB13F7">
              <w:rPr>
                <w:rFonts w:eastAsia="Times New Roman"/>
                <w:color w:val="000000"/>
                <w:sz w:val="16"/>
                <w:szCs w:val="16"/>
                <w:lang w:eastAsia="en-US"/>
              </w:rPr>
              <w:br/>
            </w:r>
            <w:r w:rsidRPr="00CB13F7">
              <w:rPr>
                <w:rFonts w:eastAsia="Times New Roman"/>
                <w:color w:val="000000"/>
                <w:sz w:val="16"/>
                <w:szCs w:val="16"/>
                <w:lang w:eastAsia="en-US"/>
              </w:rPr>
              <w:br/>
              <w:t>0;</w:t>
            </w:r>
            <w:r w:rsidRPr="00CB13F7">
              <w:rPr>
                <w:rFonts w:eastAsia="Times New Roman"/>
                <w:color w:val="000000"/>
                <w:sz w:val="16"/>
                <w:szCs w:val="16"/>
                <w:lang w:eastAsia="en-US"/>
              </w:rPr>
              <w:br/>
            </w:r>
            <w:r w:rsidRPr="00CB13F7">
              <w:rPr>
                <w:rFonts w:eastAsia="Times New Roman"/>
                <w:color w:val="000000"/>
                <w:sz w:val="16"/>
                <w:szCs w:val="16"/>
                <w:lang w:eastAsia="en-US"/>
              </w:rPr>
              <w:br/>
              <w:t>N/A</w:t>
            </w:r>
          </w:p>
        </w:tc>
        <w:tc>
          <w:tcPr>
            <w:tcW w:w="1418" w:type="dxa"/>
            <w:gridSpan w:val="3"/>
            <w:tcBorders>
              <w:top w:val="nil"/>
              <w:left w:val="nil"/>
              <w:bottom w:val="single" w:sz="4" w:space="0" w:color="auto"/>
              <w:right w:val="single" w:sz="4" w:space="0" w:color="auto"/>
            </w:tcBorders>
            <w:hideMark/>
          </w:tcPr>
          <w:p w14:paraId="4DAC3BA9"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4</w:t>
            </w:r>
            <w:r w:rsidRPr="00CB13F7">
              <w:rPr>
                <w:rFonts w:eastAsia="Times New Roman"/>
                <w:color w:val="000000"/>
                <w:sz w:val="16"/>
                <w:szCs w:val="16"/>
                <w:lang w:eastAsia="en-US"/>
              </w:rPr>
              <w:br/>
            </w:r>
            <w:r w:rsidRPr="00CB13F7">
              <w:rPr>
                <w:rFonts w:eastAsia="Times New Roman"/>
                <w:color w:val="000000"/>
                <w:sz w:val="16"/>
                <w:szCs w:val="16"/>
                <w:lang w:eastAsia="en-US"/>
              </w:rPr>
              <w:br/>
              <w:t>10%</w:t>
            </w:r>
            <w:r w:rsidRPr="00CB13F7">
              <w:rPr>
                <w:rFonts w:eastAsia="Times New Roman"/>
                <w:color w:val="000000"/>
                <w:sz w:val="16"/>
                <w:szCs w:val="16"/>
                <w:lang w:eastAsia="en-US"/>
              </w:rPr>
              <w:br/>
            </w:r>
            <w:r w:rsidRPr="00CB13F7">
              <w:rPr>
                <w:rFonts w:eastAsia="Times New Roman"/>
                <w:color w:val="000000"/>
                <w:sz w:val="16"/>
                <w:szCs w:val="16"/>
                <w:lang w:eastAsia="en-US"/>
              </w:rPr>
              <w:br/>
              <w:t>180</w:t>
            </w:r>
          </w:p>
        </w:tc>
        <w:tc>
          <w:tcPr>
            <w:tcW w:w="1417" w:type="dxa"/>
            <w:tcBorders>
              <w:top w:val="nil"/>
              <w:left w:val="nil"/>
              <w:bottom w:val="single" w:sz="4" w:space="0" w:color="auto"/>
              <w:right w:val="single" w:sz="4" w:space="0" w:color="auto"/>
            </w:tcBorders>
            <w:hideMark/>
          </w:tcPr>
          <w:p w14:paraId="6379A932"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4</w:t>
            </w:r>
            <w:r w:rsidRPr="00CB13F7">
              <w:rPr>
                <w:rFonts w:eastAsia="Times New Roman"/>
                <w:color w:val="000000"/>
                <w:sz w:val="16"/>
                <w:szCs w:val="16"/>
                <w:lang w:eastAsia="en-US"/>
              </w:rPr>
              <w:br/>
            </w:r>
            <w:r w:rsidRPr="00CB13F7">
              <w:rPr>
                <w:rFonts w:eastAsia="Times New Roman"/>
                <w:color w:val="000000"/>
                <w:sz w:val="16"/>
                <w:szCs w:val="16"/>
                <w:lang w:eastAsia="en-US"/>
              </w:rPr>
              <w:br/>
              <w:t>20</w:t>
            </w:r>
            <w:r w:rsidRPr="00CB13F7">
              <w:rPr>
                <w:rFonts w:eastAsia="Times New Roman"/>
                <w:color w:val="000000"/>
                <w:sz w:val="16"/>
                <w:szCs w:val="16"/>
                <w:lang w:eastAsia="en-US"/>
              </w:rPr>
              <w:br/>
            </w:r>
            <w:r w:rsidRPr="00CB13F7">
              <w:rPr>
                <w:rFonts w:eastAsia="Times New Roman"/>
                <w:color w:val="000000"/>
                <w:sz w:val="16"/>
                <w:szCs w:val="16"/>
                <w:lang w:eastAsia="en-US"/>
              </w:rPr>
              <w:br/>
              <w:t>120</w:t>
            </w:r>
          </w:p>
        </w:tc>
        <w:tc>
          <w:tcPr>
            <w:tcW w:w="1985" w:type="dxa"/>
            <w:tcBorders>
              <w:top w:val="nil"/>
              <w:left w:val="nil"/>
              <w:bottom w:val="single" w:sz="4" w:space="0" w:color="auto"/>
              <w:right w:val="single" w:sz="4" w:space="0" w:color="auto"/>
            </w:tcBorders>
            <w:noWrap/>
            <w:hideMark/>
          </w:tcPr>
          <w:p w14:paraId="4D5CC518"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Korniza Kombëtare e Kualifikimeve Vendime të Agjencisë së AFP Certifikata trajnimi</w:t>
            </w:r>
          </w:p>
        </w:tc>
        <w:tc>
          <w:tcPr>
            <w:tcW w:w="2382" w:type="dxa"/>
            <w:tcBorders>
              <w:top w:val="nil"/>
              <w:left w:val="nil"/>
              <w:bottom w:val="single" w:sz="4" w:space="0" w:color="auto"/>
              <w:right w:val="single" w:sz="4" w:space="0" w:color="auto"/>
            </w:tcBorders>
            <w:noWrap/>
            <w:hideMark/>
          </w:tcPr>
          <w:p w14:paraId="7B021311"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54809FE" w14:textId="77777777" w:rsidTr="661F9D2E">
        <w:trPr>
          <w:gridAfter w:val="6"/>
          <w:wAfter w:w="2500" w:type="dxa"/>
          <w:trHeight w:val="1350"/>
        </w:trPr>
        <w:tc>
          <w:tcPr>
            <w:tcW w:w="895" w:type="dxa"/>
            <w:vMerge/>
            <w:vAlign w:val="center"/>
            <w:hideMark/>
          </w:tcPr>
          <w:p w14:paraId="04AA8A99" w14:textId="77777777" w:rsidR="007D728E" w:rsidRPr="00CB13F7" w:rsidRDefault="007D728E" w:rsidP="007D728E">
            <w:pPr>
              <w:rPr>
                <w:rFonts w:eastAsia="Times New Roman"/>
                <w:b/>
                <w:bCs/>
                <w:sz w:val="16"/>
                <w:szCs w:val="16"/>
                <w:lang w:eastAsia="en-US"/>
              </w:rPr>
            </w:pPr>
          </w:p>
        </w:tc>
        <w:tc>
          <w:tcPr>
            <w:tcW w:w="2125" w:type="dxa"/>
            <w:vMerge w:val="restart"/>
            <w:tcBorders>
              <w:top w:val="nil"/>
              <w:left w:val="nil"/>
              <w:bottom w:val="nil"/>
              <w:right w:val="single" w:sz="4" w:space="0" w:color="000000" w:themeColor="text1"/>
            </w:tcBorders>
            <w:noWrap/>
            <w:hideMark/>
          </w:tcPr>
          <w:p w14:paraId="1D93BF3D"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xml:space="preserve">Masa prioritare 1.4: Mbështetja e nxënësve dhe kursantëve me aftësi të kufizuara - Sigurimi i pjesëmarrjes së barabartë dhe përfundimit me sukses të programeve mësimore në institucionet ofruese të AFP-së </w:t>
            </w:r>
          </w:p>
        </w:tc>
        <w:tc>
          <w:tcPr>
            <w:tcW w:w="2268" w:type="dxa"/>
            <w:vMerge w:val="restart"/>
            <w:tcBorders>
              <w:top w:val="nil"/>
              <w:left w:val="single" w:sz="4" w:space="0" w:color="000000" w:themeColor="text1"/>
              <w:bottom w:val="nil"/>
              <w:right w:val="nil"/>
            </w:tcBorders>
            <w:hideMark/>
          </w:tcPr>
          <w:p w14:paraId="481C4EB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përfituesve nga mbështetja individuale;</w:t>
            </w:r>
            <w:r w:rsidRPr="00CB13F7">
              <w:rPr>
                <w:rFonts w:eastAsia="Times New Roman"/>
                <w:color w:val="000000"/>
                <w:sz w:val="16"/>
                <w:szCs w:val="16"/>
                <w:lang w:eastAsia="en-US"/>
              </w:rPr>
              <w:br/>
              <w:t>Nr. Bursave</w:t>
            </w:r>
            <w:r w:rsidRPr="00CB13F7">
              <w:rPr>
                <w:rFonts w:eastAsia="Times New Roman"/>
                <w:color w:val="000000"/>
                <w:sz w:val="16"/>
                <w:szCs w:val="16"/>
                <w:lang w:eastAsia="en-US"/>
              </w:rPr>
              <w:br/>
              <w:t xml:space="preserve"> % e përfundimit me sukses </w:t>
            </w:r>
          </w:p>
          <w:p w14:paraId="0104AE3B" w14:textId="77777777" w:rsidR="007D728E" w:rsidRPr="00CB13F7" w:rsidRDefault="007D728E" w:rsidP="007D728E">
            <w:pPr>
              <w:rPr>
                <w:rFonts w:eastAsia="Times New Roman"/>
                <w:sz w:val="16"/>
                <w:szCs w:val="16"/>
                <w:lang w:eastAsia="en-US"/>
              </w:rPr>
            </w:pPr>
          </w:p>
          <w:p w14:paraId="2B9CC88E" w14:textId="77777777" w:rsidR="007D728E" w:rsidRPr="00CB13F7" w:rsidRDefault="007D728E" w:rsidP="007D728E">
            <w:pPr>
              <w:rPr>
                <w:rFonts w:eastAsia="Times New Roman"/>
                <w:sz w:val="16"/>
                <w:szCs w:val="16"/>
                <w:lang w:eastAsia="en-US"/>
              </w:rPr>
            </w:pPr>
          </w:p>
        </w:tc>
        <w:tc>
          <w:tcPr>
            <w:tcW w:w="1160" w:type="dxa"/>
            <w:vMerge w:val="restart"/>
            <w:tcBorders>
              <w:top w:val="nil"/>
              <w:left w:val="single" w:sz="4" w:space="0" w:color="000000" w:themeColor="text1"/>
              <w:bottom w:val="single" w:sz="4" w:space="0" w:color="000000" w:themeColor="text1"/>
              <w:right w:val="single" w:sz="4" w:space="0" w:color="000000" w:themeColor="text1"/>
            </w:tcBorders>
            <w:hideMark/>
          </w:tcPr>
          <w:p w14:paraId="38C6AF21" w14:textId="77777777" w:rsidR="007D728E" w:rsidRPr="00CB13F7" w:rsidRDefault="007D728E" w:rsidP="007D728E">
            <w:pPr>
              <w:rPr>
                <w:rFonts w:eastAsia="Times New Roman"/>
                <w:sz w:val="16"/>
                <w:szCs w:val="16"/>
                <w:lang w:eastAsia="en-US"/>
              </w:rPr>
            </w:pPr>
            <w:r w:rsidRPr="00CB13F7">
              <w:rPr>
                <w:rFonts w:eastAsia="Times New Roman"/>
                <w:color w:val="000000"/>
                <w:sz w:val="16"/>
                <w:szCs w:val="16"/>
                <w:lang w:eastAsia="en-US"/>
              </w:rPr>
              <w:t>400</w:t>
            </w:r>
            <w:r w:rsidRPr="00CB13F7">
              <w:rPr>
                <w:rFonts w:eastAsia="Times New Roman"/>
                <w:color w:val="000000"/>
                <w:sz w:val="16"/>
                <w:szCs w:val="16"/>
                <w:lang w:eastAsia="en-US"/>
              </w:rPr>
              <w:br/>
            </w:r>
            <w:r w:rsidRPr="00CB13F7">
              <w:rPr>
                <w:rFonts w:eastAsia="Times New Roman"/>
                <w:color w:val="000000"/>
                <w:sz w:val="16"/>
                <w:szCs w:val="16"/>
                <w:lang w:eastAsia="en-US"/>
              </w:rPr>
              <w:br/>
              <w:t>N/A</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p>
        </w:tc>
        <w:tc>
          <w:tcPr>
            <w:tcW w:w="1418" w:type="dxa"/>
            <w:gridSpan w:val="3"/>
            <w:vMerge w:val="restart"/>
            <w:tcBorders>
              <w:top w:val="nil"/>
              <w:left w:val="single" w:sz="4" w:space="0" w:color="000000" w:themeColor="text1"/>
              <w:bottom w:val="single" w:sz="4" w:space="0" w:color="000000" w:themeColor="text1"/>
              <w:right w:val="single" w:sz="4" w:space="0" w:color="000000" w:themeColor="text1"/>
            </w:tcBorders>
            <w:hideMark/>
          </w:tcPr>
          <w:p w14:paraId="3939452A" w14:textId="77777777" w:rsidR="007D728E" w:rsidRPr="00CB13F7" w:rsidRDefault="007D728E" w:rsidP="007D728E">
            <w:pPr>
              <w:rPr>
                <w:rFonts w:eastAsia="Times New Roman"/>
                <w:sz w:val="16"/>
                <w:szCs w:val="16"/>
                <w:lang w:eastAsia="en-US"/>
              </w:rPr>
            </w:pPr>
            <w:r w:rsidRPr="00CB13F7">
              <w:rPr>
                <w:rFonts w:eastAsia="Times New Roman"/>
                <w:color w:val="000000"/>
                <w:sz w:val="16"/>
                <w:szCs w:val="16"/>
                <w:lang w:eastAsia="en-US"/>
              </w:rPr>
              <w:t>5,5% (50% femra)</w:t>
            </w:r>
            <w:r w:rsidRPr="00CB13F7">
              <w:rPr>
                <w:rFonts w:eastAsia="Times New Roman"/>
                <w:color w:val="000000"/>
                <w:sz w:val="16"/>
                <w:szCs w:val="16"/>
                <w:lang w:eastAsia="en-US"/>
              </w:rPr>
              <w:br/>
            </w:r>
            <w:r w:rsidRPr="00CB13F7">
              <w:rPr>
                <w:rFonts w:eastAsia="Times New Roman"/>
                <w:color w:val="000000"/>
                <w:sz w:val="16"/>
                <w:szCs w:val="16"/>
                <w:lang w:eastAsia="en-US"/>
              </w:rPr>
              <w:br/>
              <w:t>70%</w:t>
            </w:r>
            <w:r w:rsidRPr="00CB13F7">
              <w:rPr>
                <w:rFonts w:eastAsia="Times New Roman"/>
                <w:color w:val="000000"/>
                <w:sz w:val="16"/>
                <w:szCs w:val="16"/>
                <w:lang w:eastAsia="en-US"/>
              </w:rPr>
              <w:br/>
            </w:r>
            <w:r w:rsidRPr="00CB13F7">
              <w:rPr>
                <w:rFonts w:eastAsia="Times New Roman"/>
                <w:color w:val="000000"/>
                <w:sz w:val="16"/>
                <w:szCs w:val="16"/>
                <w:lang w:eastAsia="en-US"/>
              </w:rPr>
              <w:br/>
              <w:t>100%</w:t>
            </w:r>
            <w:r w:rsidRPr="00CB13F7">
              <w:rPr>
                <w:rFonts w:eastAsia="Times New Roman"/>
                <w:sz w:val="16"/>
                <w:szCs w:val="16"/>
                <w:lang w:eastAsia="en-US"/>
              </w:rPr>
              <w:t xml:space="preserve"> </w:t>
            </w:r>
          </w:p>
        </w:tc>
        <w:tc>
          <w:tcPr>
            <w:tcW w:w="1417" w:type="dxa"/>
            <w:vMerge w:val="restart"/>
            <w:tcBorders>
              <w:top w:val="nil"/>
              <w:left w:val="single" w:sz="4" w:space="0" w:color="000000" w:themeColor="text1"/>
              <w:bottom w:val="single" w:sz="4" w:space="0" w:color="000000" w:themeColor="text1"/>
              <w:right w:val="single" w:sz="4" w:space="0" w:color="000000" w:themeColor="text1"/>
            </w:tcBorders>
            <w:hideMark/>
          </w:tcPr>
          <w:p w14:paraId="651F390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7,5% (50% femra)</w:t>
            </w:r>
            <w:r w:rsidRPr="00CB13F7">
              <w:rPr>
                <w:rFonts w:eastAsia="Times New Roman"/>
                <w:color w:val="000000"/>
                <w:sz w:val="16"/>
                <w:szCs w:val="16"/>
                <w:lang w:eastAsia="en-US"/>
              </w:rPr>
              <w:br/>
            </w:r>
            <w:r w:rsidRPr="00CB13F7">
              <w:rPr>
                <w:rFonts w:eastAsia="Times New Roman"/>
                <w:color w:val="000000"/>
                <w:sz w:val="16"/>
                <w:szCs w:val="16"/>
                <w:lang w:eastAsia="en-US"/>
              </w:rPr>
              <w:br/>
              <w:t>80%</w:t>
            </w:r>
            <w:r w:rsidRPr="00CB13F7">
              <w:rPr>
                <w:rFonts w:eastAsia="Times New Roman"/>
                <w:color w:val="000000"/>
                <w:sz w:val="16"/>
                <w:szCs w:val="16"/>
                <w:lang w:eastAsia="en-US"/>
              </w:rPr>
              <w:br/>
            </w:r>
            <w:r w:rsidRPr="00CB13F7">
              <w:rPr>
                <w:rFonts w:eastAsia="Times New Roman"/>
                <w:color w:val="000000"/>
                <w:sz w:val="16"/>
                <w:szCs w:val="16"/>
                <w:lang w:eastAsia="en-US"/>
              </w:rPr>
              <w:br/>
              <w:t>100%</w:t>
            </w:r>
          </w:p>
        </w:tc>
        <w:tc>
          <w:tcPr>
            <w:tcW w:w="1985" w:type="dxa"/>
            <w:vMerge w:val="restart"/>
            <w:tcBorders>
              <w:top w:val="nil"/>
              <w:left w:val="single" w:sz="4" w:space="0" w:color="000000" w:themeColor="text1"/>
              <w:bottom w:val="single" w:sz="4" w:space="0" w:color="000000" w:themeColor="text1"/>
              <w:right w:val="single" w:sz="4" w:space="0" w:color="000000" w:themeColor="text1"/>
            </w:tcBorders>
            <w:hideMark/>
          </w:tcPr>
          <w:p w14:paraId="79DB49B5" w14:textId="523BBB14" w:rsidR="007D728E" w:rsidRPr="00CB13F7" w:rsidRDefault="48A00EEC" w:rsidP="007D728E">
            <w:pPr>
              <w:rPr>
                <w:rFonts w:eastAsia="Times New Roman"/>
                <w:color w:val="000000"/>
                <w:sz w:val="16"/>
                <w:szCs w:val="16"/>
                <w:lang w:eastAsia="en-US"/>
              </w:rPr>
            </w:pPr>
            <w:r w:rsidRPr="00CB13F7">
              <w:rPr>
                <w:rFonts w:eastAsia="Times New Roman"/>
                <w:color w:val="000000" w:themeColor="text1"/>
                <w:sz w:val="16"/>
                <w:szCs w:val="16"/>
                <w:lang w:eastAsia="en-US"/>
              </w:rPr>
              <w:t>Regjstra</w:t>
            </w:r>
            <w:r w:rsidR="0080D2BD" w:rsidRPr="00CB13F7">
              <w:rPr>
                <w:rFonts w:eastAsia="Times New Roman"/>
                <w:color w:val="000000" w:themeColor="text1"/>
                <w:sz w:val="16"/>
                <w:szCs w:val="16"/>
                <w:lang w:eastAsia="en-US"/>
              </w:rPr>
              <w:t xml:space="preserve"> nga institucione; Raporte te IOAFP;</w:t>
            </w:r>
            <w:r w:rsidR="00234FBC" w:rsidRPr="00CB13F7">
              <w:br/>
            </w:r>
            <w:r w:rsidR="0080D2BD" w:rsidRPr="00CB13F7">
              <w:rPr>
                <w:rFonts w:eastAsia="Times New Roman"/>
                <w:color w:val="000000" w:themeColor="text1"/>
                <w:sz w:val="16"/>
                <w:szCs w:val="16"/>
                <w:lang w:eastAsia="en-US"/>
              </w:rPr>
              <w:t>Raporte të AKPA</w:t>
            </w:r>
            <w:r w:rsidR="00234FBC" w:rsidRPr="00CB13F7">
              <w:br/>
            </w:r>
            <w:r w:rsidR="0080D2BD" w:rsidRPr="00CB13F7">
              <w:rPr>
                <w:rFonts w:eastAsia="Times New Roman"/>
                <w:color w:val="000000" w:themeColor="text1"/>
                <w:sz w:val="16"/>
                <w:szCs w:val="16"/>
                <w:lang w:eastAsia="en-US"/>
              </w:rPr>
              <w:t xml:space="preserve">Regjistra të institucioneve AFP; Sistemi </w:t>
            </w:r>
            <w:r w:rsidR="552316D2" w:rsidRPr="00CB13F7">
              <w:rPr>
                <w:rFonts w:eastAsia="Times New Roman"/>
                <w:color w:val="000000" w:themeColor="text1"/>
                <w:sz w:val="16"/>
                <w:szCs w:val="16"/>
                <w:lang w:eastAsia="en-US"/>
              </w:rPr>
              <w:t>SMIP</w:t>
            </w:r>
            <w:r w:rsidR="0080D2BD" w:rsidRPr="00CB13F7">
              <w:rPr>
                <w:rFonts w:eastAsia="Times New Roman"/>
                <w:color w:val="000000" w:themeColor="text1"/>
                <w:sz w:val="16"/>
                <w:szCs w:val="16"/>
                <w:lang w:eastAsia="en-US"/>
              </w:rPr>
              <w:t xml:space="preserve">; </w:t>
            </w:r>
            <w:r w:rsidR="00234FBC" w:rsidRPr="00CB13F7">
              <w:br/>
            </w:r>
            <w:r w:rsidR="0080D2BD" w:rsidRPr="00CB13F7">
              <w:rPr>
                <w:rFonts w:eastAsia="Times New Roman"/>
                <w:color w:val="000000" w:themeColor="text1"/>
                <w:sz w:val="16"/>
                <w:szCs w:val="16"/>
                <w:lang w:eastAsia="en-US"/>
              </w:rPr>
              <w:t>Raporte vjetore të institucioneve</w:t>
            </w:r>
          </w:p>
        </w:tc>
        <w:tc>
          <w:tcPr>
            <w:tcW w:w="2382" w:type="dxa"/>
            <w:vMerge w:val="restart"/>
            <w:tcBorders>
              <w:top w:val="nil"/>
              <w:left w:val="single" w:sz="4" w:space="0" w:color="000000" w:themeColor="text1"/>
              <w:bottom w:val="nil"/>
              <w:right w:val="single" w:sz="4" w:space="0" w:color="000000" w:themeColor="text1"/>
            </w:tcBorders>
            <w:noWrap/>
            <w:hideMark/>
          </w:tcPr>
          <w:p w14:paraId="6CA79D3C"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F7CAF4E" w14:textId="77777777" w:rsidTr="661F9D2E">
        <w:trPr>
          <w:gridAfter w:val="6"/>
          <w:wAfter w:w="2500" w:type="dxa"/>
          <w:trHeight w:val="464"/>
        </w:trPr>
        <w:tc>
          <w:tcPr>
            <w:tcW w:w="895" w:type="dxa"/>
            <w:vMerge/>
            <w:vAlign w:val="center"/>
            <w:hideMark/>
          </w:tcPr>
          <w:p w14:paraId="67B45792" w14:textId="77777777" w:rsidR="007D728E" w:rsidRPr="00CB13F7" w:rsidRDefault="007D728E" w:rsidP="007D728E">
            <w:pPr>
              <w:rPr>
                <w:rFonts w:eastAsia="Times New Roman"/>
                <w:b/>
                <w:bCs/>
                <w:sz w:val="16"/>
                <w:szCs w:val="16"/>
                <w:lang w:eastAsia="en-US"/>
              </w:rPr>
            </w:pPr>
          </w:p>
        </w:tc>
        <w:tc>
          <w:tcPr>
            <w:tcW w:w="2125" w:type="dxa"/>
            <w:vMerge/>
            <w:vAlign w:val="center"/>
            <w:hideMark/>
          </w:tcPr>
          <w:p w14:paraId="0C907773" w14:textId="77777777" w:rsidR="007D728E" w:rsidRPr="00CB13F7" w:rsidRDefault="007D728E" w:rsidP="007D728E">
            <w:pPr>
              <w:rPr>
                <w:rFonts w:eastAsia="Times New Roman"/>
                <w:sz w:val="16"/>
                <w:szCs w:val="16"/>
                <w:lang w:eastAsia="en-US"/>
              </w:rPr>
            </w:pPr>
          </w:p>
        </w:tc>
        <w:tc>
          <w:tcPr>
            <w:tcW w:w="2268" w:type="dxa"/>
            <w:vMerge/>
            <w:vAlign w:val="center"/>
            <w:hideMark/>
          </w:tcPr>
          <w:p w14:paraId="1D433079" w14:textId="77777777" w:rsidR="007D728E" w:rsidRPr="00CB13F7" w:rsidRDefault="007D728E" w:rsidP="007D728E">
            <w:pPr>
              <w:rPr>
                <w:rFonts w:eastAsia="Times New Roman"/>
                <w:color w:val="000000"/>
                <w:sz w:val="16"/>
                <w:szCs w:val="16"/>
                <w:lang w:eastAsia="en-US"/>
              </w:rPr>
            </w:pPr>
          </w:p>
        </w:tc>
        <w:tc>
          <w:tcPr>
            <w:tcW w:w="1160" w:type="dxa"/>
            <w:vMerge/>
            <w:vAlign w:val="center"/>
            <w:hideMark/>
          </w:tcPr>
          <w:p w14:paraId="35A7668D" w14:textId="77777777" w:rsidR="007D728E" w:rsidRPr="00CB13F7" w:rsidRDefault="007D728E" w:rsidP="007D728E">
            <w:pPr>
              <w:rPr>
                <w:rFonts w:eastAsia="Times New Roman"/>
                <w:color w:val="000000"/>
                <w:sz w:val="16"/>
                <w:szCs w:val="16"/>
                <w:lang w:eastAsia="en-US"/>
              </w:rPr>
            </w:pPr>
          </w:p>
        </w:tc>
        <w:tc>
          <w:tcPr>
            <w:tcW w:w="1418" w:type="dxa"/>
            <w:gridSpan w:val="3"/>
            <w:vMerge/>
            <w:vAlign w:val="center"/>
            <w:hideMark/>
          </w:tcPr>
          <w:p w14:paraId="72160BD5" w14:textId="77777777" w:rsidR="007D728E" w:rsidRPr="00CB13F7" w:rsidRDefault="007D728E" w:rsidP="007D728E">
            <w:pPr>
              <w:rPr>
                <w:rFonts w:eastAsia="Times New Roman"/>
                <w:color w:val="000000"/>
                <w:sz w:val="16"/>
                <w:szCs w:val="16"/>
                <w:lang w:eastAsia="en-US"/>
              </w:rPr>
            </w:pPr>
          </w:p>
        </w:tc>
        <w:tc>
          <w:tcPr>
            <w:tcW w:w="1417" w:type="dxa"/>
            <w:vMerge/>
            <w:vAlign w:val="center"/>
            <w:hideMark/>
          </w:tcPr>
          <w:p w14:paraId="52D0D7B3" w14:textId="77777777" w:rsidR="007D728E" w:rsidRPr="00CB13F7" w:rsidRDefault="007D728E" w:rsidP="007D728E">
            <w:pPr>
              <w:rPr>
                <w:rFonts w:eastAsia="Times New Roman"/>
                <w:color w:val="000000"/>
                <w:sz w:val="16"/>
                <w:szCs w:val="16"/>
                <w:lang w:eastAsia="en-US"/>
              </w:rPr>
            </w:pPr>
          </w:p>
        </w:tc>
        <w:tc>
          <w:tcPr>
            <w:tcW w:w="1985" w:type="dxa"/>
            <w:vMerge/>
            <w:vAlign w:val="center"/>
            <w:hideMark/>
          </w:tcPr>
          <w:p w14:paraId="30EFC878" w14:textId="77777777" w:rsidR="007D728E" w:rsidRPr="00CB13F7" w:rsidRDefault="007D728E" w:rsidP="007D728E">
            <w:pPr>
              <w:rPr>
                <w:rFonts w:eastAsia="Times New Roman"/>
                <w:color w:val="000000"/>
                <w:sz w:val="16"/>
                <w:szCs w:val="16"/>
                <w:lang w:eastAsia="en-US"/>
              </w:rPr>
            </w:pPr>
          </w:p>
        </w:tc>
        <w:tc>
          <w:tcPr>
            <w:tcW w:w="2382" w:type="dxa"/>
            <w:vMerge/>
            <w:vAlign w:val="center"/>
            <w:hideMark/>
          </w:tcPr>
          <w:p w14:paraId="79EA6048" w14:textId="77777777" w:rsidR="007D728E" w:rsidRPr="00CB13F7" w:rsidRDefault="007D728E" w:rsidP="007D728E">
            <w:pPr>
              <w:rPr>
                <w:rFonts w:eastAsia="Times New Roman"/>
                <w:color w:val="000000"/>
                <w:sz w:val="16"/>
                <w:szCs w:val="16"/>
                <w:lang w:eastAsia="en-US"/>
              </w:rPr>
            </w:pPr>
          </w:p>
        </w:tc>
      </w:tr>
      <w:tr w:rsidR="007D728E" w:rsidRPr="00CB13F7" w14:paraId="158603C2" w14:textId="77777777" w:rsidTr="661F9D2E">
        <w:trPr>
          <w:gridAfter w:val="6"/>
          <w:wAfter w:w="2500" w:type="dxa"/>
          <w:trHeight w:val="464"/>
        </w:trPr>
        <w:tc>
          <w:tcPr>
            <w:tcW w:w="895" w:type="dxa"/>
            <w:vMerge/>
            <w:vAlign w:val="center"/>
            <w:hideMark/>
          </w:tcPr>
          <w:p w14:paraId="5D5E14A2" w14:textId="77777777" w:rsidR="007D728E" w:rsidRPr="00CB13F7" w:rsidRDefault="007D728E" w:rsidP="007D728E">
            <w:pPr>
              <w:rPr>
                <w:rFonts w:eastAsia="Times New Roman"/>
                <w:b/>
                <w:bCs/>
                <w:sz w:val="16"/>
                <w:szCs w:val="16"/>
                <w:lang w:eastAsia="en-US"/>
              </w:rPr>
            </w:pPr>
          </w:p>
        </w:tc>
        <w:tc>
          <w:tcPr>
            <w:tcW w:w="2125" w:type="dxa"/>
            <w:vMerge/>
            <w:vAlign w:val="center"/>
            <w:hideMark/>
          </w:tcPr>
          <w:p w14:paraId="7D4A67C2" w14:textId="77777777" w:rsidR="007D728E" w:rsidRPr="00CB13F7" w:rsidRDefault="007D728E" w:rsidP="007D728E">
            <w:pPr>
              <w:rPr>
                <w:rFonts w:eastAsia="Times New Roman"/>
                <w:sz w:val="16"/>
                <w:szCs w:val="16"/>
                <w:lang w:eastAsia="en-US"/>
              </w:rPr>
            </w:pPr>
          </w:p>
        </w:tc>
        <w:tc>
          <w:tcPr>
            <w:tcW w:w="2268" w:type="dxa"/>
            <w:vMerge/>
            <w:vAlign w:val="center"/>
            <w:hideMark/>
          </w:tcPr>
          <w:p w14:paraId="2A7B86AC" w14:textId="77777777" w:rsidR="007D728E" w:rsidRPr="00CB13F7" w:rsidRDefault="007D728E" w:rsidP="007D728E">
            <w:pPr>
              <w:rPr>
                <w:rFonts w:eastAsia="Times New Roman"/>
                <w:color w:val="000000"/>
                <w:sz w:val="16"/>
                <w:szCs w:val="16"/>
                <w:lang w:eastAsia="en-US"/>
              </w:rPr>
            </w:pPr>
          </w:p>
        </w:tc>
        <w:tc>
          <w:tcPr>
            <w:tcW w:w="1160" w:type="dxa"/>
            <w:vMerge/>
            <w:vAlign w:val="center"/>
            <w:hideMark/>
          </w:tcPr>
          <w:p w14:paraId="5FEA3E70" w14:textId="77777777" w:rsidR="007D728E" w:rsidRPr="00CB13F7" w:rsidRDefault="007D728E" w:rsidP="007D728E">
            <w:pPr>
              <w:rPr>
                <w:rFonts w:eastAsia="Times New Roman"/>
                <w:color w:val="000000"/>
                <w:sz w:val="16"/>
                <w:szCs w:val="16"/>
                <w:lang w:eastAsia="en-US"/>
              </w:rPr>
            </w:pPr>
          </w:p>
        </w:tc>
        <w:tc>
          <w:tcPr>
            <w:tcW w:w="1418" w:type="dxa"/>
            <w:gridSpan w:val="3"/>
            <w:vMerge/>
            <w:vAlign w:val="center"/>
            <w:hideMark/>
          </w:tcPr>
          <w:p w14:paraId="386A333E" w14:textId="77777777" w:rsidR="007D728E" w:rsidRPr="00CB13F7" w:rsidRDefault="007D728E" w:rsidP="007D728E">
            <w:pPr>
              <w:rPr>
                <w:rFonts w:eastAsia="Times New Roman"/>
                <w:color w:val="000000"/>
                <w:sz w:val="16"/>
                <w:szCs w:val="16"/>
                <w:lang w:eastAsia="en-US"/>
              </w:rPr>
            </w:pPr>
          </w:p>
        </w:tc>
        <w:tc>
          <w:tcPr>
            <w:tcW w:w="1417" w:type="dxa"/>
            <w:vMerge/>
            <w:vAlign w:val="center"/>
            <w:hideMark/>
          </w:tcPr>
          <w:p w14:paraId="5D3CA238" w14:textId="77777777" w:rsidR="007D728E" w:rsidRPr="00CB13F7" w:rsidRDefault="007D728E" w:rsidP="007D728E">
            <w:pPr>
              <w:rPr>
                <w:rFonts w:eastAsia="Times New Roman"/>
                <w:color w:val="000000"/>
                <w:sz w:val="16"/>
                <w:szCs w:val="16"/>
                <w:lang w:eastAsia="en-US"/>
              </w:rPr>
            </w:pPr>
          </w:p>
        </w:tc>
        <w:tc>
          <w:tcPr>
            <w:tcW w:w="1985" w:type="dxa"/>
            <w:vMerge/>
            <w:vAlign w:val="center"/>
            <w:hideMark/>
          </w:tcPr>
          <w:p w14:paraId="7A28303B" w14:textId="77777777" w:rsidR="007D728E" w:rsidRPr="00CB13F7" w:rsidRDefault="007D728E" w:rsidP="007D728E">
            <w:pPr>
              <w:rPr>
                <w:rFonts w:eastAsia="Times New Roman"/>
                <w:color w:val="000000"/>
                <w:sz w:val="16"/>
                <w:szCs w:val="16"/>
                <w:lang w:eastAsia="en-US"/>
              </w:rPr>
            </w:pPr>
          </w:p>
        </w:tc>
        <w:tc>
          <w:tcPr>
            <w:tcW w:w="2382" w:type="dxa"/>
            <w:vMerge/>
            <w:vAlign w:val="center"/>
            <w:hideMark/>
          </w:tcPr>
          <w:p w14:paraId="72CF4B3B" w14:textId="77777777" w:rsidR="007D728E" w:rsidRPr="00CB13F7" w:rsidRDefault="007D728E" w:rsidP="007D728E">
            <w:pPr>
              <w:rPr>
                <w:rFonts w:eastAsia="Times New Roman"/>
                <w:color w:val="000000"/>
                <w:sz w:val="16"/>
                <w:szCs w:val="16"/>
                <w:lang w:eastAsia="en-US"/>
              </w:rPr>
            </w:pPr>
          </w:p>
        </w:tc>
      </w:tr>
      <w:tr w:rsidR="007D728E" w:rsidRPr="00CB13F7" w14:paraId="584BA822" w14:textId="77777777" w:rsidTr="661F9D2E">
        <w:trPr>
          <w:gridAfter w:val="6"/>
          <w:wAfter w:w="2500" w:type="dxa"/>
          <w:trHeight w:val="909"/>
        </w:trPr>
        <w:tc>
          <w:tcPr>
            <w:tcW w:w="895" w:type="dxa"/>
            <w:vMerge/>
            <w:vAlign w:val="center"/>
            <w:hideMark/>
          </w:tcPr>
          <w:p w14:paraId="514ADD8D"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40224D47"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Masa prioritare 1.5: Bashkëpunimi me sektorin privat dhe tregun e punës - Lidhja e aftësive të fituara me punësimin real.</w:t>
            </w:r>
          </w:p>
        </w:tc>
        <w:tc>
          <w:tcPr>
            <w:tcW w:w="2268" w:type="dxa"/>
            <w:tcBorders>
              <w:top w:val="single" w:sz="4" w:space="0" w:color="auto"/>
              <w:left w:val="nil"/>
              <w:bottom w:val="single" w:sz="4" w:space="0" w:color="auto"/>
              <w:right w:val="single" w:sz="4" w:space="0" w:color="auto"/>
            </w:tcBorders>
            <w:hideMark/>
          </w:tcPr>
          <w:p w14:paraId="7EFB7B93"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Nr. marrëveshjeve me biznese;</w:t>
            </w:r>
            <w:r w:rsidRPr="00CB13F7">
              <w:rPr>
                <w:rFonts w:eastAsia="Times New Roman"/>
                <w:color w:val="000000"/>
                <w:sz w:val="16"/>
                <w:szCs w:val="16"/>
                <w:lang w:eastAsia="en-US"/>
              </w:rPr>
              <w:br/>
              <w:t>Nr. praktikave profesionale;</w:t>
            </w:r>
            <w:r w:rsidRPr="00CB13F7">
              <w:rPr>
                <w:rFonts w:eastAsia="Times New Roman"/>
                <w:color w:val="000000"/>
                <w:sz w:val="16"/>
                <w:szCs w:val="16"/>
                <w:lang w:eastAsia="en-US"/>
              </w:rPr>
              <w:br/>
              <w:t xml:space="preserve"> % e punësimit pas diplomimit</w:t>
            </w:r>
          </w:p>
        </w:tc>
        <w:tc>
          <w:tcPr>
            <w:tcW w:w="1160" w:type="dxa"/>
            <w:tcBorders>
              <w:top w:val="nil"/>
              <w:left w:val="nil"/>
              <w:bottom w:val="single" w:sz="4" w:space="0" w:color="auto"/>
              <w:right w:val="single" w:sz="4" w:space="0" w:color="auto"/>
            </w:tcBorders>
            <w:hideMark/>
          </w:tcPr>
          <w:p w14:paraId="10C0ADFE" w14:textId="77777777" w:rsidR="007D728E" w:rsidRPr="00CB13F7" w:rsidRDefault="007D728E" w:rsidP="007D728E">
            <w:pPr>
              <w:spacing w:after="240"/>
              <w:jc w:val="both"/>
              <w:rPr>
                <w:rFonts w:eastAsia="Times New Roman"/>
                <w:color w:val="000000"/>
                <w:sz w:val="16"/>
                <w:szCs w:val="16"/>
                <w:lang w:eastAsia="en-US"/>
              </w:rPr>
            </w:pPr>
            <w:r w:rsidRPr="00CB13F7">
              <w:rPr>
                <w:rFonts w:eastAsia="Times New Roman"/>
                <w:color w:val="000000"/>
                <w:sz w:val="16"/>
                <w:szCs w:val="16"/>
                <w:lang w:eastAsia="en-US"/>
              </w:rPr>
              <w:t>N/A</w:t>
            </w:r>
            <w:r w:rsidRPr="00CB13F7">
              <w:rPr>
                <w:rFonts w:eastAsia="Times New Roman"/>
                <w:color w:val="000000"/>
                <w:sz w:val="16"/>
                <w:szCs w:val="16"/>
                <w:lang w:eastAsia="en-US"/>
              </w:rPr>
              <w:br/>
            </w:r>
            <w:r w:rsidRPr="00CB13F7">
              <w:rPr>
                <w:rFonts w:eastAsia="Times New Roman"/>
                <w:color w:val="000000"/>
                <w:sz w:val="16"/>
                <w:szCs w:val="16"/>
                <w:lang w:eastAsia="en-US"/>
              </w:rPr>
              <w:br/>
              <w:t>N/A</w:t>
            </w:r>
          </w:p>
        </w:tc>
        <w:tc>
          <w:tcPr>
            <w:tcW w:w="1418" w:type="dxa"/>
            <w:gridSpan w:val="3"/>
            <w:tcBorders>
              <w:top w:val="nil"/>
              <w:left w:val="nil"/>
              <w:bottom w:val="single" w:sz="4" w:space="0" w:color="auto"/>
              <w:right w:val="single" w:sz="4" w:space="0" w:color="auto"/>
            </w:tcBorders>
            <w:hideMark/>
          </w:tcPr>
          <w:p w14:paraId="4ADF98DA"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45</w:t>
            </w:r>
            <w:r w:rsidRPr="00CB13F7">
              <w:rPr>
                <w:rFonts w:eastAsia="Times New Roman"/>
                <w:color w:val="000000"/>
                <w:sz w:val="16"/>
                <w:szCs w:val="16"/>
                <w:lang w:eastAsia="en-US"/>
              </w:rPr>
              <w:br/>
            </w:r>
            <w:r w:rsidRPr="00CB13F7">
              <w:rPr>
                <w:rFonts w:eastAsia="Times New Roman"/>
                <w:color w:val="000000"/>
                <w:sz w:val="16"/>
                <w:szCs w:val="16"/>
                <w:lang w:eastAsia="en-US"/>
              </w:rPr>
              <w:br/>
              <w:t>200</w:t>
            </w:r>
          </w:p>
        </w:tc>
        <w:tc>
          <w:tcPr>
            <w:tcW w:w="1417" w:type="dxa"/>
            <w:tcBorders>
              <w:top w:val="nil"/>
              <w:left w:val="nil"/>
              <w:bottom w:val="single" w:sz="4" w:space="0" w:color="auto"/>
              <w:right w:val="single" w:sz="4" w:space="0" w:color="auto"/>
            </w:tcBorders>
            <w:hideMark/>
          </w:tcPr>
          <w:p w14:paraId="7EF7CA25"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60</w:t>
            </w:r>
            <w:r w:rsidRPr="00CB13F7">
              <w:rPr>
                <w:rFonts w:eastAsia="Times New Roman"/>
                <w:color w:val="000000"/>
                <w:sz w:val="16"/>
                <w:szCs w:val="16"/>
                <w:lang w:eastAsia="en-US"/>
              </w:rPr>
              <w:br/>
            </w:r>
            <w:r w:rsidRPr="00CB13F7">
              <w:rPr>
                <w:rFonts w:eastAsia="Times New Roman"/>
                <w:color w:val="000000"/>
                <w:sz w:val="16"/>
                <w:szCs w:val="16"/>
                <w:lang w:eastAsia="en-US"/>
              </w:rPr>
              <w:br/>
              <w:t>200</w:t>
            </w:r>
          </w:p>
        </w:tc>
        <w:tc>
          <w:tcPr>
            <w:tcW w:w="1985" w:type="dxa"/>
            <w:tcBorders>
              <w:top w:val="nil"/>
              <w:left w:val="nil"/>
              <w:bottom w:val="single" w:sz="4" w:space="0" w:color="auto"/>
              <w:right w:val="single" w:sz="4" w:space="0" w:color="auto"/>
            </w:tcBorders>
            <w:hideMark/>
          </w:tcPr>
          <w:p w14:paraId="0312DD5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Memorandume bashkëpunimi; Regjistri i praktikave; </w:t>
            </w:r>
            <w:r w:rsidRPr="00CB13F7">
              <w:rPr>
                <w:rFonts w:eastAsia="Times New Roman"/>
                <w:color w:val="000000"/>
                <w:sz w:val="16"/>
                <w:szCs w:val="16"/>
                <w:lang w:eastAsia="en-US"/>
              </w:rPr>
              <w:br/>
              <w:t>Të dhëna nga AKPA</w:t>
            </w:r>
          </w:p>
        </w:tc>
        <w:tc>
          <w:tcPr>
            <w:tcW w:w="2382" w:type="dxa"/>
            <w:tcBorders>
              <w:top w:val="single" w:sz="4" w:space="0" w:color="auto"/>
              <w:left w:val="nil"/>
              <w:bottom w:val="single" w:sz="4" w:space="0" w:color="auto"/>
              <w:right w:val="single" w:sz="4" w:space="0" w:color="auto"/>
            </w:tcBorders>
            <w:noWrap/>
            <w:hideMark/>
          </w:tcPr>
          <w:p w14:paraId="05C100E3"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670E8A30" w14:textId="77777777" w:rsidTr="661F9D2E">
        <w:trPr>
          <w:gridAfter w:val="6"/>
          <w:wAfter w:w="2500" w:type="dxa"/>
          <w:trHeight w:val="419"/>
        </w:trPr>
        <w:tc>
          <w:tcPr>
            <w:tcW w:w="895" w:type="dxa"/>
            <w:vMerge/>
            <w:vAlign w:val="center"/>
            <w:hideMark/>
          </w:tcPr>
          <w:p w14:paraId="697DFC82"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214CE976"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Masa prioritare 1.6: Monitorimi, vlerësimi dhe administrimi i të dhënave- Matja e progresit dhe përmirësimi i vazhdueshëm i masave të parashikuara në këtë sektor/objektiv të planit të veprimit</w:t>
            </w:r>
          </w:p>
        </w:tc>
        <w:tc>
          <w:tcPr>
            <w:tcW w:w="2268" w:type="dxa"/>
            <w:tcBorders>
              <w:top w:val="single" w:sz="4" w:space="0" w:color="auto"/>
              <w:left w:val="nil"/>
              <w:bottom w:val="single" w:sz="4" w:space="0" w:color="auto"/>
              <w:right w:val="single" w:sz="4" w:space="0" w:color="auto"/>
            </w:tcBorders>
            <w:hideMark/>
          </w:tcPr>
          <w:p w14:paraId="1EA50C5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Sistemi i integruar i të dhënave funksional Nr. raporteve vjetore;</w:t>
            </w:r>
            <w:r w:rsidRPr="00CB13F7">
              <w:rPr>
                <w:rFonts w:eastAsia="Times New Roman"/>
                <w:sz w:val="16"/>
                <w:szCs w:val="16"/>
                <w:lang w:eastAsia="en-US"/>
              </w:rPr>
              <w:br/>
              <w:t xml:space="preserve"> % e institucioneve që raportojnë rregullisht</w:t>
            </w:r>
          </w:p>
        </w:tc>
        <w:tc>
          <w:tcPr>
            <w:tcW w:w="1160" w:type="dxa"/>
            <w:tcBorders>
              <w:top w:val="nil"/>
              <w:left w:val="nil"/>
              <w:bottom w:val="single" w:sz="4" w:space="0" w:color="auto"/>
              <w:right w:val="single" w:sz="4" w:space="0" w:color="auto"/>
            </w:tcBorders>
            <w:hideMark/>
          </w:tcPr>
          <w:p w14:paraId="3CD823FA"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0</w:t>
            </w:r>
            <w:r w:rsidRPr="00CB13F7">
              <w:rPr>
                <w:rFonts w:eastAsia="Times New Roman"/>
                <w:color w:val="000000"/>
                <w:sz w:val="16"/>
                <w:szCs w:val="16"/>
                <w:lang w:eastAsia="en-US"/>
              </w:rPr>
              <w:br/>
            </w:r>
            <w:r w:rsidRPr="00CB13F7">
              <w:rPr>
                <w:rFonts w:eastAsia="Times New Roman"/>
                <w:color w:val="000000"/>
                <w:sz w:val="16"/>
                <w:szCs w:val="16"/>
                <w:lang w:eastAsia="en-US"/>
              </w:rPr>
              <w:br/>
              <w:t>0</w:t>
            </w:r>
          </w:p>
        </w:tc>
        <w:tc>
          <w:tcPr>
            <w:tcW w:w="1418" w:type="dxa"/>
            <w:gridSpan w:val="3"/>
            <w:tcBorders>
              <w:top w:val="nil"/>
              <w:left w:val="nil"/>
              <w:bottom w:val="single" w:sz="4" w:space="0" w:color="auto"/>
              <w:right w:val="single" w:sz="4" w:space="0" w:color="auto"/>
            </w:tcBorders>
            <w:hideMark/>
          </w:tcPr>
          <w:p w14:paraId="4AE8FFA4"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1;</w:t>
            </w:r>
            <w:r w:rsidRPr="00CB13F7">
              <w:rPr>
                <w:rFonts w:eastAsia="Times New Roman"/>
                <w:color w:val="000000"/>
                <w:sz w:val="16"/>
                <w:szCs w:val="16"/>
                <w:lang w:eastAsia="en-US"/>
              </w:rPr>
              <w:br/>
            </w:r>
            <w:r w:rsidRPr="00CB13F7">
              <w:rPr>
                <w:rFonts w:eastAsia="Times New Roman"/>
                <w:color w:val="000000"/>
                <w:sz w:val="16"/>
                <w:szCs w:val="16"/>
                <w:lang w:eastAsia="en-US"/>
              </w:rPr>
              <w:br/>
              <w:t>3</w:t>
            </w:r>
          </w:p>
        </w:tc>
        <w:tc>
          <w:tcPr>
            <w:tcW w:w="1417" w:type="dxa"/>
            <w:tcBorders>
              <w:top w:val="nil"/>
              <w:left w:val="nil"/>
              <w:bottom w:val="single" w:sz="4" w:space="0" w:color="auto"/>
              <w:right w:val="single" w:sz="4" w:space="0" w:color="auto"/>
            </w:tcBorders>
            <w:hideMark/>
          </w:tcPr>
          <w:p w14:paraId="67A41DE7"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1</w:t>
            </w:r>
            <w:r w:rsidRPr="00CB13F7">
              <w:rPr>
                <w:rFonts w:eastAsia="Times New Roman"/>
                <w:color w:val="000000"/>
                <w:sz w:val="16"/>
                <w:szCs w:val="16"/>
                <w:lang w:eastAsia="en-US"/>
              </w:rPr>
              <w:br/>
            </w:r>
            <w:r w:rsidRPr="00CB13F7">
              <w:rPr>
                <w:rFonts w:eastAsia="Times New Roman"/>
                <w:color w:val="000000"/>
                <w:sz w:val="16"/>
                <w:szCs w:val="16"/>
                <w:lang w:eastAsia="en-US"/>
              </w:rPr>
              <w:br/>
              <w:t>2</w:t>
            </w:r>
          </w:p>
        </w:tc>
        <w:tc>
          <w:tcPr>
            <w:tcW w:w="1985" w:type="dxa"/>
            <w:tcBorders>
              <w:top w:val="nil"/>
              <w:left w:val="nil"/>
              <w:bottom w:val="single" w:sz="4" w:space="0" w:color="auto"/>
              <w:right w:val="single" w:sz="4" w:space="0" w:color="auto"/>
            </w:tcBorders>
            <w:hideMark/>
          </w:tcPr>
          <w:p w14:paraId="1E1C1344"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Sistemi kombëtar i statistikave; Raporte të monitorimit </w:t>
            </w:r>
            <w:r w:rsidR="00234FBC" w:rsidRPr="00CB13F7">
              <w:rPr>
                <w:rFonts w:eastAsia="Times New Roman"/>
                <w:color w:val="000000"/>
                <w:sz w:val="16"/>
                <w:szCs w:val="16"/>
                <w:lang w:eastAsia="en-US"/>
              </w:rPr>
              <w:t>sektorial</w:t>
            </w:r>
            <w:r w:rsidRPr="00CB13F7">
              <w:rPr>
                <w:rFonts w:eastAsia="Times New Roman"/>
                <w:color w:val="000000"/>
                <w:sz w:val="16"/>
                <w:szCs w:val="16"/>
                <w:lang w:eastAsia="en-US"/>
              </w:rPr>
              <w:t xml:space="preserve">; </w:t>
            </w:r>
            <w:r w:rsidRPr="00CB13F7">
              <w:rPr>
                <w:rFonts w:eastAsia="Times New Roman"/>
                <w:color w:val="000000"/>
                <w:sz w:val="16"/>
                <w:szCs w:val="16"/>
                <w:lang w:eastAsia="en-US"/>
              </w:rPr>
              <w:br/>
              <w:t>Auditime të brendshme</w:t>
            </w:r>
          </w:p>
        </w:tc>
        <w:tc>
          <w:tcPr>
            <w:tcW w:w="2382" w:type="dxa"/>
            <w:tcBorders>
              <w:top w:val="nil"/>
              <w:left w:val="nil"/>
              <w:bottom w:val="single" w:sz="4" w:space="0" w:color="auto"/>
              <w:right w:val="single" w:sz="4" w:space="0" w:color="auto"/>
            </w:tcBorders>
            <w:noWrap/>
            <w:hideMark/>
          </w:tcPr>
          <w:p w14:paraId="361BE435"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A346AC2" w14:textId="77777777" w:rsidTr="661F9D2E">
        <w:trPr>
          <w:gridAfter w:val="6"/>
          <w:wAfter w:w="2500" w:type="dxa"/>
          <w:trHeight w:val="978"/>
        </w:trPr>
        <w:tc>
          <w:tcPr>
            <w:tcW w:w="895" w:type="dxa"/>
            <w:vMerge/>
            <w:vAlign w:val="center"/>
            <w:hideMark/>
          </w:tcPr>
          <w:p w14:paraId="33D83179"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07EEC73A"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Masa prioritare 2.1. Plotësimi i kuadrit ligjor dhe institucional për të nxitur punësimin e punëkërkuesve me aftësi të kufizuara</w:t>
            </w:r>
          </w:p>
        </w:tc>
        <w:tc>
          <w:tcPr>
            <w:tcW w:w="2268" w:type="dxa"/>
            <w:tcBorders>
              <w:top w:val="single" w:sz="4" w:space="0" w:color="auto"/>
              <w:left w:val="nil"/>
              <w:bottom w:val="single" w:sz="4" w:space="0" w:color="auto"/>
              <w:right w:val="single" w:sz="4" w:space="0" w:color="auto"/>
            </w:tcBorders>
            <w:hideMark/>
          </w:tcPr>
          <w:p w14:paraId="6E5DAE7F"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Nr. ndryshimeve ligjore të miratuara;</w:t>
            </w:r>
            <w:r w:rsidRPr="00CB13F7">
              <w:rPr>
                <w:rFonts w:eastAsia="Times New Roman"/>
                <w:sz w:val="16"/>
                <w:szCs w:val="16"/>
                <w:lang w:eastAsia="en-US"/>
              </w:rPr>
              <w:br/>
              <w:t>Nr. skemave fiskale/subvencioneve;</w:t>
            </w:r>
          </w:p>
        </w:tc>
        <w:tc>
          <w:tcPr>
            <w:tcW w:w="1160" w:type="dxa"/>
            <w:tcBorders>
              <w:top w:val="nil"/>
              <w:left w:val="nil"/>
              <w:bottom w:val="single" w:sz="4" w:space="0" w:color="auto"/>
              <w:right w:val="single" w:sz="4" w:space="0" w:color="auto"/>
            </w:tcBorders>
            <w:noWrap/>
            <w:hideMark/>
          </w:tcPr>
          <w:p w14:paraId="1AFC2158"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c>
          <w:tcPr>
            <w:tcW w:w="1418" w:type="dxa"/>
            <w:gridSpan w:val="3"/>
            <w:tcBorders>
              <w:top w:val="nil"/>
              <w:left w:val="nil"/>
              <w:bottom w:val="single" w:sz="4" w:space="0" w:color="auto"/>
              <w:right w:val="single" w:sz="4" w:space="0" w:color="auto"/>
            </w:tcBorders>
            <w:noWrap/>
            <w:hideMark/>
          </w:tcPr>
          <w:p w14:paraId="5597F353"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3 ligje; 3VKM; 2 Udhëzime</w:t>
            </w:r>
          </w:p>
        </w:tc>
        <w:tc>
          <w:tcPr>
            <w:tcW w:w="1417" w:type="dxa"/>
            <w:tcBorders>
              <w:top w:val="nil"/>
              <w:left w:val="nil"/>
              <w:bottom w:val="single" w:sz="4" w:space="0" w:color="auto"/>
              <w:right w:val="single" w:sz="4" w:space="0" w:color="auto"/>
            </w:tcBorders>
            <w:noWrap/>
            <w:hideMark/>
          </w:tcPr>
          <w:p w14:paraId="415EA67F"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2 </w:t>
            </w:r>
            <w:r w:rsidR="00234FBC" w:rsidRPr="00CB13F7">
              <w:rPr>
                <w:rFonts w:eastAsia="Times New Roman"/>
                <w:color w:val="000000"/>
                <w:sz w:val="16"/>
                <w:szCs w:val="16"/>
                <w:lang w:eastAsia="en-US"/>
              </w:rPr>
              <w:t>udhëzime</w:t>
            </w:r>
          </w:p>
        </w:tc>
        <w:tc>
          <w:tcPr>
            <w:tcW w:w="1985" w:type="dxa"/>
            <w:tcBorders>
              <w:top w:val="nil"/>
              <w:left w:val="nil"/>
              <w:bottom w:val="single" w:sz="4" w:space="0" w:color="auto"/>
              <w:right w:val="single" w:sz="4" w:space="0" w:color="auto"/>
            </w:tcBorders>
            <w:hideMark/>
          </w:tcPr>
          <w:p w14:paraId="67262CD4"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Fletorja Zyrtare; </w:t>
            </w:r>
            <w:r w:rsidRPr="00CB13F7">
              <w:rPr>
                <w:rFonts w:eastAsia="Times New Roman"/>
                <w:color w:val="000000"/>
                <w:sz w:val="16"/>
                <w:szCs w:val="16"/>
                <w:lang w:eastAsia="en-US"/>
              </w:rPr>
              <w:br/>
              <w:t xml:space="preserve">Vendime qeverie; </w:t>
            </w:r>
            <w:r w:rsidRPr="00CB13F7">
              <w:rPr>
                <w:rFonts w:eastAsia="Times New Roman"/>
                <w:color w:val="000000"/>
                <w:sz w:val="16"/>
                <w:szCs w:val="16"/>
                <w:lang w:eastAsia="en-US"/>
              </w:rPr>
              <w:br/>
              <w:t>Raporte të MEI: raporte të MF</w:t>
            </w:r>
          </w:p>
        </w:tc>
        <w:tc>
          <w:tcPr>
            <w:tcW w:w="2382" w:type="dxa"/>
            <w:tcBorders>
              <w:top w:val="nil"/>
              <w:left w:val="nil"/>
              <w:bottom w:val="single" w:sz="4" w:space="0" w:color="auto"/>
              <w:right w:val="single" w:sz="4" w:space="0" w:color="auto"/>
            </w:tcBorders>
            <w:noWrap/>
            <w:hideMark/>
          </w:tcPr>
          <w:p w14:paraId="3E92A0ED"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609D929" w14:textId="77777777" w:rsidTr="661F9D2E">
        <w:trPr>
          <w:gridAfter w:val="6"/>
          <w:wAfter w:w="2500" w:type="dxa"/>
          <w:trHeight w:val="1418"/>
        </w:trPr>
        <w:tc>
          <w:tcPr>
            <w:tcW w:w="895" w:type="dxa"/>
            <w:vMerge/>
            <w:vAlign w:val="center"/>
            <w:hideMark/>
          </w:tcPr>
          <w:p w14:paraId="67F052F7"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09ABBA4E"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Masa prioritare 2.2. Përmirësimi i aksesueshmërisë dhe kapaciteteve institucionale të AKPA-s dhe zyrave të punësimit për të garantuar akses dhe shërbime gjithëpërfshirëse punësimi për punëkërkuesit me aftësi të kufizuara</w:t>
            </w:r>
          </w:p>
        </w:tc>
        <w:tc>
          <w:tcPr>
            <w:tcW w:w="2268" w:type="dxa"/>
            <w:tcBorders>
              <w:top w:val="single" w:sz="4" w:space="0" w:color="auto"/>
              <w:left w:val="nil"/>
              <w:bottom w:val="single" w:sz="4" w:space="0" w:color="auto"/>
              <w:right w:val="single" w:sz="4" w:space="0" w:color="auto"/>
            </w:tcBorders>
            <w:hideMark/>
          </w:tcPr>
          <w:p w14:paraId="1C16FD62"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xml:space="preserve">% e zyrave të aksesueshme; </w:t>
            </w:r>
            <w:r w:rsidRPr="00CB13F7">
              <w:rPr>
                <w:rFonts w:eastAsia="Times New Roman"/>
                <w:sz w:val="16"/>
                <w:szCs w:val="16"/>
                <w:lang w:eastAsia="en-US"/>
              </w:rPr>
              <w:br/>
              <w:t>Nr. stafit të trajnuar;</w:t>
            </w:r>
            <w:r w:rsidRPr="00CB13F7">
              <w:rPr>
                <w:rFonts w:eastAsia="Times New Roman"/>
                <w:sz w:val="16"/>
                <w:szCs w:val="16"/>
                <w:lang w:eastAsia="en-US"/>
              </w:rPr>
              <w:br/>
              <w:t>% e planeve individuale të punësimit</w:t>
            </w:r>
          </w:p>
        </w:tc>
        <w:tc>
          <w:tcPr>
            <w:tcW w:w="1160" w:type="dxa"/>
            <w:tcBorders>
              <w:top w:val="nil"/>
              <w:left w:val="nil"/>
              <w:bottom w:val="single" w:sz="4" w:space="0" w:color="auto"/>
              <w:right w:val="single" w:sz="4" w:space="0" w:color="auto"/>
            </w:tcBorders>
            <w:hideMark/>
          </w:tcPr>
          <w:p w14:paraId="3903512C"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1</w:t>
            </w:r>
            <w:r w:rsidRPr="00CB13F7">
              <w:rPr>
                <w:rFonts w:eastAsia="Times New Roman"/>
                <w:sz w:val="16"/>
                <w:szCs w:val="16"/>
                <w:lang w:eastAsia="en-US"/>
              </w:rPr>
              <w:br/>
              <w:t>42</w:t>
            </w:r>
            <w:r w:rsidRPr="00CB13F7">
              <w:rPr>
                <w:rFonts w:eastAsia="Times New Roman"/>
                <w:sz w:val="16"/>
                <w:szCs w:val="16"/>
                <w:lang w:eastAsia="en-US"/>
              </w:rPr>
              <w:br/>
              <w:t>N/A</w:t>
            </w:r>
          </w:p>
        </w:tc>
        <w:tc>
          <w:tcPr>
            <w:tcW w:w="1418" w:type="dxa"/>
            <w:gridSpan w:val="3"/>
            <w:tcBorders>
              <w:top w:val="nil"/>
              <w:left w:val="nil"/>
              <w:bottom w:val="single" w:sz="4" w:space="0" w:color="auto"/>
              <w:right w:val="single" w:sz="4" w:space="0" w:color="auto"/>
            </w:tcBorders>
            <w:hideMark/>
          </w:tcPr>
          <w:p w14:paraId="4F4DE425"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10</w:t>
            </w:r>
            <w:r w:rsidRPr="00CB13F7">
              <w:rPr>
                <w:rFonts w:eastAsia="Times New Roman"/>
                <w:color w:val="000000"/>
                <w:sz w:val="16"/>
                <w:szCs w:val="16"/>
                <w:lang w:eastAsia="en-US"/>
              </w:rPr>
              <w:br/>
              <w:t>stafi i 27 ZP</w:t>
            </w:r>
            <w:r w:rsidRPr="00CB13F7">
              <w:rPr>
                <w:rFonts w:eastAsia="Times New Roman"/>
                <w:color w:val="000000"/>
                <w:sz w:val="16"/>
                <w:szCs w:val="16"/>
                <w:lang w:eastAsia="en-US"/>
              </w:rPr>
              <w:br/>
              <w:t>980</w:t>
            </w:r>
          </w:p>
        </w:tc>
        <w:tc>
          <w:tcPr>
            <w:tcW w:w="1417" w:type="dxa"/>
            <w:tcBorders>
              <w:top w:val="nil"/>
              <w:left w:val="nil"/>
              <w:bottom w:val="single" w:sz="4" w:space="0" w:color="auto"/>
              <w:right w:val="single" w:sz="4" w:space="0" w:color="auto"/>
            </w:tcBorders>
            <w:hideMark/>
          </w:tcPr>
          <w:p w14:paraId="7A362D24"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2</w:t>
            </w:r>
            <w:r w:rsidRPr="00CB13F7">
              <w:rPr>
                <w:rFonts w:eastAsia="Times New Roman"/>
                <w:color w:val="000000"/>
                <w:sz w:val="16"/>
                <w:szCs w:val="16"/>
                <w:lang w:eastAsia="en-US"/>
              </w:rPr>
              <w:br/>
              <w:t>stafi i 18 ZP</w:t>
            </w:r>
            <w:r w:rsidRPr="00CB13F7">
              <w:rPr>
                <w:rFonts w:eastAsia="Times New Roman"/>
                <w:color w:val="000000"/>
                <w:sz w:val="16"/>
                <w:szCs w:val="16"/>
                <w:lang w:eastAsia="en-US"/>
              </w:rPr>
              <w:br/>
              <w:t>500</w:t>
            </w:r>
          </w:p>
        </w:tc>
        <w:tc>
          <w:tcPr>
            <w:tcW w:w="1985" w:type="dxa"/>
            <w:tcBorders>
              <w:top w:val="nil"/>
              <w:left w:val="nil"/>
              <w:bottom w:val="single" w:sz="4" w:space="0" w:color="auto"/>
              <w:right w:val="single" w:sz="4" w:space="0" w:color="auto"/>
            </w:tcBorders>
            <w:noWrap/>
            <w:hideMark/>
          </w:tcPr>
          <w:p w14:paraId="0B6EA5C8"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Raporte të Agjencia Kombëtare e Punësimit dhe Aftësive (AKPA) - Regjistri i trajnimeve</w:t>
            </w:r>
          </w:p>
        </w:tc>
        <w:tc>
          <w:tcPr>
            <w:tcW w:w="2382" w:type="dxa"/>
            <w:tcBorders>
              <w:top w:val="nil"/>
              <w:left w:val="nil"/>
              <w:bottom w:val="single" w:sz="4" w:space="0" w:color="auto"/>
              <w:right w:val="single" w:sz="4" w:space="0" w:color="auto"/>
            </w:tcBorders>
            <w:noWrap/>
            <w:hideMark/>
          </w:tcPr>
          <w:p w14:paraId="2EDAAC1E" w14:textId="77777777" w:rsidR="007D728E" w:rsidRPr="00CB13F7" w:rsidRDefault="007D728E" w:rsidP="007D728E">
            <w:pPr>
              <w:spacing w:after="240"/>
              <w:jc w:val="both"/>
              <w:rPr>
                <w:rFonts w:eastAsia="Times New Roman"/>
                <w:color w:val="000000"/>
                <w:sz w:val="16"/>
                <w:szCs w:val="16"/>
                <w:lang w:eastAsia="en-US"/>
              </w:rPr>
            </w:pPr>
          </w:p>
        </w:tc>
      </w:tr>
      <w:tr w:rsidR="007D728E" w:rsidRPr="00CB13F7" w14:paraId="51C28D02" w14:textId="77777777" w:rsidTr="661F9D2E">
        <w:trPr>
          <w:gridAfter w:val="6"/>
          <w:wAfter w:w="2500" w:type="dxa"/>
          <w:trHeight w:val="1200"/>
        </w:trPr>
        <w:tc>
          <w:tcPr>
            <w:tcW w:w="895" w:type="dxa"/>
            <w:vMerge/>
            <w:vAlign w:val="center"/>
            <w:hideMark/>
          </w:tcPr>
          <w:p w14:paraId="12DCC0B4"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39D985D1"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Masa prioritare 2.3 Përmirësimi i sistemit të vlerësimit dhe regjistrimit të punëkërkuesve me aftësi të kufizuara, me fokus të veçante të rinjtë dhe gratë me aftësi të kufizuara </w:t>
            </w:r>
          </w:p>
        </w:tc>
        <w:tc>
          <w:tcPr>
            <w:tcW w:w="2268" w:type="dxa"/>
            <w:tcBorders>
              <w:top w:val="single" w:sz="4" w:space="0" w:color="auto"/>
              <w:left w:val="nil"/>
              <w:bottom w:val="single" w:sz="4" w:space="0" w:color="auto"/>
              <w:right w:val="single" w:sz="4" w:space="0" w:color="auto"/>
            </w:tcBorders>
            <w:hideMark/>
          </w:tcPr>
          <w:p w14:paraId="68EF8741" w14:textId="77777777" w:rsidR="007D728E" w:rsidRPr="00CB13F7" w:rsidRDefault="007D728E" w:rsidP="007D728E">
            <w:pPr>
              <w:spacing w:after="240"/>
              <w:rPr>
                <w:rFonts w:eastAsia="Times New Roman"/>
                <w:sz w:val="16"/>
                <w:szCs w:val="16"/>
                <w:lang w:eastAsia="en-US"/>
              </w:rPr>
            </w:pPr>
            <w:r w:rsidRPr="00CB13F7">
              <w:rPr>
                <w:rFonts w:eastAsia="Times New Roman"/>
                <w:sz w:val="16"/>
                <w:szCs w:val="16"/>
                <w:lang w:eastAsia="en-US"/>
              </w:rPr>
              <w:t>Sistemi i vlerësimit dhe profilizimit funksional;</w:t>
            </w:r>
            <w:r w:rsidRPr="00CB13F7">
              <w:rPr>
                <w:rFonts w:eastAsia="Times New Roman"/>
                <w:sz w:val="16"/>
                <w:szCs w:val="16"/>
                <w:lang w:eastAsia="en-US"/>
              </w:rPr>
              <w:br/>
              <w:t xml:space="preserve">% e PAK të </w:t>
            </w:r>
            <w:r w:rsidR="00234FBC" w:rsidRPr="00CB13F7">
              <w:rPr>
                <w:rFonts w:eastAsia="Times New Roman"/>
                <w:sz w:val="16"/>
                <w:szCs w:val="16"/>
                <w:lang w:eastAsia="en-US"/>
              </w:rPr>
              <w:t>regjistruar</w:t>
            </w:r>
            <w:r w:rsidRPr="00CB13F7">
              <w:rPr>
                <w:rFonts w:eastAsia="Times New Roman"/>
                <w:sz w:val="16"/>
                <w:szCs w:val="16"/>
                <w:lang w:eastAsia="en-US"/>
              </w:rPr>
              <w:t>, vlerësuar dhe profilizuar;</w:t>
            </w:r>
          </w:p>
        </w:tc>
        <w:tc>
          <w:tcPr>
            <w:tcW w:w="1160" w:type="dxa"/>
            <w:tcBorders>
              <w:top w:val="nil"/>
              <w:left w:val="nil"/>
              <w:bottom w:val="single" w:sz="4" w:space="0" w:color="auto"/>
              <w:right w:val="single" w:sz="4" w:space="0" w:color="auto"/>
            </w:tcBorders>
            <w:hideMark/>
          </w:tcPr>
          <w:p w14:paraId="4824AAC5"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N/A</w:t>
            </w:r>
          </w:p>
        </w:tc>
        <w:tc>
          <w:tcPr>
            <w:tcW w:w="1418" w:type="dxa"/>
            <w:gridSpan w:val="3"/>
            <w:tcBorders>
              <w:top w:val="nil"/>
              <w:left w:val="nil"/>
              <w:bottom w:val="single" w:sz="4" w:space="0" w:color="auto"/>
              <w:right w:val="single" w:sz="4" w:space="0" w:color="auto"/>
            </w:tcBorders>
            <w:hideMark/>
          </w:tcPr>
          <w:p w14:paraId="41B81F75"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980</w:t>
            </w:r>
            <w:r w:rsidRPr="00CB13F7">
              <w:rPr>
                <w:rFonts w:eastAsia="Times New Roman"/>
                <w:color w:val="000000"/>
                <w:sz w:val="16"/>
                <w:szCs w:val="16"/>
                <w:lang w:eastAsia="en-US"/>
              </w:rPr>
              <w:br/>
            </w:r>
            <w:r w:rsidRPr="00CB13F7">
              <w:rPr>
                <w:rFonts w:eastAsia="Times New Roman"/>
                <w:color w:val="000000"/>
                <w:sz w:val="16"/>
                <w:szCs w:val="16"/>
                <w:lang w:eastAsia="en-US"/>
              </w:rPr>
              <w:br/>
              <w:t>50% gra dhe 50% te rinj</w:t>
            </w:r>
          </w:p>
        </w:tc>
        <w:tc>
          <w:tcPr>
            <w:tcW w:w="1417" w:type="dxa"/>
            <w:tcBorders>
              <w:top w:val="nil"/>
              <w:left w:val="nil"/>
              <w:bottom w:val="single" w:sz="4" w:space="0" w:color="auto"/>
              <w:right w:val="single" w:sz="4" w:space="0" w:color="auto"/>
            </w:tcBorders>
            <w:hideMark/>
          </w:tcPr>
          <w:p w14:paraId="4F9BA7D1"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500</w:t>
            </w:r>
            <w:r w:rsidRPr="00CB13F7">
              <w:rPr>
                <w:rFonts w:eastAsia="Times New Roman"/>
                <w:color w:val="000000"/>
                <w:sz w:val="16"/>
                <w:szCs w:val="16"/>
                <w:lang w:eastAsia="en-US"/>
              </w:rPr>
              <w:br/>
            </w:r>
            <w:r w:rsidRPr="00CB13F7">
              <w:rPr>
                <w:rFonts w:eastAsia="Times New Roman"/>
                <w:color w:val="000000"/>
                <w:sz w:val="16"/>
                <w:szCs w:val="16"/>
                <w:lang w:eastAsia="en-US"/>
              </w:rPr>
              <w:br/>
              <w:t>50% gra; 60% te rinj</w:t>
            </w:r>
          </w:p>
        </w:tc>
        <w:tc>
          <w:tcPr>
            <w:tcW w:w="1985" w:type="dxa"/>
            <w:tcBorders>
              <w:top w:val="nil"/>
              <w:left w:val="nil"/>
              <w:bottom w:val="single" w:sz="4" w:space="0" w:color="auto"/>
              <w:right w:val="single" w:sz="4" w:space="0" w:color="auto"/>
            </w:tcBorders>
            <w:hideMark/>
          </w:tcPr>
          <w:p w14:paraId="2181CE60" w14:textId="5D873ECF" w:rsidR="007D728E" w:rsidRPr="00CB13F7" w:rsidRDefault="00736097" w:rsidP="007D728E">
            <w:pPr>
              <w:jc w:val="both"/>
              <w:rPr>
                <w:rFonts w:eastAsia="Times New Roman"/>
                <w:sz w:val="16"/>
                <w:szCs w:val="16"/>
                <w:lang w:eastAsia="en-US"/>
              </w:rPr>
            </w:pPr>
            <w:r w:rsidRPr="00CB13F7">
              <w:rPr>
                <w:rFonts w:eastAsia="Times New Roman"/>
                <w:sz w:val="16"/>
                <w:szCs w:val="16"/>
                <w:lang w:eastAsia="en-US"/>
              </w:rPr>
              <w:t>Baza e të dhënave</w:t>
            </w:r>
            <w:r w:rsidR="007D728E" w:rsidRPr="00CB13F7">
              <w:rPr>
                <w:rFonts w:eastAsia="Times New Roman"/>
                <w:sz w:val="16"/>
                <w:szCs w:val="16"/>
                <w:lang w:eastAsia="en-US"/>
              </w:rPr>
              <w:t xml:space="preserve"> e AKPA;</w:t>
            </w:r>
            <w:r w:rsidR="007D728E" w:rsidRPr="00CB13F7">
              <w:rPr>
                <w:rFonts w:eastAsia="Times New Roman"/>
                <w:sz w:val="16"/>
                <w:szCs w:val="16"/>
                <w:lang w:eastAsia="en-US"/>
              </w:rPr>
              <w:br/>
              <w:t>Raporte statistikore të ndara sipas gjinisë/moshës</w:t>
            </w:r>
          </w:p>
        </w:tc>
        <w:tc>
          <w:tcPr>
            <w:tcW w:w="2382" w:type="dxa"/>
            <w:tcBorders>
              <w:top w:val="nil"/>
              <w:left w:val="nil"/>
              <w:bottom w:val="single" w:sz="4" w:space="0" w:color="auto"/>
              <w:right w:val="single" w:sz="4" w:space="0" w:color="auto"/>
            </w:tcBorders>
            <w:noWrap/>
            <w:hideMark/>
          </w:tcPr>
          <w:p w14:paraId="0BD6FD5D"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81B9626" w14:textId="77777777" w:rsidTr="661F9D2E">
        <w:trPr>
          <w:gridAfter w:val="6"/>
          <w:wAfter w:w="2500" w:type="dxa"/>
          <w:trHeight w:val="1413"/>
        </w:trPr>
        <w:tc>
          <w:tcPr>
            <w:tcW w:w="895" w:type="dxa"/>
            <w:vMerge/>
            <w:vAlign w:val="center"/>
            <w:hideMark/>
          </w:tcPr>
          <w:p w14:paraId="2FA876B8"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6CDF4762"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xml:space="preserve">Masë prioritare 2.4 Konsolidimi dhe zgjerimi i shërbimeve për punëdhënësit dhe punëkërkuesit dhe përshtatja e vazhdueshme e tyre bazuar në praktikat e monitorimit dhe vlerësimit </w:t>
            </w:r>
          </w:p>
        </w:tc>
        <w:tc>
          <w:tcPr>
            <w:tcW w:w="2268" w:type="dxa"/>
            <w:tcBorders>
              <w:top w:val="single" w:sz="4" w:space="0" w:color="auto"/>
              <w:left w:val="nil"/>
              <w:bottom w:val="single" w:sz="4" w:space="0" w:color="auto"/>
              <w:right w:val="single" w:sz="4" w:space="0" w:color="auto"/>
            </w:tcBorders>
            <w:hideMark/>
          </w:tcPr>
          <w:p w14:paraId="4CC272F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Nr. i përfituesve nga programet aktive;</w:t>
            </w:r>
            <w:r w:rsidRPr="00CB13F7">
              <w:rPr>
                <w:rFonts w:eastAsia="Times New Roman"/>
                <w:sz w:val="16"/>
                <w:szCs w:val="16"/>
                <w:lang w:eastAsia="en-US"/>
              </w:rPr>
              <w:br/>
              <w:t>Nr. bizneseve përfituese nga incentivat;</w:t>
            </w:r>
            <w:r w:rsidRPr="00CB13F7">
              <w:rPr>
                <w:rFonts w:eastAsia="Times New Roman"/>
                <w:sz w:val="16"/>
                <w:szCs w:val="16"/>
                <w:lang w:eastAsia="en-US"/>
              </w:rPr>
              <w:br/>
              <w:t xml:space="preserve">Nr i programeve të </w:t>
            </w:r>
            <w:r w:rsidR="00234FBC" w:rsidRPr="00CB13F7">
              <w:rPr>
                <w:rFonts w:eastAsia="Times New Roman"/>
                <w:sz w:val="16"/>
                <w:szCs w:val="16"/>
                <w:lang w:eastAsia="en-US"/>
              </w:rPr>
              <w:t>posaçme</w:t>
            </w:r>
            <w:r w:rsidRPr="00CB13F7">
              <w:rPr>
                <w:rFonts w:eastAsia="Times New Roman"/>
                <w:sz w:val="16"/>
                <w:szCs w:val="16"/>
                <w:lang w:eastAsia="en-US"/>
              </w:rPr>
              <w:t xml:space="preserve"> për PAK të krijuara dhe zbatuara; </w:t>
            </w:r>
            <w:r w:rsidRPr="00CB13F7">
              <w:rPr>
                <w:rFonts w:eastAsia="Times New Roman"/>
                <w:sz w:val="16"/>
                <w:szCs w:val="16"/>
                <w:lang w:eastAsia="en-US"/>
              </w:rPr>
              <w:br/>
              <w:t>% e mbajtjes së punës &gt;12 muaj</w:t>
            </w:r>
          </w:p>
        </w:tc>
        <w:tc>
          <w:tcPr>
            <w:tcW w:w="1160" w:type="dxa"/>
            <w:tcBorders>
              <w:top w:val="nil"/>
              <w:left w:val="nil"/>
              <w:bottom w:val="single" w:sz="4" w:space="0" w:color="auto"/>
              <w:right w:val="single" w:sz="4" w:space="0" w:color="auto"/>
            </w:tcBorders>
            <w:hideMark/>
          </w:tcPr>
          <w:p w14:paraId="5AC03016"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240</w:t>
            </w:r>
            <w:r w:rsidRPr="00CB13F7">
              <w:rPr>
                <w:rFonts w:eastAsia="Times New Roman"/>
                <w:sz w:val="16"/>
                <w:szCs w:val="16"/>
                <w:lang w:eastAsia="en-US"/>
              </w:rPr>
              <w:br/>
              <w:t>N/A</w:t>
            </w:r>
            <w:r w:rsidRPr="00CB13F7">
              <w:rPr>
                <w:rFonts w:eastAsia="Times New Roman"/>
                <w:sz w:val="16"/>
                <w:szCs w:val="16"/>
                <w:lang w:eastAsia="en-US"/>
              </w:rPr>
              <w:br/>
              <w:t>0</w:t>
            </w:r>
          </w:p>
        </w:tc>
        <w:tc>
          <w:tcPr>
            <w:tcW w:w="1418" w:type="dxa"/>
            <w:gridSpan w:val="3"/>
            <w:tcBorders>
              <w:top w:val="nil"/>
              <w:left w:val="nil"/>
              <w:bottom w:val="single" w:sz="4" w:space="0" w:color="auto"/>
              <w:right w:val="single" w:sz="4" w:space="0" w:color="auto"/>
            </w:tcBorders>
            <w:hideMark/>
          </w:tcPr>
          <w:p w14:paraId="1A01A019"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60050% gra/50% te rinj;</w:t>
            </w:r>
            <w:r w:rsidRPr="00CB13F7">
              <w:rPr>
                <w:rFonts w:eastAsia="Times New Roman"/>
                <w:color w:val="000000"/>
                <w:sz w:val="16"/>
                <w:szCs w:val="16"/>
                <w:lang w:eastAsia="en-US"/>
              </w:rPr>
              <w:br/>
              <w:t>60</w:t>
            </w:r>
            <w:r w:rsidRPr="00CB13F7">
              <w:rPr>
                <w:rFonts w:eastAsia="Times New Roman"/>
                <w:color w:val="000000"/>
                <w:sz w:val="16"/>
                <w:szCs w:val="16"/>
                <w:lang w:eastAsia="en-US"/>
              </w:rPr>
              <w:br/>
              <w:t>2</w:t>
            </w:r>
          </w:p>
        </w:tc>
        <w:tc>
          <w:tcPr>
            <w:tcW w:w="1417" w:type="dxa"/>
            <w:tcBorders>
              <w:top w:val="nil"/>
              <w:left w:val="nil"/>
              <w:bottom w:val="single" w:sz="4" w:space="0" w:color="auto"/>
              <w:right w:val="single" w:sz="4" w:space="0" w:color="auto"/>
            </w:tcBorders>
            <w:hideMark/>
          </w:tcPr>
          <w:p w14:paraId="4B67AC55"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30050% gra/50% te rinj;</w:t>
            </w:r>
            <w:r w:rsidRPr="00CB13F7">
              <w:rPr>
                <w:rFonts w:eastAsia="Times New Roman"/>
                <w:color w:val="000000"/>
                <w:sz w:val="16"/>
                <w:szCs w:val="16"/>
                <w:lang w:eastAsia="en-US"/>
              </w:rPr>
              <w:br/>
              <w:t>70</w:t>
            </w:r>
            <w:r w:rsidRPr="00CB13F7">
              <w:rPr>
                <w:rFonts w:eastAsia="Times New Roman"/>
                <w:color w:val="000000"/>
                <w:sz w:val="16"/>
                <w:szCs w:val="16"/>
                <w:lang w:eastAsia="en-US"/>
              </w:rPr>
              <w:br/>
              <w:t>2</w:t>
            </w:r>
          </w:p>
        </w:tc>
        <w:tc>
          <w:tcPr>
            <w:tcW w:w="1985" w:type="dxa"/>
            <w:tcBorders>
              <w:top w:val="nil"/>
              <w:left w:val="nil"/>
              <w:bottom w:val="single" w:sz="4" w:space="0" w:color="auto"/>
              <w:right w:val="single" w:sz="4" w:space="0" w:color="auto"/>
            </w:tcBorders>
            <w:hideMark/>
          </w:tcPr>
          <w:p w14:paraId="634B1D22"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xml:space="preserve">Të </w:t>
            </w:r>
            <w:r w:rsidR="00234FBC" w:rsidRPr="00CB13F7">
              <w:rPr>
                <w:rFonts w:eastAsia="Times New Roman"/>
                <w:sz w:val="16"/>
                <w:szCs w:val="16"/>
                <w:lang w:eastAsia="en-US"/>
              </w:rPr>
              <w:t>dhëna</w:t>
            </w:r>
            <w:r w:rsidRPr="00CB13F7">
              <w:rPr>
                <w:rFonts w:eastAsia="Times New Roman"/>
                <w:sz w:val="16"/>
                <w:szCs w:val="16"/>
                <w:lang w:eastAsia="en-US"/>
              </w:rPr>
              <w:t xml:space="preserve"> dhe </w:t>
            </w:r>
            <w:r w:rsidR="00234FBC" w:rsidRPr="00CB13F7">
              <w:rPr>
                <w:rFonts w:eastAsia="Times New Roman"/>
                <w:sz w:val="16"/>
                <w:szCs w:val="16"/>
                <w:lang w:eastAsia="en-US"/>
              </w:rPr>
              <w:t>statistika</w:t>
            </w:r>
            <w:r w:rsidRPr="00CB13F7">
              <w:rPr>
                <w:rFonts w:eastAsia="Times New Roman"/>
                <w:sz w:val="16"/>
                <w:szCs w:val="16"/>
                <w:lang w:eastAsia="en-US"/>
              </w:rPr>
              <w:t xml:space="preserve"> të programeve aktive;</w:t>
            </w:r>
            <w:r w:rsidRPr="00CB13F7">
              <w:rPr>
                <w:rFonts w:eastAsia="Times New Roman"/>
                <w:sz w:val="16"/>
                <w:szCs w:val="16"/>
                <w:lang w:eastAsia="en-US"/>
              </w:rPr>
              <w:br/>
              <w:t xml:space="preserve">Kontrata subvencioni; </w:t>
            </w:r>
          </w:p>
        </w:tc>
        <w:tc>
          <w:tcPr>
            <w:tcW w:w="2382" w:type="dxa"/>
            <w:tcBorders>
              <w:top w:val="nil"/>
              <w:left w:val="nil"/>
              <w:bottom w:val="single" w:sz="4" w:space="0" w:color="auto"/>
              <w:right w:val="single" w:sz="4" w:space="0" w:color="auto"/>
            </w:tcBorders>
            <w:hideMark/>
          </w:tcPr>
          <w:p w14:paraId="53A97C8A"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330D9F4" w14:textId="77777777" w:rsidTr="661F9D2E">
        <w:trPr>
          <w:gridAfter w:val="6"/>
          <w:wAfter w:w="2500" w:type="dxa"/>
          <w:trHeight w:val="837"/>
        </w:trPr>
        <w:tc>
          <w:tcPr>
            <w:tcW w:w="895" w:type="dxa"/>
            <w:vMerge/>
            <w:vAlign w:val="center"/>
            <w:hideMark/>
          </w:tcPr>
          <w:p w14:paraId="455BE561" w14:textId="77777777" w:rsidR="007D728E" w:rsidRPr="00CB13F7" w:rsidRDefault="007D728E" w:rsidP="007D728E">
            <w:pPr>
              <w:rPr>
                <w:rFonts w:eastAsia="Times New Roman"/>
                <w:b/>
                <w:bCs/>
                <w:sz w:val="16"/>
                <w:szCs w:val="16"/>
                <w:lang w:eastAsia="en-US"/>
              </w:rPr>
            </w:pPr>
          </w:p>
        </w:tc>
        <w:tc>
          <w:tcPr>
            <w:tcW w:w="2125" w:type="dxa"/>
            <w:tcBorders>
              <w:top w:val="single" w:sz="4" w:space="0" w:color="auto"/>
              <w:left w:val="nil"/>
              <w:bottom w:val="single" w:sz="4" w:space="0" w:color="auto"/>
              <w:right w:val="single" w:sz="4" w:space="0" w:color="auto"/>
            </w:tcBorders>
            <w:noWrap/>
            <w:hideMark/>
          </w:tcPr>
          <w:p w14:paraId="717B8F34"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Masa Prioritare 2.5 Forcimi i qeverisjes, koordinimit dhe monitorimit për punësimin e personave me aftësi të kufizuara</w:t>
            </w:r>
          </w:p>
        </w:tc>
        <w:tc>
          <w:tcPr>
            <w:tcW w:w="2268" w:type="dxa"/>
            <w:tcBorders>
              <w:top w:val="single" w:sz="4" w:space="0" w:color="auto"/>
              <w:left w:val="nil"/>
              <w:bottom w:val="single" w:sz="4" w:space="0" w:color="auto"/>
              <w:right w:val="single" w:sz="4" w:space="0" w:color="auto"/>
            </w:tcBorders>
            <w:hideMark/>
          </w:tcPr>
          <w:p w14:paraId="2C31BD5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Nr. mekanizmave ndërinstitucionalë funksionalë;</w:t>
            </w:r>
            <w:r w:rsidRPr="00CB13F7">
              <w:rPr>
                <w:rFonts w:eastAsia="Times New Roman"/>
                <w:sz w:val="16"/>
                <w:szCs w:val="16"/>
                <w:lang w:eastAsia="en-US"/>
              </w:rPr>
              <w:br/>
              <w:t>Nr. raporteve të monitorimit</w:t>
            </w:r>
          </w:p>
        </w:tc>
        <w:tc>
          <w:tcPr>
            <w:tcW w:w="1160" w:type="dxa"/>
            <w:tcBorders>
              <w:top w:val="nil"/>
              <w:left w:val="nil"/>
              <w:bottom w:val="single" w:sz="4" w:space="0" w:color="auto"/>
              <w:right w:val="single" w:sz="4" w:space="0" w:color="auto"/>
            </w:tcBorders>
            <w:noWrap/>
            <w:hideMark/>
          </w:tcPr>
          <w:p w14:paraId="0B39B1C3"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 </w:t>
            </w:r>
          </w:p>
        </w:tc>
        <w:tc>
          <w:tcPr>
            <w:tcW w:w="1418" w:type="dxa"/>
            <w:gridSpan w:val="3"/>
            <w:tcBorders>
              <w:top w:val="nil"/>
              <w:left w:val="nil"/>
              <w:bottom w:val="single" w:sz="4" w:space="0" w:color="auto"/>
              <w:right w:val="single" w:sz="4" w:space="0" w:color="auto"/>
            </w:tcBorders>
            <w:noWrap/>
            <w:hideMark/>
          </w:tcPr>
          <w:p w14:paraId="3F6542AF"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3 raporte (1 ne vit)</w:t>
            </w:r>
          </w:p>
        </w:tc>
        <w:tc>
          <w:tcPr>
            <w:tcW w:w="1417" w:type="dxa"/>
            <w:tcBorders>
              <w:top w:val="nil"/>
              <w:left w:val="nil"/>
              <w:bottom w:val="single" w:sz="4" w:space="0" w:color="auto"/>
              <w:right w:val="single" w:sz="4" w:space="0" w:color="auto"/>
            </w:tcBorders>
            <w:noWrap/>
            <w:hideMark/>
          </w:tcPr>
          <w:p w14:paraId="2ABBF9EF" w14:textId="77777777" w:rsidR="007D728E" w:rsidRPr="00CB13F7" w:rsidRDefault="007D728E" w:rsidP="007D728E">
            <w:pPr>
              <w:jc w:val="both"/>
              <w:rPr>
                <w:rFonts w:eastAsia="Times New Roman"/>
                <w:sz w:val="16"/>
                <w:szCs w:val="16"/>
                <w:lang w:eastAsia="en-US"/>
              </w:rPr>
            </w:pPr>
            <w:r w:rsidRPr="00CB13F7">
              <w:rPr>
                <w:rFonts w:eastAsia="Times New Roman"/>
                <w:sz w:val="16"/>
                <w:szCs w:val="16"/>
                <w:lang w:eastAsia="en-US"/>
              </w:rPr>
              <w:t>2 raporte (1 ne vit)</w:t>
            </w:r>
          </w:p>
        </w:tc>
        <w:tc>
          <w:tcPr>
            <w:tcW w:w="1985" w:type="dxa"/>
            <w:tcBorders>
              <w:top w:val="nil"/>
              <w:left w:val="nil"/>
              <w:bottom w:val="single" w:sz="4" w:space="0" w:color="auto"/>
              <w:right w:val="single" w:sz="4" w:space="0" w:color="auto"/>
            </w:tcBorders>
            <w:hideMark/>
          </w:tcPr>
          <w:p w14:paraId="08700ECF" w14:textId="77777777" w:rsidR="007D728E" w:rsidRPr="00CB13F7" w:rsidRDefault="00234FBC" w:rsidP="007D728E">
            <w:pPr>
              <w:jc w:val="both"/>
              <w:rPr>
                <w:rFonts w:eastAsia="Times New Roman"/>
                <w:sz w:val="16"/>
                <w:szCs w:val="16"/>
                <w:lang w:eastAsia="en-US"/>
              </w:rPr>
            </w:pPr>
            <w:r w:rsidRPr="00CB13F7">
              <w:rPr>
                <w:rFonts w:eastAsia="Times New Roman"/>
                <w:sz w:val="16"/>
                <w:szCs w:val="16"/>
                <w:lang w:eastAsia="en-US"/>
              </w:rPr>
              <w:t>Procesverbale</w:t>
            </w:r>
            <w:r w:rsidR="007D728E" w:rsidRPr="00CB13F7">
              <w:rPr>
                <w:rFonts w:eastAsia="Times New Roman"/>
                <w:sz w:val="16"/>
                <w:szCs w:val="16"/>
                <w:lang w:eastAsia="en-US"/>
              </w:rPr>
              <w:t xml:space="preserve"> takimesh;</w:t>
            </w:r>
            <w:r w:rsidR="007D728E" w:rsidRPr="00CB13F7">
              <w:rPr>
                <w:rFonts w:eastAsia="Times New Roman"/>
                <w:sz w:val="16"/>
                <w:szCs w:val="16"/>
                <w:lang w:eastAsia="en-US"/>
              </w:rPr>
              <w:br/>
              <w:t>Raporte vjetore të progresit;</w:t>
            </w:r>
          </w:p>
        </w:tc>
        <w:tc>
          <w:tcPr>
            <w:tcW w:w="2382" w:type="dxa"/>
            <w:tcBorders>
              <w:top w:val="nil"/>
              <w:left w:val="nil"/>
              <w:bottom w:val="single" w:sz="4" w:space="0" w:color="auto"/>
              <w:right w:val="single" w:sz="4" w:space="0" w:color="auto"/>
            </w:tcBorders>
            <w:hideMark/>
          </w:tcPr>
          <w:p w14:paraId="4DF4CB87" w14:textId="77777777" w:rsidR="007D728E" w:rsidRPr="00CB13F7" w:rsidRDefault="007D728E" w:rsidP="007D728E">
            <w:pPr>
              <w:jc w:val="both"/>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94413B8" w14:textId="77777777" w:rsidTr="661F9D2E">
        <w:trPr>
          <w:trHeight w:val="240"/>
        </w:trPr>
        <w:tc>
          <w:tcPr>
            <w:tcW w:w="895" w:type="dxa"/>
            <w:tcBorders>
              <w:top w:val="nil"/>
              <w:left w:val="nil"/>
              <w:bottom w:val="nil"/>
              <w:right w:val="nil"/>
            </w:tcBorders>
            <w:noWrap/>
            <w:hideMark/>
          </w:tcPr>
          <w:p w14:paraId="44262C4C" w14:textId="77777777" w:rsidR="007D728E" w:rsidRPr="00CB13F7" w:rsidRDefault="007D728E" w:rsidP="007D728E">
            <w:pPr>
              <w:rPr>
                <w:rFonts w:eastAsia="Times New Roman"/>
                <w:color w:val="000000"/>
                <w:sz w:val="16"/>
                <w:szCs w:val="16"/>
                <w:lang w:eastAsia="en-US"/>
              </w:rPr>
            </w:pPr>
          </w:p>
        </w:tc>
        <w:tc>
          <w:tcPr>
            <w:tcW w:w="6092" w:type="dxa"/>
            <w:gridSpan w:val="4"/>
            <w:tcBorders>
              <w:top w:val="nil"/>
              <w:left w:val="nil"/>
              <w:bottom w:val="nil"/>
              <w:right w:val="nil"/>
            </w:tcBorders>
            <w:noWrap/>
            <w:hideMark/>
          </w:tcPr>
          <w:p w14:paraId="077E4477" w14:textId="77777777" w:rsidR="007D728E" w:rsidRPr="00CB13F7" w:rsidRDefault="007D728E" w:rsidP="007D728E">
            <w:pPr>
              <w:rPr>
                <w:rFonts w:eastAsia="Times New Roman"/>
                <w:color w:val="000000"/>
                <w:sz w:val="16"/>
                <w:szCs w:val="16"/>
                <w:lang w:eastAsia="en-US"/>
              </w:rPr>
            </w:pPr>
          </w:p>
        </w:tc>
        <w:tc>
          <w:tcPr>
            <w:tcW w:w="236" w:type="dxa"/>
            <w:tcBorders>
              <w:top w:val="nil"/>
              <w:left w:val="nil"/>
              <w:bottom w:val="nil"/>
              <w:right w:val="nil"/>
            </w:tcBorders>
            <w:noWrap/>
            <w:hideMark/>
          </w:tcPr>
          <w:p w14:paraId="12154F71" w14:textId="77777777" w:rsidR="007D728E" w:rsidRPr="00CB13F7" w:rsidRDefault="007D728E" w:rsidP="007D728E">
            <w:pPr>
              <w:rPr>
                <w:rFonts w:eastAsia="Times New Roman"/>
                <w:color w:val="000000"/>
                <w:sz w:val="16"/>
                <w:szCs w:val="16"/>
                <w:lang w:eastAsia="en-US"/>
              </w:rPr>
            </w:pPr>
          </w:p>
        </w:tc>
        <w:tc>
          <w:tcPr>
            <w:tcW w:w="6427" w:type="dxa"/>
            <w:gridSpan w:val="4"/>
            <w:tcBorders>
              <w:top w:val="nil"/>
              <w:left w:val="nil"/>
              <w:bottom w:val="nil"/>
              <w:right w:val="nil"/>
            </w:tcBorders>
            <w:noWrap/>
            <w:hideMark/>
          </w:tcPr>
          <w:p w14:paraId="56955D18" w14:textId="77777777" w:rsidR="007D728E" w:rsidRPr="00CB13F7" w:rsidRDefault="007D728E" w:rsidP="007D728E">
            <w:pPr>
              <w:rPr>
                <w:rFonts w:eastAsia="Times New Roman"/>
                <w:color w:val="000000"/>
                <w:sz w:val="16"/>
                <w:szCs w:val="16"/>
                <w:lang w:eastAsia="en-US"/>
              </w:rPr>
            </w:pPr>
          </w:p>
        </w:tc>
        <w:tc>
          <w:tcPr>
            <w:tcW w:w="236" w:type="dxa"/>
            <w:tcBorders>
              <w:top w:val="nil"/>
              <w:left w:val="nil"/>
              <w:bottom w:val="nil"/>
              <w:right w:val="nil"/>
            </w:tcBorders>
            <w:noWrap/>
            <w:hideMark/>
          </w:tcPr>
          <w:p w14:paraId="3B2140A7" w14:textId="77777777" w:rsidR="007D728E" w:rsidRPr="00CB13F7" w:rsidRDefault="007D728E" w:rsidP="007D728E">
            <w:pPr>
              <w:rPr>
                <w:rFonts w:eastAsia="Times New Roman"/>
                <w:color w:val="000000"/>
                <w:sz w:val="16"/>
                <w:szCs w:val="16"/>
                <w:lang w:eastAsia="en-US"/>
              </w:rPr>
            </w:pPr>
          </w:p>
        </w:tc>
        <w:tc>
          <w:tcPr>
            <w:tcW w:w="236" w:type="dxa"/>
            <w:tcBorders>
              <w:top w:val="nil"/>
              <w:left w:val="nil"/>
              <w:bottom w:val="nil"/>
              <w:right w:val="nil"/>
            </w:tcBorders>
            <w:noWrap/>
            <w:hideMark/>
          </w:tcPr>
          <w:p w14:paraId="05BA25D5" w14:textId="77777777" w:rsidR="007D728E" w:rsidRPr="00CB13F7" w:rsidRDefault="007D728E" w:rsidP="007D728E">
            <w:pPr>
              <w:rPr>
                <w:rFonts w:eastAsia="Times New Roman"/>
                <w:color w:val="000000"/>
                <w:sz w:val="16"/>
                <w:szCs w:val="16"/>
                <w:lang w:eastAsia="en-US"/>
              </w:rPr>
            </w:pPr>
          </w:p>
        </w:tc>
        <w:tc>
          <w:tcPr>
            <w:tcW w:w="236" w:type="dxa"/>
            <w:tcBorders>
              <w:top w:val="nil"/>
              <w:left w:val="nil"/>
              <w:bottom w:val="nil"/>
              <w:right w:val="nil"/>
            </w:tcBorders>
            <w:noWrap/>
            <w:hideMark/>
          </w:tcPr>
          <w:p w14:paraId="514A03B7" w14:textId="77777777" w:rsidR="007D728E" w:rsidRPr="00CB13F7" w:rsidRDefault="007D728E" w:rsidP="007D728E">
            <w:pPr>
              <w:rPr>
                <w:rFonts w:eastAsia="Times New Roman"/>
                <w:color w:val="000000"/>
                <w:sz w:val="16"/>
                <w:szCs w:val="16"/>
                <w:lang w:eastAsia="en-US"/>
              </w:rPr>
            </w:pPr>
          </w:p>
        </w:tc>
        <w:tc>
          <w:tcPr>
            <w:tcW w:w="236" w:type="dxa"/>
            <w:tcBorders>
              <w:top w:val="nil"/>
              <w:left w:val="nil"/>
              <w:bottom w:val="nil"/>
              <w:right w:val="nil"/>
            </w:tcBorders>
            <w:noWrap/>
            <w:hideMark/>
          </w:tcPr>
          <w:p w14:paraId="1F7D6B2F" w14:textId="77777777" w:rsidR="007D728E" w:rsidRPr="00CB13F7" w:rsidRDefault="007D728E" w:rsidP="007D728E">
            <w:pPr>
              <w:rPr>
                <w:rFonts w:eastAsia="Times New Roman"/>
                <w:color w:val="000000"/>
                <w:sz w:val="16"/>
                <w:szCs w:val="16"/>
                <w:lang w:eastAsia="en-US"/>
              </w:rPr>
            </w:pPr>
          </w:p>
        </w:tc>
        <w:tc>
          <w:tcPr>
            <w:tcW w:w="236" w:type="dxa"/>
            <w:tcBorders>
              <w:top w:val="nil"/>
              <w:left w:val="nil"/>
              <w:bottom w:val="nil"/>
              <w:right w:val="nil"/>
            </w:tcBorders>
            <w:noWrap/>
            <w:hideMark/>
          </w:tcPr>
          <w:p w14:paraId="2985AC8A" w14:textId="77777777" w:rsidR="007D728E" w:rsidRPr="00CB13F7" w:rsidRDefault="007D728E" w:rsidP="007D728E">
            <w:pPr>
              <w:rPr>
                <w:rFonts w:eastAsia="Times New Roman"/>
                <w:color w:val="000000"/>
                <w:sz w:val="16"/>
                <w:szCs w:val="16"/>
                <w:lang w:eastAsia="en-US"/>
              </w:rPr>
            </w:pPr>
          </w:p>
        </w:tc>
        <w:tc>
          <w:tcPr>
            <w:tcW w:w="1320" w:type="dxa"/>
            <w:tcBorders>
              <w:top w:val="nil"/>
              <w:left w:val="nil"/>
              <w:bottom w:val="nil"/>
              <w:right w:val="nil"/>
            </w:tcBorders>
            <w:noWrap/>
            <w:hideMark/>
          </w:tcPr>
          <w:p w14:paraId="0838E208" w14:textId="77777777" w:rsidR="007D728E" w:rsidRPr="00CB13F7" w:rsidRDefault="007D728E" w:rsidP="007D728E">
            <w:pPr>
              <w:rPr>
                <w:rFonts w:eastAsia="Times New Roman"/>
                <w:color w:val="000000"/>
                <w:sz w:val="16"/>
                <w:szCs w:val="16"/>
                <w:lang w:eastAsia="en-US"/>
              </w:rPr>
            </w:pPr>
          </w:p>
        </w:tc>
      </w:tr>
    </w:tbl>
    <w:p w14:paraId="13B51FE9" w14:textId="77777777" w:rsidR="007D728E" w:rsidRPr="00CB13F7" w:rsidRDefault="007D728E" w:rsidP="007D728E">
      <w:pPr>
        <w:rPr>
          <w:rFonts w:ascii="Cambria" w:eastAsia="MS Mincho" w:hAnsi="Cambria"/>
          <w:lang w:eastAsia="en-US"/>
        </w:rPr>
      </w:pPr>
    </w:p>
    <w:p w14:paraId="2695EB9D" w14:textId="77777777" w:rsidR="007D728E" w:rsidRPr="00CB13F7" w:rsidRDefault="007D728E" w:rsidP="007D728E">
      <w:pPr>
        <w:rPr>
          <w:rFonts w:ascii="Cambria" w:eastAsia="MS Mincho" w:hAnsi="Cambria"/>
          <w:lang w:eastAsia="en-US"/>
        </w:rPr>
      </w:pPr>
    </w:p>
    <w:p w14:paraId="607CA1D4" w14:textId="77777777" w:rsidR="00830E31" w:rsidRPr="00CB13F7" w:rsidRDefault="00830E31" w:rsidP="007D728E">
      <w:pPr>
        <w:rPr>
          <w:rFonts w:ascii="Cambria" w:eastAsia="MS Mincho" w:hAnsi="Cambria"/>
          <w:lang w:eastAsia="en-US"/>
        </w:rPr>
      </w:pPr>
    </w:p>
    <w:p w14:paraId="285919E9" w14:textId="77777777" w:rsidR="00830E31" w:rsidRPr="00CB13F7" w:rsidRDefault="00830E31" w:rsidP="007D728E">
      <w:pPr>
        <w:rPr>
          <w:rFonts w:ascii="Cambria" w:eastAsia="MS Mincho" w:hAnsi="Cambria"/>
          <w:lang w:eastAsia="en-US"/>
        </w:rPr>
      </w:pPr>
    </w:p>
    <w:p w14:paraId="7D43B597" w14:textId="77777777" w:rsidR="00830E31" w:rsidRPr="00CB13F7" w:rsidRDefault="00830E31" w:rsidP="007D728E">
      <w:pPr>
        <w:rPr>
          <w:rFonts w:ascii="Cambria" w:eastAsia="MS Mincho" w:hAnsi="Cambria"/>
          <w:lang w:eastAsia="en-US"/>
        </w:rPr>
      </w:pPr>
    </w:p>
    <w:p w14:paraId="299A59AB" w14:textId="77777777" w:rsidR="00830E31" w:rsidRPr="00CB13F7" w:rsidRDefault="00830E31" w:rsidP="007D728E">
      <w:pPr>
        <w:rPr>
          <w:rFonts w:ascii="Cambria" w:eastAsia="MS Mincho" w:hAnsi="Cambria"/>
          <w:lang w:eastAsia="en-US"/>
        </w:rPr>
      </w:pPr>
    </w:p>
    <w:p w14:paraId="216EB9AF" w14:textId="77777777" w:rsidR="00830E31" w:rsidRPr="00CB13F7" w:rsidRDefault="00830E31" w:rsidP="007D728E">
      <w:pPr>
        <w:rPr>
          <w:rFonts w:ascii="Cambria" w:eastAsia="MS Mincho" w:hAnsi="Cambria"/>
          <w:lang w:eastAsia="en-US"/>
        </w:rPr>
      </w:pPr>
    </w:p>
    <w:p w14:paraId="2FD629C5" w14:textId="77777777" w:rsidR="00830E31" w:rsidRPr="00CB13F7" w:rsidRDefault="00830E31" w:rsidP="007D728E">
      <w:pPr>
        <w:rPr>
          <w:rFonts w:ascii="Cambria" w:eastAsia="MS Mincho" w:hAnsi="Cambria"/>
          <w:lang w:eastAsia="en-US"/>
        </w:rPr>
      </w:pPr>
    </w:p>
    <w:p w14:paraId="460D3113" w14:textId="77777777" w:rsidR="00830E31" w:rsidRPr="00CB13F7" w:rsidRDefault="00830E31" w:rsidP="007D728E">
      <w:pPr>
        <w:rPr>
          <w:rFonts w:ascii="Cambria" w:eastAsia="MS Mincho" w:hAnsi="Cambria"/>
          <w:lang w:eastAsia="en-US"/>
        </w:rPr>
      </w:pPr>
    </w:p>
    <w:p w14:paraId="03207CD3" w14:textId="77777777" w:rsidR="00830E31" w:rsidRPr="00CB13F7" w:rsidRDefault="00830E31" w:rsidP="007D728E">
      <w:pPr>
        <w:rPr>
          <w:rFonts w:ascii="Cambria" w:eastAsia="MS Mincho" w:hAnsi="Cambria"/>
          <w:lang w:eastAsia="en-US"/>
        </w:rPr>
      </w:pPr>
    </w:p>
    <w:p w14:paraId="106152BE" w14:textId="77777777" w:rsidR="00830E31" w:rsidRPr="00CB13F7" w:rsidRDefault="00830E31" w:rsidP="007D728E">
      <w:pPr>
        <w:rPr>
          <w:rFonts w:ascii="Cambria" w:eastAsia="MS Mincho" w:hAnsi="Cambria"/>
          <w:lang w:eastAsia="en-US"/>
        </w:rPr>
      </w:pPr>
    </w:p>
    <w:p w14:paraId="68429673" w14:textId="219E85DC" w:rsidR="007D728E" w:rsidRDefault="007D728E" w:rsidP="007D728E">
      <w:pPr>
        <w:rPr>
          <w:rFonts w:eastAsia="Times New Roman"/>
          <w:b/>
          <w:bCs/>
          <w:lang w:eastAsia="en-US"/>
        </w:rPr>
      </w:pPr>
      <w:r w:rsidRPr="00CB13F7">
        <w:rPr>
          <w:rFonts w:eastAsia="Times New Roman"/>
          <w:b/>
          <w:bCs/>
          <w:lang w:eastAsia="en-US"/>
        </w:rPr>
        <w:lastRenderedPageBreak/>
        <w:t>6.4</w:t>
      </w:r>
      <w:r w:rsidR="00736097" w:rsidRPr="00CB13F7">
        <w:rPr>
          <w:rFonts w:eastAsia="Times New Roman"/>
          <w:b/>
          <w:bCs/>
          <w:lang w:eastAsia="en-US"/>
        </w:rPr>
        <w:t xml:space="preserve"> </w:t>
      </w:r>
      <w:r w:rsidRPr="00CB13F7">
        <w:rPr>
          <w:rFonts w:eastAsia="Times New Roman"/>
          <w:b/>
          <w:bCs/>
          <w:lang w:eastAsia="en-US"/>
        </w:rPr>
        <w:t>Arsimi</w:t>
      </w:r>
    </w:p>
    <w:p w14:paraId="3499992C" w14:textId="77777777" w:rsidR="00E97066" w:rsidRDefault="00E97066" w:rsidP="007D728E">
      <w:pPr>
        <w:rPr>
          <w:rFonts w:eastAsia="Times New Roman"/>
          <w:b/>
          <w:bCs/>
          <w:lang w:eastAsia="en-US"/>
        </w:rPr>
      </w:pPr>
    </w:p>
    <w:tbl>
      <w:tblPr>
        <w:tblW w:w="13762" w:type="dxa"/>
        <w:tblInd w:w="93" w:type="dxa"/>
        <w:tblLayout w:type="fixed"/>
        <w:tblLook w:val="04A0" w:firstRow="1" w:lastRow="0" w:firstColumn="1" w:lastColumn="0" w:noHBand="0" w:noVBand="1"/>
      </w:tblPr>
      <w:tblGrid>
        <w:gridCol w:w="851"/>
        <w:gridCol w:w="1574"/>
        <w:gridCol w:w="1682"/>
        <w:gridCol w:w="1982"/>
        <w:gridCol w:w="1439"/>
        <w:gridCol w:w="1134"/>
        <w:gridCol w:w="992"/>
        <w:gridCol w:w="1418"/>
        <w:gridCol w:w="2690"/>
      </w:tblGrid>
      <w:tr w:rsidR="00E97066" w:rsidRPr="00CB13F7" w14:paraId="5AC31248" w14:textId="77777777" w:rsidTr="005F69EE">
        <w:trPr>
          <w:trHeight w:val="5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0D86F157"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574"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0CE54FC7"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Objektivat</w:t>
            </w:r>
          </w:p>
        </w:tc>
        <w:tc>
          <w:tcPr>
            <w:tcW w:w="3664" w:type="dxa"/>
            <w:gridSpan w:val="2"/>
            <w:tcBorders>
              <w:top w:val="single" w:sz="4" w:space="0" w:color="000000" w:themeColor="text1"/>
              <w:left w:val="nil"/>
              <w:bottom w:val="single" w:sz="4" w:space="0" w:color="000000" w:themeColor="text1"/>
              <w:right w:val="nil"/>
            </w:tcBorders>
            <w:shd w:val="clear" w:color="auto" w:fill="C0E5F3"/>
            <w:hideMark/>
          </w:tcPr>
          <w:p w14:paraId="54324F79"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Treguesi</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291FA80E"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Vlera bazë</w:t>
            </w:r>
          </w:p>
        </w:tc>
        <w:tc>
          <w:tcPr>
            <w:tcW w:w="1134"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3E7EE56C"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Synimi 2028</w:t>
            </w:r>
          </w:p>
        </w:tc>
        <w:tc>
          <w:tcPr>
            <w:tcW w:w="992" w:type="dxa"/>
            <w:tcBorders>
              <w:top w:val="single" w:sz="4" w:space="0" w:color="000000" w:themeColor="text1"/>
              <w:left w:val="nil"/>
              <w:bottom w:val="single" w:sz="4" w:space="0" w:color="000000" w:themeColor="text1"/>
              <w:right w:val="nil"/>
            </w:tcBorders>
            <w:shd w:val="clear" w:color="auto" w:fill="C0E5F3"/>
            <w:hideMark/>
          </w:tcPr>
          <w:p w14:paraId="25342CE3"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Synimi 2030</w:t>
            </w:r>
          </w:p>
        </w:tc>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C0E5F3"/>
            <w:hideMark/>
          </w:tcPr>
          <w:p w14:paraId="5DAAD356"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Burimet dhe mjetet e verifikimit</w:t>
            </w:r>
          </w:p>
        </w:tc>
        <w:tc>
          <w:tcPr>
            <w:tcW w:w="2690" w:type="dxa"/>
            <w:tcBorders>
              <w:top w:val="single" w:sz="4" w:space="0" w:color="auto"/>
              <w:left w:val="single" w:sz="4" w:space="0" w:color="auto"/>
              <w:bottom w:val="single" w:sz="4" w:space="0" w:color="auto"/>
              <w:right w:val="single" w:sz="4" w:space="0" w:color="auto"/>
            </w:tcBorders>
            <w:shd w:val="clear" w:color="auto" w:fill="C0E5F3"/>
            <w:hideMark/>
          </w:tcPr>
          <w:p w14:paraId="7D7A6008"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E97066" w:rsidRPr="00CB13F7" w14:paraId="52628D67" w14:textId="77777777" w:rsidTr="005F69EE">
        <w:trPr>
          <w:trHeight w:val="2978"/>
        </w:trPr>
        <w:tc>
          <w:tcPr>
            <w:tcW w:w="851" w:type="dxa"/>
            <w:tcBorders>
              <w:top w:val="nil"/>
              <w:left w:val="single" w:sz="4" w:space="0" w:color="000000" w:themeColor="text1"/>
              <w:bottom w:val="nil"/>
              <w:right w:val="single" w:sz="4" w:space="0" w:color="000000" w:themeColor="text1"/>
            </w:tcBorders>
            <w:shd w:val="clear" w:color="auto" w:fill="D8F1D0"/>
            <w:hideMark/>
          </w:tcPr>
          <w:p w14:paraId="08A14C45"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 xml:space="preserve">Qëllimi i politikës </w:t>
            </w:r>
          </w:p>
        </w:tc>
        <w:tc>
          <w:tcPr>
            <w:tcW w:w="1574" w:type="dxa"/>
            <w:tcBorders>
              <w:top w:val="nil"/>
              <w:left w:val="nil"/>
              <w:bottom w:val="nil"/>
              <w:right w:val="single" w:sz="4" w:space="0" w:color="000000" w:themeColor="text1"/>
            </w:tcBorders>
            <w:shd w:val="clear" w:color="auto" w:fill="D8F1D0"/>
            <w:hideMark/>
          </w:tcPr>
          <w:p w14:paraId="2EF7AD1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Sigurimi i arsimit cilësor dhe gjithëpërfshirës në të gjitha nivelet e sistemit arsimor për fëmijët, nxënësit dhe studentët me aftësi të kufizuara.</w:t>
            </w:r>
          </w:p>
        </w:tc>
        <w:tc>
          <w:tcPr>
            <w:tcW w:w="1682" w:type="dxa"/>
            <w:tcBorders>
              <w:top w:val="nil"/>
              <w:left w:val="nil"/>
              <w:bottom w:val="nil"/>
              <w:right w:val="nil"/>
            </w:tcBorders>
            <w:shd w:val="clear" w:color="auto" w:fill="D8F1D0"/>
            <w:hideMark/>
          </w:tcPr>
          <w:p w14:paraId="6EB708E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e fëmijëve/nxënësve/studentëve me aftësi të kufizuara të regjistruar në sistemin arsimor në të gjitha nivelet;</w:t>
            </w:r>
            <w:r w:rsidRPr="00CB13F7">
              <w:rPr>
                <w:rFonts w:eastAsia="Times New Roman"/>
                <w:sz w:val="16"/>
                <w:szCs w:val="16"/>
                <w:lang w:eastAsia="en-US"/>
              </w:rPr>
              <w:br/>
            </w:r>
            <w:r w:rsidRPr="00CB13F7">
              <w:rPr>
                <w:rFonts w:eastAsia="Times New Roman"/>
                <w:sz w:val="16"/>
                <w:szCs w:val="16"/>
                <w:lang w:eastAsia="en-US"/>
              </w:rPr>
              <w:br/>
              <w:t>% e institucioneve arsimore që kanë kapacitete dhe mjedis mbështetës;</w:t>
            </w:r>
          </w:p>
        </w:tc>
        <w:tc>
          <w:tcPr>
            <w:tcW w:w="1982" w:type="dxa"/>
            <w:tcBorders>
              <w:top w:val="nil"/>
              <w:left w:val="nil"/>
              <w:bottom w:val="nil"/>
              <w:right w:val="nil"/>
            </w:tcBorders>
            <w:shd w:val="clear" w:color="auto" w:fill="D8F1D0"/>
            <w:hideMark/>
          </w:tcPr>
          <w:p w14:paraId="7EDDEB7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Numri i fëmijëve/nxënësve/studentëve me aftësi të kufizuara të regjistruar në të gjitha nivelet e sistemit arsimor;</w:t>
            </w:r>
            <w:r w:rsidRPr="00CB13F7">
              <w:rPr>
                <w:rFonts w:eastAsia="Times New Roman"/>
                <w:sz w:val="16"/>
                <w:szCs w:val="16"/>
                <w:lang w:eastAsia="en-US"/>
              </w:rPr>
              <w:br/>
            </w:r>
            <w:r w:rsidRPr="00CB13F7">
              <w:rPr>
                <w:rFonts w:eastAsia="Times New Roman"/>
                <w:sz w:val="16"/>
                <w:szCs w:val="16"/>
                <w:lang w:eastAsia="en-US"/>
              </w:rPr>
              <w:br/>
              <w:t>% e institucioneve arsimore që kanë infrastrukturë mbështetëse (i) asistenca individuale - raporti mësues ndihmës/nxënës me aftësi të kufizuara dhe (ii)disponueshmëria e infrastrukturës fizike dhe teknologjisë ndihmëse;</w:t>
            </w:r>
          </w:p>
        </w:tc>
        <w:tc>
          <w:tcPr>
            <w:tcW w:w="1439" w:type="dxa"/>
            <w:tcBorders>
              <w:top w:val="nil"/>
              <w:left w:val="single" w:sz="4" w:space="0" w:color="000000" w:themeColor="text1"/>
              <w:bottom w:val="nil"/>
              <w:right w:val="single" w:sz="4" w:space="0" w:color="000000" w:themeColor="text1"/>
            </w:tcBorders>
            <w:shd w:val="clear" w:color="auto" w:fill="D8F1D0"/>
            <w:hideMark/>
          </w:tcPr>
          <w:p w14:paraId="22A055F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600 në arsimin parashkollor, 3887 në arsimin bazë;538 në arsimin e mesëm, Total 5025; N/A për arsimin universitar;</w:t>
            </w:r>
            <w:r w:rsidRPr="00CB13F7">
              <w:rPr>
                <w:rFonts w:eastAsia="Times New Roman"/>
                <w:sz w:val="16"/>
                <w:szCs w:val="16"/>
                <w:lang w:eastAsia="en-US"/>
              </w:rPr>
              <w:br/>
            </w:r>
            <w:r w:rsidRPr="00CB13F7">
              <w:rPr>
                <w:rFonts w:eastAsia="Times New Roman"/>
                <w:sz w:val="16"/>
                <w:szCs w:val="16"/>
                <w:lang w:eastAsia="en-US"/>
              </w:rPr>
              <w:br/>
              <w:t>( i) 1 mësues ndihmës për 2.3 nxënës me aftësi të kufizuara në 2024;</w:t>
            </w:r>
            <w:r w:rsidRPr="00CB13F7">
              <w:rPr>
                <w:rFonts w:eastAsia="Times New Roman"/>
                <w:sz w:val="16"/>
                <w:szCs w:val="16"/>
                <w:lang w:eastAsia="en-US"/>
              </w:rPr>
              <w:br/>
              <w:t>(ii) N/A</w:t>
            </w:r>
          </w:p>
        </w:tc>
        <w:tc>
          <w:tcPr>
            <w:tcW w:w="1134" w:type="dxa"/>
            <w:tcBorders>
              <w:top w:val="nil"/>
              <w:left w:val="nil"/>
              <w:bottom w:val="nil"/>
              <w:right w:val="single" w:sz="4" w:space="0" w:color="000000" w:themeColor="text1"/>
            </w:tcBorders>
            <w:shd w:val="clear" w:color="auto" w:fill="D8F1D0"/>
            <w:hideMark/>
          </w:tcPr>
          <w:p w14:paraId="7C0E645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7000 (total në të tre nivelet)</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Raporti Mësues ndihmës /Nxënës me aftësi të kufizuara zvogëlohet në 1 me 1.8</w:t>
            </w:r>
          </w:p>
        </w:tc>
        <w:tc>
          <w:tcPr>
            <w:tcW w:w="992" w:type="dxa"/>
            <w:tcBorders>
              <w:top w:val="nil"/>
              <w:left w:val="nil"/>
              <w:bottom w:val="nil"/>
              <w:right w:val="single" w:sz="4" w:space="0" w:color="000000" w:themeColor="text1"/>
            </w:tcBorders>
            <w:shd w:val="clear" w:color="auto" w:fill="D8F1D0"/>
            <w:hideMark/>
          </w:tcPr>
          <w:p w14:paraId="4F2CD46B"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8000 Total ne te gjitha nivelet</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Raporti Mësues ndihmës /Nxënës me aftësi të kufizuara zvogëlohet në 1 me 1</w:t>
            </w:r>
          </w:p>
        </w:tc>
        <w:tc>
          <w:tcPr>
            <w:tcW w:w="1418" w:type="dxa"/>
            <w:tcBorders>
              <w:top w:val="nil"/>
              <w:left w:val="nil"/>
              <w:bottom w:val="nil"/>
              <w:right w:val="nil"/>
            </w:tcBorders>
            <w:shd w:val="clear" w:color="auto" w:fill="D8F1D0"/>
            <w:hideMark/>
          </w:tcPr>
          <w:p w14:paraId="05DDF34D"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SMIP; </w:t>
            </w:r>
            <w:r w:rsidRPr="00CB13F7">
              <w:br/>
            </w:r>
            <w:r w:rsidRPr="00CB13F7">
              <w:rPr>
                <w:rFonts w:eastAsia="Times New Roman"/>
                <w:sz w:val="16"/>
                <w:szCs w:val="16"/>
                <w:lang w:eastAsia="en-US"/>
              </w:rPr>
              <w:t xml:space="preserve">INSTAT; </w:t>
            </w:r>
            <w:r w:rsidRPr="00CB13F7">
              <w:br/>
            </w:r>
            <w:r w:rsidRPr="00CB13F7">
              <w:rPr>
                <w:rFonts w:eastAsia="Times New Roman"/>
                <w:sz w:val="16"/>
                <w:szCs w:val="16"/>
                <w:lang w:eastAsia="en-US"/>
              </w:rPr>
              <w:t>Raporte vjetore të MAS;</w:t>
            </w:r>
          </w:p>
        </w:tc>
        <w:tc>
          <w:tcPr>
            <w:tcW w:w="2690" w:type="dxa"/>
            <w:tcBorders>
              <w:top w:val="nil"/>
              <w:left w:val="single" w:sz="4" w:space="0" w:color="auto"/>
              <w:bottom w:val="single" w:sz="4" w:space="0" w:color="auto"/>
              <w:right w:val="single" w:sz="4" w:space="0" w:color="auto"/>
            </w:tcBorders>
            <w:shd w:val="clear" w:color="auto" w:fill="D8F1D0"/>
            <w:hideMark/>
          </w:tcPr>
          <w:p w14:paraId="2ECB901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Strategjia Kombëtare për Arsimin 2021-2026; </w:t>
            </w:r>
            <w:r w:rsidRPr="00CB13F7">
              <w:rPr>
                <w:rFonts w:eastAsia="Times New Roman"/>
                <w:sz w:val="16"/>
                <w:szCs w:val="16"/>
                <w:lang w:eastAsia="en-US"/>
              </w:rPr>
              <w:br/>
              <w:t xml:space="preserve">VKM për standardet e aksesueshmërisë; </w:t>
            </w:r>
            <w:r w:rsidRPr="00CB13F7">
              <w:rPr>
                <w:rFonts w:eastAsia="Times New Roman"/>
                <w:sz w:val="16"/>
                <w:szCs w:val="16"/>
                <w:lang w:eastAsia="en-US"/>
              </w:rPr>
              <w:br/>
              <w:t>Konventa OKB për të Drejtat e PAK;</w:t>
            </w:r>
            <w:r w:rsidRPr="00CB13F7">
              <w:rPr>
                <w:rFonts w:eastAsia="Times New Roman"/>
                <w:sz w:val="16"/>
                <w:szCs w:val="16"/>
                <w:lang w:eastAsia="en-US"/>
              </w:rPr>
              <w:br/>
              <w:t>Strategjinë Kombëtare për Zhvillim dhe Integrim Evropian (SKZHIE)2030 - Shtylla "Kohezioni social";</w:t>
            </w:r>
            <w:r w:rsidRPr="00CB13F7">
              <w:rPr>
                <w:rFonts w:eastAsia="Times New Roman"/>
                <w:sz w:val="16"/>
                <w:szCs w:val="16"/>
                <w:lang w:eastAsia="en-US"/>
              </w:rPr>
              <w:br/>
              <w:t>Reform and Groëth Facility for the Ëestern Balkans - Reform Agenda of Albania 2024-2027 (Policy Area 2;</w:t>
            </w:r>
            <w:r w:rsidRPr="00CB13F7">
              <w:rPr>
                <w:rFonts w:eastAsia="Times New Roman"/>
                <w:sz w:val="16"/>
                <w:szCs w:val="16"/>
                <w:lang w:eastAsia="en-US"/>
              </w:rPr>
              <w:br/>
              <w:t>Human Capital - Sub-area 2.1 Education &amp; Skills;</w:t>
            </w:r>
            <w:r w:rsidRPr="00CB13F7">
              <w:rPr>
                <w:rFonts w:eastAsia="Times New Roman"/>
                <w:sz w:val="16"/>
                <w:szCs w:val="16"/>
                <w:lang w:eastAsia="en-US"/>
              </w:rPr>
              <w:br/>
              <w:t xml:space="preserve">Strategjia e BE-së për të Drejtat e Personave me Aftësi të Kufizuara 2021-2030; </w:t>
            </w:r>
          </w:p>
        </w:tc>
      </w:tr>
      <w:tr w:rsidR="00E97066" w:rsidRPr="00CB13F7" w14:paraId="498F4D26" w14:textId="77777777" w:rsidTr="005F69EE">
        <w:trPr>
          <w:trHeight w:val="270"/>
        </w:trPr>
        <w:tc>
          <w:tcPr>
            <w:tcW w:w="851" w:type="dxa"/>
            <w:vMerge w:val="restart"/>
            <w:tcBorders>
              <w:top w:val="single" w:sz="4" w:space="0" w:color="000000" w:themeColor="text1"/>
              <w:left w:val="nil"/>
              <w:bottom w:val="single" w:sz="4" w:space="0" w:color="000000" w:themeColor="text1"/>
              <w:right w:val="nil"/>
            </w:tcBorders>
            <w:shd w:val="clear" w:color="auto" w:fill="CAEDFA"/>
            <w:hideMark/>
          </w:tcPr>
          <w:p w14:paraId="29D78F39"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Objektivat specifik</w:t>
            </w:r>
          </w:p>
        </w:tc>
        <w:tc>
          <w:tcPr>
            <w:tcW w:w="1574"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4D9E3946" w14:textId="77777777" w:rsidR="00E97066" w:rsidRPr="00CB13F7" w:rsidRDefault="00E97066" w:rsidP="005F69EE">
            <w:pPr>
              <w:rPr>
                <w:rFonts w:eastAsia="Times New Roman"/>
                <w:sz w:val="16"/>
                <w:szCs w:val="16"/>
                <w:lang w:eastAsia="en-US"/>
              </w:rPr>
            </w:pPr>
            <w:r>
              <w:rPr>
                <w:rFonts w:eastAsia="Times New Roman"/>
                <w:sz w:val="16"/>
                <w:szCs w:val="16"/>
                <w:lang w:eastAsia="en-US"/>
              </w:rPr>
              <w:t xml:space="preserve">Objektivi specifik 1. </w:t>
            </w:r>
            <w:r w:rsidRPr="00CB13F7">
              <w:rPr>
                <w:rFonts w:eastAsia="Times New Roman"/>
                <w:sz w:val="16"/>
                <w:szCs w:val="16"/>
                <w:lang w:eastAsia="en-US"/>
              </w:rPr>
              <w:t>Zhvillimi dhe edukimi gjithëpërfshirës i fëmijëve me aftësi të kufizuara në fëmijërinë e hershme dhe arsimin parashkollor duke investuar në infrastrukturë, shërbime mbështetëse dhe zhvillim</w:t>
            </w:r>
            <w:r>
              <w:rPr>
                <w:rFonts w:eastAsia="Times New Roman"/>
                <w:sz w:val="16"/>
                <w:szCs w:val="16"/>
                <w:lang w:eastAsia="en-US"/>
              </w:rPr>
              <w:t>in</w:t>
            </w:r>
            <w:r w:rsidRPr="00CB13F7">
              <w:rPr>
                <w:rFonts w:eastAsia="Times New Roman"/>
                <w:sz w:val="16"/>
                <w:szCs w:val="16"/>
                <w:lang w:eastAsia="en-US"/>
              </w:rPr>
              <w:t xml:space="preserve"> profesional të stafit të kopshteve.</w:t>
            </w:r>
          </w:p>
        </w:tc>
        <w:tc>
          <w:tcPr>
            <w:tcW w:w="1682" w:type="dxa"/>
            <w:tcBorders>
              <w:top w:val="single" w:sz="4" w:space="0" w:color="000000" w:themeColor="text1"/>
              <w:left w:val="nil"/>
              <w:bottom w:val="nil"/>
              <w:right w:val="nil"/>
            </w:tcBorders>
            <w:shd w:val="clear" w:color="auto" w:fill="CAEDFA"/>
            <w:hideMark/>
          </w:tcPr>
          <w:p w14:paraId="4A081BC7" w14:textId="77777777" w:rsidR="00E97066" w:rsidRPr="00CB13F7" w:rsidRDefault="00E97066" w:rsidP="005F69EE">
            <w:pPr>
              <w:rPr>
                <w:rFonts w:eastAsia="Times New Roman"/>
                <w:sz w:val="16"/>
                <w:szCs w:val="16"/>
                <w:lang w:eastAsia="en-US"/>
              </w:rPr>
            </w:pPr>
          </w:p>
        </w:tc>
        <w:tc>
          <w:tcPr>
            <w:tcW w:w="1982" w:type="dxa"/>
            <w:vMerge w:val="restart"/>
            <w:tcBorders>
              <w:top w:val="single" w:sz="4" w:space="0" w:color="000000" w:themeColor="text1"/>
              <w:left w:val="nil"/>
              <w:bottom w:val="nil"/>
              <w:right w:val="nil"/>
            </w:tcBorders>
            <w:shd w:val="clear" w:color="auto" w:fill="CAEDFA"/>
            <w:hideMark/>
          </w:tcPr>
          <w:p w14:paraId="341E89F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e kopshteve me infrastrukturë të aksesueshme;</w:t>
            </w:r>
            <w:r w:rsidRPr="00CB13F7">
              <w:rPr>
                <w:rFonts w:eastAsia="Times New Roman"/>
                <w:sz w:val="16"/>
                <w:szCs w:val="16"/>
                <w:lang w:eastAsia="en-US"/>
              </w:rPr>
              <w:br/>
              <w:t>% e edukatorëve të trajnuar në arsim gjithëpërfshirës;</w:t>
            </w:r>
            <w:r w:rsidRPr="00CB13F7">
              <w:rPr>
                <w:rFonts w:eastAsia="Times New Roman"/>
                <w:sz w:val="16"/>
                <w:szCs w:val="16"/>
                <w:lang w:eastAsia="en-US"/>
              </w:rPr>
              <w:br/>
              <w:t>% e fëmijëve me PIZH (Plan Individual Zhvillimi dhe PEI, Plane Edukative Individuale;</w:t>
            </w:r>
          </w:p>
        </w:tc>
        <w:tc>
          <w:tcPr>
            <w:tcW w:w="1439" w:type="dxa"/>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129FBF6C"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p>
        </w:tc>
        <w:tc>
          <w:tcPr>
            <w:tcW w:w="1134" w:type="dxa"/>
            <w:tcBorders>
              <w:top w:val="single" w:sz="4" w:space="0" w:color="000000" w:themeColor="text1"/>
              <w:left w:val="nil"/>
              <w:bottom w:val="nil"/>
              <w:right w:val="single" w:sz="4" w:space="0" w:color="000000" w:themeColor="text1"/>
            </w:tcBorders>
            <w:shd w:val="clear" w:color="auto" w:fill="CAEDFA"/>
            <w:hideMark/>
          </w:tcPr>
          <w:p w14:paraId="157F3AEC"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40%</w:t>
            </w:r>
          </w:p>
        </w:tc>
        <w:tc>
          <w:tcPr>
            <w:tcW w:w="992" w:type="dxa"/>
            <w:tcBorders>
              <w:top w:val="single" w:sz="4" w:space="0" w:color="000000" w:themeColor="text1"/>
              <w:left w:val="nil"/>
              <w:bottom w:val="nil"/>
              <w:right w:val="nil"/>
            </w:tcBorders>
            <w:shd w:val="clear" w:color="auto" w:fill="CAEDFA"/>
            <w:hideMark/>
          </w:tcPr>
          <w:p w14:paraId="4D043B6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80%</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CAEDFA"/>
            <w:hideMark/>
          </w:tcPr>
          <w:p w14:paraId="3668168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Inventari kombëtar i objekteve publike të aksesueshme; </w:t>
            </w:r>
            <w:r w:rsidRPr="00CB13F7">
              <w:rPr>
                <w:rFonts w:eastAsia="Times New Roman"/>
                <w:sz w:val="16"/>
                <w:szCs w:val="16"/>
                <w:lang w:eastAsia="en-US"/>
              </w:rPr>
              <w:br/>
              <w:t>Raporte bashkiake;</w:t>
            </w:r>
            <w:r w:rsidRPr="00CB13F7">
              <w:rPr>
                <w:rFonts w:eastAsia="Times New Roman"/>
                <w:sz w:val="16"/>
                <w:szCs w:val="16"/>
                <w:lang w:eastAsia="en-US"/>
              </w:rPr>
              <w:br/>
              <w:t xml:space="preserve">Regjistri i trajnimeve; </w:t>
            </w:r>
            <w:r w:rsidRPr="00CB13F7">
              <w:rPr>
                <w:rFonts w:eastAsia="Times New Roman"/>
                <w:sz w:val="16"/>
                <w:szCs w:val="16"/>
                <w:lang w:eastAsia="en-US"/>
              </w:rPr>
              <w:br/>
              <w:t>ASCAP;</w:t>
            </w:r>
            <w:r w:rsidRPr="00CB13F7">
              <w:rPr>
                <w:rFonts w:eastAsia="Times New Roman"/>
                <w:sz w:val="16"/>
                <w:szCs w:val="16"/>
                <w:lang w:eastAsia="en-US"/>
              </w:rPr>
              <w:br/>
              <w:t xml:space="preserve">Dosjet pedagogjike; </w:t>
            </w:r>
            <w:r w:rsidRPr="00CB13F7">
              <w:rPr>
                <w:rFonts w:eastAsia="Times New Roman"/>
                <w:sz w:val="16"/>
                <w:szCs w:val="16"/>
                <w:lang w:eastAsia="en-US"/>
              </w:rPr>
              <w:br/>
              <w:t>EMIS;</w:t>
            </w:r>
          </w:p>
        </w:tc>
        <w:tc>
          <w:tcPr>
            <w:tcW w:w="2690" w:type="dxa"/>
            <w:vMerge w:val="restart"/>
            <w:tcBorders>
              <w:top w:val="nil"/>
              <w:left w:val="single" w:sz="4" w:space="0" w:color="auto"/>
              <w:bottom w:val="single" w:sz="4" w:space="0" w:color="000000" w:themeColor="text1"/>
              <w:right w:val="single" w:sz="4" w:space="0" w:color="auto"/>
            </w:tcBorders>
            <w:shd w:val="clear" w:color="auto" w:fill="CAEDFA"/>
            <w:hideMark/>
          </w:tcPr>
          <w:p w14:paraId="5234AAF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Direktiva/“European Accessibility Act” - Direktivë (BE) 2019/882 (kërkesat e aksesueshmërisë për produkte dhe shërbime, përfshirë ato arsimore ); Strategjia Kombëtare për Arsimin 2021-2026; </w:t>
            </w:r>
            <w:r w:rsidRPr="00CB13F7">
              <w:rPr>
                <w:rFonts w:eastAsia="Times New Roman"/>
                <w:sz w:val="16"/>
                <w:szCs w:val="16"/>
                <w:lang w:eastAsia="en-US"/>
              </w:rPr>
              <w:br/>
              <w:t xml:space="preserve">VKM për standardet e aksesueshmërisë; </w:t>
            </w:r>
            <w:r w:rsidRPr="00CB13F7">
              <w:rPr>
                <w:rFonts w:eastAsia="Times New Roman"/>
                <w:sz w:val="16"/>
                <w:szCs w:val="16"/>
                <w:lang w:eastAsia="en-US"/>
              </w:rPr>
              <w:br/>
              <w:t>Konventa OKB për të Drejtat e PAK;</w:t>
            </w:r>
            <w:r w:rsidRPr="00CB13F7">
              <w:rPr>
                <w:rFonts w:eastAsia="Times New Roman"/>
                <w:sz w:val="16"/>
                <w:szCs w:val="16"/>
                <w:lang w:eastAsia="en-US"/>
              </w:rPr>
              <w:br/>
              <w:t>Korniza e Zhvillimit Profesional;</w:t>
            </w:r>
            <w:r w:rsidRPr="00CB13F7">
              <w:rPr>
                <w:rFonts w:eastAsia="Times New Roman"/>
                <w:sz w:val="16"/>
                <w:szCs w:val="16"/>
                <w:lang w:eastAsia="en-US"/>
              </w:rPr>
              <w:br/>
              <w:t>Udhëzime MAS për planet PEI;</w:t>
            </w:r>
          </w:p>
        </w:tc>
      </w:tr>
      <w:tr w:rsidR="00E97066" w:rsidRPr="00CB13F7" w14:paraId="0910E0F8" w14:textId="77777777" w:rsidTr="005F69EE">
        <w:trPr>
          <w:trHeight w:val="225"/>
        </w:trPr>
        <w:tc>
          <w:tcPr>
            <w:tcW w:w="851" w:type="dxa"/>
            <w:vMerge/>
            <w:hideMark/>
          </w:tcPr>
          <w:p w14:paraId="198F83F9" w14:textId="77777777" w:rsidR="00E97066" w:rsidRPr="00CB13F7" w:rsidRDefault="00E97066" w:rsidP="005F69EE">
            <w:pPr>
              <w:rPr>
                <w:rFonts w:eastAsia="Times New Roman"/>
                <w:b/>
                <w:bCs/>
                <w:sz w:val="16"/>
                <w:szCs w:val="16"/>
                <w:lang w:eastAsia="en-US"/>
              </w:rPr>
            </w:pPr>
          </w:p>
        </w:tc>
        <w:tc>
          <w:tcPr>
            <w:tcW w:w="1574" w:type="dxa"/>
            <w:vMerge/>
            <w:hideMark/>
          </w:tcPr>
          <w:p w14:paraId="31C6A0C7"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2C12CA6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hideMark/>
          </w:tcPr>
          <w:p w14:paraId="67EBE8FF" w14:textId="77777777" w:rsidR="00E97066" w:rsidRPr="00CB13F7" w:rsidRDefault="00E97066" w:rsidP="005F69EE">
            <w:pPr>
              <w:rPr>
                <w:rFonts w:eastAsia="Times New Roman"/>
                <w:sz w:val="16"/>
                <w:szCs w:val="16"/>
                <w:lang w:eastAsia="en-US"/>
              </w:rPr>
            </w:pPr>
          </w:p>
        </w:tc>
        <w:tc>
          <w:tcPr>
            <w:tcW w:w="1439" w:type="dxa"/>
            <w:tcBorders>
              <w:top w:val="nil"/>
              <w:left w:val="single" w:sz="4" w:space="0" w:color="000000" w:themeColor="text1"/>
              <w:bottom w:val="nil"/>
              <w:right w:val="single" w:sz="4" w:space="0" w:color="000000" w:themeColor="text1"/>
            </w:tcBorders>
            <w:shd w:val="clear" w:color="auto" w:fill="CAEDFA"/>
            <w:hideMark/>
          </w:tcPr>
          <w:p w14:paraId="60566A1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p>
        </w:tc>
        <w:tc>
          <w:tcPr>
            <w:tcW w:w="1134" w:type="dxa"/>
            <w:tcBorders>
              <w:top w:val="nil"/>
              <w:left w:val="nil"/>
              <w:bottom w:val="nil"/>
              <w:right w:val="single" w:sz="4" w:space="0" w:color="000000" w:themeColor="text1"/>
            </w:tcBorders>
            <w:shd w:val="clear" w:color="auto" w:fill="CAEDFA"/>
            <w:hideMark/>
          </w:tcPr>
          <w:p w14:paraId="6E30939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50%</w:t>
            </w:r>
          </w:p>
        </w:tc>
        <w:tc>
          <w:tcPr>
            <w:tcW w:w="992" w:type="dxa"/>
            <w:tcBorders>
              <w:top w:val="nil"/>
              <w:left w:val="nil"/>
              <w:bottom w:val="nil"/>
              <w:right w:val="nil"/>
            </w:tcBorders>
            <w:shd w:val="clear" w:color="auto" w:fill="CAEDFA"/>
            <w:hideMark/>
          </w:tcPr>
          <w:p w14:paraId="589B4AF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80%</w:t>
            </w:r>
          </w:p>
        </w:tc>
        <w:tc>
          <w:tcPr>
            <w:tcW w:w="1418" w:type="dxa"/>
            <w:vMerge/>
            <w:hideMark/>
          </w:tcPr>
          <w:p w14:paraId="5897E5A2" w14:textId="77777777" w:rsidR="00E97066" w:rsidRPr="00CB13F7" w:rsidRDefault="00E97066" w:rsidP="005F69EE">
            <w:pPr>
              <w:rPr>
                <w:rFonts w:eastAsia="Times New Roman"/>
                <w:sz w:val="16"/>
                <w:szCs w:val="16"/>
                <w:lang w:eastAsia="en-US"/>
              </w:rPr>
            </w:pPr>
          </w:p>
        </w:tc>
        <w:tc>
          <w:tcPr>
            <w:tcW w:w="2690" w:type="dxa"/>
            <w:vMerge/>
            <w:hideMark/>
          </w:tcPr>
          <w:p w14:paraId="56515403" w14:textId="77777777" w:rsidR="00E97066" w:rsidRPr="00CB13F7" w:rsidRDefault="00E97066" w:rsidP="005F69EE">
            <w:pPr>
              <w:rPr>
                <w:rFonts w:eastAsia="Times New Roman"/>
                <w:sz w:val="16"/>
                <w:szCs w:val="16"/>
                <w:lang w:eastAsia="en-US"/>
              </w:rPr>
            </w:pPr>
          </w:p>
        </w:tc>
      </w:tr>
      <w:tr w:rsidR="00E97066" w:rsidRPr="00CB13F7" w14:paraId="7F174DC4" w14:textId="77777777" w:rsidTr="005F69EE">
        <w:trPr>
          <w:trHeight w:val="505"/>
        </w:trPr>
        <w:tc>
          <w:tcPr>
            <w:tcW w:w="851" w:type="dxa"/>
            <w:vMerge/>
            <w:hideMark/>
          </w:tcPr>
          <w:p w14:paraId="67933074" w14:textId="77777777" w:rsidR="00E97066" w:rsidRPr="00CB13F7" w:rsidRDefault="00E97066" w:rsidP="005F69EE">
            <w:pPr>
              <w:rPr>
                <w:rFonts w:eastAsia="Times New Roman"/>
                <w:b/>
                <w:bCs/>
                <w:sz w:val="16"/>
                <w:szCs w:val="16"/>
                <w:lang w:eastAsia="en-US"/>
              </w:rPr>
            </w:pPr>
          </w:p>
        </w:tc>
        <w:tc>
          <w:tcPr>
            <w:tcW w:w="1574" w:type="dxa"/>
            <w:vMerge/>
            <w:hideMark/>
          </w:tcPr>
          <w:p w14:paraId="14B6D259"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44B04BA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hideMark/>
          </w:tcPr>
          <w:p w14:paraId="3A52ABF8" w14:textId="77777777" w:rsidR="00E97066" w:rsidRPr="00CB13F7" w:rsidRDefault="00E97066" w:rsidP="005F69EE">
            <w:pPr>
              <w:rPr>
                <w:rFonts w:eastAsia="Times New Roman"/>
                <w:sz w:val="16"/>
                <w:szCs w:val="16"/>
                <w:lang w:eastAsia="en-US"/>
              </w:rPr>
            </w:pPr>
          </w:p>
        </w:tc>
        <w:tc>
          <w:tcPr>
            <w:tcW w:w="1439" w:type="dxa"/>
            <w:tcBorders>
              <w:top w:val="nil"/>
              <w:left w:val="single" w:sz="4" w:space="0" w:color="000000" w:themeColor="text1"/>
              <w:bottom w:val="nil"/>
              <w:right w:val="single" w:sz="4" w:space="0" w:color="000000" w:themeColor="text1"/>
            </w:tcBorders>
            <w:shd w:val="clear" w:color="auto" w:fill="CAEDFA"/>
            <w:hideMark/>
          </w:tcPr>
          <w:p w14:paraId="109C175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p>
        </w:tc>
        <w:tc>
          <w:tcPr>
            <w:tcW w:w="1134" w:type="dxa"/>
            <w:tcBorders>
              <w:top w:val="nil"/>
              <w:left w:val="nil"/>
              <w:bottom w:val="nil"/>
              <w:right w:val="single" w:sz="4" w:space="0" w:color="000000" w:themeColor="text1"/>
            </w:tcBorders>
            <w:shd w:val="clear" w:color="auto" w:fill="CAEDFA"/>
            <w:hideMark/>
          </w:tcPr>
          <w:p w14:paraId="4F37708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60%</w:t>
            </w:r>
          </w:p>
        </w:tc>
        <w:tc>
          <w:tcPr>
            <w:tcW w:w="992" w:type="dxa"/>
            <w:tcBorders>
              <w:top w:val="nil"/>
              <w:left w:val="nil"/>
              <w:bottom w:val="nil"/>
              <w:right w:val="nil"/>
            </w:tcBorders>
            <w:shd w:val="clear" w:color="auto" w:fill="CAEDFA"/>
            <w:hideMark/>
          </w:tcPr>
          <w:p w14:paraId="1CE5507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80%</w:t>
            </w:r>
          </w:p>
        </w:tc>
        <w:tc>
          <w:tcPr>
            <w:tcW w:w="1418" w:type="dxa"/>
            <w:vMerge/>
            <w:hideMark/>
          </w:tcPr>
          <w:p w14:paraId="244D12D7" w14:textId="77777777" w:rsidR="00E97066" w:rsidRPr="00CB13F7" w:rsidRDefault="00E97066" w:rsidP="005F69EE">
            <w:pPr>
              <w:rPr>
                <w:rFonts w:eastAsia="Times New Roman"/>
                <w:sz w:val="16"/>
                <w:szCs w:val="16"/>
                <w:lang w:eastAsia="en-US"/>
              </w:rPr>
            </w:pPr>
          </w:p>
        </w:tc>
        <w:tc>
          <w:tcPr>
            <w:tcW w:w="2690" w:type="dxa"/>
            <w:vMerge/>
            <w:hideMark/>
          </w:tcPr>
          <w:p w14:paraId="3BD896A0" w14:textId="77777777" w:rsidR="00E97066" w:rsidRPr="00CB13F7" w:rsidRDefault="00E97066" w:rsidP="005F69EE">
            <w:pPr>
              <w:rPr>
                <w:rFonts w:eastAsia="Times New Roman"/>
                <w:sz w:val="16"/>
                <w:szCs w:val="16"/>
                <w:lang w:eastAsia="en-US"/>
              </w:rPr>
            </w:pPr>
          </w:p>
        </w:tc>
      </w:tr>
      <w:tr w:rsidR="00E97066" w:rsidRPr="00CB13F7" w14:paraId="418DF44E" w14:textId="77777777" w:rsidTr="005F69EE">
        <w:trPr>
          <w:trHeight w:val="385"/>
        </w:trPr>
        <w:tc>
          <w:tcPr>
            <w:tcW w:w="851" w:type="dxa"/>
            <w:vMerge/>
            <w:hideMark/>
          </w:tcPr>
          <w:p w14:paraId="3C0F49A5" w14:textId="77777777" w:rsidR="00E97066" w:rsidRPr="00CB13F7" w:rsidRDefault="00E97066" w:rsidP="005F69EE">
            <w:pPr>
              <w:rPr>
                <w:rFonts w:eastAsia="Times New Roman"/>
                <w:b/>
                <w:bCs/>
                <w:sz w:val="16"/>
                <w:szCs w:val="16"/>
                <w:lang w:eastAsia="en-US"/>
              </w:rPr>
            </w:pPr>
          </w:p>
        </w:tc>
        <w:tc>
          <w:tcPr>
            <w:tcW w:w="1574" w:type="dxa"/>
            <w:vMerge/>
            <w:hideMark/>
          </w:tcPr>
          <w:p w14:paraId="31891915"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739401C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hideMark/>
          </w:tcPr>
          <w:p w14:paraId="10165179" w14:textId="77777777" w:rsidR="00E97066" w:rsidRPr="00CB13F7" w:rsidRDefault="00E97066" w:rsidP="005F69EE">
            <w:pPr>
              <w:rPr>
                <w:rFonts w:eastAsia="Times New Roman"/>
                <w:sz w:val="16"/>
                <w:szCs w:val="16"/>
                <w:lang w:eastAsia="en-US"/>
              </w:rPr>
            </w:pPr>
          </w:p>
        </w:tc>
        <w:tc>
          <w:tcPr>
            <w:tcW w:w="1439" w:type="dxa"/>
            <w:tcBorders>
              <w:top w:val="nil"/>
              <w:left w:val="single" w:sz="4" w:space="0" w:color="000000" w:themeColor="text1"/>
              <w:bottom w:val="nil"/>
              <w:right w:val="single" w:sz="4" w:space="0" w:color="000000" w:themeColor="text1"/>
            </w:tcBorders>
            <w:shd w:val="clear" w:color="auto" w:fill="CAEDFA"/>
            <w:hideMark/>
          </w:tcPr>
          <w:p w14:paraId="4340386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134" w:type="dxa"/>
            <w:tcBorders>
              <w:top w:val="nil"/>
              <w:left w:val="nil"/>
              <w:bottom w:val="nil"/>
              <w:right w:val="single" w:sz="4" w:space="0" w:color="000000" w:themeColor="text1"/>
            </w:tcBorders>
            <w:shd w:val="clear" w:color="auto" w:fill="CAEDFA"/>
            <w:hideMark/>
          </w:tcPr>
          <w:p w14:paraId="11C03F5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992" w:type="dxa"/>
            <w:tcBorders>
              <w:top w:val="nil"/>
              <w:left w:val="nil"/>
              <w:bottom w:val="nil"/>
              <w:right w:val="nil"/>
            </w:tcBorders>
            <w:shd w:val="clear" w:color="auto" w:fill="CAEDFA"/>
            <w:hideMark/>
          </w:tcPr>
          <w:p w14:paraId="174A3BA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418" w:type="dxa"/>
            <w:vMerge/>
            <w:hideMark/>
          </w:tcPr>
          <w:p w14:paraId="15E0449A" w14:textId="77777777" w:rsidR="00E97066" w:rsidRPr="00CB13F7" w:rsidRDefault="00E97066" w:rsidP="005F69EE">
            <w:pPr>
              <w:rPr>
                <w:rFonts w:eastAsia="Times New Roman"/>
                <w:sz w:val="16"/>
                <w:szCs w:val="16"/>
                <w:lang w:eastAsia="en-US"/>
              </w:rPr>
            </w:pPr>
          </w:p>
        </w:tc>
        <w:tc>
          <w:tcPr>
            <w:tcW w:w="2690" w:type="dxa"/>
            <w:vMerge/>
            <w:hideMark/>
          </w:tcPr>
          <w:p w14:paraId="57B478DF" w14:textId="77777777" w:rsidR="00E97066" w:rsidRPr="00CB13F7" w:rsidRDefault="00E97066" w:rsidP="005F69EE">
            <w:pPr>
              <w:rPr>
                <w:rFonts w:eastAsia="Times New Roman"/>
                <w:sz w:val="16"/>
                <w:szCs w:val="16"/>
                <w:lang w:eastAsia="en-US"/>
              </w:rPr>
            </w:pPr>
          </w:p>
        </w:tc>
      </w:tr>
      <w:tr w:rsidR="00E97066" w:rsidRPr="00CB13F7" w14:paraId="63CCFB04" w14:textId="77777777" w:rsidTr="005F69EE">
        <w:trPr>
          <w:trHeight w:val="495"/>
        </w:trPr>
        <w:tc>
          <w:tcPr>
            <w:tcW w:w="851" w:type="dxa"/>
            <w:vMerge/>
            <w:hideMark/>
          </w:tcPr>
          <w:p w14:paraId="7DE22062" w14:textId="77777777" w:rsidR="00E97066" w:rsidRPr="00CB13F7" w:rsidRDefault="00E97066" w:rsidP="005F69EE">
            <w:pPr>
              <w:rPr>
                <w:rFonts w:eastAsia="Times New Roman"/>
                <w:b/>
                <w:bCs/>
                <w:sz w:val="16"/>
                <w:szCs w:val="16"/>
                <w:lang w:eastAsia="en-US"/>
              </w:rPr>
            </w:pPr>
          </w:p>
        </w:tc>
        <w:tc>
          <w:tcPr>
            <w:tcW w:w="1574" w:type="dxa"/>
            <w:vMerge/>
            <w:hideMark/>
          </w:tcPr>
          <w:p w14:paraId="67015DD0"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3A78EB7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hideMark/>
          </w:tcPr>
          <w:p w14:paraId="4BEE64E9" w14:textId="77777777" w:rsidR="00E97066" w:rsidRPr="00CB13F7" w:rsidRDefault="00E97066" w:rsidP="005F69EE">
            <w:pPr>
              <w:rPr>
                <w:rFonts w:eastAsia="Times New Roman"/>
                <w:sz w:val="16"/>
                <w:szCs w:val="16"/>
                <w:lang w:eastAsia="en-US"/>
              </w:rPr>
            </w:pPr>
          </w:p>
        </w:tc>
        <w:tc>
          <w:tcPr>
            <w:tcW w:w="1439" w:type="dxa"/>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13A2245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134" w:type="dxa"/>
            <w:tcBorders>
              <w:top w:val="nil"/>
              <w:left w:val="nil"/>
              <w:bottom w:val="single" w:sz="4" w:space="0" w:color="000000" w:themeColor="text1"/>
              <w:right w:val="single" w:sz="4" w:space="0" w:color="000000" w:themeColor="text1"/>
            </w:tcBorders>
            <w:shd w:val="clear" w:color="auto" w:fill="CAEDFA"/>
            <w:hideMark/>
          </w:tcPr>
          <w:p w14:paraId="4E584A4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992" w:type="dxa"/>
            <w:tcBorders>
              <w:top w:val="nil"/>
              <w:left w:val="nil"/>
              <w:bottom w:val="single" w:sz="4" w:space="0" w:color="000000" w:themeColor="text1"/>
              <w:right w:val="nil"/>
            </w:tcBorders>
            <w:shd w:val="clear" w:color="auto" w:fill="CAEDFA"/>
            <w:hideMark/>
          </w:tcPr>
          <w:p w14:paraId="2C26ACF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418" w:type="dxa"/>
            <w:vMerge/>
            <w:hideMark/>
          </w:tcPr>
          <w:p w14:paraId="62C6160F" w14:textId="77777777" w:rsidR="00E97066" w:rsidRPr="00CB13F7" w:rsidRDefault="00E97066" w:rsidP="005F69EE">
            <w:pPr>
              <w:rPr>
                <w:rFonts w:eastAsia="Times New Roman"/>
                <w:sz w:val="16"/>
                <w:szCs w:val="16"/>
                <w:lang w:eastAsia="en-US"/>
              </w:rPr>
            </w:pPr>
          </w:p>
        </w:tc>
        <w:tc>
          <w:tcPr>
            <w:tcW w:w="2690" w:type="dxa"/>
            <w:vMerge/>
            <w:hideMark/>
          </w:tcPr>
          <w:p w14:paraId="64491C3B" w14:textId="77777777" w:rsidR="00E97066" w:rsidRPr="00CB13F7" w:rsidRDefault="00E97066" w:rsidP="005F69EE">
            <w:pPr>
              <w:rPr>
                <w:rFonts w:eastAsia="Times New Roman"/>
                <w:sz w:val="16"/>
                <w:szCs w:val="16"/>
                <w:lang w:eastAsia="en-US"/>
              </w:rPr>
            </w:pPr>
          </w:p>
        </w:tc>
      </w:tr>
      <w:tr w:rsidR="00E97066" w:rsidRPr="00CB13F7" w14:paraId="1BB3C3ED" w14:textId="77777777" w:rsidTr="005F69EE">
        <w:trPr>
          <w:trHeight w:val="900"/>
        </w:trPr>
        <w:tc>
          <w:tcPr>
            <w:tcW w:w="851" w:type="dxa"/>
            <w:vMerge/>
            <w:hideMark/>
          </w:tcPr>
          <w:p w14:paraId="49C6C4C2" w14:textId="77777777" w:rsidR="00E97066" w:rsidRPr="00CB13F7" w:rsidRDefault="00E97066" w:rsidP="005F69EE">
            <w:pPr>
              <w:rPr>
                <w:rFonts w:eastAsia="Times New Roman"/>
                <w:b/>
                <w:bCs/>
                <w:sz w:val="16"/>
                <w:szCs w:val="16"/>
                <w:lang w:eastAsia="en-US"/>
              </w:rPr>
            </w:pPr>
          </w:p>
        </w:tc>
        <w:tc>
          <w:tcPr>
            <w:tcW w:w="1574"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69772D6D" w14:textId="77777777" w:rsidR="00E97066" w:rsidRPr="0087257F" w:rsidRDefault="00E97066" w:rsidP="005F69EE">
            <w:pPr>
              <w:rPr>
                <w:rFonts w:eastAsia="Times New Roman"/>
                <w:sz w:val="16"/>
                <w:szCs w:val="16"/>
                <w:lang w:eastAsia="en-US"/>
              </w:rPr>
            </w:pPr>
            <w:r>
              <w:rPr>
                <w:rFonts w:eastAsia="Times New Roman"/>
                <w:sz w:val="16"/>
                <w:szCs w:val="16"/>
                <w:lang w:eastAsia="en-US"/>
              </w:rPr>
              <w:t xml:space="preserve">Objektivi specifik 2. </w:t>
            </w:r>
            <w:r w:rsidRPr="0087257F">
              <w:rPr>
                <w:rFonts w:eastAsia="Times New Roman"/>
                <w:sz w:val="16"/>
                <w:szCs w:val="16"/>
                <w:lang w:eastAsia="en-US"/>
              </w:rPr>
              <w:t>Arsim parauniversitar gjithëpërfshirës, cilësor dhe i barabartë p</w:t>
            </w:r>
            <w:r>
              <w:rPr>
                <w:rFonts w:eastAsia="Times New Roman"/>
                <w:sz w:val="16"/>
                <w:szCs w:val="16"/>
                <w:lang w:eastAsia="en-US"/>
              </w:rPr>
              <w:t>ë</w:t>
            </w:r>
            <w:r w:rsidRPr="0087257F">
              <w:rPr>
                <w:rFonts w:eastAsia="Times New Roman"/>
                <w:sz w:val="16"/>
                <w:szCs w:val="16"/>
                <w:lang w:eastAsia="en-US"/>
              </w:rPr>
              <w:t>r nx</w:t>
            </w:r>
            <w:r>
              <w:rPr>
                <w:rFonts w:eastAsia="Times New Roman"/>
                <w:sz w:val="16"/>
                <w:szCs w:val="16"/>
                <w:lang w:eastAsia="en-US"/>
              </w:rPr>
              <w:t>ë</w:t>
            </w:r>
            <w:r w:rsidRPr="0087257F">
              <w:rPr>
                <w:rFonts w:eastAsia="Times New Roman"/>
                <w:sz w:val="16"/>
                <w:szCs w:val="16"/>
                <w:lang w:eastAsia="en-US"/>
              </w:rPr>
              <w:t>n</w:t>
            </w:r>
            <w:r>
              <w:rPr>
                <w:rFonts w:eastAsia="Times New Roman"/>
                <w:sz w:val="16"/>
                <w:szCs w:val="16"/>
                <w:lang w:eastAsia="en-US"/>
              </w:rPr>
              <w:t>ë</w:t>
            </w:r>
            <w:r w:rsidRPr="0087257F">
              <w:rPr>
                <w:rFonts w:eastAsia="Times New Roman"/>
                <w:sz w:val="16"/>
                <w:szCs w:val="16"/>
                <w:lang w:eastAsia="en-US"/>
              </w:rPr>
              <w:t>sit me aft</w:t>
            </w:r>
            <w:r>
              <w:rPr>
                <w:rFonts w:eastAsia="Times New Roman"/>
                <w:sz w:val="16"/>
                <w:szCs w:val="16"/>
                <w:lang w:eastAsia="en-US"/>
              </w:rPr>
              <w:t>ë</w:t>
            </w:r>
            <w:r w:rsidRPr="0087257F">
              <w:rPr>
                <w:rFonts w:eastAsia="Times New Roman"/>
                <w:sz w:val="16"/>
                <w:szCs w:val="16"/>
                <w:lang w:eastAsia="en-US"/>
              </w:rPr>
              <w:t>si t</w:t>
            </w:r>
            <w:r>
              <w:rPr>
                <w:rFonts w:eastAsia="Times New Roman"/>
                <w:sz w:val="16"/>
                <w:szCs w:val="16"/>
                <w:lang w:eastAsia="en-US"/>
              </w:rPr>
              <w:t>ë</w:t>
            </w:r>
            <w:r w:rsidRPr="0087257F">
              <w:rPr>
                <w:rFonts w:eastAsia="Times New Roman"/>
                <w:sz w:val="16"/>
                <w:szCs w:val="16"/>
                <w:lang w:eastAsia="en-US"/>
              </w:rPr>
              <w:t xml:space="preserve"> kufizuara.</w:t>
            </w:r>
          </w:p>
          <w:p w14:paraId="1C169E78" w14:textId="77777777" w:rsidR="00E97066" w:rsidRPr="00CB13F7" w:rsidRDefault="00E97066" w:rsidP="005F69EE">
            <w:pPr>
              <w:rPr>
                <w:rFonts w:eastAsia="Times New Roman"/>
                <w:sz w:val="16"/>
                <w:szCs w:val="16"/>
                <w:lang w:eastAsia="en-US"/>
              </w:rPr>
            </w:pPr>
          </w:p>
        </w:tc>
        <w:tc>
          <w:tcPr>
            <w:tcW w:w="1682" w:type="dxa"/>
            <w:tcBorders>
              <w:top w:val="single" w:sz="4" w:space="0" w:color="000000" w:themeColor="text1"/>
              <w:left w:val="nil"/>
              <w:bottom w:val="nil"/>
              <w:right w:val="nil"/>
            </w:tcBorders>
            <w:shd w:val="clear" w:color="auto" w:fill="CAEDFA"/>
            <w:hideMark/>
          </w:tcPr>
          <w:p w14:paraId="2ACA1C57" w14:textId="77777777" w:rsidR="00E97066" w:rsidRPr="00CB13F7" w:rsidRDefault="00E97066" w:rsidP="005F69EE">
            <w:pPr>
              <w:rPr>
                <w:rFonts w:eastAsia="Times New Roman"/>
                <w:sz w:val="16"/>
                <w:szCs w:val="16"/>
                <w:lang w:eastAsia="en-US"/>
              </w:rPr>
            </w:pPr>
          </w:p>
        </w:tc>
        <w:tc>
          <w:tcPr>
            <w:tcW w:w="1982" w:type="dxa"/>
            <w:tcBorders>
              <w:top w:val="single" w:sz="4" w:space="0" w:color="000000" w:themeColor="text1"/>
              <w:left w:val="nil"/>
              <w:bottom w:val="nil"/>
              <w:right w:val="nil"/>
            </w:tcBorders>
            <w:shd w:val="clear" w:color="auto" w:fill="CAEDFA"/>
            <w:hideMark/>
          </w:tcPr>
          <w:p w14:paraId="26ADF8A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e shkollave me infrastrukturë të aksesueshme;</w:t>
            </w:r>
            <w:r w:rsidRPr="00CB13F7">
              <w:rPr>
                <w:rFonts w:eastAsia="Times New Roman"/>
                <w:sz w:val="16"/>
                <w:szCs w:val="16"/>
                <w:lang w:eastAsia="en-US"/>
              </w:rPr>
              <w:br/>
            </w:r>
            <w:r w:rsidRPr="00CB13F7">
              <w:rPr>
                <w:rFonts w:eastAsia="Times New Roman"/>
                <w:sz w:val="16"/>
                <w:szCs w:val="16"/>
                <w:lang w:eastAsia="en-US"/>
              </w:rPr>
              <w:br/>
              <w:t>Raporti mësues ndihmës / nxënës me aftësi të kufizuara;</w:t>
            </w:r>
          </w:p>
        </w:tc>
        <w:tc>
          <w:tcPr>
            <w:tcW w:w="1439" w:type="dxa"/>
            <w:vMerge w:val="restart"/>
            <w:tcBorders>
              <w:top w:val="nil"/>
              <w:left w:val="single" w:sz="4" w:space="0" w:color="000000" w:themeColor="text1"/>
              <w:bottom w:val="nil"/>
              <w:right w:val="single" w:sz="4" w:space="0" w:color="000000" w:themeColor="text1"/>
            </w:tcBorders>
            <w:shd w:val="clear" w:color="auto" w:fill="CAEDFA"/>
            <w:hideMark/>
          </w:tcPr>
          <w:p w14:paraId="7B29816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 mësues me 2.3 nxënës</w:t>
            </w:r>
          </w:p>
        </w:tc>
        <w:tc>
          <w:tcPr>
            <w:tcW w:w="1134" w:type="dxa"/>
            <w:vMerge w:val="restart"/>
            <w:tcBorders>
              <w:top w:val="nil"/>
              <w:left w:val="single" w:sz="4" w:space="0" w:color="000000" w:themeColor="text1"/>
              <w:bottom w:val="nil"/>
              <w:right w:val="single" w:sz="4" w:space="0" w:color="000000" w:themeColor="text1"/>
            </w:tcBorders>
            <w:shd w:val="clear" w:color="auto" w:fill="CAEDFA"/>
            <w:hideMark/>
          </w:tcPr>
          <w:p w14:paraId="025618A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75%</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 mësues me 1.8 nxënës</w:t>
            </w:r>
          </w:p>
        </w:tc>
        <w:tc>
          <w:tcPr>
            <w:tcW w:w="992" w:type="dxa"/>
            <w:vMerge w:val="restart"/>
            <w:tcBorders>
              <w:top w:val="nil"/>
              <w:left w:val="single" w:sz="4" w:space="0" w:color="000000" w:themeColor="text1"/>
              <w:bottom w:val="nil"/>
              <w:right w:val="nil"/>
            </w:tcBorders>
            <w:shd w:val="clear" w:color="auto" w:fill="CAEDFA"/>
            <w:hideMark/>
          </w:tcPr>
          <w:p w14:paraId="3BFB5B4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85%</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 mësues me 1 nxënës</w:t>
            </w:r>
          </w:p>
        </w:tc>
        <w:tc>
          <w:tcPr>
            <w:tcW w:w="1418" w:type="dxa"/>
            <w:vMerge w:val="restart"/>
            <w:tcBorders>
              <w:top w:val="nil"/>
              <w:left w:val="single" w:sz="4" w:space="0" w:color="auto"/>
              <w:bottom w:val="single" w:sz="4" w:space="0" w:color="auto"/>
              <w:right w:val="nil"/>
            </w:tcBorders>
            <w:shd w:val="clear" w:color="auto" w:fill="CAEDFA"/>
            <w:hideMark/>
          </w:tcPr>
          <w:p w14:paraId="34E8E87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e shkollave me infrastrukturë të aksesueshme;</w:t>
            </w:r>
            <w:r w:rsidRPr="00CB13F7">
              <w:rPr>
                <w:rFonts w:eastAsia="Times New Roman"/>
                <w:sz w:val="16"/>
                <w:szCs w:val="16"/>
                <w:lang w:eastAsia="en-US"/>
              </w:rPr>
              <w:br/>
              <w:t>Raporti mësues ndihmës/ nxënës me aftësi të kufizuara;</w:t>
            </w:r>
            <w:r w:rsidRPr="00CB13F7">
              <w:rPr>
                <w:rFonts w:eastAsia="Times New Roman"/>
                <w:sz w:val="16"/>
                <w:szCs w:val="16"/>
                <w:lang w:eastAsia="en-US"/>
              </w:rPr>
              <w:br/>
              <w:t>Ulja e braktisjes shkollore (%);</w:t>
            </w:r>
          </w:p>
        </w:tc>
        <w:tc>
          <w:tcPr>
            <w:tcW w:w="2690" w:type="dxa"/>
            <w:vMerge w:val="restart"/>
            <w:tcBorders>
              <w:top w:val="nil"/>
              <w:left w:val="single" w:sz="4" w:space="0" w:color="auto"/>
              <w:bottom w:val="single" w:sz="4" w:space="0" w:color="auto"/>
              <w:right w:val="single" w:sz="4" w:space="0" w:color="auto"/>
            </w:tcBorders>
            <w:shd w:val="clear" w:color="auto" w:fill="CAEDFA"/>
            <w:hideMark/>
          </w:tcPr>
          <w:p w14:paraId="662B06E1"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Strategjia e Arsimit 2021-2026;</w:t>
            </w:r>
            <w:r w:rsidRPr="00CB13F7">
              <w:rPr>
                <w:rFonts w:eastAsia="Times New Roman"/>
                <w:sz w:val="16"/>
                <w:szCs w:val="16"/>
                <w:lang w:eastAsia="en-US"/>
              </w:rPr>
              <w:br/>
              <w:t>VKM për Mësuesit ndihmës;</w:t>
            </w:r>
          </w:p>
        </w:tc>
      </w:tr>
      <w:tr w:rsidR="00E97066" w:rsidRPr="00CB13F7" w14:paraId="45B884E5" w14:textId="77777777" w:rsidTr="005F69EE">
        <w:trPr>
          <w:trHeight w:val="375"/>
        </w:trPr>
        <w:tc>
          <w:tcPr>
            <w:tcW w:w="851" w:type="dxa"/>
            <w:vMerge/>
            <w:hideMark/>
          </w:tcPr>
          <w:p w14:paraId="5A701AEF" w14:textId="77777777" w:rsidR="00E97066" w:rsidRPr="00CB13F7" w:rsidRDefault="00E97066" w:rsidP="005F69EE">
            <w:pPr>
              <w:rPr>
                <w:rFonts w:eastAsia="Times New Roman"/>
                <w:b/>
                <w:bCs/>
                <w:sz w:val="16"/>
                <w:szCs w:val="16"/>
                <w:lang w:eastAsia="en-US"/>
              </w:rPr>
            </w:pPr>
          </w:p>
        </w:tc>
        <w:tc>
          <w:tcPr>
            <w:tcW w:w="1574" w:type="dxa"/>
            <w:vMerge/>
            <w:hideMark/>
          </w:tcPr>
          <w:p w14:paraId="19C639BD"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64A1C54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nil"/>
              <w:right w:val="nil"/>
            </w:tcBorders>
            <w:shd w:val="clear" w:color="auto" w:fill="CAEDFA"/>
            <w:hideMark/>
          </w:tcPr>
          <w:p w14:paraId="2D190DE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439" w:type="dxa"/>
            <w:vMerge/>
            <w:hideMark/>
          </w:tcPr>
          <w:p w14:paraId="35382998" w14:textId="77777777" w:rsidR="00E97066" w:rsidRPr="00CB13F7" w:rsidRDefault="00E97066" w:rsidP="005F69EE">
            <w:pPr>
              <w:rPr>
                <w:rFonts w:eastAsia="Times New Roman"/>
                <w:sz w:val="16"/>
                <w:szCs w:val="16"/>
                <w:lang w:eastAsia="en-US"/>
              </w:rPr>
            </w:pPr>
          </w:p>
        </w:tc>
        <w:tc>
          <w:tcPr>
            <w:tcW w:w="1134" w:type="dxa"/>
            <w:vMerge/>
            <w:hideMark/>
          </w:tcPr>
          <w:p w14:paraId="46A086A8" w14:textId="77777777" w:rsidR="00E97066" w:rsidRPr="00CB13F7" w:rsidRDefault="00E97066" w:rsidP="005F69EE">
            <w:pPr>
              <w:rPr>
                <w:rFonts w:eastAsia="Times New Roman"/>
                <w:sz w:val="16"/>
                <w:szCs w:val="16"/>
                <w:lang w:eastAsia="en-US"/>
              </w:rPr>
            </w:pPr>
          </w:p>
        </w:tc>
        <w:tc>
          <w:tcPr>
            <w:tcW w:w="992" w:type="dxa"/>
            <w:vMerge/>
            <w:hideMark/>
          </w:tcPr>
          <w:p w14:paraId="175ABE17" w14:textId="77777777" w:rsidR="00E97066" w:rsidRPr="00CB13F7" w:rsidRDefault="00E97066" w:rsidP="005F69EE">
            <w:pPr>
              <w:rPr>
                <w:rFonts w:eastAsia="Times New Roman"/>
                <w:sz w:val="16"/>
                <w:szCs w:val="16"/>
                <w:lang w:eastAsia="en-US"/>
              </w:rPr>
            </w:pPr>
          </w:p>
        </w:tc>
        <w:tc>
          <w:tcPr>
            <w:tcW w:w="1418" w:type="dxa"/>
            <w:vMerge/>
            <w:hideMark/>
          </w:tcPr>
          <w:p w14:paraId="0F3B30C8" w14:textId="77777777" w:rsidR="00E97066" w:rsidRPr="00CB13F7" w:rsidRDefault="00E97066" w:rsidP="005F69EE">
            <w:pPr>
              <w:rPr>
                <w:rFonts w:eastAsia="Times New Roman"/>
                <w:sz w:val="16"/>
                <w:szCs w:val="16"/>
                <w:lang w:eastAsia="en-US"/>
              </w:rPr>
            </w:pPr>
          </w:p>
        </w:tc>
        <w:tc>
          <w:tcPr>
            <w:tcW w:w="2690" w:type="dxa"/>
            <w:vMerge/>
            <w:hideMark/>
          </w:tcPr>
          <w:p w14:paraId="6CCB1383" w14:textId="77777777" w:rsidR="00E97066" w:rsidRPr="00CB13F7" w:rsidRDefault="00E97066" w:rsidP="005F69EE">
            <w:pPr>
              <w:rPr>
                <w:rFonts w:eastAsia="Times New Roman"/>
                <w:sz w:val="16"/>
                <w:szCs w:val="16"/>
                <w:lang w:eastAsia="en-US"/>
              </w:rPr>
            </w:pPr>
          </w:p>
        </w:tc>
      </w:tr>
      <w:tr w:rsidR="00E97066" w:rsidRPr="00CB13F7" w14:paraId="57C6DB45" w14:textId="77777777" w:rsidTr="005F69EE">
        <w:trPr>
          <w:trHeight w:val="265"/>
        </w:trPr>
        <w:tc>
          <w:tcPr>
            <w:tcW w:w="851" w:type="dxa"/>
            <w:vMerge/>
            <w:hideMark/>
          </w:tcPr>
          <w:p w14:paraId="52CF2C38" w14:textId="77777777" w:rsidR="00E97066" w:rsidRPr="00CB13F7" w:rsidRDefault="00E97066" w:rsidP="005F69EE">
            <w:pPr>
              <w:rPr>
                <w:rFonts w:eastAsia="Times New Roman"/>
                <w:b/>
                <w:bCs/>
                <w:sz w:val="16"/>
                <w:szCs w:val="16"/>
                <w:lang w:eastAsia="en-US"/>
              </w:rPr>
            </w:pPr>
          </w:p>
        </w:tc>
        <w:tc>
          <w:tcPr>
            <w:tcW w:w="15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A"/>
            <w:hideMark/>
          </w:tcPr>
          <w:p w14:paraId="70E030D0" w14:textId="77777777" w:rsidR="00E97066" w:rsidRPr="0087257F" w:rsidRDefault="00E97066" w:rsidP="005F69EE">
            <w:pPr>
              <w:rPr>
                <w:rFonts w:eastAsia="Times New Roman"/>
                <w:sz w:val="16"/>
                <w:szCs w:val="16"/>
                <w:lang w:eastAsia="en-US"/>
              </w:rPr>
            </w:pPr>
            <w:r>
              <w:rPr>
                <w:rFonts w:eastAsia="Times New Roman"/>
                <w:sz w:val="16"/>
                <w:szCs w:val="16"/>
                <w:lang w:eastAsia="en-US"/>
              </w:rPr>
              <w:t xml:space="preserve">Objektivi specifik 3. </w:t>
            </w:r>
            <w:r w:rsidRPr="0087257F">
              <w:rPr>
                <w:rFonts w:eastAsia="Times New Roman"/>
                <w:sz w:val="16"/>
                <w:szCs w:val="16"/>
                <w:lang w:eastAsia="en-US"/>
              </w:rPr>
              <w:t>Transformimi/riorganizimi  i shkollave speciale në qendra burimore dhe konsolidimi i rolit dhe veprimtaris</w:t>
            </w:r>
            <w:r>
              <w:rPr>
                <w:rFonts w:eastAsia="Times New Roman"/>
                <w:sz w:val="16"/>
                <w:szCs w:val="16"/>
                <w:lang w:eastAsia="en-US"/>
              </w:rPr>
              <w:t>ë</w:t>
            </w:r>
            <w:r w:rsidRPr="0087257F">
              <w:rPr>
                <w:rFonts w:eastAsia="Times New Roman"/>
                <w:sz w:val="16"/>
                <w:szCs w:val="16"/>
                <w:lang w:eastAsia="en-US"/>
              </w:rPr>
              <w:t xml:space="preserve"> s</w:t>
            </w:r>
            <w:r>
              <w:rPr>
                <w:rFonts w:eastAsia="Times New Roman"/>
                <w:sz w:val="16"/>
                <w:szCs w:val="16"/>
                <w:lang w:eastAsia="en-US"/>
              </w:rPr>
              <w:t>ë</w:t>
            </w:r>
            <w:r w:rsidRPr="0087257F">
              <w:rPr>
                <w:rFonts w:eastAsia="Times New Roman"/>
                <w:sz w:val="16"/>
                <w:szCs w:val="16"/>
                <w:lang w:eastAsia="en-US"/>
              </w:rPr>
              <w:t xml:space="preserve"> tyre.</w:t>
            </w:r>
          </w:p>
          <w:p w14:paraId="63BD9EE9" w14:textId="77777777" w:rsidR="00E97066" w:rsidRPr="00CB13F7" w:rsidRDefault="00E97066" w:rsidP="005F69EE">
            <w:pPr>
              <w:rPr>
                <w:rFonts w:eastAsia="Times New Roman"/>
                <w:sz w:val="16"/>
                <w:szCs w:val="16"/>
                <w:lang w:eastAsia="en-US"/>
              </w:rPr>
            </w:pPr>
          </w:p>
        </w:tc>
        <w:tc>
          <w:tcPr>
            <w:tcW w:w="1682" w:type="dxa"/>
            <w:tcBorders>
              <w:top w:val="single" w:sz="4" w:space="0" w:color="000000" w:themeColor="text1"/>
              <w:left w:val="nil"/>
              <w:bottom w:val="nil"/>
              <w:right w:val="nil"/>
            </w:tcBorders>
            <w:shd w:val="clear" w:color="auto" w:fill="CAEDFA"/>
            <w:hideMark/>
          </w:tcPr>
          <w:p w14:paraId="7C863A8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val="restart"/>
            <w:tcBorders>
              <w:top w:val="single" w:sz="4" w:space="0" w:color="000000" w:themeColor="text1"/>
              <w:left w:val="nil"/>
              <w:bottom w:val="single" w:sz="4" w:space="0" w:color="000000" w:themeColor="text1"/>
              <w:right w:val="nil"/>
            </w:tcBorders>
            <w:shd w:val="clear" w:color="auto" w:fill="CAEDFA"/>
            <w:hideMark/>
          </w:tcPr>
          <w:p w14:paraId="447FCD0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e shkollave speciale të transformuara;</w:t>
            </w:r>
            <w:r w:rsidRPr="00CB13F7">
              <w:rPr>
                <w:rFonts w:eastAsia="Times New Roman"/>
                <w:sz w:val="16"/>
                <w:szCs w:val="16"/>
                <w:lang w:eastAsia="en-US"/>
              </w:rPr>
              <w:br/>
            </w:r>
            <w:r w:rsidRPr="00CB13F7">
              <w:rPr>
                <w:rFonts w:eastAsia="Times New Roman"/>
                <w:sz w:val="16"/>
                <w:szCs w:val="16"/>
                <w:lang w:eastAsia="en-US"/>
              </w:rPr>
              <w:br/>
              <w:t>Nr. i shkollave të zakonshme të mbështetura nga qendrat burimore;</w:t>
            </w:r>
          </w:p>
        </w:tc>
        <w:tc>
          <w:tcPr>
            <w:tcW w:w="1439" w:type="dxa"/>
            <w:vMerge w:val="restart"/>
            <w:tcBorders>
              <w:top w:val="single" w:sz="4" w:space="0" w:color="auto"/>
              <w:left w:val="single" w:sz="4" w:space="0" w:color="auto"/>
              <w:bottom w:val="single" w:sz="4" w:space="0" w:color="000000" w:themeColor="text1"/>
              <w:right w:val="single" w:sz="4" w:space="0" w:color="auto"/>
            </w:tcBorders>
            <w:shd w:val="clear" w:color="auto" w:fill="CAEDFA"/>
            <w:hideMark/>
          </w:tcPr>
          <w:p w14:paraId="75E9F8D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30%</w:t>
            </w:r>
            <w:r w:rsidRPr="00CB13F7">
              <w:rPr>
                <w:rFonts w:eastAsia="Times New Roman"/>
                <w:sz w:val="16"/>
                <w:szCs w:val="16"/>
                <w:lang w:eastAsia="en-US"/>
              </w:rPr>
              <w:br/>
            </w:r>
            <w:r w:rsidRPr="00CB13F7">
              <w:rPr>
                <w:rFonts w:eastAsia="Times New Roman"/>
                <w:sz w:val="16"/>
                <w:szCs w:val="16"/>
                <w:lang w:eastAsia="en-US"/>
              </w:rPr>
              <w:br/>
              <w:t>1%</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CAEDFA"/>
            <w:hideMark/>
          </w:tcPr>
          <w:p w14:paraId="2BFBFB6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70% </w:t>
            </w:r>
            <w:r w:rsidRPr="00CB13F7">
              <w:rPr>
                <w:rFonts w:eastAsia="Times New Roman"/>
                <w:sz w:val="16"/>
                <w:szCs w:val="16"/>
                <w:lang w:eastAsia="en-US"/>
              </w:rPr>
              <w:br/>
            </w:r>
            <w:r w:rsidRPr="00CB13F7">
              <w:rPr>
                <w:rFonts w:eastAsia="Times New Roman"/>
                <w:sz w:val="16"/>
                <w:szCs w:val="16"/>
                <w:lang w:eastAsia="en-US"/>
              </w:rPr>
              <w:br/>
              <w:t>30%</w:t>
            </w:r>
          </w:p>
        </w:tc>
        <w:tc>
          <w:tcPr>
            <w:tcW w:w="992" w:type="dxa"/>
            <w:vMerge w:val="restart"/>
            <w:tcBorders>
              <w:top w:val="single" w:sz="4" w:space="0" w:color="auto"/>
              <w:left w:val="single" w:sz="4" w:space="0" w:color="auto"/>
              <w:bottom w:val="single" w:sz="4" w:space="0" w:color="000000" w:themeColor="text1"/>
              <w:right w:val="nil"/>
            </w:tcBorders>
            <w:shd w:val="clear" w:color="auto" w:fill="CAEDFA"/>
            <w:hideMark/>
          </w:tcPr>
          <w:p w14:paraId="7CE8EB0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100%</w:t>
            </w:r>
            <w:r w:rsidRPr="00CB13F7">
              <w:rPr>
                <w:rFonts w:eastAsia="Times New Roman"/>
                <w:sz w:val="16"/>
                <w:szCs w:val="16"/>
                <w:lang w:eastAsia="en-US"/>
              </w:rPr>
              <w:br/>
            </w:r>
            <w:r w:rsidRPr="00CB13F7">
              <w:rPr>
                <w:rFonts w:eastAsia="Times New Roman"/>
                <w:sz w:val="16"/>
                <w:szCs w:val="16"/>
                <w:lang w:eastAsia="en-US"/>
              </w:rPr>
              <w:br/>
              <w:t>60%</w:t>
            </w:r>
          </w:p>
        </w:tc>
        <w:tc>
          <w:tcPr>
            <w:tcW w:w="1418" w:type="dxa"/>
            <w:vMerge w:val="restart"/>
            <w:tcBorders>
              <w:top w:val="nil"/>
              <w:left w:val="single" w:sz="4" w:space="0" w:color="auto"/>
              <w:bottom w:val="single" w:sz="4" w:space="0" w:color="auto"/>
              <w:right w:val="nil"/>
            </w:tcBorders>
            <w:shd w:val="clear" w:color="auto" w:fill="CAEDFA"/>
            <w:hideMark/>
          </w:tcPr>
          <w:p w14:paraId="0E8E078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Vendime MAS; </w:t>
            </w:r>
            <w:r w:rsidRPr="00CB13F7">
              <w:rPr>
                <w:rFonts w:eastAsia="Times New Roman"/>
                <w:sz w:val="16"/>
                <w:szCs w:val="16"/>
                <w:lang w:eastAsia="en-US"/>
              </w:rPr>
              <w:br/>
              <w:t>Raporte zbatimi;</w:t>
            </w:r>
            <w:r w:rsidRPr="00CB13F7">
              <w:rPr>
                <w:rFonts w:eastAsia="Times New Roman"/>
                <w:sz w:val="16"/>
                <w:szCs w:val="16"/>
                <w:lang w:eastAsia="en-US"/>
              </w:rPr>
              <w:br/>
              <w:t>Raporte vjetore të qendrave burimore;</w:t>
            </w:r>
            <w:r w:rsidRPr="00CB13F7">
              <w:rPr>
                <w:rFonts w:eastAsia="Times New Roman"/>
                <w:sz w:val="16"/>
                <w:szCs w:val="16"/>
                <w:lang w:eastAsia="en-US"/>
              </w:rPr>
              <w:br/>
              <w:t>Raporte aktivitetesh;</w:t>
            </w:r>
          </w:p>
        </w:tc>
        <w:tc>
          <w:tcPr>
            <w:tcW w:w="2690" w:type="dxa"/>
            <w:vMerge w:val="restart"/>
            <w:tcBorders>
              <w:top w:val="nil"/>
              <w:left w:val="single" w:sz="4" w:space="0" w:color="auto"/>
              <w:bottom w:val="single" w:sz="4" w:space="0" w:color="auto"/>
              <w:right w:val="single" w:sz="4" w:space="0" w:color="auto"/>
            </w:tcBorders>
            <w:shd w:val="clear" w:color="auto" w:fill="CAEDFA"/>
            <w:hideMark/>
          </w:tcPr>
          <w:p w14:paraId="79C3635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PKVPAK 2021-2025;</w:t>
            </w:r>
            <w:r w:rsidRPr="00CB13F7">
              <w:rPr>
                <w:rFonts w:eastAsia="Times New Roman"/>
                <w:sz w:val="16"/>
                <w:szCs w:val="16"/>
                <w:lang w:eastAsia="en-US"/>
              </w:rPr>
              <w:br/>
              <w:t>SKA;</w:t>
            </w:r>
            <w:r w:rsidRPr="00CB13F7">
              <w:rPr>
                <w:rFonts w:eastAsia="Times New Roman"/>
                <w:sz w:val="16"/>
                <w:szCs w:val="16"/>
                <w:lang w:eastAsia="en-US"/>
              </w:rPr>
              <w:br/>
              <w:t>Udhëzime të MAS;</w:t>
            </w:r>
            <w:r w:rsidRPr="00CB13F7">
              <w:rPr>
                <w:rFonts w:eastAsia="Times New Roman"/>
                <w:sz w:val="16"/>
                <w:szCs w:val="16"/>
                <w:lang w:eastAsia="en-US"/>
              </w:rPr>
              <w:br/>
              <w:t>Plani i Trajnimeve Kombëtare;</w:t>
            </w:r>
          </w:p>
        </w:tc>
      </w:tr>
      <w:tr w:rsidR="00E97066" w:rsidRPr="00CB13F7" w14:paraId="3BC77C7A" w14:textId="77777777" w:rsidTr="005F69EE">
        <w:trPr>
          <w:trHeight w:val="1020"/>
        </w:trPr>
        <w:tc>
          <w:tcPr>
            <w:tcW w:w="851" w:type="dxa"/>
            <w:vMerge/>
            <w:hideMark/>
          </w:tcPr>
          <w:p w14:paraId="02D6B7D1" w14:textId="77777777" w:rsidR="00E97066" w:rsidRPr="00CB13F7" w:rsidRDefault="00E97066" w:rsidP="005F69EE">
            <w:pPr>
              <w:rPr>
                <w:rFonts w:eastAsia="Times New Roman"/>
                <w:b/>
                <w:bCs/>
                <w:sz w:val="16"/>
                <w:szCs w:val="16"/>
                <w:lang w:eastAsia="en-US"/>
              </w:rPr>
            </w:pPr>
          </w:p>
        </w:tc>
        <w:tc>
          <w:tcPr>
            <w:tcW w:w="1574" w:type="dxa"/>
            <w:vMerge/>
            <w:hideMark/>
          </w:tcPr>
          <w:p w14:paraId="025686ED"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4C82D5D7"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hideMark/>
          </w:tcPr>
          <w:p w14:paraId="52527C3B" w14:textId="77777777" w:rsidR="00E97066" w:rsidRPr="00CB13F7" w:rsidRDefault="00E97066" w:rsidP="005F69EE">
            <w:pPr>
              <w:rPr>
                <w:rFonts w:eastAsia="Times New Roman"/>
                <w:sz w:val="16"/>
                <w:szCs w:val="16"/>
                <w:lang w:eastAsia="en-US"/>
              </w:rPr>
            </w:pPr>
          </w:p>
        </w:tc>
        <w:tc>
          <w:tcPr>
            <w:tcW w:w="1439" w:type="dxa"/>
            <w:vMerge/>
            <w:hideMark/>
          </w:tcPr>
          <w:p w14:paraId="4174C18B" w14:textId="77777777" w:rsidR="00E97066" w:rsidRPr="00CB13F7" w:rsidRDefault="00E97066" w:rsidP="005F69EE">
            <w:pPr>
              <w:rPr>
                <w:rFonts w:eastAsia="Times New Roman"/>
                <w:sz w:val="16"/>
                <w:szCs w:val="16"/>
                <w:lang w:eastAsia="en-US"/>
              </w:rPr>
            </w:pPr>
          </w:p>
        </w:tc>
        <w:tc>
          <w:tcPr>
            <w:tcW w:w="1134" w:type="dxa"/>
            <w:vMerge/>
            <w:hideMark/>
          </w:tcPr>
          <w:p w14:paraId="3731D0BB" w14:textId="77777777" w:rsidR="00E97066" w:rsidRPr="00CB13F7" w:rsidRDefault="00E97066" w:rsidP="005F69EE">
            <w:pPr>
              <w:rPr>
                <w:rFonts w:eastAsia="Times New Roman"/>
                <w:sz w:val="16"/>
                <w:szCs w:val="16"/>
                <w:lang w:eastAsia="en-US"/>
              </w:rPr>
            </w:pPr>
          </w:p>
        </w:tc>
        <w:tc>
          <w:tcPr>
            <w:tcW w:w="992" w:type="dxa"/>
            <w:vMerge/>
            <w:hideMark/>
          </w:tcPr>
          <w:p w14:paraId="0D216A9B" w14:textId="77777777" w:rsidR="00E97066" w:rsidRPr="00CB13F7" w:rsidRDefault="00E97066" w:rsidP="005F69EE">
            <w:pPr>
              <w:rPr>
                <w:rFonts w:eastAsia="Times New Roman"/>
                <w:sz w:val="16"/>
                <w:szCs w:val="16"/>
                <w:lang w:eastAsia="en-US"/>
              </w:rPr>
            </w:pPr>
          </w:p>
        </w:tc>
        <w:tc>
          <w:tcPr>
            <w:tcW w:w="1418" w:type="dxa"/>
            <w:vMerge/>
            <w:hideMark/>
          </w:tcPr>
          <w:p w14:paraId="56037986" w14:textId="77777777" w:rsidR="00E97066" w:rsidRPr="00CB13F7" w:rsidRDefault="00E97066" w:rsidP="005F69EE">
            <w:pPr>
              <w:rPr>
                <w:rFonts w:eastAsia="Times New Roman"/>
                <w:sz w:val="16"/>
                <w:szCs w:val="16"/>
                <w:lang w:eastAsia="en-US"/>
              </w:rPr>
            </w:pPr>
          </w:p>
        </w:tc>
        <w:tc>
          <w:tcPr>
            <w:tcW w:w="2690" w:type="dxa"/>
            <w:vMerge/>
            <w:hideMark/>
          </w:tcPr>
          <w:p w14:paraId="5E59F2E1" w14:textId="77777777" w:rsidR="00E97066" w:rsidRPr="00CB13F7" w:rsidRDefault="00E97066" w:rsidP="005F69EE">
            <w:pPr>
              <w:rPr>
                <w:rFonts w:eastAsia="Times New Roman"/>
                <w:sz w:val="16"/>
                <w:szCs w:val="16"/>
                <w:lang w:eastAsia="en-US"/>
              </w:rPr>
            </w:pPr>
          </w:p>
        </w:tc>
      </w:tr>
      <w:tr w:rsidR="00E97066" w:rsidRPr="00CB13F7" w14:paraId="0C8CC7D6" w14:textId="77777777" w:rsidTr="005F69EE">
        <w:trPr>
          <w:trHeight w:val="520"/>
        </w:trPr>
        <w:tc>
          <w:tcPr>
            <w:tcW w:w="851" w:type="dxa"/>
            <w:vMerge/>
            <w:hideMark/>
          </w:tcPr>
          <w:p w14:paraId="6EFF2CE2" w14:textId="77777777" w:rsidR="00E97066" w:rsidRPr="00CB13F7" w:rsidRDefault="00E97066" w:rsidP="005F69EE">
            <w:pPr>
              <w:rPr>
                <w:rFonts w:eastAsia="Times New Roman"/>
                <w:b/>
                <w:bCs/>
                <w:sz w:val="16"/>
                <w:szCs w:val="16"/>
                <w:lang w:eastAsia="en-US"/>
              </w:rPr>
            </w:pPr>
          </w:p>
        </w:tc>
        <w:tc>
          <w:tcPr>
            <w:tcW w:w="1574" w:type="dxa"/>
            <w:vMerge w:val="restart"/>
            <w:tcBorders>
              <w:top w:val="nil"/>
              <w:left w:val="single" w:sz="4" w:space="0" w:color="auto"/>
              <w:bottom w:val="single" w:sz="4" w:space="0" w:color="000000" w:themeColor="text1"/>
              <w:right w:val="single" w:sz="4" w:space="0" w:color="auto"/>
            </w:tcBorders>
            <w:shd w:val="clear" w:color="auto" w:fill="CAEDFA"/>
            <w:hideMark/>
          </w:tcPr>
          <w:p w14:paraId="4E69CEC4" w14:textId="77777777" w:rsidR="00E97066" w:rsidRPr="00CB13F7" w:rsidRDefault="00E97066" w:rsidP="005F69EE">
            <w:pPr>
              <w:rPr>
                <w:rFonts w:eastAsia="Times New Roman"/>
                <w:sz w:val="16"/>
                <w:szCs w:val="16"/>
                <w:lang w:eastAsia="en-US"/>
              </w:rPr>
            </w:pPr>
            <w:r>
              <w:rPr>
                <w:rFonts w:eastAsia="Times New Roman"/>
                <w:sz w:val="16"/>
                <w:szCs w:val="16"/>
                <w:lang w:eastAsia="en-US"/>
              </w:rPr>
              <w:t xml:space="preserve">Objektivi specifik 4. </w:t>
            </w:r>
            <w:r w:rsidRPr="00CB13F7">
              <w:rPr>
                <w:rFonts w:eastAsia="Times New Roman"/>
                <w:sz w:val="16"/>
                <w:szCs w:val="16"/>
                <w:lang w:eastAsia="en-US"/>
              </w:rPr>
              <w:t>Arsim i lartë gjithëpërfshirës që plotëson standardet ndërkombëtare të aksesueshmërisë, cilësisë dhe mbështetjes për studentët me aftësi të kufizuara.</w:t>
            </w:r>
          </w:p>
        </w:tc>
        <w:tc>
          <w:tcPr>
            <w:tcW w:w="1682" w:type="dxa"/>
            <w:tcBorders>
              <w:top w:val="single" w:sz="4" w:space="0" w:color="auto"/>
              <w:left w:val="nil"/>
              <w:bottom w:val="nil"/>
              <w:right w:val="nil"/>
            </w:tcBorders>
            <w:shd w:val="clear" w:color="auto" w:fill="CAEDFA"/>
            <w:hideMark/>
          </w:tcPr>
          <w:p w14:paraId="4C2E080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val="restart"/>
            <w:tcBorders>
              <w:top w:val="nil"/>
              <w:left w:val="nil"/>
              <w:bottom w:val="nil"/>
              <w:right w:val="nil"/>
            </w:tcBorders>
            <w:shd w:val="clear" w:color="auto" w:fill="CAEDFA"/>
            <w:hideMark/>
          </w:tcPr>
          <w:p w14:paraId="1CF5B6D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e IAL me standarde të aksesueshmërisë të përmbushura;</w:t>
            </w:r>
            <w:r w:rsidRPr="00CB13F7">
              <w:rPr>
                <w:rFonts w:eastAsia="Times New Roman"/>
                <w:sz w:val="16"/>
                <w:szCs w:val="16"/>
                <w:lang w:eastAsia="en-US"/>
              </w:rPr>
              <w:br/>
              <w:t>% e studentëve me aftësi të kufizuara që marrin mbështetje individuale;</w:t>
            </w:r>
          </w:p>
        </w:tc>
        <w:tc>
          <w:tcPr>
            <w:tcW w:w="1439" w:type="dxa"/>
            <w:vMerge w:val="restart"/>
            <w:tcBorders>
              <w:top w:val="nil"/>
              <w:left w:val="single" w:sz="4" w:space="0" w:color="auto"/>
              <w:bottom w:val="single" w:sz="4" w:space="0" w:color="auto"/>
              <w:right w:val="single" w:sz="4" w:space="0" w:color="auto"/>
            </w:tcBorders>
            <w:shd w:val="clear" w:color="auto" w:fill="CAEDFA"/>
            <w:hideMark/>
          </w:tcPr>
          <w:p w14:paraId="197399C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p>
        </w:tc>
        <w:tc>
          <w:tcPr>
            <w:tcW w:w="1134" w:type="dxa"/>
            <w:vMerge w:val="restart"/>
            <w:tcBorders>
              <w:top w:val="nil"/>
              <w:left w:val="single" w:sz="4" w:space="0" w:color="auto"/>
              <w:bottom w:val="single" w:sz="4" w:space="0" w:color="auto"/>
              <w:right w:val="single" w:sz="4" w:space="0" w:color="auto"/>
            </w:tcBorders>
            <w:shd w:val="clear" w:color="auto" w:fill="CAEDFA"/>
            <w:hideMark/>
          </w:tcPr>
          <w:p w14:paraId="02DFABC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25%</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50%</w:t>
            </w:r>
          </w:p>
        </w:tc>
        <w:tc>
          <w:tcPr>
            <w:tcW w:w="992" w:type="dxa"/>
            <w:vMerge w:val="restart"/>
            <w:tcBorders>
              <w:top w:val="nil"/>
              <w:left w:val="single" w:sz="4" w:space="0" w:color="auto"/>
              <w:bottom w:val="single" w:sz="4" w:space="0" w:color="auto"/>
              <w:right w:val="single" w:sz="4" w:space="0" w:color="auto"/>
            </w:tcBorders>
            <w:shd w:val="clear" w:color="auto" w:fill="CAEDFA"/>
            <w:hideMark/>
          </w:tcPr>
          <w:p w14:paraId="59CCEEF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50%</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70%</w:t>
            </w:r>
          </w:p>
        </w:tc>
        <w:tc>
          <w:tcPr>
            <w:tcW w:w="1418" w:type="dxa"/>
            <w:vMerge w:val="restart"/>
            <w:tcBorders>
              <w:top w:val="nil"/>
              <w:left w:val="single" w:sz="4" w:space="0" w:color="auto"/>
              <w:bottom w:val="single" w:sz="4" w:space="0" w:color="000000" w:themeColor="text1"/>
              <w:right w:val="nil"/>
            </w:tcBorders>
            <w:shd w:val="clear" w:color="auto" w:fill="CAEDFA"/>
            <w:hideMark/>
          </w:tcPr>
          <w:p w14:paraId="25F964FD"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Raporte të akreditimit; </w:t>
            </w:r>
            <w:r w:rsidRPr="00CB13F7">
              <w:rPr>
                <w:rFonts w:eastAsia="Times New Roman"/>
                <w:sz w:val="16"/>
                <w:szCs w:val="16"/>
                <w:lang w:eastAsia="en-US"/>
              </w:rPr>
              <w:br/>
              <w:t xml:space="preserve">ASCAL, </w:t>
            </w:r>
            <w:r w:rsidRPr="00CB13F7">
              <w:rPr>
                <w:rFonts w:eastAsia="Times New Roman"/>
                <w:sz w:val="16"/>
                <w:szCs w:val="16"/>
                <w:lang w:eastAsia="en-US"/>
              </w:rPr>
              <w:br/>
              <w:t>Raporte vjetore të MA;</w:t>
            </w:r>
          </w:p>
        </w:tc>
        <w:tc>
          <w:tcPr>
            <w:tcW w:w="2690" w:type="dxa"/>
            <w:vMerge w:val="restart"/>
            <w:tcBorders>
              <w:top w:val="nil"/>
              <w:left w:val="single" w:sz="4" w:space="0" w:color="auto"/>
              <w:bottom w:val="single" w:sz="4" w:space="0" w:color="auto"/>
              <w:right w:val="single" w:sz="4" w:space="0" w:color="auto"/>
            </w:tcBorders>
            <w:shd w:val="clear" w:color="auto" w:fill="CAEDFA"/>
            <w:hideMark/>
          </w:tcPr>
          <w:p w14:paraId="6BA3F8CD"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Konventa OKB për të Drejtat e Personave me Aftësi të Kufizuara;</w:t>
            </w:r>
            <w:r w:rsidRPr="00CB13F7">
              <w:rPr>
                <w:rFonts w:eastAsia="Times New Roman"/>
                <w:sz w:val="16"/>
                <w:szCs w:val="16"/>
                <w:lang w:eastAsia="en-US"/>
              </w:rPr>
              <w:br/>
              <w:t>Strategjia Kombëtare e Arsimit 2021-2026;</w:t>
            </w:r>
            <w:r w:rsidRPr="00CB13F7">
              <w:rPr>
                <w:rFonts w:eastAsia="Times New Roman"/>
                <w:sz w:val="16"/>
                <w:szCs w:val="16"/>
                <w:lang w:eastAsia="en-US"/>
              </w:rPr>
              <w:br/>
              <w:t xml:space="preserve">Ligji për Përfshirjen dhe Aksesueshmërinë </w:t>
            </w:r>
            <w:r w:rsidRPr="00CB13F7">
              <w:rPr>
                <w:rFonts w:eastAsia="Times New Roman"/>
                <w:sz w:val="16"/>
                <w:szCs w:val="16"/>
                <w:lang w:eastAsia="en-US"/>
              </w:rPr>
              <w:br/>
              <w:t>Dokumenti i Politikave për Arsimin e Lartë 2030; Strategjia Kombëtare për Kërkimin Shkencor Teknologjinë dhe Inovacionin 2023-2030;</w:t>
            </w:r>
            <w:r w:rsidRPr="00CB13F7">
              <w:rPr>
                <w:rFonts w:eastAsia="Times New Roman"/>
                <w:sz w:val="16"/>
                <w:szCs w:val="16"/>
                <w:lang w:eastAsia="en-US"/>
              </w:rPr>
              <w:br/>
              <w:t>Plani Kombëtar për Zhvillimin e Qëndrueshëm të Infrastrukturës Digjitale 2020-2025;</w:t>
            </w:r>
          </w:p>
        </w:tc>
      </w:tr>
      <w:tr w:rsidR="00E97066" w:rsidRPr="00CB13F7" w14:paraId="5061DE8B" w14:textId="77777777" w:rsidTr="005F69EE">
        <w:trPr>
          <w:trHeight w:val="1770"/>
        </w:trPr>
        <w:tc>
          <w:tcPr>
            <w:tcW w:w="851" w:type="dxa"/>
            <w:vMerge/>
            <w:hideMark/>
          </w:tcPr>
          <w:p w14:paraId="0FDB1DDC" w14:textId="77777777" w:rsidR="00E97066" w:rsidRPr="00CB13F7" w:rsidRDefault="00E97066" w:rsidP="005F69EE">
            <w:pPr>
              <w:rPr>
                <w:rFonts w:eastAsia="Times New Roman"/>
                <w:b/>
                <w:bCs/>
                <w:sz w:val="16"/>
                <w:szCs w:val="16"/>
                <w:lang w:eastAsia="en-US"/>
              </w:rPr>
            </w:pPr>
          </w:p>
        </w:tc>
        <w:tc>
          <w:tcPr>
            <w:tcW w:w="1574" w:type="dxa"/>
            <w:vMerge/>
            <w:hideMark/>
          </w:tcPr>
          <w:p w14:paraId="64152E7A" w14:textId="77777777" w:rsidR="00E97066" w:rsidRPr="00CB13F7" w:rsidRDefault="00E97066" w:rsidP="005F69EE">
            <w:pPr>
              <w:rPr>
                <w:rFonts w:eastAsia="Times New Roman"/>
                <w:sz w:val="16"/>
                <w:szCs w:val="16"/>
                <w:lang w:eastAsia="en-US"/>
              </w:rPr>
            </w:pPr>
          </w:p>
        </w:tc>
        <w:tc>
          <w:tcPr>
            <w:tcW w:w="1682" w:type="dxa"/>
            <w:tcBorders>
              <w:top w:val="nil"/>
              <w:left w:val="nil"/>
              <w:bottom w:val="nil"/>
              <w:right w:val="nil"/>
            </w:tcBorders>
            <w:shd w:val="clear" w:color="auto" w:fill="CAEDFA"/>
            <w:hideMark/>
          </w:tcPr>
          <w:p w14:paraId="1BA4E8F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vMerge/>
            <w:hideMark/>
          </w:tcPr>
          <w:p w14:paraId="2089519A" w14:textId="77777777" w:rsidR="00E97066" w:rsidRPr="00CB13F7" w:rsidRDefault="00E97066" w:rsidP="005F69EE">
            <w:pPr>
              <w:rPr>
                <w:rFonts w:eastAsia="Times New Roman"/>
                <w:sz w:val="16"/>
                <w:szCs w:val="16"/>
                <w:lang w:eastAsia="en-US"/>
              </w:rPr>
            </w:pPr>
          </w:p>
        </w:tc>
        <w:tc>
          <w:tcPr>
            <w:tcW w:w="1439" w:type="dxa"/>
            <w:vMerge/>
            <w:hideMark/>
          </w:tcPr>
          <w:p w14:paraId="4F0C3193" w14:textId="77777777" w:rsidR="00E97066" w:rsidRPr="00CB13F7" w:rsidRDefault="00E97066" w:rsidP="005F69EE">
            <w:pPr>
              <w:rPr>
                <w:rFonts w:eastAsia="Times New Roman"/>
                <w:sz w:val="16"/>
                <w:szCs w:val="16"/>
                <w:lang w:eastAsia="en-US"/>
              </w:rPr>
            </w:pPr>
          </w:p>
        </w:tc>
        <w:tc>
          <w:tcPr>
            <w:tcW w:w="1134" w:type="dxa"/>
            <w:vMerge/>
            <w:hideMark/>
          </w:tcPr>
          <w:p w14:paraId="21D6A9D3" w14:textId="77777777" w:rsidR="00E97066" w:rsidRPr="00CB13F7" w:rsidRDefault="00E97066" w:rsidP="005F69EE">
            <w:pPr>
              <w:rPr>
                <w:rFonts w:eastAsia="Times New Roman"/>
                <w:sz w:val="16"/>
                <w:szCs w:val="16"/>
                <w:lang w:eastAsia="en-US"/>
              </w:rPr>
            </w:pPr>
          </w:p>
        </w:tc>
        <w:tc>
          <w:tcPr>
            <w:tcW w:w="992" w:type="dxa"/>
            <w:vMerge/>
            <w:hideMark/>
          </w:tcPr>
          <w:p w14:paraId="433DB9D3" w14:textId="77777777" w:rsidR="00E97066" w:rsidRPr="00CB13F7" w:rsidRDefault="00E97066" w:rsidP="005F69EE">
            <w:pPr>
              <w:rPr>
                <w:rFonts w:eastAsia="Times New Roman"/>
                <w:sz w:val="16"/>
                <w:szCs w:val="16"/>
                <w:lang w:eastAsia="en-US"/>
              </w:rPr>
            </w:pPr>
          </w:p>
        </w:tc>
        <w:tc>
          <w:tcPr>
            <w:tcW w:w="1418" w:type="dxa"/>
            <w:vMerge/>
            <w:hideMark/>
          </w:tcPr>
          <w:p w14:paraId="320EBA01" w14:textId="77777777" w:rsidR="00E97066" w:rsidRPr="00CB13F7" w:rsidRDefault="00E97066" w:rsidP="005F69EE">
            <w:pPr>
              <w:rPr>
                <w:rFonts w:eastAsia="Times New Roman"/>
                <w:sz w:val="16"/>
                <w:szCs w:val="16"/>
                <w:lang w:eastAsia="en-US"/>
              </w:rPr>
            </w:pPr>
          </w:p>
        </w:tc>
        <w:tc>
          <w:tcPr>
            <w:tcW w:w="2690" w:type="dxa"/>
            <w:vMerge/>
            <w:hideMark/>
          </w:tcPr>
          <w:p w14:paraId="7A0296D8" w14:textId="77777777" w:rsidR="00E97066" w:rsidRPr="00CB13F7" w:rsidRDefault="00E97066" w:rsidP="005F69EE">
            <w:pPr>
              <w:rPr>
                <w:rFonts w:eastAsia="Times New Roman"/>
                <w:sz w:val="16"/>
                <w:szCs w:val="16"/>
                <w:lang w:eastAsia="en-US"/>
              </w:rPr>
            </w:pPr>
          </w:p>
        </w:tc>
      </w:tr>
      <w:tr w:rsidR="00E97066" w:rsidRPr="00CB13F7" w14:paraId="027682B2" w14:textId="77777777" w:rsidTr="005F69EE">
        <w:trPr>
          <w:trHeight w:val="2025"/>
        </w:trPr>
        <w:tc>
          <w:tcPr>
            <w:tcW w:w="851" w:type="dxa"/>
            <w:vMerge w:val="restart"/>
            <w:tcBorders>
              <w:top w:val="nil"/>
              <w:left w:val="single" w:sz="4" w:space="0" w:color="auto"/>
              <w:bottom w:val="single" w:sz="4" w:space="0" w:color="auto"/>
              <w:right w:val="single" w:sz="4" w:space="0" w:color="auto"/>
            </w:tcBorders>
            <w:hideMark/>
          </w:tcPr>
          <w:p w14:paraId="55A360EC" w14:textId="77777777" w:rsidR="00E97066" w:rsidRPr="00CB13F7" w:rsidRDefault="00E97066" w:rsidP="005F69EE">
            <w:pPr>
              <w:rPr>
                <w:rFonts w:eastAsia="Times New Roman"/>
                <w:b/>
                <w:bCs/>
                <w:sz w:val="16"/>
                <w:szCs w:val="16"/>
                <w:lang w:eastAsia="en-US"/>
              </w:rPr>
            </w:pPr>
            <w:r w:rsidRPr="00CB13F7">
              <w:rPr>
                <w:rFonts w:eastAsia="Times New Roman"/>
                <w:b/>
                <w:bCs/>
                <w:sz w:val="16"/>
                <w:szCs w:val="16"/>
                <w:lang w:eastAsia="en-US"/>
              </w:rPr>
              <w:t>Masat prioritare</w:t>
            </w:r>
          </w:p>
        </w:tc>
        <w:tc>
          <w:tcPr>
            <w:tcW w:w="1574" w:type="dxa"/>
            <w:tcBorders>
              <w:top w:val="nil"/>
              <w:left w:val="nil"/>
              <w:bottom w:val="single" w:sz="4" w:space="0" w:color="auto"/>
              <w:right w:val="single" w:sz="4" w:space="0" w:color="auto"/>
            </w:tcBorders>
            <w:hideMark/>
          </w:tcPr>
          <w:p w14:paraId="77CA232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1.1. Përmirësimi i kuadrit të politikave dhe qeverisjes për të garantuar akses të barabartë në edukimin e hershëm për fëmijët me aftësi të kufizuara.</w:t>
            </w:r>
          </w:p>
        </w:tc>
        <w:tc>
          <w:tcPr>
            <w:tcW w:w="1682" w:type="dxa"/>
            <w:tcBorders>
              <w:top w:val="single" w:sz="4" w:space="0" w:color="auto"/>
              <w:left w:val="nil"/>
              <w:bottom w:val="single" w:sz="4" w:space="0" w:color="auto"/>
              <w:right w:val="nil"/>
            </w:tcBorders>
            <w:hideMark/>
          </w:tcPr>
          <w:p w14:paraId="20B4C008" w14:textId="77777777" w:rsidR="00E97066" w:rsidRPr="00CB13F7" w:rsidRDefault="00E97066" w:rsidP="005F69EE">
            <w:pPr>
              <w:rPr>
                <w:rFonts w:eastAsia="Times New Roman"/>
                <w:sz w:val="16"/>
                <w:szCs w:val="16"/>
                <w:lang w:eastAsia="en-US"/>
              </w:rPr>
            </w:pPr>
          </w:p>
        </w:tc>
        <w:tc>
          <w:tcPr>
            <w:tcW w:w="1982" w:type="dxa"/>
            <w:tcBorders>
              <w:top w:val="single" w:sz="4" w:space="0" w:color="auto"/>
              <w:left w:val="nil"/>
              <w:bottom w:val="single" w:sz="4" w:space="0" w:color="auto"/>
              <w:right w:val="nil"/>
            </w:tcBorders>
            <w:hideMark/>
          </w:tcPr>
          <w:p w14:paraId="5137B36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Kuadër ligjor i rishikuar, Nr. aktesh ligjore të harmonizuara</w:t>
            </w:r>
            <w:r w:rsidRPr="00CB13F7">
              <w:rPr>
                <w:rFonts w:eastAsia="Times New Roman"/>
                <w:sz w:val="16"/>
                <w:szCs w:val="16"/>
                <w:lang w:eastAsia="en-US"/>
              </w:rPr>
              <w:br/>
              <w:t xml:space="preserve"> </w:t>
            </w:r>
            <w:r w:rsidRPr="00CB13F7">
              <w:rPr>
                <w:rFonts w:eastAsia="Times New Roman"/>
                <w:sz w:val="16"/>
                <w:szCs w:val="16"/>
                <w:lang w:eastAsia="en-US"/>
              </w:rPr>
              <w:br/>
              <w:t>Mekanizëm koordinimi ndërinstitucional funksional;</w:t>
            </w:r>
          </w:p>
        </w:tc>
        <w:tc>
          <w:tcPr>
            <w:tcW w:w="1439" w:type="dxa"/>
            <w:tcBorders>
              <w:top w:val="nil"/>
              <w:left w:val="single" w:sz="4" w:space="0" w:color="auto"/>
              <w:bottom w:val="single" w:sz="4" w:space="0" w:color="auto"/>
              <w:right w:val="single" w:sz="4" w:space="0" w:color="auto"/>
            </w:tcBorders>
            <w:hideMark/>
          </w:tcPr>
          <w:p w14:paraId="60EAF8C5"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br/>
            </w:r>
            <w:r w:rsidRPr="00CB13F7">
              <w:rPr>
                <w:rFonts w:eastAsia="Times New Roman"/>
                <w:sz w:val="16"/>
                <w:szCs w:val="16"/>
                <w:lang w:eastAsia="en-US"/>
              </w:rPr>
              <w:br/>
            </w:r>
          </w:p>
        </w:tc>
        <w:tc>
          <w:tcPr>
            <w:tcW w:w="1134" w:type="dxa"/>
            <w:tcBorders>
              <w:top w:val="nil"/>
              <w:left w:val="nil"/>
              <w:bottom w:val="single" w:sz="4" w:space="0" w:color="auto"/>
              <w:right w:val="single" w:sz="4" w:space="0" w:color="auto"/>
            </w:tcBorders>
            <w:hideMark/>
          </w:tcPr>
          <w:p w14:paraId="315682CC"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2 ligje, (Ligji për arsimin parauniversitar dhe SKA; Ligji për shërbimet Shoqërore) 2 udhëzime;</w:t>
            </w:r>
            <w:r w:rsidRPr="00CB13F7">
              <w:rPr>
                <w:rFonts w:eastAsia="Times New Roman"/>
                <w:sz w:val="16"/>
                <w:szCs w:val="16"/>
                <w:lang w:eastAsia="en-US"/>
              </w:rPr>
              <w:br/>
              <w:t>1 Marrëveshje për koordinim institucional:</w:t>
            </w:r>
          </w:p>
        </w:tc>
        <w:tc>
          <w:tcPr>
            <w:tcW w:w="992" w:type="dxa"/>
            <w:tcBorders>
              <w:top w:val="nil"/>
              <w:left w:val="nil"/>
              <w:bottom w:val="single" w:sz="4" w:space="0" w:color="auto"/>
              <w:right w:val="single" w:sz="4" w:space="0" w:color="auto"/>
            </w:tcBorders>
            <w:hideMark/>
          </w:tcPr>
          <w:p w14:paraId="5EE48ECB"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2 udhëzime</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p>
        </w:tc>
        <w:tc>
          <w:tcPr>
            <w:tcW w:w="1418" w:type="dxa"/>
            <w:tcBorders>
              <w:top w:val="nil"/>
              <w:left w:val="nil"/>
              <w:bottom w:val="single" w:sz="4" w:space="0" w:color="auto"/>
              <w:right w:val="nil"/>
            </w:tcBorders>
            <w:hideMark/>
          </w:tcPr>
          <w:p w14:paraId="0146F4E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Fletorja Zyrtare; </w:t>
            </w:r>
            <w:r w:rsidRPr="00CB13F7">
              <w:rPr>
                <w:rFonts w:eastAsia="Times New Roman"/>
                <w:sz w:val="16"/>
                <w:szCs w:val="16"/>
                <w:lang w:eastAsia="en-US"/>
              </w:rPr>
              <w:br/>
              <w:t>VKM;</w:t>
            </w:r>
            <w:r w:rsidRPr="00CB13F7">
              <w:rPr>
                <w:rFonts w:eastAsia="Times New Roman"/>
                <w:sz w:val="16"/>
                <w:szCs w:val="16"/>
                <w:lang w:eastAsia="en-US"/>
              </w:rPr>
              <w:br/>
              <w:t xml:space="preserve">Raporte MAS; </w:t>
            </w:r>
            <w:r w:rsidRPr="00CB13F7">
              <w:rPr>
                <w:rFonts w:eastAsia="Times New Roman"/>
                <w:sz w:val="16"/>
                <w:szCs w:val="16"/>
                <w:lang w:eastAsia="en-US"/>
              </w:rPr>
              <w:br/>
              <w:t>Raporte bashkiake;</w:t>
            </w:r>
          </w:p>
        </w:tc>
        <w:tc>
          <w:tcPr>
            <w:tcW w:w="2690" w:type="dxa"/>
            <w:tcBorders>
              <w:top w:val="nil"/>
              <w:left w:val="single" w:sz="4" w:space="0" w:color="auto"/>
              <w:bottom w:val="single" w:sz="4" w:space="0" w:color="auto"/>
              <w:right w:val="single" w:sz="4" w:space="0" w:color="auto"/>
            </w:tcBorders>
            <w:hideMark/>
          </w:tcPr>
          <w:p w14:paraId="1A2E6F74" w14:textId="77777777" w:rsidR="00E97066" w:rsidRPr="00CB13F7" w:rsidRDefault="00E97066" w:rsidP="005F69EE">
            <w:pPr>
              <w:rPr>
                <w:rFonts w:eastAsia="Times New Roman"/>
                <w:sz w:val="16"/>
                <w:szCs w:val="16"/>
                <w:lang w:eastAsia="en-US"/>
              </w:rPr>
            </w:pPr>
          </w:p>
        </w:tc>
      </w:tr>
      <w:tr w:rsidR="00E97066" w:rsidRPr="00CB13F7" w14:paraId="1FC1063A" w14:textId="77777777" w:rsidTr="005F69EE">
        <w:trPr>
          <w:trHeight w:val="1185"/>
        </w:trPr>
        <w:tc>
          <w:tcPr>
            <w:tcW w:w="851" w:type="dxa"/>
            <w:vMerge/>
            <w:hideMark/>
          </w:tcPr>
          <w:p w14:paraId="1780A592"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3D5C850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1.2. Infrastrukturë dhe mjedise të aksesueshme, të sigurta, miqësore dhe gjithëpërfshirëse për fëmijët me aftësi të kufizuara në kopshte dhe arsim parashkollor.</w:t>
            </w:r>
          </w:p>
        </w:tc>
        <w:tc>
          <w:tcPr>
            <w:tcW w:w="1682" w:type="dxa"/>
            <w:tcBorders>
              <w:top w:val="nil"/>
              <w:left w:val="nil"/>
              <w:bottom w:val="single" w:sz="4" w:space="0" w:color="auto"/>
              <w:right w:val="single" w:sz="4" w:space="0" w:color="auto"/>
            </w:tcBorders>
            <w:hideMark/>
          </w:tcPr>
          <w:p w14:paraId="2168527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3A309D8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 kopshtesh me aksesueshmëri të plotë; </w:t>
            </w:r>
            <w:r w:rsidRPr="00CB13F7">
              <w:rPr>
                <w:rFonts w:eastAsia="Times New Roman"/>
                <w:sz w:val="16"/>
                <w:szCs w:val="16"/>
                <w:lang w:eastAsia="en-US"/>
              </w:rPr>
              <w:br/>
            </w:r>
            <w:r w:rsidRPr="00CB13F7">
              <w:rPr>
                <w:rFonts w:eastAsia="Times New Roman"/>
                <w:sz w:val="16"/>
                <w:szCs w:val="16"/>
                <w:lang w:eastAsia="en-US"/>
              </w:rPr>
              <w:br/>
              <w:t>% kopshtesh me kënde lojërash të aksesueshme;</w:t>
            </w:r>
          </w:p>
        </w:tc>
        <w:tc>
          <w:tcPr>
            <w:tcW w:w="1439" w:type="dxa"/>
            <w:tcBorders>
              <w:top w:val="nil"/>
              <w:left w:val="nil"/>
              <w:bottom w:val="single" w:sz="4" w:space="0" w:color="auto"/>
              <w:right w:val="single" w:sz="4" w:space="0" w:color="auto"/>
            </w:tcBorders>
            <w:hideMark/>
          </w:tcPr>
          <w:p w14:paraId="76195A3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t>N/A</w:t>
            </w:r>
          </w:p>
        </w:tc>
        <w:tc>
          <w:tcPr>
            <w:tcW w:w="1134" w:type="dxa"/>
            <w:tcBorders>
              <w:top w:val="nil"/>
              <w:left w:val="nil"/>
              <w:bottom w:val="single" w:sz="4" w:space="0" w:color="auto"/>
              <w:right w:val="single" w:sz="4" w:space="0" w:color="auto"/>
            </w:tcBorders>
            <w:hideMark/>
          </w:tcPr>
          <w:p w14:paraId="45A756C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40%</w:t>
            </w:r>
          </w:p>
        </w:tc>
        <w:tc>
          <w:tcPr>
            <w:tcW w:w="992" w:type="dxa"/>
            <w:tcBorders>
              <w:top w:val="nil"/>
              <w:left w:val="nil"/>
              <w:bottom w:val="single" w:sz="4" w:space="0" w:color="auto"/>
              <w:right w:val="single" w:sz="4" w:space="0" w:color="auto"/>
            </w:tcBorders>
            <w:hideMark/>
          </w:tcPr>
          <w:p w14:paraId="3FB83BB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80%</w:t>
            </w:r>
          </w:p>
        </w:tc>
        <w:tc>
          <w:tcPr>
            <w:tcW w:w="1418" w:type="dxa"/>
            <w:tcBorders>
              <w:top w:val="nil"/>
              <w:left w:val="nil"/>
              <w:bottom w:val="single" w:sz="4" w:space="0" w:color="auto"/>
              <w:right w:val="nil"/>
            </w:tcBorders>
            <w:hideMark/>
          </w:tcPr>
          <w:p w14:paraId="19D7191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Inventar infrastrukture; </w:t>
            </w:r>
            <w:r w:rsidRPr="00CB13F7">
              <w:rPr>
                <w:rFonts w:eastAsia="Times New Roman"/>
                <w:sz w:val="16"/>
                <w:szCs w:val="16"/>
                <w:lang w:eastAsia="en-US"/>
              </w:rPr>
              <w:br/>
              <w:t xml:space="preserve">Auditime teknike; </w:t>
            </w:r>
            <w:r w:rsidRPr="00CB13F7">
              <w:rPr>
                <w:rFonts w:eastAsia="Times New Roman"/>
                <w:sz w:val="16"/>
                <w:szCs w:val="16"/>
                <w:lang w:eastAsia="en-US"/>
              </w:rPr>
              <w:br/>
              <w:t>Raporte investimesh;</w:t>
            </w:r>
          </w:p>
        </w:tc>
        <w:tc>
          <w:tcPr>
            <w:tcW w:w="2690" w:type="dxa"/>
            <w:tcBorders>
              <w:top w:val="nil"/>
              <w:left w:val="single" w:sz="4" w:space="0" w:color="auto"/>
              <w:bottom w:val="single" w:sz="4" w:space="0" w:color="auto"/>
              <w:right w:val="single" w:sz="4" w:space="0" w:color="auto"/>
            </w:tcBorders>
            <w:hideMark/>
          </w:tcPr>
          <w:p w14:paraId="6BEA8A1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6F6B0535" w14:textId="77777777" w:rsidTr="005F69EE">
        <w:trPr>
          <w:trHeight w:val="975"/>
        </w:trPr>
        <w:tc>
          <w:tcPr>
            <w:tcW w:w="851" w:type="dxa"/>
            <w:vMerge/>
            <w:hideMark/>
          </w:tcPr>
          <w:p w14:paraId="4B189F6F"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0AA9404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1.3. Shërbime mbështetëse shumëdisiplinore dhe edukim i hershëm i individualizuar.</w:t>
            </w:r>
          </w:p>
        </w:tc>
        <w:tc>
          <w:tcPr>
            <w:tcW w:w="1682" w:type="dxa"/>
            <w:tcBorders>
              <w:top w:val="nil"/>
              <w:left w:val="nil"/>
              <w:bottom w:val="single" w:sz="4" w:space="0" w:color="auto"/>
              <w:right w:val="single" w:sz="4" w:space="0" w:color="auto"/>
            </w:tcBorders>
            <w:hideMark/>
          </w:tcPr>
          <w:p w14:paraId="1A141DF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10CF5B37"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Numri i fëmijëve të përfshirë në arsimin parashkollor/ që përfitojnë nga ndërhyrja e hershme;</w:t>
            </w:r>
            <w:r w:rsidRPr="00CB13F7">
              <w:rPr>
                <w:rFonts w:eastAsia="Times New Roman"/>
                <w:sz w:val="16"/>
                <w:szCs w:val="16"/>
                <w:lang w:eastAsia="en-US"/>
              </w:rPr>
              <w:br/>
              <w:t xml:space="preserve">% fëmijë me PIZH dhe PEI; </w:t>
            </w:r>
            <w:r w:rsidRPr="00CB13F7">
              <w:rPr>
                <w:rFonts w:eastAsia="Times New Roman"/>
                <w:sz w:val="16"/>
                <w:szCs w:val="16"/>
                <w:lang w:eastAsia="en-US"/>
              </w:rPr>
              <w:br/>
              <w:t>Raporti mësues ndihmës /fëmijë;</w:t>
            </w:r>
          </w:p>
        </w:tc>
        <w:tc>
          <w:tcPr>
            <w:tcW w:w="1439" w:type="dxa"/>
            <w:tcBorders>
              <w:top w:val="nil"/>
              <w:left w:val="nil"/>
              <w:bottom w:val="single" w:sz="4" w:space="0" w:color="auto"/>
              <w:right w:val="single" w:sz="4" w:space="0" w:color="auto"/>
            </w:tcBorders>
            <w:hideMark/>
          </w:tcPr>
          <w:p w14:paraId="7DEAFA7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600</w:t>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t>335</w:t>
            </w:r>
          </w:p>
        </w:tc>
        <w:tc>
          <w:tcPr>
            <w:tcW w:w="1134" w:type="dxa"/>
            <w:tcBorders>
              <w:top w:val="nil"/>
              <w:left w:val="nil"/>
              <w:bottom w:val="single" w:sz="4" w:space="0" w:color="auto"/>
              <w:right w:val="single" w:sz="4" w:space="0" w:color="auto"/>
            </w:tcBorders>
            <w:hideMark/>
          </w:tcPr>
          <w:p w14:paraId="3A97648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750</w:t>
            </w:r>
            <w:r w:rsidRPr="00CB13F7">
              <w:rPr>
                <w:rFonts w:eastAsia="Times New Roman"/>
                <w:sz w:val="16"/>
                <w:szCs w:val="16"/>
                <w:lang w:eastAsia="en-US"/>
              </w:rPr>
              <w:br/>
            </w:r>
            <w:r w:rsidRPr="00CB13F7">
              <w:rPr>
                <w:rFonts w:eastAsia="Times New Roman"/>
                <w:sz w:val="16"/>
                <w:szCs w:val="16"/>
                <w:lang w:eastAsia="en-US"/>
              </w:rPr>
              <w:br/>
              <w:t>750</w:t>
            </w:r>
            <w:r w:rsidRPr="00CB13F7">
              <w:rPr>
                <w:rFonts w:eastAsia="Times New Roman"/>
                <w:sz w:val="16"/>
                <w:szCs w:val="16"/>
                <w:lang w:eastAsia="en-US"/>
              </w:rPr>
              <w:br/>
              <w:t>375</w:t>
            </w:r>
          </w:p>
        </w:tc>
        <w:tc>
          <w:tcPr>
            <w:tcW w:w="992" w:type="dxa"/>
            <w:tcBorders>
              <w:top w:val="nil"/>
              <w:left w:val="nil"/>
              <w:bottom w:val="single" w:sz="4" w:space="0" w:color="auto"/>
              <w:right w:val="single" w:sz="4" w:space="0" w:color="auto"/>
            </w:tcBorders>
            <w:hideMark/>
          </w:tcPr>
          <w:p w14:paraId="5CF832A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1000</w:t>
            </w:r>
            <w:r w:rsidRPr="00CB13F7">
              <w:rPr>
                <w:rFonts w:eastAsia="Times New Roman"/>
                <w:sz w:val="16"/>
                <w:szCs w:val="16"/>
                <w:lang w:eastAsia="en-US"/>
              </w:rPr>
              <w:br/>
            </w:r>
            <w:r w:rsidRPr="00CB13F7">
              <w:rPr>
                <w:rFonts w:eastAsia="Times New Roman"/>
                <w:sz w:val="16"/>
                <w:szCs w:val="16"/>
                <w:lang w:eastAsia="en-US"/>
              </w:rPr>
              <w:br/>
              <w:t>1000</w:t>
            </w:r>
            <w:r w:rsidRPr="00CB13F7">
              <w:rPr>
                <w:rFonts w:eastAsia="Times New Roman"/>
                <w:sz w:val="16"/>
                <w:szCs w:val="16"/>
                <w:lang w:eastAsia="en-US"/>
              </w:rPr>
              <w:br/>
              <w:t>700</w:t>
            </w:r>
          </w:p>
        </w:tc>
        <w:tc>
          <w:tcPr>
            <w:tcW w:w="1418" w:type="dxa"/>
            <w:tcBorders>
              <w:top w:val="nil"/>
              <w:left w:val="nil"/>
              <w:bottom w:val="single" w:sz="4" w:space="0" w:color="auto"/>
              <w:right w:val="nil"/>
            </w:tcBorders>
            <w:hideMark/>
          </w:tcPr>
          <w:p w14:paraId="38BB556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SMIP;</w:t>
            </w:r>
            <w:r w:rsidRPr="00CB13F7">
              <w:br/>
            </w:r>
            <w:r w:rsidRPr="00CB13F7">
              <w:rPr>
                <w:rFonts w:eastAsia="Times New Roman"/>
                <w:sz w:val="16"/>
                <w:szCs w:val="16"/>
                <w:lang w:eastAsia="en-US"/>
              </w:rPr>
              <w:t xml:space="preserve">Dosje pedagogjike; </w:t>
            </w:r>
            <w:r w:rsidRPr="00CB13F7">
              <w:br/>
            </w:r>
            <w:r w:rsidRPr="00CB13F7">
              <w:rPr>
                <w:rFonts w:eastAsia="Times New Roman"/>
                <w:sz w:val="16"/>
                <w:szCs w:val="16"/>
                <w:lang w:eastAsia="en-US"/>
              </w:rPr>
              <w:t>Regjistra shërbimesh sociale të bashkisë;</w:t>
            </w:r>
          </w:p>
        </w:tc>
        <w:tc>
          <w:tcPr>
            <w:tcW w:w="2690" w:type="dxa"/>
            <w:tcBorders>
              <w:top w:val="nil"/>
              <w:left w:val="single" w:sz="4" w:space="0" w:color="auto"/>
              <w:bottom w:val="single" w:sz="4" w:space="0" w:color="auto"/>
              <w:right w:val="single" w:sz="4" w:space="0" w:color="auto"/>
            </w:tcBorders>
            <w:hideMark/>
          </w:tcPr>
          <w:p w14:paraId="05C8477C"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3F6480B7" w14:textId="77777777" w:rsidTr="005F69EE">
        <w:trPr>
          <w:trHeight w:val="990"/>
        </w:trPr>
        <w:tc>
          <w:tcPr>
            <w:tcW w:w="851" w:type="dxa"/>
            <w:vMerge/>
            <w:hideMark/>
          </w:tcPr>
          <w:p w14:paraId="77B3C60D"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46C1CE0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1.4. Zhvillimi i kapaciteteve profesionale dhe sigurimi i cilësisë së edukimit të hershëm gjithëpërfshirës për fëmijët me aftësi të kufizuara.</w:t>
            </w:r>
          </w:p>
        </w:tc>
        <w:tc>
          <w:tcPr>
            <w:tcW w:w="1682" w:type="dxa"/>
            <w:tcBorders>
              <w:top w:val="nil"/>
              <w:left w:val="nil"/>
              <w:bottom w:val="single" w:sz="4" w:space="0" w:color="auto"/>
              <w:right w:val="single" w:sz="4" w:space="0" w:color="auto"/>
            </w:tcBorders>
            <w:hideMark/>
          </w:tcPr>
          <w:p w14:paraId="140A567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6BA2C36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 % edukatorë të trajnuar; </w:t>
            </w:r>
            <w:r w:rsidRPr="00CB13F7">
              <w:rPr>
                <w:rFonts w:eastAsia="Times New Roman"/>
                <w:sz w:val="16"/>
                <w:szCs w:val="16"/>
                <w:lang w:eastAsia="en-US"/>
              </w:rPr>
              <w:br/>
              <w:t>Nr. module të akredituara;</w:t>
            </w:r>
            <w:r w:rsidRPr="00CB13F7">
              <w:rPr>
                <w:rFonts w:eastAsia="Times New Roman"/>
                <w:sz w:val="16"/>
                <w:szCs w:val="16"/>
                <w:lang w:eastAsia="en-US"/>
              </w:rPr>
              <w:br/>
              <w:t>Mekanizëm sigurimi cilësie funksional;</w:t>
            </w:r>
          </w:p>
        </w:tc>
        <w:tc>
          <w:tcPr>
            <w:tcW w:w="1439" w:type="dxa"/>
            <w:tcBorders>
              <w:top w:val="nil"/>
              <w:left w:val="nil"/>
              <w:bottom w:val="single" w:sz="4" w:space="0" w:color="auto"/>
              <w:right w:val="single" w:sz="4" w:space="0" w:color="auto"/>
            </w:tcBorders>
            <w:hideMark/>
          </w:tcPr>
          <w:p w14:paraId="5E2E3F0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t>N/A</w:t>
            </w:r>
            <w:r w:rsidRPr="00CB13F7">
              <w:rPr>
                <w:rFonts w:eastAsia="Times New Roman"/>
                <w:sz w:val="16"/>
                <w:szCs w:val="16"/>
                <w:lang w:eastAsia="en-US"/>
              </w:rPr>
              <w:br/>
              <w:t>N/A</w:t>
            </w:r>
          </w:p>
        </w:tc>
        <w:tc>
          <w:tcPr>
            <w:tcW w:w="1134" w:type="dxa"/>
            <w:tcBorders>
              <w:top w:val="nil"/>
              <w:left w:val="nil"/>
              <w:bottom w:val="single" w:sz="4" w:space="0" w:color="auto"/>
              <w:right w:val="single" w:sz="4" w:space="0" w:color="auto"/>
            </w:tcBorders>
            <w:hideMark/>
          </w:tcPr>
          <w:p w14:paraId="2F349A7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60 %;</w:t>
            </w:r>
            <w:r w:rsidRPr="00CB13F7">
              <w:rPr>
                <w:rFonts w:eastAsia="Times New Roman"/>
                <w:sz w:val="16"/>
                <w:szCs w:val="16"/>
                <w:lang w:eastAsia="en-US"/>
              </w:rPr>
              <w:br/>
              <w:t>1 modul</w:t>
            </w:r>
            <w:r w:rsidRPr="00CB13F7">
              <w:rPr>
                <w:rFonts w:eastAsia="Times New Roman"/>
                <w:sz w:val="16"/>
                <w:szCs w:val="16"/>
                <w:lang w:eastAsia="en-US"/>
              </w:rPr>
              <w:br/>
              <w:t>Mekanizëm me tregues vlerësimi i vlefshëm;</w:t>
            </w:r>
          </w:p>
        </w:tc>
        <w:tc>
          <w:tcPr>
            <w:tcW w:w="992" w:type="dxa"/>
            <w:tcBorders>
              <w:top w:val="nil"/>
              <w:left w:val="nil"/>
              <w:bottom w:val="single" w:sz="4" w:space="0" w:color="auto"/>
              <w:right w:val="single" w:sz="4" w:space="0" w:color="auto"/>
            </w:tcBorders>
            <w:hideMark/>
          </w:tcPr>
          <w:p w14:paraId="1017173C"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80%</w:t>
            </w:r>
          </w:p>
        </w:tc>
        <w:tc>
          <w:tcPr>
            <w:tcW w:w="1418" w:type="dxa"/>
            <w:tcBorders>
              <w:top w:val="nil"/>
              <w:left w:val="nil"/>
              <w:bottom w:val="single" w:sz="4" w:space="0" w:color="auto"/>
              <w:right w:val="nil"/>
            </w:tcBorders>
            <w:hideMark/>
          </w:tcPr>
          <w:p w14:paraId="60E3154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Regjistri ASCAP;</w:t>
            </w:r>
            <w:r w:rsidRPr="00CB13F7">
              <w:rPr>
                <w:rFonts w:eastAsia="Times New Roman"/>
                <w:sz w:val="16"/>
                <w:szCs w:val="16"/>
                <w:lang w:eastAsia="en-US"/>
              </w:rPr>
              <w:br/>
              <w:t xml:space="preserve">Certifikata trajnimi; </w:t>
            </w:r>
            <w:r w:rsidRPr="00CB13F7">
              <w:rPr>
                <w:rFonts w:eastAsia="Times New Roman"/>
                <w:sz w:val="16"/>
                <w:szCs w:val="16"/>
                <w:lang w:eastAsia="en-US"/>
              </w:rPr>
              <w:br/>
              <w:t>Raporte vlerësimi;</w:t>
            </w:r>
          </w:p>
        </w:tc>
        <w:tc>
          <w:tcPr>
            <w:tcW w:w="2690" w:type="dxa"/>
            <w:tcBorders>
              <w:top w:val="nil"/>
              <w:left w:val="single" w:sz="4" w:space="0" w:color="auto"/>
              <w:bottom w:val="single" w:sz="4" w:space="0" w:color="auto"/>
              <w:right w:val="single" w:sz="4" w:space="0" w:color="auto"/>
            </w:tcBorders>
            <w:hideMark/>
          </w:tcPr>
          <w:p w14:paraId="02B39B9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71CA7EE1" w14:textId="77777777" w:rsidTr="005F69EE">
        <w:trPr>
          <w:trHeight w:val="990"/>
        </w:trPr>
        <w:tc>
          <w:tcPr>
            <w:tcW w:w="851" w:type="dxa"/>
            <w:vMerge/>
            <w:hideMark/>
          </w:tcPr>
          <w:p w14:paraId="0DAAC14E"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6AC6892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2.1. Kuadër ligjor, institucional dhe mekanizma të qeverisjes për arsimin parauniversitar gjithëpërfshirës.</w:t>
            </w:r>
          </w:p>
        </w:tc>
        <w:tc>
          <w:tcPr>
            <w:tcW w:w="1682" w:type="dxa"/>
            <w:tcBorders>
              <w:top w:val="nil"/>
              <w:left w:val="nil"/>
              <w:bottom w:val="single" w:sz="4" w:space="0" w:color="auto"/>
              <w:right w:val="single" w:sz="4" w:space="0" w:color="auto"/>
            </w:tcBorders>
            <w:hideMark/>
          </w:tcPr>
          <w:p w14:paraId="5D878EE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34812A2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Legjislacion i harmonizuar me Konventën për të Drejtat e PAK; Nr i Ligjeve, akteve nënligjore:</w:t>
            </w:r>
            <w:r w:rsidRPr="00CB13F7">
              <w:rPr>
                <w:rFonts w:eastAsia="Times New Roman"/>
                <w:sz w:val="16"/>
                <w:szCs w:val="16"/>
                <w:lang w:eastAsia="en-US"/>
              </w:rPr>
              <w:br/>
              <w:t>Strukturë koordinuese funksionale;</w:t>
            </w:r>
          </w:p>
        </w:tc>
        <w:tc>
          <w:tcPr>
            <w:tcW w:w="1439" w:type="dxa"/>
            <w:tcBorders>
              <w:top w:val="nil"/>
              <w:left w:val="nil"/>
              <w:bottom w:val="single" w:sz="4" w:space="0" w:color="auto"/>
              <w:right w:val="single" w:sz="4" w:space="0" w:color="auto"/>
            </w:tcBorders>
            <w:hideMark/>
          </w:tcPr>
          <w:p w14:paraId="5A39E60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134" w:type="dxa"/>
            <w:tcBorders>
              <w:top w:val="nil"/>
              <w:left w:val="nil"/>
              <w:bottom w:val="single" w:sz="4" w:space="0" w:color="auto"/>
              <w:right w:val="single" w:sz="4" w:space="0" w:color="auto"/>
            </w:tcBorders>
            <w:hideMark/>
          </w:tcPr>
          <w:p w14:paraId="7A3AF45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Të paktën 2 ligje (Ligji për arsimin parauniversitar, Ligji për arsimin profesional, SKA etj</w:t>
            </w:r>
            <w:r w:rsidRPr="00CB13F7">
              <w:rPr>
                <w:rFonts w:eastAsia="Times New Roman"/>
                <w:sz w:val="16"/>
                <w:szCs w:val="16"/>
                <w:lang w:eastAsia="en-US"/>
              </w:rPr>
              <w:br/>
              <w:t>MoU NJVV, ZA, DrSHKSH;</w:t>
            </w:r>
          </w:p>
        </w:tc>
        <w:tc>
          <w:tcPr>
            <w:tcW w:w="992" w:type="dxa"/>
            <w:tcBorders>
              <w:top w:val="nil"/>
              <w:left w:val="nil"/>
              <w:bottom w:val="single" w:sz="4" w:space="0" w:color="auto"/>
              <w:right w:val="single" w:sz="4" w:space="0" w:color="auto"/>
            </w:tcBorders>
            <w:hideMark/>
          </w:tcPr>
          <w:p w14:paraId="42BD486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Akte nënligjore, urdhra, </w:t>
            </w:r>
            <w:r w:rsidRPr="00CB13F7">
              <w:rPr>
                <w:rFonts w:eastAsia="Times New Roman"/>
                <w:sz w:val="16"/>
                <w:szCs w:val="16"/>
                <w:lang w:eastAsia="en-US"/>
              </w:rPr>
              <w:br/>
              <w:t>Udhëzime;</w:t>
            </w:r>
          </w:p>
        </w:tc>
        <w:tc>
          <w:tcPr>
            <w:tcW w:w="1418" w:type="dxa"/>
            <w:tcBorders>
              <w:top w:val="nil"/>
              <w:left w:val="nil"/>
              <w:bottom w:val="single" w:sz="4" w:space="0" w:color="auto"/>
              <w:right w:val="nil"/>
            </w:tcBorders>
            <w:hideMark/>
          </w:tcPr>
          <w:p w14:paraId="728EC53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Fletorja Zyrtare; </w:t>
            </w:r>
            <w:r w:rsidRPr="00CB13F7">
              <w:rPr>
                <w:rFonts w:eastAsia="Times New Roman"/>
                <w:sz w:val="16"/>
                <w:szCs w:val="16"/>
                <w:lang w:eastAsia="en-US"/>
              </w:rPr>
              <w:br/>
              <w:t xml:space="preserve">Raporte MAS; </w:t>
            </w:r>
            <w:r w:rsidRPr="00CB13F7">
              <w:rPr>
                <w:rFonts w:eastAsia="Times New Roman"/>
                <w:sz w:val="16"/>
                <w:szCs w:val="16"/>
                <w:lang w:eastAsia="en-US"/>
              </w:rPr>
              <w:br/>
              <w:t>Auditime</w:t>
            </w:r>
          </w:p>
        </w:tc>
        <w:tc>
          <w:tcPr>
            <w:tcW w:w="2690" w:type="dxa"/>
            <w:tcBorders>
              <w:top w:val="nil"/>
              <w:left w:val="single" w:sz="4" w:space="0" w:color="auto"/>
              <w:bottom w:val="single" w:sz="4" w:space="0" w:color="auto"/>
              <w:right w:val="single" w:sz="4" w:space="0" w:color="auto"/>
            </w:tcBorders>
            <w:hideMark/>
          </w:tcPr>
          <w:p w14:paraId="6A30EB9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3E31CAB4" w14:textId="77777777" w:rsidTr="005F69EE">
        <w:trPr>
          <w:trHeight w:val="980"/>
        </w:trPr>
        <w:tc>
          <w:tcPr>
            <w:tcW w:w="851" w:type="dxa"/>
            <w:vMerge/>
            <w:hideMark/>
          </w:tcPr>
          <w:p w14:paraId="00727015"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4142904C"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2.2. Identifikim i hershëm, vlerësim ndërdisiplinor dhe planifikim arsimor i individualizuar për nxënësit me aftësi të kufizuara.</w:t>
            </w:r>
          </w:p>
        </w:tc>
        <w:tc>
          <w:tcPr>
            <w:tcW w:w="1682" w:type="dxa"/>
            <w:tcBorders>
              <w:top w:val="nil"/>
              <w:left w:val="nil"/>
              <w:bottom w:val="single" w:sz="4" w:space="0" w:color="auto"/>
              <w:right w:val="single" w:sz="4" w:space="0" w:color="auto"/>
            </w:tcBorders>
            <w:hideMark/>
          </w:tcPr>
          <w:p w14:paraId="31A6961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5ED7E30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Nr. i nxënësve me AK;</w:t>
            </w:r>
            <w:r w:rsidRPr="00CB13F7">
              <w:rPr>
                <w:rFonts w:eastAsia="Times New Roman"/>
                <w:sz w:val="16"/>
                <w:szCs w:val="16"/>
                <w:lang w:eastAsia="en-US"/>
              </w:rPr>
              <w:br/>
              <w:t>% nxënës me PEI;</w:t>
            </w:r>
            <w:r w:rsidRPr="00CB13F7">
              <w:rPr>
                <w:rFonts w:eastAsia="Times New Roman"/>
                <w:sz w:val="16"/>
                <w:szCs w:val="16"/>
                <w:lang w:eastAsia="en-US"/>
              </w:rPr>
              <w:br/>
              <w:t>% e Planeve PEI të zbatuara;</w:t>
            </w:r>
            <w:r w:rsidRPr="00CB13F7">
              <w:rPr>
                <w:rFonts w:eastAsia="Times New Roman"/>
                <w:sz w:val="16"/>
                <w:szCs w:val="16"/>
                <w:lang w:eastAsia="en-US"/>
              </w:rPr>
              <w:br/>
              <w:t>% e IAP të monitoruara;</w:t>
            </w:r>
          </w:p>
        </w:tc>
        <w:tc>
          <w:tcPr>
            <w:tcW w:w="1439" w:type="dxa"/>
            <w:tcBorders>
              <w:top w:val="nil"/>
              <w:left w:val="nil"/>
              <w:bottom w:val="single" w:sz="4" w:space="0" w:color="auto"/>
              <w:right w:val="single" w:sz="4" w:space="0" w:color="auto"/>
            </w:tcBorders>
            <w:hideMark/>
          </w:tcPr>
          <w:p w14:paraId="1B2DE0C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4425;</w:t>
            </w:r>
            <w:r w:rsidRPr="00CB13F7">
              <w:rPr>
                <w:rFonts w:eastAsia="Times New Roman"/>
                <w:sz w:val="16"/>
                <w:szCs w:val="16"/>
                <w:lang w:eastAsia="en-US"/>
              </w:rPr>
              <w:br/>
              <w:t>100%</w:t>
            </w:r>
            <w:r w:rsidRPr="00CB13F7">
              <w:rPr>
                <w:rFonts w:eastAsia="Times New Roman"/>
                <w:sz w:val="16"/>
                <w:szCs w:val="16"/>
                <w:lang w:eastAsia="en-US"/>
              </w:rPr>
              <w:br/>
              <w:t>N/A</w:t>
            </w:r>
          </w:p>
        </w:tc>
        <w:tc>
          <w:tcPr>
            <w:tcW w:w="1134" w:type="dxa"/>
            <w:tcBorders>
              <w:top w:val="nil"/>
              <w:left w:val="nil"/>
              <w:bottom w:val="single" w:sz="4" w:space="0" w:color="auto"/>
              <w:right w:val="single" w:sz="4" w:space="0" w:color="auto"/>
            </w:tcBorders>
            <w:hideMark/>
          </w:tcPr>
          <w:p w14:paraId="4A16276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5000</w:t>
            </w:r>
            <w:r w:rsidRPr="00CB13F7">
              <w:rPr>
                <w:rFonts w:eastAsia="Times New Roman"/>
                <w:sz w:val="16"/>
                <w:szCs w:val="16"/>
                <w:lang w:eastAsia="en-US"/>
              </w:rPr>
              <w:br/>
              <w:t>100%</w:t>
            </w:r>
            <w:r w:rsidRPr="00CB13F7">
              <w:rPr>
                <w:rFonts w:eastAsia="Times New Roman"/>
                <w:sz w:val="16"/>
                <w:szCs w:val="16"/>
                <w:lang w:eastAsia="en-US"/>
              </w:rPr>
              <w:br/>
              <w:t>50%</w:t>
            </w:r>
          </w:p>
        </w:tc>
        <w:tc>
          <w:tcPr>
            <w:tcW w:w="992" w:type="dxa"/>
            <w:tcBorders>
              <w:top w:val="nil"/>
              <w:left w:val="nil"/>
              <w:bottom w:val="single" w:sz="4" w:space="0" w:color="auto"/>
              <w:right w:val="single" w:sz="4" w:space="0" w:color="auto"/>
            </w:tcBorders>
            <w:hideMark/>
          </w:tcPr>
          <w:p w14:paraId="4EF3BD0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5500</w:t>
            </w:r>
            <w:r w:rsidRPr="00CB13F7">
              <w:rPr>
                <w:rFonts w:eastAsia="Times New Roman"/>
                <w:sz w:val="16"/>
                <w:szCs w:val="16"/>
                <w:lang w:eastAsia="en-US"/>
              </w:rPr>
              <w:br/>
              <w:t>100%</w:t>
            </w:r>
            <w:r w:rsidRPr="00CB13F7">
              <w:rPr>
                <w:rFonts w:eastAsia="Times New Roman"/>
                <w:sz w:val="16"/>
                <w:szCs w:val="16"/>
                <w:lang w:eastAsia="en-US"/>
              </w:rPr>
              <w:br/>
              <w:t>75%</w:t>
            </w:r>
          </w:p>
        </w:tc>
        <w:tc>
          <w:tcPr>
            <w:tcW w:w="1418" w:type="dxa"/>
            <w:tcBorders>
              <w:top w:val="nil"/>
              <w:left w:val="nil"/>
              <w:bottom w:val="single" w:sz="4" w:space="0" w:color="auto"/>
              <w:right w:val="nil"/>
            </w:tcBorders>
            <w:hideMark/>
          </w:tcPr>
          <w:p w14:paraId="77A8222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SMIP; </w:t>
            </w:r>
            <w:r w:rsidRPr="00CB13F7">
              <w:br/>
            </w:r>
            <w:r w:rsidRPr="00CB13F7">
              <w:rPr>
                <w:rFonts w:eastAsia="Times New Roman"/>
                <w:sz w:val="16"/>
                <w:szCs w:val="16"/>
                <w:lang w:eastAsia="en-US"/>
              </w:rPr>
              <w:t xml:space="preserve">Dokumentacion shkollor; </w:t>
            </w:r>
            <w:r w:rsidRPr="00CB13F7">
              <w:br/>
            </w:r>
            <w:r w:rsidRPr="00CB13F7">
              <w:rPr>
                <w:rFonts w:eastAsia="Times New Roman"/>
                <w:sz w:val="16"/>
                <w:szCs w:val="16"/>
                <w:lang w:eastAsia="en-US"/>
              </w:rPr>
              <w:t>Raporte ZVA;</w:t>
            </w:r>
          </w:p>
        </w:tc>
        <w:tc>
          <w:tcPr>
            <w:tcW w:w="2690" w:type="dxa"/>
            <w:tcBorders>
              <w:top w:val="nil"/>
              <w:left w:val="single" w:sz="4" w:space="0" w:color="auto"/>
              <w:bottom w:val="single" w:sz="4" w:space="0" w:color="auto"/>
              <w:right w:val="single" w:sz="4" w:space="0" w:color="auto"/>
            </w:tcBorders>
            <w:hideMark/>
          </w:tcPr>
          <w:p w14:paraId="083396E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2485A911" w14:textId="77777777" w:rsidTr="005F69EE">
        <w:trPr>
          <w:trHeight w:val="1665"/>
        </w:trPr>
        <w:tc>
          <w:tcPr>
            <w:tcW w:w="851" w:type="dxa"/>
            <w:vMerge/>
            <w:hideMark/>
          </w:tcPr>
          <w:p w14:paraId="173A359B"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2F27497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2.3. Mbështetje profesionale, kurrikulare dhe mjedisore për nxënie gjithëpërfshirëse për nxënësit me aftësi të kufizuara.</w:t>
            </w:r>
          </w:p>
        </w:tc>
        <w:tc>
          <w:tcPr>
            <w:tcW w:w="1682" w:type="dxa"/>
            <w:tcBorders>
              <w:top w:val="nil"/>
              <w:left w:val="nil"/>
              <w:bottom w:val="single" w:sz="4" w:space="0" w:color="auto"/>
              <w:right w:val="single" w:sz="4" w:space="0" w:color="auto"/>
            </w:tcBorders>
            <w:hideMark/>
          </w:tcPr>
          <w:p w14:paraId="1139F8A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7804EEC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Raporti mësues ndihmës /nxënës;</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materialeve kurrikulare, didaktike të përshtatura;</w:t>
            </w:r>
            <w:r w:rsidRPr="00CB13F7">
              <w:rPr>
                <w:rFonts w:eastAsia="Times New Roman"/>
                <w:sz w:val="16"/>
                <w:szCs w:val="16"/>
                <w:lang w:eastAsia="en-US"/>
              </w:rPr>
              <w:br/>
            </w:r>
            <w:r w:rsidRPr="00CB13F7">
              <w:rPr>
                <w:rFonts w:eastAsia="Times New Roman"/>
                <w:sz w:val="16"/>
                <w:szCs w:val="16"/>
                <w:lang w:eastAsia="en-US"/>
              </w:rPr>
              <w:br/>
              <w:t xml:space="preserve"> % shkolla me aksesueshmëri të plotë;</w:t>
            </w:r>
          </w:p>
        </w:tc>
        <w:tc>
          <w:tcPr>
            <w:tcW w:w="1439" w:type="dxa"/>
            <w:tcBorders>
              <w:top w:val="nil"/>
              <w:left w:val="nil"/>
              <w:bottom w:val="single" w:sz="4" w:space="0" w:color="auto"/>
              <w:right w:val="single" w:sz="4" w:space="0" w:color="auto"/>
            </w:tcBorders>
            <w:hideMark/>
          </w:tcPr>
          <w:p w14:paraId="7048B5B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 mësues ndihmës për 2.3 nxënës me aftësi të kufizuara në 2024;</w:t>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r>
            <w:r w:rsidRPr="00CB13F7">
              <w:rPr>
                <w:rFonts w:eastAsia="Times New Roman"/>
                <w:sz w:val="16"/>
                <w:szCs w:val="16"/>
                <w:lang w:eastAsia="en-US"/>
              </w:rPr>
              <w:br/>
              <w:t>N/A</w:t>
            </w:r>
          </w:p>
        </w:tc>
        <w:tc>
          <w:tcPr>
            <w:tcW w:w="1134" w:type="dxa"/>
            <w:tcBorders>
              <w:top w:val="nil"/>
              <w:left w:val="nil"/>
              <w:bottom w:val="single" w:sz="4" w:space="0" w:color="auto"/>
              <w:right w:val="single" w:sz="4" w:space="0" w:color="auto"/>
            </w:tcBorders>
            <w:hideMark/>
          </w:tcPr>
          <w:p w14:paraId="306FDF2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Raporti Mësues ndihmës /Nxënës me aftësi të kufizuara zvogëlohet në 1 me 1.8 afërsisht 200;</w:t>
            </w:r>
            <w:r w:rsidRPr="00CB13F7">
              <w:rPr>
                <w:rFonts w:eastAsia="Times New Roman"/>
                <w:sz w:val="16"/>
                <w:szCs w:val="16"/>
                <w:lang w:eastAsia="en-US"/>
              </w:rPr>
              <w:br/>
              <w:t>40%</w:t>
            </w:r>
            <w:r w:rsidRPr="00CB13F7">
              <w:rPr>
                <w:rFonts w:eastAsia="Times New Roman"/>
                <w:sz w:val="16"/>
                <w:szCs w:val="16"/>
                <w:lang w:eastAsia="en-US"/>
              </w:rPr>
              <w:br/>
            </w:r>
            <w:r w:rsidRPr="00CB13F7">
              <w:rPr>
                <w:rFonts w:eastAsia="Times New Roman"/>
                <w:sz w:val="16"/>
                <w:szCs w:val="16"/>
                <w:lang w:eastAsia="en-US"/>
              </w:rPr>
              <w:br/>
              <w:t>60%</w:t>
            </w:r>
          </w:p>
        </w:tc>
        <w:tc>
          <w:tcPr>
            <w:tcW w:w="992" w:type="dxa"/>
            <w:tcBorders>
              <w:top w:val="nil"/>
              <w:left w:val="nil"/>
              <w:bottom w:val="single" w:sz="4" w:space="0" w:color="auto"/>
              <w:right w:val="single" w:sz="4" w:space="0" w:color="auto"/>
            </w:tcBorders>
            <w:hideMark/>
          </w:tcPr>
          <w:p w14:paraId="4ED0EBD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Raporti Mësues ndihmës /Nxënës me aftësi të kufizuar zvogëlohet në 1 me 1;</w:t>
            </w:r>
            <w:r w:rsidRPr="00CB13F7">
              <w:rPr>
                <w:rFonts w:eastAsia="Times New Roman"/>
                <w:sz w:val="16"/>
                <w:szCs w:val="16"/>
                <w:lang w:eastAsia="en-US"/>
              </w:rPr>
              <w:br/>
            </w:r>
            <w:r w:rsidRPr="00CB13F7">
              <w:rPr>
                <w:rFonts w:eastAsia="Times New Roman"/>
                <w:sz w:val="16"/>
                <w:szCs w:val="16"/>
                <w:lang w:eastAsia="en-US"/>
              </w:rPr>
              <w:br/>
              <w:t>60%</w:t>
            </w:r>
            <w:r w:rsidRPr="00CB13F7">
              <w:rPr>
                <w:rFonts w:eastAsia="Times New Roman"/>
                <w:sz w:val="16"/>
                <w:szCs w:val="16"/>
                <w:lang w:eastAsia="en-US"/>
              </w:rPr>
              <w:br/>
            </w:r>
            <w:r w:rsidRPr="00CB13F7">
              <w:rPr>
                <w:rFonts w:eastAsia="Times New Roman"/>
                <w:sz w:val="16"/>
                <w:szCs w:val="16"/>
                <w:lang w:eastAsia="en-US"/>
              </w:rPr>
              <w:br/>
              <w:t>70%</w:t>
            </w:r>
          </w:p>
        </w:tc>
        <w:tc>
          <w:tcPr>
            <w:tcW w:w="1418" w:type="dxa"/>
            <w:tcBorders>
              <w:top w:val="nil"/>
              <w:left w:val="nil"/>
              <w:bottom w:val="single" w:sz="4" w:space="0" w:color="auto"/>
              <w:right w:val="nil"/>
            </w:tcBorders>
            <w:hideMark/>
          </w:tcPr>
          <w:p w14:paraId="3FF500B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Regjistër HR; </w:t>
            </w:r>
            <w:r w:rsidRPr="00CB13F7">
              <w:rPr>
                <w:rFonts w:eastAsia="Times New Roman"/>
                <w:sz w:val="16"/>
                <w:szCs w:val="16"/>
                <w:lang w:eastAsia="en-US"/>
              </w:rPr>
              <w:br/>
              <w:t xml:space="preserve">Auditime; </w:t>
            </w:r>
            <w:r w:rsidRPr="00CB13F7">
              <w:rPr>
                <w:rFonts w:eastAsia="Times New Roman"/>
                <w:sz w:val="16"/>
                <w:szCs w:val="16"/>
                <w:lang w:eastAsia="en-US"/>
              </w:rPr>
              <w:br/>
              <w:t xml:space="preserve">Inventar tekstesh; </w:t>
            </w:r>
            <w:r w:rsidRPr="00CB13F7">
              <w:rPr>
                <w:rFonts w:eastAsia="Times New Roman"/>
                <w:sz w:val="16"/>
                <w:szCs w:val="16"/>
                <w:lang w:eastAsia="en-US"/>
              </w:rPr>
              <w:br/>
              <w:t>Materialesh didaktike;</w:t>
            </w:r>
          </w:p>
        </w:tc>
        <w:tc>
          <w:tcPr>
            <w:tcW w:w="2690" w:type="dxa"/>
            <w:tcBorders>
              <w:top w:val="nil"/>
              <w:left w:val="single" w:sz="4" w:space="0" w:color="auto"/>
              <w:bottom w:val="single" w:sz="4" w:space="0" w:color="auto"/>
              <w:right w:val="single" w:sz="4" w:space="0" w:color="auto"/>
            </w:tcBorders>
            <w:hideMark/>
          </w:tcPr>
          <w:p w14:paraId="3529ED6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23876332" w14:textId="77777777" w:rsidTr="005F69EE">
        <w:trPr>
          <w:trHeight w:val="1440"/>
        </w:trPr>
        <w:tc>
          <w:tcPr>
            <w:tcW w:w="851" w:type="dxa"/>
            <w:vMerge/>
            <w:hideMark/>
          </w:tcPr>
          <w:p w14:paraId="36B3B570"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27444F5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2.4. Zhvillimi i kapaciteteve njerëzore dhe përfshirja e prindërve dhe komunitetit.</w:t>
            </w:r>
          </w:p>
        </w:tc>
        <w:tc>
          <w:tcPr>
            <w:tcW w:w="1682" w:type="dxa"/>
            <w:tcBorders>
              <w:top w:val="nil"/>
              <w:left w:val="nil"/>
              <w:bottom w:val="single" w:sz="4" w:space="0" w:color="auto"/>
              <w:right w:val="single" w:sz="4" w:space="0" w:color="auto"/>
            </w:tcBorders>
            <w:hideMark/>
          </w:tcPr>
          <w:p w14:paraId="02A5C68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2CBD184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 e mësuesve/prindërve pjesëmarrës në trajnime për arsimin gjithëpërfshirës; </w:t>
            </w:r>
            <w:r w:rsidRPr="00CB13F7">
              <w:rPr>
                <w:rFonts w:eastAsia="Times New Roman"/>
                <w:sz w:val="16"/>
                <w:szCs w:val="16"/>
                <w:lang w:eastAsia="en-US"/>
              </w:rPr>
              <w:br/>
              <w:t>% e përfshirjes së prindërve të fëmijëve me aftësi të kufizuara në borde prindërish funksionale;</w:t>
            </w:r>
            <w:r w:rsidRPr="00CB13F7">
              <w:rPr>
                <w:rFonts w:eastAsia="Times New Roman"/>
                <w:sz w:val="16"/>
                <w:szCs w:val="16"/>
                <w:lang w:eastAsia="en-US"/>
              </w:rPr>
              <w:br/>
              <w:t>% e nxënësve më aftësi të kufizuara të përfshirë në qeverinë e nxënësve;</w:t>
            </w:r>
          </w:p>
        </w:tc>
        <w:tc>
          <w:tcPr>
            <w:tcW w:w="1439" w:type="dxa"/>
            <w:tcBorders>
              <w:top w:val="nil"/>
              <w:left w:val="nil"/>
              <w:bottom w:val="single" w:sz="4" w:space="0" w:color="auto"/>
              <w:right w:val="single" w:sz="4" w:space="0" w:color="auto"/>
            </w:tcBorders>
            <w:hideMark/>
          </w:tcPr>
          <w:p w14:paraId="6D595EB1"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r>
            <w:r w:rsidRPr="00CB13F7">
              <w:rPr>
                <w:rFonts w:eastAsia="Times New Roman"/>
                <w:sz w:val="16"/>
                <w:szCs w:val="16"/>
                <w:lang w:eastAsia="en-US"/>
              </w:rPr>
              <w:br/>
            </w:r>
          </w:p>
        </w:tc>
        <w:tc>
          <w:tcPr>
            <w:tcW w:w="1134" w:type="dxa"/>
            <w:tcBorders>
              <w:top w:val="nil"/>
              <w:left w:val="nil"/>
              <w:bottom w:val="single" w:sz="4" w:space="0" w:color="auto"/>
              <w:right w:val="single" w:sz="4" w:space="0" w:color="auto"/>
            </w:tcBorders>
            <w:hideMark/>
          </w:tcPr>
          <w:p w14:paraId="1892A9A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60%</w:t>
            </w:r>
            <w:r w:rsidRPr="00CB13F7">
              <w:rPr>
                <w:rFonts w:eastAsia="Times New Roman"/>
                <w:sz w:val="16"/>
                <w:szCs w:val="16"/>
                <w:lang w:eastAsia="en-US"/>
              </w:rPr>
              <w:br/>
            </w:r>
            <w:r w:rsidRPr="00CB13F7">
              <w:rPr>
                <w:rFonts w:eastAsia="Times New Roman"/>
                <w:sz w:val="16"/>
                <w:szCs w:val="16"/>
                <w:lang w:eastAsia="en-US"/>
              </w:rPr>
              <w:br/>
              <w:t>10%</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10%</w:t>
            </w:r>
          </w:p>
        </w:tc>
        <w:tc>
          <w:tcPr>
            <w:tcW w:w="992" w:type="dxa"/>
            <w:tcBorders>
              <w:top w:val="nil"/>
              <w:left w:val="nil"/>
              <w:bottom w:val="single" w:sz="4" w:space="0" w:color="auto"/>
              <w:right w:val="single" w:sz="4" w:space="0" w:color="auto"/>
            </w:tcBorders>
            <w:hideMark/>
          </w:tcPr>
          <w:p w14:paraId="4D83678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80%</w:t>
            </w:r>
            <w:r w:rsidRPr="00CB13F7">
              <w:rPr>
                <w:rFonts w:eastAsia="Times New Roman"/>
                <w:sz w:val="16"/>
                <w:szCs w:val="16"/>
                <w:lang w:eastAsia="en-US"/>
              </w:rPr>
              <w:br/>
            </w:r>
            <w:r w:rsidRPr="00CB13F7">
              <w:rPr>
                <w:rFonts w:eastAsia="Times New Roman"/>
                <w:sz w:val="16"/>
                <w:szCs w:val="16"/>
                <w:lang w:eastAsia="en-US"/>
              </w:rPr>
              <w:br/>
              <w:t>15%</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15%</w:t>
            </w:r>
          </w:p>
        </w:tc>
        <w:tc>
          <w:tcPr>
            <w:tcW w:w="1418" w:type="dxa"/>
            <w:tcBorders>
              <w:top w:val="nil"/>
              <w:left w:val="nil"/>
              <w:bottom w:val="single" w:sz="4" w:space="0" w:color="auto"/>
              <w:right w:val="nil"/>
            </w:tcBorders>
            <w:hideMark/>
          </w:tcPr>
          <w:p w14:paraId="4527632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Raporte shkollore; </w:t>
            </w:r>
            <w:r w:rsidRPr="00CB13F7">
              <w:rPr>
                <w:rFonts w:eastAsia="Times New Roman"/>
                <w:sz w:val="16"/>
                <w:szCs w:val="16"/>
                <w:lang w:eastAsia="en-US"/>
              </w:rPr>
              <w:br/>
              <w:t xml:space="preserve">Anketa; </w:t>
            </w:r>
            <w:r w:rsidRPr="00CB13F7">
              <w:rPr>
                <w:rFonts w:eastAsia="Times New Roman"/>
                <w:sz w:val="16"/>
                <w:szCs w:val="16"/>
                <w:lang w:eastAsia="en-US"/>
              </w:rPr>
              <w:br/>
              <w:t>ASCAP;</w:t>
            </w:r>
          </w:p>
        </w:tc>
        <w:tc>
          <w:tcPr>
            <w:tcW w:w="2690" w:type="dxa"/>
            <w:tcBorders>
              <w:top w:val="nil"/>
              <w:left w:val="single" w:sz="4" w:space="0" w:color="auto"/>
              <w:bottom w:val="single" w:sz="4" w:space="0" w:color="auto"/>
              <w:right w:val="single" w:sz="4" w:space="0" w:color="auto"/>
            </w:tcBorders>
            <w:hideMark/>
          </w:tcPr>
          <w:p w14:paraId="1314E44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45BBAD72" w14:textId="77777777" w:rsidTr="005F69EE">
        <w:trPr>
          <w:trHeight w:val="975"/>
        </w:trPr>
        <w:tc>
          <w:tcPr>
            <w:tcW w:w="851" w:type="dxa"/>
            <w:vMerge/>
            <w:hideMark/>
          </w:tcPr>
          <w:p w14:paraId="1BF54D5B"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2CA56DE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Masa 3.1. </w:t>
            </w:r>
            <w:r>
              <w:rPr>
                <w:rFonts w:eastAsia="Times New Roman"/>
                <w:sz w:val="16"/>
                <w:szCs w:val="16"/>
                <w:lang w:eastAsia="en-US"/>
              </w:rPr>
              <w:t>Konsolidimi i kuadrit rregullator.</w:t>
            </w:r>
            <w:r w:rsidRPr="00CB13F7">
              <w:rPr>
                <w:rFonts w:eastAsia="Times New Roman"/>
                <w:sz w:val="16"/>
                <w:szCs w:val="16"/>
                <w:lang w:eastAsia="en-US"/>
              </w:rPr>
              <w:t xml:space="preserve"> </w:t>
            </w:r>
          </w:p>
        </w:tc>
        <w:tc>
          <w:tcPr>
            <w:tcW w:w="1682" w:type="dxa"/>
            <w:tcBorders>
              <w:top w:val="nil"/>
              <w:left w:val="nil"/>
              <w:bottom w:val="single" w:sz="4" w:space="0" w:color="auto"/>
              <w:right w:val="single" w:sz="4" w:space="0" w:color="auto"/>
            </w:tcBorders>
            <w:hideMark/>
          </w:tcPr>
          <w:p w14:paraId="6175381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68F4AA2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Nr i akteve ligjore/nënligjore të aprovuara; </w:t>
            </w:r>
            <w:r w:rsidRPr="00CB13F7">
              <w:rPr>
                <w:rFonts w:eastAsia="Times New Roman"/>
                <w:sz w:val="16"/>
                <w:szCs w:val="16"/>
                <w:lang w:eastAsia="en-US"/>
              </w:rPr>
              <w:br/>
            </w:r>
            <w:r w:rsidRPr="00CB13F7">
              <w:rPr>
                <w:rFonts w:eastAsia="Times New Roman"/>
                <w:sz w:val="16"/>
                <w:szCs w:val="16"/>
                <w:lang w:eastAsia="en-US"/>
              </w:rPr>
              <w:br/>
              <w:t>% shkollave speciale të transformuara në qendra burimore;</w:t>
            </w:r>
          </w:p>
        </w:tc>
        <w:tc>
          <w:tcPr>
            <w:tcW w:w="1439" w:type="dxa"/>
            <w:tcBorders>
              <w:top w:val="nil"/>
              <w:left w:val="nil"/>
              <w:bottom w:val="single" w:sz="4" w:space="0" w:color="auto"/>
              <w:right w:val="single" w:sz="4" w:space="0" w:color="auto"/>
            </w:tcBorders>
            <w:hideMark/>
          </w:tcPr>
          <w:p w14:paraId="0D30B36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30%</w:t>
            </w:r>
          </w:p>
        </w:tc>
        <w:tc>
          <w:tcPr>
            <w:tcW w:w="1134" w:type="dxa"/>
            <w:tcBorders>
              <w:top w:val="nil"/>
              <w:left w:val="nil"/>
              <w:bottom w:val="single" w:sz="4" w:space="0" w:color="auto"/>
              <w:right w:val="single" w:sz="4" w:space="0" w:color="auto"/>
            </w:tcBorders>
            <w:hideMark/>
          </w:tcPr>
          <w:p w14:paraId="205F14F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2 akte nënligjore (Kodi Braille)</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70%</w:t>
            </w:r>
          </w:p>
        </w:tc>
        <w:tc>
          <w:tcPr>
            <w:tcW w:w="992" w:type="dxa"/>
            <w:tcBorders>
              <w:top w:val="nil"/>
              <w:left w:val="nil"/>
              <w:bottom w:val="single" w:sz="4" w:space="0" w:color="auto"/>
              <w:right w:val="single" w:sz="4" w:space="0" w:color="auto"/>
            </w:tcBorders>
            <w:hideMark/>
          </w:tcPr>
          <w:p w14:paraId="7AB50BF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1 akt nënligjor (rishikim i VKM për njohjen e gjuhës së shenjave shqipe) </w:t>
            </w:r>
            <w:r w:rsidRPr="00CB13F7">
              <w:rPr>
                <w:rFonts w:eastAsia="Times New Roman"/>
                <w:sz w:val="16"/>
                <w:szCs w:val="16"/>
                <w:lang w:eastAsia="en-US"/>
              </w:rPr>
              <w:br/>
              <w:t>100%</w:t>
            </w:r>
          </w:p>
        </w:tc>
        <w:tc>
          <w:tcPr>
            <w:tcW w:w="1418" w:type="dxa"/>
            <w:tcBorders>
              <w:top w:val="nil"/>
              <w:left w:val="nil"/>
              <w:bottom w:val="single" w:sz="4" w:space="0" w:color="auto"/>
              <w:right w:val="nil"/>
            </w:tcBorders>
            <w:hideMark/>
          </w:tcPr>
          <w:p w14:paraId="0E981B2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Vendime MAS; </w:t>
            </w:r>
            <w:r w:rsidRPr="00CB13F7">
              <w:rPr>
                <w:rFonts w:eastAsia="Times New Roman"/>
                <w:sz w:val="16"/>
                <w:szCs w:val="16"/>
                <w:lang w:eastAsia="en-US"/>
              </w:rPr>
              <w:br/>
              <w:t>MSHMS;</w:t>
            </w:r>
            <w:r w:rsidRPr="00CB13F7">
              <w:rPr>
                <w:rFonts w:eastAsia="Times New Roman"/>
                <w:sz w:val="16"/>
                <w:szCs w:val="16"/>
                <w:lang w:eastAsia="en-US"/>
              </w:rPr>
              <w:br/>
              <w:t>Raporte QB;</w:t>
            </w:r>
            <w:r w:rsidRPr="00CB13F7">
              <w:rPr>
                <w:rFonts w:eastAsia="Times New Roman"/>
                <w:sz w:val="16"/>
                <w:szCs w:val="16"/>
                <w:lang w:eastAsia="en-US"/>
              </w:rPr>
              <w:br/>
              <w:t>Raporte MAS;</w:t>
            </w:r>
          </w:p>
        </w:tc>
        <w:tc>
          <w:tcPr>
            <w:tcW w:w="2690" w:type="dxa"/>
            <w:tcBorders>
              <w:top w:val="nil"/>
              <w:left w:val="single" w:sz="4" w:space="0" w:color="auto"/>
              <w:bottom w:val="single" w:sz="4" w:space="0" w:color="auto"/>
              <w:right w:val="single" w:sz="4" w:space="0" w:color="auto"/>
            </w:tcBorders>
            <w:hideMark/>
          </w:tcPr>
          <w:p w14:paraId="7C578CA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69576405" w14:textId="77777777" w:rsidTr="005F69EE">
        <w:trPr>
          <w:trHeight w:val="1035"/>
        </w:trPr>
        <w:tc>
          <w:tcPr>
            <w:tcW w:w="851" w:type="dxa"/>
            <w:vMerge/>
            <w:hideMark/>
          </w:tcPr>
          <w:p w14:paraId="4BF9D30B"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4A2224A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3.2. Akreditimi dhe integrimi i moduleve të trajnimit të hartuara nga Qendrat Burimore në programet kombëtare të zhvillimit.</w:t>
            </w:r>
          </w:p>
        </w:tc>
        <w:tc>
          <w:tcPr>
            <w:tcW w:w="1682" w:type="dxa"/>
            <w:tcBorders>
              <w:top w:val="nil"/>
              <w:left w:val="nil"/>
              <w:bottom w:val="single" w:sz="4" w:space="0" w:color="auto"/>
              <w:right w:val="single" w:sz="4" w:space="0" w:color="auto"/>
            </w:tcBorders>
            <w:hideMark/>
          </w:tcPr>
          <w:p w14:paraId="1AE5552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6B010A1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Nr. moduleve të akredituara; </w:t>
            </w:r>
            <w:r w:rsidRPr="00CB13F7">
              <w:rPr>
                <w:rFonts w:eastAsia="Times New Roman"/>
                <w:sz w:val="16"/>
                <w:szCs w:val="16"/>
                <w:lang w:eastAsia="en-US"/>
              </w:rPr>
              <w:br/>
              <w:t>% moduleve të integruara në programin kombëtar të kualifikimit të mësuesve e mësuesve ndihmës;</w:t>
            </w:r>
          </w:p>
        </w:tc>
        <w:tc>
          <w:tcPr>
            <w:tcW w:w="1439" w:type="dxa"/>
            <w:tcBorders>
              <w:top w:val="nil"/>
              <w:left w:val="nil"/>
              <w:bottom w:val="single" w:sz="4" w:space="0" w:color="auto"/>
              <w:right w:val="single" w:sz="4" w:space="0" w:color="auto"/>
            </w:tcBorders>
            <w:hideMark/>
          </w:tcPr>
          <w:p w14:paraId="21EC17E7"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0</w:t>
            </w:r>
            <w:r w:rsidRPr="00CB13F7">
              <w:rPr>
                <w:rFonts w:eastAsia="Times New Roman"/>
                <w:sz w:val="16"/>
                <w:szCs w:val="16"/>
                <w:lang w:eastAsia="en-US"/>
              </w:rPr>
              <w:br/>
            </w:r>
            <w:r w:rsidRPr="00CB13F7">
              <w:rPr>
                <w:rFonts w:eastAsia="Times New Roman"/>
                <w:sz w:val="16"/>
                <w:szCs w:val="16"/>
                <w:lang w:eastAsia="en-US"/>
              </w:rPr>
              <w:br/>
              <w:t>0</w:t>
            </w:r>
          </w:p>
        </w:tc>
        <w:tc>
          <w:tcPr>
            <w:tcW w:w="1134" w:type="dxa"/>
            <w:tcBorders>
              <w:top w:val="nil"/>
              <w:left w:val="nil"/>
              <w:bottom w:val="single" w:sz="4" w:space="0" w:color="auto"/>
              <w:right w:val="single" w:sz="4" w:space="0" w:color="auto"/>
            </w:tcBorders>
            <w:hideMark/>
          </w:tcPr>
          <w:p w14:paraId="795DB7C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2</w:t>
            </w:r>
            <w:r w:rsidRPr="00CB13F7">
              <w:rPr>
                <w:rFonts w:eastAsia="Times New Roman"/>
                <w:sz w:val="16"/>
                <w:szCs w:val="16"/>
                <w:lang w:eastAsia="en-US"/>
              </w:rPr>
              <w:br/>
            </w:r>
            <w:r w:rsidRPr="00CB13F7">
              <w:rPr>
                <w:rFonts w:eastAsia="Times New Roman"/>
                <w:sz w:val="16"/>
                <w:szCs w:val="16"/>
                <w:lang w:eastAsia="en-US"/>
              </w:rPr>
              <w:br/>
              <w:t>2</w:t>
            </w:r>
          </w:p>
        </w:tc>
        <w:tc>
          <w:tcPr>
            <w:tcW w:w="992" w:type="dxa"/>
            <w:tcBorders>
              <w:top w:val="nil"/>
              <w:left w:val="nil"/>
              <w:bottom w:val="single" w:sz="4" w:space="0" w:color="auto"/>
              <w:right w:val="single" w:sz="4" w:space="0" w:color="auto"/>
            </w:tcBorders>
            <w:hideMark/>
          </w:tcPr>
          <w:p w14:paraId="1B605CB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w:t>
            </w:r>
            <w:r w:rsidRPr="00CB13F7">
              <w:rPr>
                <w:rFonts w:eastAsia="Times New Roman"/>
                <w:sz w:val="16"/>
                <w:szCs w:val="16"/>
                <w:lang w:eastAsia="en-US"/>
              </w:rPr>
              <w:br/>
            </w:r>
            <w:r w:rsidRPr="00CB13F7">
              <w:rPr>
                <w:rFonts w:eastAsia="Times New Roman"/>
                <w:sz w:val="16"/>
                <w:szCs w:val="16"/>
                <w:lang w:eastAsia="en-US"/>
              </w:rPr>
              <w:br/>
              <w:t>1</w:t>
            </w:r>
          </w:p>
        </w:tc>
        <w:tc>
          <w:tcPr>
            <w:tcW w:w="1418" w:type="dxa"/>
            <w:tcBorders>
              <w:top w:val="nil"/>
              <w:left w:val="nil"/>
              <w:bottom w:val="single" w:sz="4" w:space="0" w:color="auto"/>
              <w:right w:val="nil"/>
            </w:tcBorders>
            <w:hideMark/>
          </w:tcPr>
          <w:p w14:paraId="5AD158B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Vendime akreditimi; </w:t>
            </w:r>
            <w:r w:rsidRPr="00CB13F7">
              <w:rPr>
                <w:rFonts w:eastAsia="Times New Roman"/>
                <w:sz w:val="16"/>
                <w:szCs w:val="16"/>
                <w:lang w:eastAsia="en-US"/>
              </w:rPr>
              <w:br/>
              <w:t xml:space="preserve">Programe; </w:t>
            </w:r>
            <w:r w:rsidRPr="00CB13F7">
              <w:rPr>
                <w:rFonts w:eastAsia="Times New Roman"/>
                <w:sz w:val="16"/>
                <w:szCs w:val="16"/>
                <w:lang w:eastAsia="en-US"/>
              </w:rPr>
              <w:br/>
              <w:t>ASCAP;</w:t>
            </w:r>
          </w:p>
        </w:tc>
        <w:tc>
          <w:tcPr>
            <w:tcW w:w="2690" w:type="dxa"/>
            <w:tcBorders>
              <w:top w:val="nil"/>
              <w:left w:val="single" w:sz="4" w:space="0" w:color="auto"/>
              <w:bottom w:val="single" w:sz="4" w:space="0" w:color="auto"/>
              <w:right w:val="single" w:sz="4" w:space="0" w:color="auto"/>
            </w:tcBorders>
            <w:hideMark/>
          </w:tcPr>
          <w:p w14:paraId="2C44E02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3A4D4366" w14:textId="77777777" w:rsidTr="005F69EE">
        <w:trPr>
          <w:trHeight w:val="705"/>
        </w:trPr>
        <w:tc>
          <w:tcPr>
            <w:tcW w:w="851" w:type="dxa"/>
            <w:vMerge/>
            <w:hideMark/>
          </w:tcPr>
          <w:p w14:paraId="58A514B1"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5017B45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3.3. Zgjerimi territorial dhe funksional i shërbimeve të qendrave burimore.</w:t>
            </w:r>
          </w:p>
        </w:tc>
        <w:tc>
          <w:tcPr>
            <w:tcW w:w="1682" w:type="dxa"/>
            <w:tcBorders>
              <w:top w:val="nil"/>
              <w:left w:val="nil"/>
              <w:bottom w:val="single" w:sz="4" w:space="0" w:color="auto"/>
              <w:right w:val="single" w:sz="4" w:space="0" w:color="auto"/>
            </w:tcBorders>
            <w:hideMark/>
          </w:tcPr>
          <w:p w14:paraId="386DAED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62D85985"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 IAP të mbuluara me shërbime të ofruara nga QB; </w:t>
            </w:r>
          </w:p>
        </w:tc>
        <w:tc>
          <w:tcPr>
            <w:tcW w:w="1439" w:type="dxa"/>
            <w:tcBorders>
              <w:top w:val="nil"/>
              <w:left w:val="nil"/>
              <w:bottom w:val="single" w:sz="4" w:space="0" w:color="auto"/>
              <w:right w:val="single" w:sz="4" w:space="0" w:color="auto"/>
            </w:tcBorders>
            <w:hideMark/>
          </w:tcPr>
          <w:p w14:paraId="20EF3C1A"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p>
        </w:tc>
        <w:tc>
          <w:tcPr>
            <w:tcW w:w="1134" w:type="dxa"/>
            <w:tcBorders>
              <w:top w:val="nil"/>
              <w:left w:val="nil"/>
              <w:bottom w:val="single" w:sz="4" w:space="0" w:color="auto"/>
              <w:right w:val="single" w:sz="4" w:space="0" w:color="auto"/>
            </w:tcBorders>
            <w:hideMark/>
          </w:tcPr>
          <w:p w14:paraId="14E183C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45%</w:t>
            </w:r>
          </w:p>
        </w:tc>
        <w:tc>
          <w:tcPr>
            <w:tcW w:w="992" w:type="dxa"/>
            <w:tcBorders>
              <w:top w:val="nil"/>
              <w:left w:val="nil"/>
              <w:bottom w:val="single" w:sz="4" w:space="0" w:color="auto"/>
              <w:right w:val="single" w:sz="4" w:space="0" w:color="auto"/>
            </w:tcBorders>
            <w:hideMark/>
          </w:tcPr>
          <w:p w14:paraId="2A89CE2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60%</w:t>
            </w:r>
          </w:p>
        </w:tc>
        <w:tc>
          <w:tcPr>
            <w:tcW w:w="1418" w:type="dxa"/>
            <w:tcBorders>
              <w:top w:val="nil"/>
              <w:left w:val="nil"/>
              <w:bottom w:val="single" w:sz="4" w:space="0" w:color="auto"/>
              <w:right w:val="nil"/>
            </w:tcBorders>
            <w:hideMark/>
          </w:tcPr>
          <w:p w14:paraId="03B5712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Raporte operative të QB; </w:t>
            </w:r>
            <w:r w:rsidRPr="00CB13F7">
              <w:rPr>
                <w:rFonts w:eastAsia="Times New Roman"/>
                <w:sz w:val="16"/>
                <w:szCs w:val="16"/>
                <w:lang w:eastAsia="en-US"/>
              </w:rPr>
              <w:br/>
              <w:t xml:space="preserve">Raporte DRAP, ZVAP, MA; </w:t>
            </w:r>
            <w:r w:rsidRPr="00CB13F7">
              <w:rPr>
                <w:rFonts w:eastAsia="Times New Roman"/>
                <w:sz w:val="16"/>
                <w:szCs w:val="16"/>
                <w:lang w:eastAsia="en-US"/>
              </w:rPr>
              <w:br/>
              <w:t>Plane buxhetore;</w:t>
            </w:r>
          </w:p>
        </w:tc>
        <w:tc>
          <w:tcPr>
            <w:tcW w:w="2690" w:type="dxa"/>
            <w:tcBorders>
              <w:top w:val="nil"/>
              <w:left w:val="single" w:sz="4" w:space="0" w:color="auto"/>
              <w:bottom w:val="single" w:sz="4" w:space="0" w:color="auto"/>
              <w:right w:val="single" w:sz="4" w:space="0" w:color="auto"/>
            </w:tcBorders>
            <w:hideMark/>
          </w:tcPr>
          <w:p w14:paraId="62C1A7BF"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2ED72762" w14:textId="77777777" w:rsidTr="005F69EE">
        <w:trPr>
          <w:trHeight w:val="1110"/>
        </w:trPr>
        <w:tc>
          <w:tcPr>
            <w:tcW w:w="851" w:type="dxa"/>
            <w:vMerge/>
            <w:hideMark/>
          </w:tcPr>
          <w:p w14:paraId="411F60F1"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6BD6E2ED"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3.4. Monitorimi, vlerësimi dhe sigurimi i cilësisë së funksionimit të qendrave burimore.</w:t>
            </w:r>
          </w:p>
        </w:tc>
        <w:tc>
          <w:tcPr>
            <w:tcW w:w="1682" w:type="dxa"/>
            <w:tcBorders>
              <w:top w:val="nil"/>
              <w:left w:val="nil"/>
              <w:bottom w:val="single" w:sz="4" w:space="0" w:color="auto"/>
              <w:right w:val="single" w:sz="4" w:space="0" w:color="auto"/>
            </w:tcBorders>
            <w:hideMark/>
          </w:tcPr>
          <w:p w14:paraId="2DCC951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1C80318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Kornizë monitorimi për QB e miratuar; </w:t>
            </w:r>
            <w:r w:rsidRPr="00CB13F7">
              <w:rPr>
                <w:rFonts w:eastAsia="Times New Roman"/>
                <w:sz w:val="16"/>
                <w:szCs w:val="16"/>
                <w:lang w:eastAsia="en-US"/>
              </w:rPr>
              <w:br/>
            </w:r>
            <w:r w:rsidRPr="00CB13F7">
              <w:rPr>
                <w:rFonts w:eastAsia="Times New Roman"/>
                <w:sz w:val="16"/>
                <w:szCs w:val="16"/>
                <w:lang w:eastAsia="en-US"/>
              </w:rPr>
              <w:br/>
              <w:t>Nr. Vlerësime/raporteve vjetore;</w:t>
            </w:r>
          </w:p>
        </w:tc>
        <w:tc>
          <w:tcPr>
            <w:tcW w:w="1439" w:type="dxa"/>
            <w:tcBorders>
              <w:top w:val="nil"/>
              <w:left w:val="nil"/>
              <w:bottom w:val="single" w:sz="4" w:space="0" w:color="auto"/>
              <w:right w:val="single" w:sz="4" w:space="0" w:color="auto"/>
            </w:tcBorders>
            <w:hideMark/>
          </w:tcPr>
          <w:p w14:paraId="7CF9CFC7"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t>N/A</w:t>
            </w:r>
          </w:p>
        </w:tc>
        <w:tc>
          <w:tcPr>
            <w:tcW w:w="1134" w:type="dxa"/>
            <w:tcBorders>
              <w:top w:val="nil"/>
              <w:left w:val="nil"/>
              <w:bottom w:val="single" w:sz="4" w:space="0" w:color="auto"/>
              <w:right w:val="single" w:sz="4" w:space="0" w:color="auto"/>
            </w:tcBorders>
            <w:hideMark/>
          </w:tcPr>
          <w:p w14:paraId="16A4F22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 kornizë monitorimi e hartuar/aprovuar;</w:t>
            </w:r>
            <w:r w:rsidRPr="00CB13F7">
              <w:rPr>
                <w:rFonts w:eastAsia="Times New Roman"/>
                <w:sz w:val="16"/>
                <w:szCs w:val="16"/>
                <w:lang w:eastAsia="en-US"/>
              </w:rPr>
              <w:br/>
              <w:t>2 raporte vjetore;</w:t>
            </w:r>
          </w:p>
        </w:tc>
        <w:tc>
          <w:tcPr>
            <w:tcW w:w="992" w:type="dxa"/>
            <w:tcBorders>
              <w:top w:val="nil"/>
              <w:left w:val="nil"/>
              <w:bottom w:val="single" w:sz="4" w:space="0" w:color="auto"/>
              <w:right w:val="single" w:sz="4" w:space="0" w:color="auto"/>
            </w:tcBorders>
            <w:hideMark/>
          </w:tcPr>
          <w:p w14:paraId="50EB0C4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2 raporte vjetore monitorimi për rolin e funksionimin e QB;</w:t>
            </w:r>
          </w:p>
        </w:tc>
        <w:tc>
          <w:tcPr>
            <w:tcW w:w="1418" w:type="dxa"/>
            <w:tcBorders>
              <w:top w:val="nil"/>
              <w:left w:val="nil"/>
              <w:bottom w:val="single" w:sz="4" w:space="0" w:color="auto"/>
              <w:right w:val="nil"/>
            </w:tcBorders>
            <w:hideMark/>
          </w:tcPr>
          <w:p w14:paraId="6441C8A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Raporte MAS; </w:t>
            </w:r>
            <w:r w:rsidRPr="00CB13F7">
              <w:rPr>
                <w:rFonts w:eastAsia="Times New Roman"/>
                <w:sz w:val="16"/>
                <w:szCs w:val="16"/>
                <w:lang w:eastAsia="en-US"/>
              </w:rPr>
              <w:br/>
              <w:t>Auditime;</w:t>
            </w:r>
          </w:p>
        </w:tc>
        <w:tc>
          <w:tcPr>
            <w:tcW w:w="2690" w:type="dxa"/>
            <w:tcBorders>
              <w:top w:val="nil"/>
              <w:left w:val="single" w:sz="4" w:space="0" w:color="auto"/>
              <w:bottom w:val="single" w:sz="4" w:space="0" w:color="auto"/>
              <w:right w:val="single" w:sz="4" w:space="0" w:color="auto"/>
            </w:tcBorders>
            <w:hideMark/>
          </w:tcPr>
          <w:p w14:paraId="4ABC24A8"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37E6E4B2" w14:textId="77777777" w:rsidTr="005F69EE">
        <w:trPr>
          <w:trHeight w:val="1785"/>
        </w:trPr>
        <w:tc>
          <w:tcPr>
            <w:tcW w:w="851" w:type="dxa"/>
            <w:vMerge/>
            <w:hideMark/>
          </w:tcPr>
          <w:p w14:paraId="0F0EB917"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42DF5CB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4.1. Rishikimi dhe forcimi i një kuadri të qëndrueshëm ligjor dhe institucional që garanton mos-diskriminimin, aksesin e barabartë dhe respektimin e standardeve ndërkombëtare të gjithëpërfshirjes së studentëve me aftësi të kufizuara në arsimin e lartë, i integruar me mekanizma të monitorimit dhe sigurimit të cilësisë.</w:t>
            </w:r>
          </w:p>
        </w:tc>
        <w:tc>
          <w:tcPr>
            <w:tcW w:w="1682" w:type="dxa"/>
            <w:tcBorders>
              <w:top w:val="nil"/>
              <w:left w:val="nil"/>
              <w:bottom w:val="single" w:sz="4" w:space="0" w:color="auto"/>
              <w:right w:val="single" w:sz="4" w:space="0" w:color="auto"/>
            </w:tcBorders>
            <w:hideMark/>
          </w:tcPr>
          <w:p w14:paraId="0DF44BD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700D766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Amendime ligjore të miratuara (nr); </w:t>
            </w:r>
            <w:r w:rsidRPr="00CB13F7">
              <w:rPr>
                <w:rFonts w:eastAsia="Times New Roman"/>
                <w:sz w:val="16"/>
                <w:szCs w:val="16"/>
                <w:lang w:eastAsia="en-US"/>
              </w:rPr>
              <w:br/>
            </w:r>
            <w:r w:rsidRPr="00CB13F7">
              <w:rPr>
                <w:rFonts w:eastAsia="Times New Roman"/>
                <w:sz w:val="16"/>
                <w:szCs w:val="16"/>
                <w:lang w:eastAsia="en-US"/>
              </w:rPr>
              <w:br/>
              <w:t xml:space="preserve">Mekanizëm monitorimi në IAL për plotësim të indikatorëve të aksesueshmërisë dhe gjithëpërfshirjes Kodi i Cilësisë i rishikuar; </w:t>
            </w:r>
            <w:r w:rsidRPr="00CB13F7">
              <w:rPr>
                <w:rFonts w:eastAsia="Times New Roman"/>
                <w:sz w:val="16"/>
                <w:szCs w:val="16"/>
                <w:lang w:eastAsia="en-US"/>
              </w:rPr>
              <w:br/>
            </w:r>
            <w:r w:rsidRPr="00CB13F7">
              <w:rPr>
                <w:rFonts w:eastAsia="Times New Roman"/>
                <w:sz w:val="16"/>
                <w:szCs w:val="16"/>
                <w:lang w:eastAsia="en-US"/>
              </w:rPr>
              <w:br/>
              <w:t>% IAL me politika mos-diskriminimi;</w:t>
            </w:r>
          </w:p>
        </w:tc>
        <w:tc>
          <w:tcPr>
            <w:tcW w:w="1439" w:type="dxa"/>
            <w:tcBorders>
              <w:top w:val="nil"/>
              <w:left w:val="nil"/>
              <w:bottom w:val="single" w:sz="4" w:space="0" w:color="auto"/>
              <w:right w:val="single" w:sz="4" w:space="0" w:color="auto"/>
            </w:tcBorders>
            <w:hideMark/>
          </w:tcPr>
          <w:p w14:paraId="4F833ED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134" w:type="dxa"/>
            <w:tcBorders>
              <w:top w:val="nil"/>
              <w:left w:val="nil"/>
              <w:bottom w:val="single" w:sz="4" w:space="0" w:color="auto"/>
              <w:right w:val="single" w:sz="4" w:space="0" w:color="auto"/>
            </w:tcBorders>
            <w:hideMark/>
          </w:tcPr>
          <w:p w14:paraId="790E31E4"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 1 akt ligjor i ndryshuar (Ligji për arsimin universitar gjithëpërfshirës);</w:t>
            </w:r>
          </w:p>
        </w:tc>
        <w:tc>
          <w:tcPr>
            <w:tcW w:w="992" w:type="dxa"/>
            <w:tcBorders>
              <w:top w:val="nil"/>
              <w:left w:val="nil"/>
              <w:bottom w:val="single" w:sz="4" w:space="0" w:color="auto"/>
              <w:right w:val="single" w:sz="4" w:space="0" w:color="auto"/>
            </w:tcBorders>
            <w:hideMark/>
          </w:tcPr>
          <w:p w14:paraId="309CE0B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 akt ligjor i ndryshuar (Kodi i cilësisë së arsimit të lartë me tregues të aksesueshmërisë dhe gjithëpërfshirjes);</w:t>
            </w:r>
          </w:p>
        </w:tc>
        <w:tc>
          <w:tcPr>
            <w:tcW w:w="1418" w:type="dxa"/>
            <w:tcBorders>
              <w:top w:val="nil"/>
              <w:left w:val="nil"/>
              <w:bottom w:val="single" w:sz="4" w:space="0" w:color="auto"/>
              <w:right w:val="nil"/>
            </w:tcBorders>
            <w:hideMark/>
          </w:tcPr>
          <w:p w14:paraId="0D6624CD"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Fletorja Zyrtare; </w:t>
            </w:r>
            <w:r w:rsidRPr="00CB13F7">
              <w:rPr>
                <w:rFonts w:eastAsia="Times New Roman"/>
                <w:sz w:val="16"/>
                <w:szCs w:val="16"/>
                <w:lang w:eastAsia="en-US"/>
              </w:rPr>
              <w:br/>
              <w:t xml:space="preserve">Raporte ASCAL; </w:t>
            </w:r>
            <w:r w:rsidRPr="00CB13F7">
              <w:rPr>
                <w:rFonts w:eastAsia="Times New Roman"/>
                <w:sz w:val="16"/>
                <w:szCs w:val="16"/>
                <w:lang w:eastAsia="en-US"/>
              </w:rPr>
              <w:br/>
              <w:t>Statute universitare;</w:t>
            </w:r>
          </w:p>
        </w:tc>
        <w:tc>
          <w:tcPr>
            <w:tcW w:w="2690" w:type="dxa"/>
            <w:tcBorders>
              <w:top w:val="nil"/>
              <w:left w:val="single" w:sz="4" w:space="0" w:color="auto"/>
              <w:bottom w:val="single" w:sz="4" w:space="0" w:color="auto"/>
              <w:right w:val="single" w:sz="4" w:space="0" w:color="auto"/>
            </w:tcBorders>
            <w:hideMark/>
          </w:tcPr>
          <w:p w14:paraId="229E8F29"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488B65E1" w14:textId="77777777" w:rsidTr="005F69EE">
        <w:trPr>
          <w:trHeight w:val="1815"/>
        </w:trPr>
        <w:tc>
          <w:tcPr>
            <w:tcW w:w="851" w:type="dxa"/>
            <w:vMerge/>
            <w:hideMark/>
          </w:tcPr>
          <w:p w14:paraId="2FE06179"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4E082C82"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Masa 4.2. Aksesueshmëri e plotë fizike, digjitale dhe akademike në institucionet e arsimit të lartë. Sigurimi i një mjedisi universitar të aksesueshëm për të gjithë studentët, përmes përshtatjes së infrastrukturës, teknologjisë, komunikimit dhe proceseve akademike, në përputhje me parimet e dizajnit universal.</w:t>
            </w:r>
          </w:p>
        </w:tc>
        <w:tc>
          <w:tcPr>
            <w:tcW w:w="1682" w:type="dxa"/>
            <w:tcBorders>
              <w:top w:val="nil"/>
              <w:left w:val="nil"/>
              <w:bottom w:val="single" w:sz="4" w:space="0" w:color="auto"/>
              <w:right w:val="single" w:sz="4" w:space="0" w:color="auto"/>
            </w:tcBorders>
            <w:hideMark/>
          </w:tcPr>
          <w:p w14:paraId="2AA050F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c>
          <w:tcPr>
            <w:tcW w:w="1982" w:type="dxa"/>
            <w:tcBorders>
              <w:top w:val="nil"/>
              <w:left w:val="nil"/>
              <w:bottom w:val="single" w:sz="4" w:space="0" w:color="auto"/>
              <w:right w:val="single" w:sz="4" w:space="0" w:color="auto"/>
            </w:tcBorders>
            <w:hideMark/>
          </w:tcPr>
          <w:p w14:paraId="634FEAFA"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Nr. njësive mbështetëse të ngritura në IAL;</w:t>
            </w:r>
            <w:r w:rsidRPr="00CB13F7">
              <w:rPr>
                <w:rFonts w:eastAsia="Times New Roman"/>
                <w:sz w:val="16"/>
                <w:szCs w:val="16"/>
                <w:lang w:eastAsia="en-US"/>
              </w:rPr>
              <w:br/>
            </w:r>
          </w:p>
        </w:tc>
        <w:tc>
          <w:tcPr>
            <w:tcW w:w="1439" w:type="dxa"/>
            <w:tcBorders>
              <w:top w:val="nil"/>
              <w:left w:val="nil"/>
              <w:bottom w:val="single" w:sz="4" w:space="0" w:color="auto"/>
              <w:right w:val="single" w:sz="4" w:space="0" w:color="auto"/>
            </w:tcBorders>
            <w:hideMark/>
          </w:tcPr>
          <w:p w14:paraId="0BF65656" w14:textId="77777777" w:rsidR="00E97066" w:rsidRPr="00CB13F7" w:rsidRDefault="00E97066" w:rsidP="005F69EE">
            <w:pPr>
              <w:spacing w:after="240"/>
              <w:rPr>
                <w:rFonts w:eastAsia="Times New Roman"/>
                <w:sz w:val="16"/>
                <w:szCs w:val="16"/>
                <w:lang w:eastAsia="en-US"/>
              </w:rPr>
            </w:pPr>
            <w:r w:rsidRPr="00CB13F7">
              <w:rPr>
                <w:rFonts w:eastAsia="Times New Roman"/>
                <w:sz w:val="16"/>
                <w:szCs w:val="16"/>
                <w:lang w:eastAsia="en-US"/>
              </w:rPr>
              <w:t>N/A</w:t>
            </w:r>
          </w:p>
        </w:tc>
        <w:tc>
          <w:tcPr>
            <w:tcW w:w="1134" w:type="dxa"/>
            <w:tcBorders>
              <w:top w:val="nil"/>
              <w:left w:val="nil"/>
              <w:bottom w:val="single" w:sz="4" w:space="0" w:color="auto"/>
              <w:right w:val="single" w:sz="4" w:space="0" w:color="auto"/>
            </w:tcBorders>
            <w:hideMark/>
          </w:tcPr>
          <w:p w14:paraId="045AC8BC"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5</w:t>
            </w:r>
          </w:p>
        </w:tc>
        <w:tc>
          <w:tcPr>
            <w:tcW w:w="992" w:type="dxa"/>
            <w:tcBorders>
              <w:top w:val="nil"/>
              <w:left w:val="nil"/>
              <w:bottom w:val="single" w:sz="4" w:space="0" w:color="auto"/>
              <w:right w:val="single" w:sz="4" w:space="0" w:color="auto"/>
            </w:tcBorders>
            <w:hideMark/>
          </w:tcPr>
          <w:p w14:paraId="29D37D3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10</w:t>
            </w:r>
          </w:p>
        </w:tc>
        <w:tc>
          <w:tcPr>
            <w:tcW w:w="1418" w:type="dxa"/>
            <w:tcBorders>
              <w:top w:val="nil"/>
              <w:left w:val="nil"/>
              <w:bottom w:val="single" w:sz="4" w:space="0" w:color="auto"/>
              <w:right w:val="nil"/>
            </w:tcBorders>
            <w:hideMark/>
          </w:tcPr>
          <w:p w14:paraId="31773AD6"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Audit infrastrukture; </w:t>
            </w:r>
            <w:r w:rsidRPr="00CB13F7">
              <w:rPr>
                <w:rFonts w:eastAsia="Times New Roman"/>
                <w:sz w:val="16"/>
                <w:szCs w:val="16"/>
                <w:lang w:eastAsia="en-US"/>
              </w:rPr>
              <w:br/>
              <w:t xml:space="preserve">Raporte të universiteteve; Raporte ASCAL, </w:t>
            </w:r>
            <w:r w:rsidRPr="00CB13F7">
              <w:rPr>
                <w:rFonts w:eastAsia="Times New Roman"/>
                <w:sz w:val="16"/>
                <w:szCs w:val="16"/>
                <w:lang w:eastAsia="en-US"/>
              </w:rPr>
              <w:br/>
              <w:t xml:space="preserve">Raporte MAS; </w:t>
            </w:r>
            <w:r w:rsidRPr="00CB13F7">
              <w:rPr>
                <w:rFonts w:eastAsia="Times New Roman"/>
                <w:sz w:val="16"/>
                <w:szCs w:val="16"/>
                <w:lang w:eastAsia="en-US"/>
              </w:rPr>
              <w:br/>
              <w:t>Akreditime;</w:t>
            </w:r>
          </w:p>
        </w:tc>
        <w:tc>
          <w:tcPr>
            <w:tcW w:w="2690" w:type="dxa"/>
            <w:tcBorders>
              <w:top w:val="nil"/>
              <w:left w:val="single" w:sz="4" w:space="0" w:color="auto"/>
              <w:bottom w:val="single" w:sz="4" w:space="0" w:color="auto"/>
              <w:right w:val="single" w:sz="4" w:space="0" w:color="auto"/>
            </w:tcBorders>
            <w:hideMark/>
          </w:tcPr>
          <w:p w14:paraId="461902C0"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r w:rsidR="00E97066" w:rsidRPr="00CB13F7" w14:paraId="26AEB3FB" w14:textId="77777777" w:rsidTr="005F69EE">
        <w:trPr>
          <w:trHeight w:val="1890"/>
        </w:trPr>
        <w:tc>
          <w:tcPr>
            <w:tcW w:w="851" w:type="dxa"/>
            <w:vMerge/>
            <w:hideMark/>
          </w:tcPr>
          <w:p w14:paraId="26D03252" w14:textId="77777777" w:rsidR="00E97066" w:rsidRPr="00CB13F7" w:rsidRDefault="00E97066" w:rsidP="005F69EE">
            <w:pPr>
              <w:rPr>
                <w:rFonts w:eastAsia="Times New Roman"/>
                <w:b/>
                <w:bCs/>
                <w:sz w:val="16"/>
                <w:szCs w:val="16"/>
                <w:lang w:eastAsia="en-US"/>
              </w:rPr>
            </w:pPr>
          </w:p>
        </w:tc>
        <w:tc>
          <w:tcPr>
            <w:tcW w:w="1574" w:type="dxa"/>
            <w:tcBorders>
              <w:top w:val="nil"/>
              <w:left w:val="nil"/>
              <w:bottom w:val="single" w:sz="4" w:space="0" w:color="auto"/>
              <w:right w:val="single" w:sz="4" w:space="0" w:color="auto"/>
            </w:tcBorders>
            <w:hideMark/>
          </w:tcPr>
          <w:p w14:paraId="1C27358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Masa 4.3. Shërbime mbështetëse dhe zhvillim kapacitetesh për arsimin e lartë gjithëpërfshirës. Forcimi i mbështetjes institucionale dhe profesionale për studentët me aftësi të kufizuara, përmes </w:t>
            </w:r>
            <w:r w:rsidRPr="00CB13F7">
              <w:rPr>
                <w:rFonts w:eastAsia="Times New Roman"/>
                <w:sz w:val="16"/>
                <w:szCs w:val="16"/>
                <w:lang w:eastAsia="en-US"/>
              </w:rPr>
              <w:lastRenderedPageBreak/>
              <w:t>shërbimeve të specializuara dhe rritjes së kapaciteteve të stafit akademik dhe administrativ.</w:t>
            </w:r>
          </w:p>
        </w:tc>
        <w:tc>
          <w:tcPr>
            <w:tcW w:w="1682" w:type="dxa"/>
            <w:tcBorders>
              <w:top w:val="nil"/>
              <w:left w:val="nil"/>
              <w:bottom w:val="single" w:sz="4" w:space="0" w:color="auto"/>
              <w:right w:val="single" w:sz="4" w:space="0" w:color="auto"/>
            </w:tcBorders>
            <w:hideMark/>
          </w:tcPr>
          <w:p w14:paraId="273C54CE"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lastRenderedPageBreak/>
              <w:t> </w:t>
            </w:r>
          </w:p>
        </w:tc>
        <w:tc>
          <w:tcPr>
            <w:tcW w:w="1982" w:type="dxa"/>
            <w:tcBorders>
              <w:top w:val="nil"/>
              <w:left w:val="nil"/>
              <w:bottom w:val="single" w:sz="4" w:space="0" w:color="auto"/>
              <w:right w:val="single" w:sz="4" w:space="0" w:color="auto"/>
            </w:tcBorders>
            <w:hideMark/>
          </w:tcPr>
          <w:p w14:paraId="508E2C7D"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 % stafit të trajnuar;</w:t>
            </w:r>
            <w:r w:rsidRPr="00CB13F7">
              <w:rPr>
                <w:rFonts w:eastAsia="Times New Roman"/>
                <w:sz w:val="16"/>
                <w:szCs w:val="16"/>
                <w:lang w:eastAsia="en-US"/>
              </w:rPr>
              <w:br/>
            </w:r>
            <w:r w:rsidRPr="00CB13F7">
              <w:rPr>
                <w:rFonts w:eastAsia="Times New Roman"/>
                <w:sz w:val="16"/>
                <w:szCs w:val="16"/>
                <w:lang w:eastAsia="en-US"/>
              </w:rPr>
              <w:br/>
              <w:t>Nr. mentorimeve individuale</w:t>
            </w:r>
            <w:r w:rsidRPr="00CB13F7">
              <w:rPr>
                <w:rFonts w:eastAsia="Times New Roman"/>
                <w:sz w:val="16"/>
                <w:szCs w:val="16"/>
                <w:lang w:eastAsia="en-US"/>
              </w:rPr>
              <w:br/>
              <w:t>% e studentëve që ndjekin arsimin e lartë në të gjitha nivelet;</w:t>
            </w:r>
          </w:p>
        </w:tc>
        <w:tc>
          <w:tcPr>
            <w:tcW w:w="1439" w:type="dxa"/>
            <w:tcBorders>
              <w:top w:val="nil"/>
              <w:left w:val="nil"/>
              <w:bottom w:val="single" w:sz="4" w:space="0" w:color="auto"/>
              <w:right w:val="single" w:sz="4" w:space="0" w:color="auto"/>
            </w:tcBorders>
            <w:hideMark/>
          </w:tcPr>
          <w:p w14:paraId="794DA67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r>
            <w:r w:rsidRPr="00CB13F7">
              <w:rPr>
                <w:rFonts w:eastAsia="Times New Roman"/>
                <w:sz w:val="16"/>
                <w:szCs w:val="16"/>
                <w:lang w:eastAsia="en-US"/>
              </w:rPr>
              <w:br/>
              <w:t>N/A</w:t>
            </w:r>
          </w:p>
        </w:tc>
        <w:tc>
          <w:tcPr>
            <w:tcW w:w="1134" w:type="dxa"/>
            <w:tcBorders>
              <w:top w:val="nil"/>
              <w:left w:val="nil"/>
              <w:bottom w:val="single" w:sz="4" w:space="0" w:color="auto"/>
              <w:right w:val="single" w:sz="4" w:space="0" w:color="auto"/>
            </w:tcBorders>
            <w:hideMark/>
          </w:tcPr>
          <w:p w14:paraId="32F7915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10%</w:t>
            </w:r>
            <w:r w:rsidRPr="00CB13F7">
              <w:rPr>
                <w:rFonts w:eastAsia="Times New Roman"/>
                <w:sz w:val="16"/>
                <w:szCs w:val="16"/>
                <w:lang w:eastAsia="en-US"/>
              </w:rPr>
              <w:br/>
            </w:r>
            <w:r w:rsidRPr="00CB13F7">
              <w:rPr>
                <w:rFonts w:eastAsia="Times New Roman"/>
                <w:sz w:val="16"/>
                <w:szCs w:val="16"/>
                <w:lang w:eastAsia="en-US"/>
              </w:rPr>
              <w:br/>
              <w:t>40% (50% femra)</w:t>
            </w:r>
            <w:r w:rsidRPr="00CB13F7">
              <w:rPr>
                <w:rFonts w:eastAsia="Times New Roman"/>
                <w:sz w:val="16"/>
                <w:szCs w:val="16"/>
                <w:lang w:eastAsia="en-US"/>
              </w:rPr>
              <w:br/>
            </w:r>
            <w:r w:rsidRPr="00CB13F7">
              <w:rPr>
                <w:rFonts w:eastAsia="Times New Roman"/>
                <w:sz w:val="16"/>
                <w:szCs w:val="16"/>
                <w:lang w:eastAsia="en-US"/>
              </w:rPr>
              <w:br/>
              <w:t>20%</w:t>
            </w:r>
          </w:p>
        </w:tc>
        <w:tc>
          <w:tcPr>
            <w:tcW w:w="992" w:type="dxa"/>
            <w:tcBorders>
              <w:top w:val="nil"/>
              <w:left w:val="nil"/>
              <w:bottom w:val="single" w:sz="4" w:space="0" w:color="auto"/>
              <w:right w:val="single" w:sz="4" w:space="0" w:color="auto"/>
            </w:tcBorders>
            <w:hideMark/>
          </w:tcPr>
          <w:p w14:paraId="5E8EE741"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20%</w:t>
            </w:r>
            <w:r w:rsidRPr="00CB13F7">
              <w:rPr>
                <w:rFonts w:eastAsia="Times New Roman"/>
                <w:sz w:val="16"/>
                <w:szCs w:val="16"/>
                <w:lang w:eastAsia="en-US"/>
              </w:rPr>
              <w:br/>
            </w:r>
            <w:r w:rsidRPr="00CB13F7">
              <w:rPr>
                <w:rFonts w:eastAsia="Times New Roman"/>
                <w:sz w:val="16"/>
                <w:szCs w:val="16"/>
                <w:lang w:eastAsia="en-US"/>
              </w:rPr>
              <w:br/>
              <w:t>50% (50% femra)</w:t>
            </w:r>
            <w:r w:rsidRPr="00CB13F7">
              <w:rPr>
                <w:rFonts w:eastAsia="Times New Roman"/>
                <w:sz w:val="16"/>
                <w:szCs w:val="16"/>
                <w:lang w:eastAsia="en-US"/>
              </w:rPr>
              <w:br/>
            </w:r>
            <w:r w:rsidRPr="00CB13F7">
              <w:rPr>
                <w:rFonts w:eastAsia="Times New Roman"/>
                <w:sz w:val="16"/>
                <w:szCs w:val="16"/>
                <w:lang w:eastAsia="en-US"/>
              </w:rPr>
              <w:br/>
              <w:t>30%</w:t>
            </w:r>
          </w:p>
        </w:tc>
        <w:tc>
          <w:tcPr>
            <w:tcW w:w="1418" w:type="dxa"/>
            <w:tcBorders>
              <w:top w:val="nil"/>
              <w:left w:val="nil"/>
              <w:bottom w:val="single" w:sz="4" w:space="0" w:color="auto"/>
              <w:right w:val="nil"/>
            </w:tcBorders>
            <w:hideMark/>
          </w:tcPr>
          <w:p w14:paraId="2B4A9B1B"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xml:space="preserve">Raporte universitare; </w:t>
            </w:r>
            <w:r w:rsidRPr="00CB13F7">
              <w:rPr>
                <w:rFonts w:eastAsia="Times New Roman"/>
                <w:sz w:val="16"/>
                <w:szCs w:val="16"/>
                <w:lang w:eastAsia="en-US"/>
              </w:rPr>
              <w:br/>
              <w:t xml:space="preserve">Regjistra trajnimesh; </w:t>
            </w:r>
            <w:r w:rsidRPr="00CB13F7">
              <w:rPr>
                <w:rFonts w:eastAsia="Times New Roman"/>
                <w:sz w:val="16"/>
                <w:szCs w:val="16"/>
                <w:lang w:eastAsia="en-US"/>
              </w:rPr>
              <w:br/>
              <w:t>Raporte MA;</w:t>
            </w:r>
          </w:p>
        </w:tc>
        <w:tc>
          <w:tcPr>
            <w:tcW w:w="2690" w:type="dxa"/>
            <w:tcBorders>
              <w:top w:val="nil"/>
              <w:left w:val="single" w:sz="4" w:space="0" w:color="auto"/>
              <w:bottom w:val="single" w:sz="4" w:space="0" w:color="auto"/>
              <w:right w:val="single" w:sz="4" w:space="0" w:color="auto"/>
            </w:tcBorders>
            <w:hideMark/>
          </w:tcPr>
          <w:p w14:paraId="682D2343" w14:textId="77777777" w:rsidR="00E97066" w:rsidRPr="00CB13F7" w:rsidRDefault="00E97066" w:rsidP="005F69EE">
            <w:pPr>
              <w:rPr>
                <w:rFonts w:eastAsia="Times New Roman"/>
                <w:sz w:val="16"/>
                <w:szCs w:val="16"/>
                <w:lang w:eastAsia="en-US"/>
              </w:rPr>
            </w:pPr>
            <w:r w:rsidRPr="00CB13F7">
              <w:rPr>
                <w:rFonts w:eastAsia="Times New Roman"/>
                <w:sz w:val="16"/>
                <w:szCs w:val="16"/>
                <w:lang w:eastAsia="en-US"/>
              </w:rPr>
              <w:t> </w:t>
            </w:r>
          </w:p>
        </w:tc>
      </w:tr>
    </w:tbl>
    <w:p w14:paraId="2D7C7F3B" w14:textId="77777777" w:rsidR="00E97066" w:rsidRDefault="00E97066" w:rsidP="007D728E">
      <w:pPr>
        <w:rPr>
          <w:rFonts w:eastAsia="Times New Roman"/>
          <w:b/>
          <w:bCs/>
          <w:lang w:eastAsia="en-US"/>
        </w:rPr>
      </w:pPr>
    </w:p>
    <w:p w14:paraId="186C1F41" w14:textId="77777777" w:rsidR="00E97066" w:rsidRDefault="00E97066" w:rsidP="007D728E">
      <w:pPr>
        <w:rPr>
          <w:rFonts w:eastAsia="Times New Roman"/>
          <w:b/>
          <w:bCs/>
          <w:lang w:eastAsia="en-US"/>
        </w:rPr>
      </w:pPr>
    </w:p>
    <w:p w14:paraId="23FAB671" w14:textId="77777777" w:rsidR="007D728E" w:rsidRPr="00CB13F7" w:rsidRDefault="007D728E" w:rsidP="007D728E">
      <w:pPr>
        <w:rPr>
          <w:rFonts w:ascii="Cambria" w:eastAsia="MS Mincho" w:hAnsi="Cambria"/>
          <w:lang w:eastAsia="en-US"/>
        </w:rPr>
      </w:pPr>
    </w:p>
    <w:p w14:paraId="3006EE05" w14:textId="3417289D" w:rsidR="007D728E" w:rsidRPr="00CB13F7" w:rsidRDefault="007D728E" w:rsidP="007D728E">
      <w:pPr>
        <w:rPr>
          <w:rFonts w:eastAsia="Times New Roman"/>
          <w:b/>
          <w:bCs/>
          <w:lang w:eastAsia="en-US"/>
        </w:rPr>
      </w:pPr>
      <w:r w:rsidRPr="00CB13F7">
        <w:rPr>
          <w:rFonts w:eastAsia="Times New Roman"/>
          <w:b/>
          <w:bCs/>
          <w:lang w:eastAsia="en-US"/>
        </w:rPr>
        <w:t>6.5</w:t>
      </w:r>
      <w:r w:rsidR="00736097" w:rsidRPr="00CB13F7">
        <w:rPr>
          <w:rFonts w:eastAsia="Times New Roman"/>
          <w:b/>
          <w:bCs/>
          <w:lang w:eastAsia="en-US"/>
        </w:rPr>
        <w:t xml:space="preserve"> </w:t>
      </w:r>
      <w:r w:rsidRPr="00CB13F7">
        <w:rPr>
          <w:rFonts w:eastAsia="Times New Roman"/>
          <w:b/>
          <w:bCs/>
          <w:lang w:eastAsia="en-US"/>
        </w:rPr>
        <w:t>Mbrojtja Sociale</w:t>
      </w:r>
    </w:p>
    <w:p w14:paraId="14E61008" w14:textId="77777777" w:rsidR="007D728E" w:rsidRPr="00CB13F7" w:rsidRDefault="007D728E" w:rsidP="007D728E">
      <w:pPr>
        <w:rPr>
          <w:rFonts w:ascii="Cambria" w:eastAsia="MS Mincho" w:hAnsi="Cambria"/>
          <w:lang w:eastAsia="en-US"/>
        </w:rPr>
      </w:pPr>
    </w:p>
    <w:tbl>
      <w:tblPr>
        <w:tblW w:w="13613" w:type="dxa"/>
        <w:tblInd w:w="103" w:type="dxa"/>
        <w:tblLayout w:type="fixed"/>
        <w:tblLook w:val="04A0" w:firstRow="1" w:lastRow="0" w:firstColumn="1" w:lastColumn="0" w:noHBand="0" w:noVBand="1"/>
      </w:tblPr>
      <w:tblGrid>
        <w:gridCol w:w="874"/>
        <w:gridCol w:w="892"/>
        <w:gridCol w:w="1880"/>
        <w:gridCol w:w="2530"/>
        <w:gridCol w:w="1201"/>
        <w:gridCol w:w="1461"/>
        <w:gridCol w:w="1201"/>
        <w:gridCol w:w="1079"/>
        <w:gridCol w:w="2495"/>
      </w:tblGrid>
      <w:tr w:rsidR="007D728E" w:rsidRPr="00CB13F7" w14:paraId="0142B817" w14:textId="77777777" w:rsidTr="661F9D2E">
        <w:trPr>
          <w:trHeight w:val="540"/>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5901D10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35BDF13C"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Objektivat</w:t>
            </w:r>
          </w:p>
        </w:tc>
        <w:tc>
          <w:tcPr>
            <w:tcW w:w="2530" w:type="dxa"/>
            <w:tcBorders>
              <w:top w:val="single" w:sz="4" w:space="0" w:color="000000" w:themeColor="text1"/>
              <w:left w:val="nil"/>
              <w:bottom w:val="single" w:sz="4" w:space="0" w:color="000000" w:themeColor="text1"/>
              <w:right w:val="nil"/>
            </w:tcBorders>
            <w:shd w:val="clear" w:color="auto" w:fill="C0E5F3"/>
            <w:hideMark/>
          </w:tcPr>
          <w:p w14:paraId="52DC5AE5"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Treguesi</w:t>
            </w:r>
          </w:p>
        </w:tc>
        <w:tc>
          <w:tcPr>
            <w:tcW w:w="1201"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6A97E3B2"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Vlera bazë</w:t>
            </w:r>
          </w:p>
        </w:tc>
        <w:tc>
          <w:tcPr>
            <w:tcW w:w="1461"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60072211"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Synimi 2028</w:t>
            </w:r>
          </w:p>
        </w:tc>
        <w:tc>
          <w:tcPr>
            <w:tcW w:w="1201" w:type="dxa"/>
            <w:tcBorders>
              <w:top w:val="single" w:sz="4" w:space="0" w:color="000000" w:themeColor="text1"/>
              <w:left w:val="nil"/>
              <w:bottom w:val="single" w:sz="4" w:space="0" w:color="000000" w:themeColor="text1"/>
              <w:right w:val="nil"/>
            </w:tcBorders>
            <w:shd w:val="clear" w:color="auto" w:fill="C0E5F3"/>
            <w:hideMark/>
          </w:tcPr>
          <w:p w14:paraId="0CB2D06D"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Synimi 2030</w:t>
            </w:r>
          </w:p>
        </w:tc>
        <w:tc>
          <w:tcPr>
            <w:tcW w:w="1079" w:type="dxa"/>
            <w:tcBorders>
              <w:top w:val="single" w:sz="4" w:space="0" w:color="000000" w:themeColor="text1"/>
              <w:left w:val="nil"/>
              <w:bottom w:val="single" w:sz="4" w:space="0" w:color="000000" w:themeColor="text1"/>
              <w:right w:val="nil"/>
            </w:tcBorders>
            <w:shd w:val="clear" w:color="auto" w:fill="C0E5F3"/>
            <w:hideMark/>
          </w:tcPr>
          <w:p w14:paraId="42F2AECE"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Burimet dhe mjetet e verifikimit</w:t>
            </w:r>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7328DA11"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Referenca në dok. të tjera</w:t>
            </w:r>
          </w:p>
        </w:tc>
      </w:tr>
      <w:tr w:rsidR="007D728E" w:rsidRPr="00CB13F7" w14:paraId="1162E91C" w14:textId="77777777" w:rsidTr="661F9D2E">
        <w:trPr>
          <w:trHeight w:val="3120"/>
        </w:trPr>
        <w:tc>
          <w:tcPr>
            <w:tcW w:w="874" w:type="dxa"/>
            <w:tcBorders>
              <w:top w:val="nil"/>
              <w:left w:val="single" w:sz="4" w:space="0" w:color="000000" w:themeColor="text1"/>
              <w:bottom w:val="nil"/>
              <w:right w:val="single" w:sz="4" w:space="0" w:color="000000" w:themeColor="text1"/>
            </w:tcBorders>
            <w:shd w:val="clear" w:color="auto" w:fill="D8F1D0"/>
            <w:hideMark/>
          </w:tcPr>
          <w:p w14:paraId="779CEBD8"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 xml:space="preserve">Qëllimi i politikës </w:t>
            </w:r>
          </w:p>
        </w:tc>
        <w:tc>
          <w:tcPr>
            <w:tcW w:w="2772" w:type="dxa"/>
            <w:gridSpan w:val="2"/>
            <w:tcBorders>
              <w:top w:val="single" w:sz="4" w:space="0" w:color="000000" w:themeColor="text1"/>
              <w:left w:val="nil"/>
              <w:bottom w:val="nil"/>
              <w:right w:val="single" w:sz="4" w:space="0" w:color="000000" w:themeColor="text1"/>
            </w:tcBorders>
            <w:shd w:val="clear" w:color="auto" w:fill="D8F1D0"/>
            <w:hideMark/>
          </w:tcPr>
          <w:p w14:paraId="6536B64B" w14:textId="0B07110C"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Të gjithë personat me aftësi të kufizuara në Shqipëri duhet të kenë mundësi reale dhe të barabarta për të jetuar në komunitet, me zgjedhje dhe kontroll mbi jetën e tyre, përmes strehimit të aksesueshëm, mbështetjes individuale, shërbimeve të bazuara në komunitet dhe njohjes së plotë të kapacitetit ligjor, në përputhje me Konventën e OKB për të Drejtat e Personave me Aftësi të Kufizuara.</w:t>
            </w:r>
          </w:p>
          <w:p w14:paraId="5A10C517" w14:textId="5CFD4E24" w:rsidR="007D728E" w:rsidRPr="00CB13F7" w:rsidRDefault="007D728E" w:rsidP="007D728E">
            <w:pPr>
              <w:rPr>
                <w:rFonts w:eastAsia="Times New Roman"/>
                <w:color w:val="000000"/>
                <w:sz w:val="16"/>
                <w:szCs w:val="16"/>
                <w:lang w:eastAsia="en-US"/>
              </w:rPr>
            </w:pPr>
          </w:p>
        </w:tc>
        <w:tc>
          <w:tcPr>
            <w:tcW w:w="2530" w:type="dxa"/>
            <w:tcBorders>
              <w:top w:val="single" w:sz="4" w:space="0" w:color="000000" w:themeColor="text1"/>
              <w:left w:val="nil"/>
              <w:bottom w:val="nil"/>
              <w:right w:val="nil"/>
            </w:tcBorders>
            <w:shd w:val="clear" w:color="auto" w:fill="D8F1D0"/>
            <w:hideMark/>
          </w:tcPr>
          <w:p w14:paraId="087DAF93" w14:textId="5B460E38"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 xml:space="preserve">Raporti i personave me </w:t>
            </w:r>
            <w:r w:rsidR="48A00EEC" w:rsidRPr="00CB13F7">
              <w:rPr>
                <w:rFonts w:eastAsia="Times New Roman"/>
                <w:color w:val="000000" w:themeColor="text1"/>
                <w:sz w:val="16"/>
                <w:szCs w:val="16"/>
                <w:lang w:eastAsia="en-US"/>
              </w:rPr>
              <w:t>aftësi</w:t>
            </w:r>
            <w:r w:rsidRPr="00CB13F7">
              <w:rPr>
                <w:rFonts w:eastAsia="Times New Roman"/>
                <w:color w:val="000000" w:themeColor="text1"/>
                <w:sz w:val="16"/>
                <w:szCs w:val="16"/>
                <w:lang w:eastAsia="en-US"/>
              </w:rPr>
              <w:t xml:space="preserve"> te kufizuar që </w:t>
            </w:r>
            <w:r w:rsidR="48A00EEC" w:rsidRPr="00CB13F7">
              <w:rPr>
                <w:rFonts w:eastAsia="Times New Roman"/>
                <w:color w:val="000000" w:themeColor="text1"/>
                <w:sz w:val="16"/>
                <w:szCs w:val="16"/>
                <w:lang w:eastAsia="en-US"/>
              </w:rPr>
              <w:t>komisionohen</w:t>
            </w:r>
            <w:r w:rsidRPr="00CB13F7">
              <w:rPr>
                <w:rFonts w:eastAsia="Times New Roman"/>
                <w:color w:val="000000" w:themeColor="text1"/>
                <w:sz w:val="16"/>
                <w:szCs w:val="16"/>
                <w:lang w:eastAsia="en-US"/>
              </w:rPr>
              <w:t xml:space="preserve"> dhe përfitojnë nga programi i aftësisë së kufizuar (sa femra; sa meshkuj).</w:t>
            </w:r>
            <w:r w:rsidR="007D728E" w:rsidRPr="00CB13F7">
              <w:br/>
            </w:r>
          </w:p>
          <w:p w14:paraId="0631BE5B" w14:textId="23DEB621" w:rsidR="007D728E" w:rsidRPr="00CB13F7" w:rsidRDefault="007D728E" w:rsidP="661F9D2E">
            <w:pPr>
              <w:rPr>
                <w:rFonts w:eastAsia="Times New Roman"/>
                <w:color w:val="000000" w:themeColor="text1"/>
                <w:sz w:val="16"/>
                <w:szCs w:val="16"/>
                <w:lang w:eastAsia="en-US"/>
              </w:rPr>
            </w:pPr>
          </w:p>
          <w:p w14:paraId="5065DFE4" w14:textId="55FBA601"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 xml:space="preserve">Përqindja e personave me aftësi të kufizuara që përfitojnë të paktën një shërbim komunitar ose mbështetje individuale ndaj totalit të personave të regjistruar me aftësi të kufizuara (sa femra; sa meshkuj). </w:t>
            </w:r>
            <w:r w:rsidR="007D728E" w:rsidRPr="00CB13F7">
              <w:br/>
            </w:r>
            <w:r w:rsidR="007D728E" w:rsidRPr="00CB13F7">
              <w:br/>
            </w:r>
            <w:r w:rsidRPr="00CB13F7">
              <w:rPr>
                <w:rFonts w:eastAsia="Times New Roman"/>
                <w:color w:val="000000" w:themeColor="text1"/>
                <w:sz w:val="16"/>
                <w:szCs w:val="16"/>
                <w:lang w:eastAsia="en-US"/>
              </w:rPr>
              <w:t>Përqindja e personave me aftësi të kufizuara që marrin shërbime në komunitet krahasuar me ata që jetojnë në institucione rezidenciale.</w:t>
            </w:r>
          </w:p>
        </w:tc>
        <w:tc>
          <w:tcPr>
            <w:tcW w:w="1201" w:type="dxa"/>
            <w:tcBorders>
              <w:top w:val="nil"/>
              <w:left w:val="nil"/>
              <w:bottom w:val="nil"/>
              <w:right w:val="single" w:sz="4" w:space="0" w:color="000000" w:themeColor="text1"/>
            </w:tcBorders>
            <w:shd w:val="clear" w:color="auto" w:fill="D8F1D0"/>
            <w:hideMark/>
          </w:tcPr>
          <w:p w14:paraId="51875BF8" w14:textId="77777777" w:rsidR="00781AF5"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87%; (%burra;%gra;%fëmijë)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14.8%; (%burra;%gra;%fëmijë)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p>
          <w:p w14:paraId="3FE42541" w14:textId="77777777" w:rsidR="00781AF5" w:rsidRPr="00CB13F7" w:rsidRDefault="00781AF5" w:rsidP="007D728E">
            <w:pPr>
              <w:rPr>
                <w:rFonts w:eastAsia="Times New Roman"/>
                <w:color w:val="000000"/>
                <w:sz w:val="16"/>
                <w:szCs w:val="16"/>
                <w:lang w:eastAsia="en-US"/>
              </w:rPr>
            </w:pPr>
          </w:p>
          <w:p w14:paraId="6F4B142D" w14:textId="50E01721"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br/>
              <w:t>1000/11000</w:t>
            </w:r>
          </w:p>
        </w:tc>
        <w:tc>
          <w:tcPr>
            <w:tcW w:w="1461" w:type="dxa"/>
            <w:tcBorders>
              <w:top w:val="nil"/>
              <w:left w:val="nil"/>
              <w:bottom w:val="nil"/>
              <w:right w:val="single" w:sz="4" w:space="0" w:color="000000" w:themeColor="text1"/>
            </w:tcBorders>
            <w:shd w:val="clear" w:color="auto" w:fill="D8F1D0"/>
            <w:hideMark/>
          </w:tcPr>
          <w:p w14:paraId="746C7A2A" w14:textId="365B306B"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95%; (%burra; %gra; %fëmijë)</w:t>
            </w:r>
            <w:r w:rsidR="007D728E" w:rsidRPr="00CB13F7">
              <w:br/>
            </w:r>
            <w:r w:rsidR="007D728E" w:rsidRPr="00CB13F7">
              <w:br/>
            </w:r>
          </w:p>
          <w:p w14:paraId="40F87FAA" w14:textId="72FE4C16" w:rsidR="007D728E" w:rsidRPr="00CB13F7" w:rsidRDefault="007D728E" w:rsidP="007D728E"/>
          <w:p w14:paraId="2E520732" w14:textId="77B27930" w:rsidR="007D728E" w:rsidRPr="00CB13F7" w:rsidRDefault="007D728E" w:rsidP="007D728E">
            <w:pPr>
              <w:rPr>
                <w:rFonts w:eastAsia="Times New Roman"/>
                <w:color w:val="000000"/>
                <w:sz w:val="16"/>
                <w:szCs w:val="16"/>
                <w:lang w:eastAsia="en-US"/>
              </w:rPr>
            </w:pPr>
            <w:r w:rsidRPr="00CB13F7">
              <w:br/>
            </w:r>
            <w:r w:rsidR="0080D2BD" w:rsidRPr="00CB13F7">
              <w:rPr>
                <w:rFonts w:eastAsia="Times New Roman"/>
                <w:color w:val="000000" w:themeColor="text1"/>
                <w:sz w:val="16"/>
                <w:szCs w:val="16"/>
                <w:lang w:eastAsia="en-US"/>
              </w:rPr>
              <w:t>16%;(%burra;%gra;%fëmijë)</w:t>
            </w:r>
            <w:r w:rsidRPr="00CB13F7">
              <w:br/>
            </w:r>
            <w:r w:rsidRPr="00CB13F7">
              <w:br/>
            </w:r>
            <w:r w:rsidRPr="00CB13F7">
              <w:br/>
            </w:r>
            <w:r w:rsidRPr="00CB13F7">
              <w:br/>
            </w:r>
            <w:r w:rsidR="0080D2BD" w:rsidRPr="00CB13F7">
              <w:rPr>
                <w:rFonts w:eastAsia="Times New Roman"/>
                <w:color w:val="000000" w:themeColor="text1"/>
                <w:sz w:val="16"/>
                <w:szCs w:val="16"/>
                <w:lang w:eastAsia="en-US"/>
              </w:rPr>
              <w:t>800/11750</w:t>
            </w:r>
          </w:p>
        </w:tc>
        <w:tc>
          <w:tcPr>
            <w:tcW w:w="1201" w:type="dxa"/>
            <w:tcBorders>
              <w:top w:val="nil"/>
              <w:left w:val="nil"/>
              <w:bottom w:val="nil"/>
              <w:right w:val="nil"/>
            </w:tcBorders>
            <w:shd w:val="clear" w:color="auto" w:fill="D8F1D0"/>
            <w:hideMark/>
          </w:tcPr>
          <w:p w14:paraId="42FC83E8" w14:textId="31CB23D8"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97%; (%burra;%gra;%fëmijë)</w:t>
            </w:r>
            <w:r w:rsidR="007D728E" w:rsidRPr="00CB13F7">
              <w:br/>
            </w:r>
          </w:p>
          <w:p w14:paraId="16C8B558" w14:textId="0DBF4665" w:rsidR="007D728E" w:rsidRPr="00CB13F7" w:rsidRDefault="007D728E" w:rsidP="007D728E"/>
          <w:p w14:paraId="7E6E1A1E" w14:textId="6198CEEC" w:rsidR="007D728E" w:rsidRPr="00CB13F7" w:rsidRDefault="007D728E" w:rsidP="007D728E"/>
          <w:p w14:paraId="1BEAE4F4" w14:textId="299C59F4"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18%; (%burra;%gra;%fëmijë)</w:t>
            </w:r>
            <w:r w:rsidR="007D728E" w:rsidRPr="00CB13F7">
              <w:br/>
            </w:r>
            <w:r w:rsidR="007D728E" w:rsidRPr="00CB13F7">
              <w:br/>
            </w:r>
            <w:r w:rsidR="007D728E" w:rsidRPr="00CB13F7">
              <w:br/>
            </w:r>
            <w:r w:rsidR="007D728E" w:rsidRPr="00CB13F7">
              <w:br/>
            </w:r>
            <w:r w:rsidRPr="00CB13F7">
              <w:rPr>
                <w:rFonts w:eastAsia="Times New Roman"/>
                <w:color w:val="000000" w:themeColor="text1"/>
                <w:sz w:val="16"/>
                <w:szCs w:val="16"/>
                <w:lang w:eastAsia="en-US"/>
              </w:rPr>
              <w:t>600/12000</w:t>
            </w:r>
          </w:p>
        </w:tc>
        <w:tc>
          <w:tcPr>
            <w:tcW w:w="1079" w:type="dxa"/>
            <w:tcBorders>
              <w:top w:val="nil"/>
              <w:left w:val="nil"/>
              <w:bottom w:val="nil"/>
              <w:right w:val="nil"/>
            </w:tcBorders>
            <w:shd w:val="clear" w:color="auto" w:fill="D8F1D0"/>
            <w:hideMark/>
          </w:tcPr>
          <w:p w14:paraId="1D5E2BA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tcBorders>
              <w:top w:val="nil"/>
              <w:left w:val="nil"/>
              <w:bottom w:val="nil"/>
              <w:right w:val="single" w:sz="4" w:space="0" w:color="000000" w:themeColor="text1"/>
            </w:tcBorders>
            <w:shd w:val="clear" w:color="auto" w:fill="D8F1D0"/>
            <w:hideMark/>
          </w:tcPr>
          <w:p w14:paraId="40BE46D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Dokumenti Udhëzues i BE për Jetesën e Pavarur; Strategjia e BE për Personat me Aftësi të Kufizuara 2021-2030; Shtylla </w:t>
            </w:r>
            <w:r w:rsidR="00234FBC" w:rsidRPr="00CB13F7">
              <w:rPr>
                <w:rFonts w:eastAsia="Times New Roman"/>
                <w:color w:val="000000"/>
                <w:sz w:val="16"/>
                <w:szCs w:val="16"/>
                <w:lang w:eastAsia="en-US"/>
              </w:rPr>
              <w:t>Evropiane</w:t>
            </w:r>
            <w:r w:rsidRPr="00CB13F7">
              <w:rPr>
                <w:rFonts w:eastAsia="Times New Roman"/>
                <w:color w:val="000000"/>
                <w:sz w:val="16"/>
                <w:szCs w:val="16"/>
                <w:lang w:eastAsia="en-US"/>
              </w:rPr>
              <w:t xml:space="preserve"> e të Drejtave Sociale, Parimi 17; </w:t>
            </w:r>
          </w:p>
          <w:p w14:paraId="5EAF97E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SKZHIE 2022-2030; </w:t>
            </w:r>
            <w:r w:rsidRPr="00CB13F7">
              <w:rPr>
                <w:rFonts w:eastAsia="Times New Roman"/>
                <w:color w:val="000000"/>
                <w:sz w:val="16"/>
                <w:szCs w:val="16"/>
                <w:lang w:eastAsia="en-US"/>
              </w:rPr>
              <w:br/>
              <w:t>Strategjia e Mbrojtjes Sociale 2023-2030;</w:t>
            </w:r>
          </w:p>
        </w:tc>
      </w:tr>
      <w:tr w:rsidR="007D728E" w:rsidRPr="00CB13F7" w14:paraId="75FAB725" w14:textId="77777777" w:rsidTr="661F9D2E">
        <w:trPr>
          <w:trHeight w:val="2700"/>
        </w:trPr>
        <w:tc>
          <w:tcPr>
            <w:tcW w:w="874"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1A95A480"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lastRenderedPageBreak/>
              <w:t> </w:t>
            </w:r>
          </w:p>
        </w:tc>
        <w:tc>
          <w:tcPr>
            <w:tcW w:w="2772"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79D4875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Objektivi Specifik 1. Përmirësimi i jetesës për Personat me Aftësi të Kufizuara nëpërmjet skemave financiare të përshtatshme, të </w:t>
            </w:r>
            <w:r w:rsidR="00234FBC" w:rsidRPr="00CB13F7">
              <w:rPr>
                <w:rFonts w:eastAsia="Times New Roman"/>
                <w:color w:val="000000"/>
                <w:sz w:val="16"/>
                <w:szCs w:val="16"/>
                <w:lang w:eastAsia="en-US"/>
              </w:rPr>
              <w:t>mirë shënjestruara</w:t>
            </w:r>
            <w:r w:rsidRPr="00CB13F7">
              <w:rPr>
                <w:rFonts w:eastAsia="Times New Roman"/>
                <w:color w:val="000000"/>
                <w:sz w:val="16"/>
                <w:szCs w:val="16"/>
                <w:lang w:eastAsia="en-US"/>
              </w:rPr>
              <w:t>, transparente dhe të afta për të përballuar rreziqet e ndryshme.</w:t>
            </w:r>
          </w:p>
        </w:tc>
        <w:tc>
          <w:tcPr>
            <w:tcW w:w="2530" w:type="dxa"/>
            <w:vMerge w:val="restart"/>
            <w:tcBorders>
              <w:top w:val="single" w:sz="4" w:space="0" w:color="000000" w:themeColor="text1"/>
              <w:left w:val="single" w:sz="4" w:space="0" w:color="000000" w:themeColor="text1"/>
              <w:bottom w:val="nil"/>
              <w:right w:val="nil"/>
            </w:tcBorders>
            <w:shd w:val="clear" w:color="auto" w:fill="CAEDFA"/>
            <w:hideMark/>
          </w:tcPr>
          <w:p w14:paraId="6959AB7D" w14:textId="6052CF1E"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 e personave me aftësi të kufizuar që janë komisionuar përmes sistemimit të menaxhimit të informacionit</w:t>
            </w:r>
          </w:p>
        </w:tc>
        <w:tc>
          <w:tcPr>
            <w:tcW w:w="120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448F96E4" w14:textId="7555565C"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87% (%burra;%gra;%fëmijë)</w:t>
            </w:r>
          </w:p>
          <w:p w14:paraId="72405464" w14:textId="1765CEE9" w:rsidR="007D728E" w:rsidRPr="00CB13F7" w:rsidRDefault="007D728E" w:rsidP="661F9D2E">
            <w:pPr>
              <w:rPr>
                <w:rFonts w:eastAsia="Times New Roman"/>
                <w:color w:val="000000" w:themeColor="text1"/>
                <w:sz w:val="16"/>
                <w:szCs w:val="16"/>
                <w:lang w:eastAsia="en-US"/>
              </w:rPr>
            </w:pPr>
          </w:p>
          <w:p w14:paraId="40FE6A30" w14:textId="424C931D" w:rsidR="007D728E" w:rsidRPr="00CB13F7" w:rsidRDefault="007D728E" w:rsidP="661F9D2E">
            <w:pPr>
              <w:rPr>
                <w:rFonts w:eastAsia="Times New Roman"/>
                <w:color w:val="000000" w:themeColor="text1"/>
                <w:sz w:val="16"/>
                <w:szCs w:val="16"/>
                <w:lang w:eastAsia="en-US"/>
              </w:rPr>
            </w:pPr>
          </w:p>
          <w:p w14:paraId="3014B6CC" w14:textId="5A609F4C" w:rsidR="007D728E" w:rsidRPr="00CB13F7" w:rsidRDefault="007D728E" w:rsidP="007D728E">
            <w:pPr>
              <w:rPr>
                <w:rFonts w:eastAsia="Times New Roman"/>
                <w:color w:val="000000"/>
                <w:sz w:val="16"/>
                <w:szCs w:val="16"/>
                <w:lang w:eastAsia="en-US"/>
              </w:rPr>
            </w:pPr>
          </w:p>
        </w:tc>
        <w:tc>
          <w:tcPr>
            <w:tcW w:w="146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25B5888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95% (%burra;%gra;%fëmijë)</w:t>
            </w:r>
          </w:p>
        </w:tc>
        <w:tc>
          <w:tcPr>
            <w:tcW w:w="1201" w:type="dxa"/>
            <w:vMerge w:val="restart"/>
            <w:tcBorders>
              <w:top w:val="single" w:sz="4" w:space="0" w:color="000000" w:themeColor="text1"/>
              <w:left w:val="single" w:sz="4" w:space="0" w:color="000000" w:themeColor="text1"/>
              <w:bottom w:val="nil"/>
              <w:right w:val="nil"/>
            </w:tcBorders>
            <w:shd w:val="clear" w:color="auto" w:fill="CAEDFA"/>
            <w:hideMark/>
          </w:tcPr>
          <w:p w14:paraId="4043636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97% (%burra;%gra;%fëmijë)</w:t>
            </w:r>
          </w:p>
        </w:tc>
        <w:tc>
          <w:tcPr>
            <w:tcW w:w="1079" w:type="dxa"/>
            <w:vMerge w:val="restart"/>
            <w:tcBorders>
              <w:top w:val="single" w:sz="4" w:space="0" w:color="000000" w:themeColor="text1"/>
              <w:left w:val="single" w:sz="4" w:space="0" w:color="000000" w:themeColor="text1"/>
              <w:bottom w:val="nil"/>
              <w:right w:val="nil"/>
            </w:tcBorders>
            <w:shd w:val="clear" w:color="auto" w:fill="CAEDFA"/>
            <w:hideMark/>
          </w:tcPr>
          <w:p w14:paraId="744967B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Regjistri i vlerësimit bio-</w:t>
            </w:r>
            <w:r w:rsidR="00234FBC" w:rsidRPr="00CB13F7">
              <w:rPr>
                <w:rFonts w:eastAsia="Times New Roman"/>
                <w:color w:val="000000"/>
                <w:sz w:val="16"/>
                <w:szCs w:val="16"/>
                <w:lang w:eastAsia="en-US"/>
              </w:rPr>
              <w:t>psiko-social</w:t>
            </w:r>
            <w:r w:rsidRPr="00CB13F7">
              <w:rPr>
                <w:rFonts w:eastAsia="Times New Roman"/>
                <w:color w:val="000000"/>
                <w:sz w:val="16"/>
                <w:szCs w:val="16"/>
                <w:lang w:eastAsia="en-US"/>
              </w:rPr>
              <w:t xml:space="preserve">; </w:t>
            </w:r>
            <w:r w:rsidRPr="00CB13F7">
              <w:rPr>
                <w:rFonts w:eastAsia="Times New Roman"/>
                <w:color w:val="000000"/>
                <w:sz w:val="16"/>
                <w:szCs w:val="16"/>
                <w:lang w:eastAsia="en-US"/>
              </w:rPr>
              <w:br/>
              <w:t>KVAK;</w:t>
            </w:r>
            <w:r w:rsidRPr="00CB13F7">
              <w:rPr>
                <w:rFonts w:eastAsia="Times New Roman"/>
                <w:color w:val="000000"/>
                <w:sz w:val="16"/>
                <w:szCs w:val="16"/>
                <w:lang w:eastAsia="en-US"/>
              </w:rPr>
              <w:br/>
              <w:t>Raporte të MSHMS;</w:t>
            </w:r>
            <w:r w:rsidRPr="00CB13F7">
              <w:rPr>
                <w:rFonts w:eastAsia="Times New Roman"/>
                <w:color w:val="000000"/>
                <w:sz w:val="16"/>
                <w:szCs w:val="16"/>
                <w:lang w:eastAsia="en-US"/>
              </w:rPr>
              <w:br/>
              <w:t>SHSSH;</w:t>
            </w:r>
          </w:p>
        </w:tc>
        <w:tc>
          <w:tcPr>
            <w:tcW w:w="249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3F1DD17E" w14:textId="0D6F0F4D" w:rsidR="007D728E" w:rsidRPr="00CB13F7" w:rsidRDefault="5AD2CD06" w:rsidP="661F9D2E">
            <w:pPr>
              <w:rPr>
                <w:rFonts w:eastAsia="Times New Roman"/>
                <w:color w:val="000000"/>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28, Neni 31, Neni 11)</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1; </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 10;</w:t>
            </w:r>
            <w:r w:rsidR="007D728E" w:rsidRPr="00CB13F7">
              <w:br/>
            </w:r>
            <w:r w:rsidR="0080D2BD" w:rsidRPr="00CB13F7">
              <w:rPr>
                <w:rFonts w:eastAsia="Times New Roman"/>
                <w:color w:val="000000" w:themeColor="text1"/>
                <w:sz w:val="16"/>
                <w:szCs w:val="16"/>
                <w:lang w:eastAsia="en-US"/>
              </w:rPr>
              <w:t xml:space="preserve">EU Strategy for the Rights of Persons </w:t>
            </w:r>
            <w:r w:rsidR="004B03EF" w:rsidRPr="00CB13F7">
              <w:rPr>
                <w:rFonts w:eastAsia="Times New Roman"/>
                <w:color w:val="000000" w:themeColor="text1"/>
                <w:sz w:val="16"/>
                <w:szCs w:val="16"/>
                <w:lang w:eastAsia="en-US"/>
              </w:rPr>
              <w:t>ë</w:t>
            </w:r>
            <w:r w:rsidR="0080D2BD" w:rsidRPr="00CB13F7">
              <w:rPr>
                <w:rFonts w:eastAsia="Times New Roman"/>
                <w:color w:val="000000" w:themeColor="text1"/>
                <w:sz w:val="16"/>
                <w:szCs w:val="16"/>
                <w:lang w:eastAsia="en-US"/>
              </w:rPr>
              <w:t>ith Disabilities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 xml:space="preserve">Employment Equality Directive 2000/78/EC; </w:t>
            </w:r>
            <w:r w:rsidR="007D728E" w:rsidRPr="00CB13F7">
              <w:br/>
            </w:r>
            <w:r w:rsidR="0080D2BD" w:rsidRPr="00CB13F7">
              <w:rPr>
                <w:rFonts w:eastAsia="Times New Roman"/>
                <w:color w:val="000000" w:themeColor="text1"/>
                <w:sz w:val="16"/>
                <w:szCs w:val="16"/>
                <w:lang w:eastAsia="en-US"/>
              </w:rPr>
              <w:t xml:space="preserve">Shtylla </w:t>
            </w:r>
            <w:r w:rsidR="48A00EEC" w:rsidRPr="00CB13F7">
              <w:rPr>
                <w:rFonts w:eastAsia="Times New Roman"/>
                <w:color w:val="000000" w:themeColor="text1"/>
                <w:sz w:val="16"/>
                <w:szCs w:val="16"/>
                <w:lang w:eastAsia="en-US"/>
              </w:rPr>
              <w:t>Evropiane</w:t>
            </w:r>
            <w:r w:rsidR="0080D2BD" w:rsidRPr="00CB13F7">
              <w:rPr>
                <w:rFonts w:eastAsia="Times New Roman"/>
                <w:color w:val="000000" w:themeColor="text1"/>
                <w:sz w:val="16"/>
                <w:szCs w:val="16"/>
                <w:lang w:eastAsia="en-US"/>
              </w:rPr>
              <w:t xml:space="preserve"> e të Drejtave Sociale (EPSR); Parimi 17; Parimi 12; Parimi 19 </w:t>
            </w:r>
            <w:r w:rsidR="007D728E" w:rsidRPr="00CB13F7">
              <w:br/>
            </w:r>
            <w:r w:rsidR="0080D2BD" w:rsidRPr="00CB13F7">
              <w:rPr>
                <w:rFonts w:eastAsia="Times New Roman"/>
                <w:color w:val="000000" w:themeColor="text1"/>
                <w:sz w:val="16"/>
                <w:szCs w:val="16"/>
                <w:lang w:eastAsia="en-US"/>
              </w:rPr>
              <w:t>SKZHIE 2022</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 (SKZHIE);</w:t>
            </w:r>
            <w:r w:rsidR="007D728E" w:rsidRPr="00CB13F7">
              <w:br/>
            </w:r>
            <w:r w:rsidR="0080D2BD" w:rsidRPr="00CB13F7">
              <w:rPr>
                <w:rFonts w:eastAsia="Times New Roman"/>
                <w:color w:val="000000" w:themeColor="text1"/>
                <w:sz w:val="16"/>
                <w:szCs w:val="16"/>
                <w:lang w:eastAsia="en-US"/>
              </w:rPr>
              <w:t>Strategjia Kombëtare e Mbrojtjes Sociale 2024</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w:t>
            </w:r>
            <w:r w:rsidR="007D728E" w:rsidRPr="00CB13F7">
              <w:br/>
            </w:r>
            <w:r w:rsidR="0080D2BD" w:rsidRPr="00CB13F7">
              <w:rPr>
                <w:rFonts w:eastAsia="Times New Roman"/>
                <w:color w:val="000000" w:themeColor="text1"/>
                <w:sz w:val="16"/>
                <w:szCs w:val="16"/>
                <w:lang w:eastAsia="en-US"/>
              </w:rPr>
              <w:t xml:space="preserve">Kapituj të acquis; Kapitulli 19 </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Politikat sociale &amp; punësimi; </w:t>
            </w:r>
          </w:p>
        </w:tc>
      </w:tr>
      <w:tr w:rsidR="007D728E" w:rsidRPr="00CB13F7" w14:paraId="61F63F74" w14:textId="77777777" w:rsidTr="661F9D2E">
        <w:trPr>
          <w:trHeight w:val="615"/>
        </w:trPr>
        <w:tc>
          <w:tcPr>
            <w:tcW w:w="874" w:type="dxa"/>
            <w:vMerge/>
            <w:hideMark/>
          </w:tcPr>
          <w:p w14:paraId="2E51079F" w14:textId="77777777" w:rsidR="007D728E" w:rsidRPr="00CB13F7" w:rsidRDefault="007D728E" w:rsidP="007D728E">
            <w:pPr>
              <w:rPr>
                <w:rFonts w:eastAsia="Times New Roman"/>
                <w:b/>
                <w:bCs/>
                <w:color w:val="000000"/>
                <w:sz w:val="16"/>
                <w:szCs w:val="16"/>
                <w:lang w:eastAsia="en-US"/>
              </w:rPr>
            </w:pPr>
          </w:p>
        </w:tc>
        <w:tc>
          <w:tcPr>
            <w:tcW w:w="2772" w:type="dxa"/>
            <w:gridSpan w:val="2"/>
            <w:vMerge/>
            <w:hideMark/>
          </w:tcPr>
          <w:p w14:paraId="759E17EE" w14:textId="77777777" w:rsidR="007D728E" w:rsidRPr="00CB13F7" w:rsidRDefault="007D728E" w:rsidP="007D728E">
            <w:pPr>
              <w:rPr>
                <w:rFonts w:eastAsia="Times New Roman"/>
                <w:color w:val="000000"/>
                <w:sz w:val="16"/>
                <w:szCs w:val="16"/>
                <w:lang w:eastAsia="en-US"/>
              </w:rPr>
            </w:pPr>
          </w:p>
        </w:tc>
        <w:tc>
          <w:tcPr>
            <w:tcW w:w="2530" w:type="dxa"/>
            <w:vMerge/>
            <w:hideMark/>
          </w:tcPr>
          <w:p w14:paraId="4D08F601" w14:textId="77777777" w:rsidR="007D728E" w:rsidRPr="00CB13F7" w:rsidRDefault="007D728E" w:rsidP="007D728E">
            <w:pPr>
              <w:rPr>
                <w:rFonts w:eastAsia="Times New Roman"/>
                <w:color w:val="000000"/>
                <w:sz w:val="16"/>
                <w:szCs w:val="16"/>
                <w:lang w:eastAsia="en-US"/>
              </w:rPr>
            </w:pPr>
          </w:p>
        </w:tc>
        <w:tc>
          <w:tcPr>
            <w:tcW w:w="1201" w:type="dxa"/>
            <w:vMerge/>
            <w:hideMark/>
          </w:tcPr>
          <w:p w14:paraId="6BD25775" w14:textId="77777777" w:rsidR="007D728E" w:rsidRPr="00CB13F7" w:rsidRDefault="007D728E" w:rsidP="007D728E">
            <w:pPr>
              <w:rPr>
                <w:rFonts w:eastAsia="Times New Roman"/>
                <w:color w:val="000000"/>
                <w:sz w:val="16"/>
                <w:szCs w:val="16"/>
                <w:lang w:eastAsia="en-US"/>
              </w:rPr>
            </w:pPr>
          </w:p>
        </w:tc>
        <w:tc>
          <w:tcPr>
            <w:tcW w:w="1461" w:type="dxa"/>
            <w:vMerge/>
            <w:hideMark/>
          </w:tcPr>
          <w:p w14:paraId="7F720E33" w14:textId="77777777" w:rsidR="007D728E" w:rsidRPr="00CB13F7" w:rsidRDefault="007D728E" w:rsidP="007D728E">
            <w:pPr>
              <w:rPr>
                <w:rFonts w:eastAsia="Times New Roman"/>
                <w:color w:val="000000"/>
                <w:sz w:val="16"/>
                <w:szCs w:val="16"/>
                <w:lang w:eastAsia="en-US"/>
              </w:rPr>
            </w:pPr>
          </w:p>
        </w:tc>
        <w:tc>
          <w:tcPr>
            <w:tcW w:w="1201" w:type="dxa"/>
            <w:vMerge/>
            <w:hideMark/>
          </w:tcPr>
          <w:p w14:paraId="5597AD8B" w14:textId="77777777" w:rsidR="007D728E" w:rsidRPr="00CB13F7" w:rsidRDefault="007D728E" w:rsidP="007D728E">
            <w:pPr>
              <w:rPr>
                <w:rFonts w:eastAsia="Times New Roman"/>
                <w:color w:val="000000"/>
                <w:sz w:val="16"/>
                <w:szCs w:val="16"/>
                <w:lang w:eastAsia="en-US"/>
              </w:rPr>
            </w:pPr>
          </w:p>
        </w:tc>
        <w:tc>
          <w:tcPr>
            <w:tcW w:w="1079" w:type="dxa"/>
            <w:vMerge/>
            <w:hideMark/>
          </w:tcPr>
          <w:p w14:paraId="36E98071" w14:textId="77777777" w:rsidR="007D728E" w:rsidRPr="00CB13F7" w:rsidRDefault="007D728E" w:rsidP="007D728E">
            <w:pPr>
              <w:rPr>
                <w:rFonts w:eastAsia="Times New Roman"/>
                <w:color w:val="000000"/>
                <w:sz w:val="16"/>
                <w:szCs w:val="16"/>
                <w:lang w:eastAsia="en-US"/>
              </w:rPr>
            </w:pPr>
          </w:p>
        </w:tc>
        <w:tc>
          <w:tcPr>
            <w:tcW w:w="2495" w:type="dxa"/>
            <w:vMerge/>
            <w:hideMark/>
          </w:tcPr>
          <w:p w14:paraId="36F14BD0" w14:textId="77777777" w:rsidR="007D728E" w:rsidRPr="00CB13F7" w:rsidRDefault="007D728E" w:rsidP="007D728E">
            <w:pPr>
              <w:rPr>
                <w:rFonts w:eastAsia="Times New Roman"/>
                <w:color w:val="000000"/>
                <w:sz w:val="16"/>
                <w:szCs w:val="16"/>
                <w:lang w:eastAsia="en-US"/>
              </w:rPr>
            </w:pPr>
          </w:p>
        </w:tc>
      </w:tr>
      <w:tr w:rsidR="007D728E" w:rsidRPr="00CB13F7" w14:paraId="22991A9E" w14:textId="77777777" w:rsidTr="661F9D2E">
        <w:trPr>
          <w:trHeight w:val="464"/>
        </w:trPr>
        <w:tc>
          <w:tcPr>
            <w:tcW w:w="874" w:type="dxa"/>
            <w:vMerge/>
            <w:hideMark/>
          </w:tcPr>
          <w:p w14:paraId="3EED3DA0" w14:textId="77777777" w:rsidR="007D728E" w:rsidRPr="00CB13F7" w:rsidRDefault="007D728E" w:rsidP="007D728E">
            <w:pPr>
              <w:rPr>
                <w:rFonts w:eastAsia="Times New Roman"/>
                <w:b/>
                <w:bCs/>
                <w:color w:val="000000"/>
                <w:sz w:val="16"/>
                <w:szCs w:val="16"/>
                <w:lang w:eastAsia="en-US"/>
              </w:rPr>
            </w:pPr>
          </w:p>
        </w:tc>
        <w:tc>
          <w:tcPr>
            <w:tcW w:w="2772"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2E61FFF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Objektivi Specifik 2. Zgjerimi i shërbimeve sociale të integruara, të aksesueshme e cilësore si dhe avancimi i deinstitucionalizimit, në partneritet me pushtetin vendor dhe aktorët e tjerë.</w:t>
            </w:r>
          </w:p>
        </w:tc>
        <w:tc>
          <w:tcPr>
            <w:tcW w:w="2530" w:type="dxa"/>
            <w:vMerge w:val="restart"/>
            <w:tcBorders>
              <w:top w:val="single" w:sz="4" w:space="0" w:color="000000" w:themeColor="text1"/>
              <w:left w:val="single" w:sz="4" w:space="0" w:color="000000" w:themeColor="text1"/>
              <w:bottom w:val="nil"/>
              <w:right w:val="nil"/>
            </w:tcBorders>
            <w:shd w:val="clear" w:color="auto" w:fill="CAEDFA"/>
            <w:hideMark/>
          </w:tcPr>
          <w:p w14:paraId="1E5E203C" w14:textId="0CEFBCC7"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 xml:space="preserve">Përqindja e personave me aftësi të kufizuara që marrin shërbime komunitare (jo rezidenciale) ndaj totalit të përfituesve të shërbimeve të kujdesit social. </w:t>
            </w:r>
            <w:r w:rsidR="007D728E" w:rsidRPr="00CB13F7">
              <w:br/>
            </w:r>
            <w:r w:rsidRPr="00CB13F7">
              <w:rPr>
                <w:rFonts w:eastAsia="Times New Roman"/>
                <w:color w:val="000000" w:themeColor="text1"/>
                <w:sz w:val="16"/>
                <w:szCs w:val="16"/>
                <w:lang w:eastAsia="en-US"/>
              </w:rPr>
              <w:t xml:space="preserve"> </w:t>
            </w:r>
          </w:p>
          <w:p w14:paraId="180DE466" w14:textId="0E791A8E" w:rsidR="007D728E" w:rsidRPr="00CB13F7" w:rsidRDefault="007D728E" w:rsidP="007D728E"/>
          <w:p w14:paraId="00A55C3C" w14:textId="684C3F66" w:rsidR="007D728E" w:rsidRPr="00CB13F7" w:rsidRDefault="007D728E" w:rsidP="007D728E">
            <w:pPr>
              <w:rPr>
                <w:rFonts w:eastAsia="Times New Roman"/>
                <w:color w:val="000000"/>
                <w:sz w:val="16"/>
                <w:szCs w:val="16"/>
                <w:lang w:eastAsia="en-US"/>
              </w:rPr>
            </w:pPr>
            <w:r w:rsidRPr="00CB13F7">
              <w:br/>
            </w:r>
            <w:r w:rsidR="0080D2BD" w:rsidRPr="00CB13F7">
              <w:rPr>
                <w:rFonts w:eastAsia="Times New Roman"/>
                <w:color w:val="000000" w:themeColor="text1"/>
                <w:sz w:val="16"/>
                <w:szCs w:val="16"/>
                <w:lang w:eastAsia="en-US"/>
              </w:rPr>
              <w:t xml:space="preserve">Numri i personave me </w:t>
            </w:r>
            <w:r w:rsidR="48A00EEC" w:rsidRPr="00CB13F7">
              <w:rPr>
                <w:rFonts w:eastAsia="Times New Roman"/>
                <w:color w:val="000000" w:themeColor="text1"/>
                <w:sz w:val="16"/>
                <w:szCs w:val="16"/>
                <w:lang w:eastAsia="en-US"/>
              </w:rPr>
              <w:t>aftësi</w:t>
            </w:r>
            <w:r w:rsidR="0080D2BD" w:rsidRPr="00CB13F7">
              <w:rPr>
                <w:rFonts w:eastAsia="Times New Roman"/>
                <w:color w:val="000000" w:themeColor="text1"/>
                <w:sz w:val="16"/>
                <w:szCs w:val="16"/>
                <w:lang w:eastAsia="en-US"/>
              </w:rPr>
              <w:t xml:space="preserve"> te kufizuar  që përfitojnë shërbime sociale ne qendrat e </w:t>
            </w:r>
            <w:r w:rsidR="48A00EEC" w:rsidRPr="00CB13F7">
              <w:rPr>
                <w:rFonts w:eastAsia="Times New Roman"/>
                <w:color w:val="000000" w:themeColor="text1"/>
                <w:sz w:val="16"/>
                <w:szCs w:val="16"/>
                <w:lang w:eastAsia="en-US"/>
              </w:rPr>
              <w:t>përkujdesit</w:t>
            </w:r>
            <w:r w:rsidR="0080D2BD" w:rsidRPr="00CB13F7">
              <w:rPr>
                <w:rFonts w:eastAsia="Times New Roman"/>
                <w:color w:val="000000" w:themeColor="text1"/>
                <w:sz w:val="16"/>
                <w:szCs w:val="16"/>
                <w:lang w:eastAsia="en-US"/>
              </w:rPr>
              <w:t xml:space="preserve"> social.</w:t>
            </w:r>
          </w:p>
        </w:tc>
        <w:tc>
          <w:tcPr>
            <w:tcW w:w="120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62D0116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22%; (%burra;%gra;%fëmijë)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11000</w:t>
            </w:r>
          </w:p>
        </w:tc>
        <w:tc>
          <w:tcPr>
            <w:tcW w:w="1461"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6339AC8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30%; (%burra;%gra;%fëmijë)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11750</w:t>
            </w:r>
          </w:p>
        </w:tc>
        <w:tc>
          <w:tcPr>
            <w:tcW w:w="1201" w:type="dxa"/>
            <w:vMerge w:val="restart"/>
            <w:tcBorders>
              <w:top w:val="single" w:sz="4" w:space="0" w:color="000000" w:themeColor="text1"/>
              <w:left w:val="single" w:sz="4" w:space="0" w:color="000000" w:themeColor="text1"/>
              <w:bottom w:val="nil"/>
              <w:right w:val="nil"/>
            </w:tcBorders>
            <w:shd w:val="clear" w:color="auto" w:fill="CAEDFA"/>
            <w:hideMark/>
          </w:tcPr>
          <w:p w14:paraId="369CE79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 (%burra;%gra;%fëmijë)</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12000</w:t>
            </w:r>
          </w:p>
        </w:tc>
        <w:tc>
          <w:tcPr>
            <w:tcW w:w="1079" w:type="dxa"/>
            <w:vMerge w:val="restart"/>
            <w:tcBorders>
              <w:top w:val="single" w:sz="4" w:space="0" w:color="000000" w:themeColor="text1"/>
              <w:left w:val="single" w:sz="4" w:space="0" w:color="000000" w:themeColor="text1"/>
              <w:bottom w:val="nil"/>
              <w:right w:val="nil"/>
            </w:tcBorders>
            <w:shd w:val="clear" w:color="auto" w:fill="CAEDFA"/>
            <w:hideMark/>
          </w:tcPr>
          <w:p w14:paraId="3C6CCA2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SHSSH;</w:t>
            </w:r>
            <w:r w:rsidRPr="00CB13F7">
              <w:rPr>
                <w:rFonts w:eastAsia="Times New Roman"/>
                <w:color w:val="000000"/>
                <w:sz w:val="16"/>
                <w:szCs w:val="16"/>
                <w:lang w:eastAsia="en-US"/>
              </w:rPr>
              <w:br/>
              <w:t>NJVV;</w:t>
            </w:r>
            <w:r w:rsidRPr="00CB13F7">
              <w:rPr>
                <w:rFonts w:eastAsia="Times New Roman"/>
                <w:color w:val="000000"/>
                <w:sz w:val="16"/>
                <w:szCs w:val="16"/>
                <w:lang w:eastAsia="en-US"/>
              </w:rPr>
              <w:br/>
              <w:t>Regjistri i shërbimeve sociale;</w:t>
            </w:r>
          </w:p>
        </w:tc>
        <w:tc>
          <w:tcPr>
            <w:tcW w:w="249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3493BBD1" w14:textId="459C5055" w:rsidR="007D728E" w:rsidRPr="00CB13F7" w:rsidRDefault="6B342CA3" w:rsidP="661F9D2E">
            <w:pPr>
              <w:rPr>
                <w:rFonts w:eastAsia="Times New Roman"/>
                <w:color w:val="000000"/>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19; Neni 26; Neni 9 </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 3; </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 10; </w:t>
            </w:r>
            <w:r w:rsidR="007D728E" w:rsidRPr="00CB13F7">
              <w:br/>
            </w:r>
            <w:r w:rsidR="0080D2BD" w:rsidRPr="00CB13F7">
              <w:rPr>
                <w:rFonts w:eastAsia="Times New Roman"/>
                <w:color w:val="000000" w:themeColor="text1"/>
                <w:sz w:val="16"/>
                <w:szCs w:val="16"/>
                <w:lang w:eastAsia="en-US"/>
              </w:rPr>
              <w:t>EU Disability Strategy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Aksesueshmëria e informacionit/shërbimeve digjitale: </w:t>
            </w:r>
            <w:r w:rsidR="004B03EF" w:rsidRPr="00CB13F7">
              <w:rPr>
                <w:rFonts w:eastAsia="Times New Roman"/>
                <w:color w:val="000000" w:themeColor="text1"/>
                <w:sz w:val="16"/>
                <w:szCs w:val="16"/>
                <w:lang w:eastAsia="en-US"/>
              </w:rPr>
              <w:t>ë</w:t>
            </w:r>
            <w:r w:rsidR="0080D2BD" w:rsidRPr="00CB13F7">
              <w:rPr>
                <w:rFonts w:eastAsia="Times New Roman"/>
                <w:color w:val="000000" w:themeColor="text1"/>
                <w:sz w:val="16"/>
                <w:szCs w:val="16"/>
                <w:lang w:eastAsia="en-US"/>
              </w:rPr>
              <w:t xml:space="preserve">eb Accessibility Directive 2016/2102. </w:t>
            </w:r>
            <w:r w:rsidR="007D728E" w:rsidRPr="00CB13F7">
              <w:br/>
            </w:r>
            <w:r w:rsidR="0080D2BD" w:rsidRPr="00CB13F7">
              <w:rPr>
                <w:rFonts w:eastAsia="Times New Roman"/>
                <w:color w:val="000000" w:themeColor="text1"/>
                <w:sz w:val="16"/>
                <w:szCs w:val="16"/>
                <w:lang w:eastAsia="en-US"/>
              </w:rPr>
              <w:t xml:space="preserve">European Accessibility Act </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 Directive (EU) 2019/882; </w:t>
            </w:r>
            <w:r w:rsidR="007D728E" w:rsidRPr="00CB13F7">
              <w:br/>
            </w:r>
            <w:r w:rsidR="0080D2BD" w:rsidRPr="00CB13F7">
              <w:rPr>
                <w:rFonts w:eastAsia="Times New Roman"/>
                <w:color w:val="000000" w:themeColor="text1"/>
                <w:sz w:val="16"/>
                <w:szCs w:val="16"/>
                <w:lang w:eastAsia="en-US"/>
              </w:rPr>
              <w:t xml:space="preserve">EPSR; </w:t>
            </w:r>
            <w:r w:rsidR="007D728E" w:rsidRPr="00CB13F7">
              <w:br/>
            </w:r>
            <w:r w:rsidR="0080D2BD" w:rsidRPr="00CB13F7">
              <w:rPr>
                <w:rFonts w:eastAsia="Times New Roman"/>
                <w:color w:val="000000" w:themeColor="text1"/>
                <w:sz w:val="16"/>
                <w:szCs w:val="16"/>
                <w:lang w:eastAsia="en-US"/>
              </w:rPr>
              <w:t xml:space="preserve">Parimi 17; Parimi 16; Parimi 20 </w:t>
            </w:r>
            <w:r w:rsidR="007D728E" w:rsidRPr="00CB13F7">
              <w:br/>
            </w:r>
            <w:r w:rsidR="0080D2BD" w:rsidRPr="00CB13F7">
              <w:rPr>
                <w:rFonts w:eastAsia="Times New Roman"/>
                <w:color w:val="000000" w:themeColor="text1"/>
                <w:sz w:val="16"/>
                <w:szCs w:val="16"/>
                <w:lang w:eastAsia="en-US"/>
              </w:rPr>
              <w:t>SKZHIE 2022</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w:t>
            </w:r>
            <w:r w:rsidR="007D728E" w:rsidRPr="00CB13F7">
              <w:br/>
            </w:r>
            <w:r w:rsidR="0080D2BD" w:rsidRPr="00CB13F7">
              <w:rPr>
                <w:rFonts w:eastAsia="Times New Roman"/>
                <w:color w:val="000000" w:themeColor="text1"/>
                <w:sz w:val="16"/>
                <w:szCs w:val="16"/>
                <w:lang w:eastAsia="en-US"/>
              </w:rPr>
              <w:t>Strategjia Kombëtare e Mbrojtjes Sociale 2024</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w:t>
            </w:r>
            <w:r w:rsidR="007D728E" w:rsidRPr="00CB13F7">
              <w:br/>
            </w:r>
            <w:r w:rsidR="0080D2BD" w:rsidRPr="00CB13F7">
              <w:rPr>
                <w:rFonts w:eastAsia="Times New Roman"/>
                <w:color w:val="000000" w:themeColor="text1"/>
                <w:sz w:val="16"/>
                <w:szCs w:val="16"/>
                <w:lang w:eastAsia="en-US"/>
              </w:rPr>
              <w:t>Kapituj acquis:Kapitulli 19 (shërbime sociale, përfshirje/punësim), Kapitulli 23 (të drejta themelore);</w:t>
            </w:r>
          </w:p>
        </w:tc>
      </w:tr>
      <w:tr w:rsidR="007D728E" w:rsidRPr="00CB13F7" w14:paraId="10792D6E" w14:textId="77777777" w:rsidTr="661F9D2E">
        <w:trPr>
          <w:trHeight w:val="464"/>
        </w:trPr>
        <w:tc>
          <w:tcPr>
            <w:tcW w:w="874" w:type="dxa"/>
            <w:vMerge/>
            <w:hideMark/>
          </w:tcPr>
          <w:p w14:paraId="669EE322" w14:textId="77777777" w:rsidR="007D728E" w:rsidRPr="00CB13F7" w:rsidRDefault="007D728E" w:rsidP="007D728E">
            <w:pPr>
              <w:rPr>
                <w:rFonts w:eastAsia="Times New Roman"/>
                <w:b/>
                <w:bCs/>
                <w:color w:val="000000"/>
                <w:sz w:val="16"/>
                <w:szCs w:val="16"/>
                <w:lang w:eastAsia="en-US"/>
              </w:rPr>
            </w:pPr>
          </w:p>
        </w:tc>
        <w:tc>
          <w:tcPr>
            <w:tcW w:w="2772" w:type="dxa"/>
            <w:gridSpan w:val="2"/>
            <w:vMerge/>
            <w:hideMark/>
          </w:tcPr>
          <w:p w14:paraId="787C70FB" w14:textId="77777777" w:rsidR="007D728E" w:rsidRPr="00CB13F7" w:rsidRDefault="007D728E" w:rsidP="007D728E">
            <w:pPr>
              <w:rPr>
                <w:rFonts w:eastAsia="Times New Roman"/>
                <w:color w:val="000000"/>
                <w:sz w:val="16"/>
                <w:szCs w:val="16"/>
                <w:lang w:eastAsia="en-US"/>
              </w:rPr>
            </w:pPr>
          </w:p>
        </w:tc>
        <w:tc>
          <w:tcPr>
            <w:tcW w:w="2530" w:type="dxa"/>
            <w:vMerge/>
            <w:hideMark/>
          </w:tcPr>
          <w:p w14:paraId="59074106" w14:textId="77777777" w:rsidR="007D728E" w:rsidRPr="00CB13F7" w:rsidRDefault="007D728E" w:rsidP="007D728E">
            <w:pPr>
              <w:rPr>
                <w:rFonts w:eastAsia="Times New Roman"/>
                <w:color w:val="000000"/>
                <w:sz w:val="16"/>
                <w:szCs w:val="16"/>
                <w:lang w:eastAsia="en-US"/>
              </w:rPr>
            </w:pPr>
          </w:p>
        </w:tc>
        <w:tc>
          <w:tcPr>
            <w:tcW w:w="1201" w:type="dxa"/>
            <w:vMerge/>
            <w:hideMark/>
          </w:tcPr>
          <w:p w14:paraId="065655FB" w14:textId="77777777" w:rsidR="007D728E" w:rsidRPr="00CB13F7" w:rsidRDefault="007D728E" w:rsidP="007D728E">
            <w:pPr>
              <w:rPr>
                <w:rFonts w:eastAsia="Times New Roman"/>
                <w:color w:val="000000"/>
                <w:sz w:val="16"/>
                <w:szCs w:val="16"/>
                <w:lang w:eastAsia="en-US"/>
              </w:rPr>
            </w:pPr>
          </w:p>
        </w:tc>
        <w:tc>
          <w:tcPr>
            <w:tcW w:w="1461" w:type="dxa"/>
            <w:vMerge/>
            <w:hideMark/>
          </w:tcPr>
          <w:p w14:paraId="392D26A5" w14:textId="77777777" w:rsidR="007D728E" w:rsidRPr="00CB13F7" w:rsidRDefault="007D728E" w:rsidP="007D728E">
            <w:pPr>
              <w:rPr>
                <w:rFonts w:eastAsia="Times New Roman"/>
                <w:color w:val="000000"/>
                <w:sz w:val="16"/>
                <w:szCs w:val="16"/>
                <w:lang w:eastAsia="en-US"/>
              </w:rPr>
            </w:pPr>
          </w:p>
        </w:tc>
        <w:tc>
          <w:tcPr>
            <w:tcW w:w="1201" w:type="dxa"/>
            <w:vMerge/>
            <w:hideMark/>
          </w:tcPr>
          <w:p w14:paraId="14306515" w14:textId="77777777" w:rsidR="007D728E" w:rsidRPr="00CB13F7" w:rsidRDefault="007D728E" w:rsidP="007D728E">
            <w:pPr>
              <w:rPr>
                <w:rFonts w:eastAsia="Times New Roman"/>
                <w:color w:val="000000"/>
                <w:sz w:val="16"/>
                <w:szCs w:val="16"/>
                <w:lang w:eastAsia="en-US"/>
              </w:rPr>
            </w:pPr>
          </w:p>
        </w:tc>
        <w:tc>
          <w:tcPr>
            <w:tcW w:w="1079" w:type="dxa"/>
            <w:vMerge/>
            <w:hideMark/>
          </w:tcPr>
          <w:p w14:paraId="1FA281A4" w14:textId="77777777" w:rsidR="007D728E" w:rsidRPr="00CB13F7" w:rsidRDefault="007D728E" w:rsidP="007D728E">
            <w:pPr>
              <w:rPr>
                <w:rFonts w:eastAsia="Times New Roman"/>
                <w:color w:val="000000"/>
                <w:sz w:val="16"/>
                <w:szCs w:val="16"/>
                <w:lang w:eastAsia="en-US"/>
              </w:rPr>
            </w:pPr>
          </w:p>
        </w:tc>
        <w:tc>
          <w:tcPr>
            <w:tcW w:w="2495" w:type="dxa"/>
            <w:vMerge/>
            <w:hideMark/>
          </w:tcPr>
          <w:p w14:paraId="38542E18" w14:textId="77777777" w:rsidR="007D728E" w:rsidRPr="00CB13F7" w:rsidRDefault="007D728E" w:rsidP="007D728E">
            <w:pPr>
              <w:rPr>
                <w:rFonts w:eastAsia="Times New Roman"/>
                <w:color w:val="000000"/>
                <w:sz w:val="16"/>
                <w:szCs w:val="16"/>
                <w:lang w:eastAsia="en-US"/>
              </w:rPr>
            </w:pPr>
          </w:p>
        </w:tc>
      </w:tr>
      <w:tr w:rsidR="007D728E" w:rsidRPr="00CB13F7" w14:paraId="4492D546" w14:textId="77777777" w:rsidTr="661F9D2E">
        <w:trPr>
          <w:trHeight w:val="464"/>
        </w:trPr>
        <w:tc>
          <w:tcPr>
            <w:tcW w:w="874" w:type="dxa"/>
            <w:vMerge/>
            <w:hideMark/>
          </w:tcPr>
          <w:p w14:paraId="13D09F38" w14:textId="77777777" w:rsidR="007D728E" w:rsidRPr="00CB13F7" w:rsidRDefault="007D728E" w:rsidP="007D728E">
            <w:pPr>
              <w:rPr>
                <w:rFonts w:eastAsia="Times New Roman"/>
                <w:b/>
                <w:bCs/>
                <w:color w:val="000000"/>
                <w:sz w:val="16"/>
                <w:szCs w:val="16"/>
                <w:lang w:eastAsia="en-US"/>
              </w:rPr>
            </w:pPr>
          </w:p>
        </w:tc>
        <w:tc>
          <w:tcPr>
            <w:tcW w:w="2772" w:type="dxa"/>
            <w:gridSpan w:val="2"/>
            <w:vMerge/>
            <w:hideMark/>
          </w:tcPr>
          <w:p w14:paraId="4578DB0B" w14:textId="77777777" w:rsidR="007D728E" w:rsidRPr="00CB13F7" w:rsidRDefault="007D728E" w:rsidP="007D728E">
            <w:pPr>
              <w:rPr>
                <w:rFonts w:eastAsia="Times New Roman"/>
                <w:color w:val="000000"/>
                <w:sz w:val="16"/>
                <w:szCs w:val="16"/>
                <w:lang w:eastAsia="en-US"/>
              </w:rPr>
            </w:pPr>
          </w:p>
        </w:tc>
        <w:tc>
          <w:tcPr>
            <w:tcW w:w="2530" w:type="dxa"/>
            <w:vMerge/>
            <w:hideMark/>
          </w:tcPr>
          <w:p w14:paraId="48781B93" w14:textId="77777777" w:rsidR="007D728E" w:rsidRPr="00CB13F7" w:rsidRDefault="007D728E" w:rsidP="007D728E">
            <w:pPr>
              <w:rPr>
                <w:rFonts w:eastAsia="Times New Roman"/>
                <w:color w:val="000000"/>
                <w:sz w:val="16"/>
                <w:szCs w:val="16"/>
                <w:lang w:eastAsia="en-US"/>
              </w:rPr>
            </w:pPr>
          </w:p>
        </w:tc>
        <w:tc>
          <w:tcPr>
            <w:tcW w:w="1201" w:type="dxa"/>
            <w:vMerge/>
            <w:hideMark/>
          </w:tcPr>
          <w:p w14:paraId="42C6A36E" w14:textId="77777777" w:rsidR="007D728E" w:rsidRPr="00CB13F7" w:rsidRDefault="007D728E" w:rsidP="007D728E">
            <w:pPr>
              <w:rPr>
                <w:rFonts w:eastAsia="Times New Roman"/>
                <w:color w:val="000000"/>
                <w:sz w:val="16"/>
                <w:szCs w:val="16"/>
                <w:lang w:eastAsia="en-US"/>
              </w:rPr>
            </w:pPr>
          </w:p>
        </w:tc>
        <w:tc>
          <w:tcPr>
            <w:tcW w:w="1461" w:type="dxa"/>
            <w:vMerge/>
            <w:hideMark/>
          </w:tcPr>
          <w:p w14:paraId="5978824F" w14:textId="77777777" w:rsidR="007D728E" w:rsidRPr="00CB13F7" w:rsidRDefault="007D728E" w:rsidP="007D728E">
            <w:pPr>
              <w:rPr>
                <w:rFonts w:eastAsia="Times New Roman"/>
                <w:color w:val="000000"/>
                <w:sz w:val="16"/>
                <w:szCs w:val="16"/>
                <w:lang w:eastAsia="en-US"/>
              </w:rPr>
            </w:pPr>
          </w:p>
        </w:tc>
        <w:tc>
          <w:tcPr>
            <w:tcW w:w="1201" w:type="dxa"/>
            <w:vMerge/>
            <w:hideMark/>
          </w:tcPr>
          <w:p w14:paraId="7F2BF83F" w14:textId="77777777" w:rsidR="007D728E" w:rsidRPr="00CB13F7" w:rsidRDefault="007D728E" w:rsidP="007D728E">
            <w:pPr>
              <w:rPr>
                <w:rFonts w:eastAsia="Times New Roman"/>
                <w:color w:val="000000"/>
                <w:sz w:val="16"/>
                <w:szCs w:val="16"/>
                <w:lang w:eastAsia="en-US"/>
              </w:rPr>
            </w:pPr>
          </w:p>
        </w:tc>
        <w:tc>
          <w:tcPr>
            <w:tcW w:w="1079" w:type="dxa"/>
            <w:vMerge/>
            <w:hideMark/>
          </w:tcPr>
          <w:p w14:paraId="54DF8A23" w14:textId="77777777" w:rsidR="007D728E" w:rsidRPr="00CB13F7" w:rsidRDefault="007D728E" w:rsidP="007D728E">
            <w:pPr>
              <w:rPr>
                <w:rFonts w:eastAsia="Times New Roman"/>
                <w:color w:val="000000"/>
                <w:sz w:val="16"/>
                <w:szCs w:val="16"/>
                <w:lang w:eastAsia="en-US"/>
              </w:rPr>
            </w:pPr>
          </w:p>
        </w:tc>
        <w:tc>
          <w:tcPr>
            <w:tcW w:w="2495" w:type="dxa"/>
            <w:vMerge/>
            <w:hideMark/>
          </w:tcPr>
          <w:p w14:paraId="1EC3474B" w14:textId="77777777" w:rsidR="007D728E" w:rsidRPr="00CB13F7" w:rsidRDefault="007D728E" w:rsidP="007D728E">
            <w:pPr>
              <w:rPr>
                <w:rFonts w:eastAsia="Times New Roman"/>
                <w:color w:val="000000"/>
                <w:sz w:val="16"/>
                <w:szCs w:val="16"/>
                <w:lang w:eastAsia="en-US"/>
              </w:rPr>
            </w:pPr>
          </w:p>
        </w:tc>
      </w:tr>
      <w:tr w:rsidR="007D728E" w:rsidRPr="00CB13F7" w14:paraId="19B713FF" w14:textId="77777777" w:rsidTr="661F9D2E">
        <w:trPr>
          <w:trHeight w:val="570"/>
        </w:trPr>
        <w:tc>
          <w:tcPr>
            <w:tcW w:w="874" w:type="dxa"/>
            <w:tcBorders>
              <w:top w:val="nil"/>
              <w:left w:val="single" w:sz="4" w:space="0" w:color="000000" w:themeColor="text1"/>
              <w:bottom w:val="nil"/>
              <w:right w:val="single" w:sz="4" w:space="0" w:color="000000" w:themeColor="text1"/>
            </w:tcBorders>
            <w:shd w:val="clear" w:color="auto" w:fill="CAEDFA"/>
            <w:hideMark/>
          </w:tcPr>
          <w:p w14:paraId="500CADC7"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 </w:t>
            </w:r>
          </w:p>
        </w:tc>
        <w:tc>
          <w:tcPr>
            <w:tcW w:w="2772" w:type="dxa"/>
            <w:gridSpan w:val="2"/>
            <w:vMerge/>
            <w:hideMark/>
          </w:tcPr>
          <w:p w14:paraId="117392D9" w14:textId="77777777" w:rsidR="007D728E" w:rsidRPr="00CB13F7" w:rsidRDefault="007D728E" w:rsidP="007D728E">
            <w:pPr>
              <w:rPr>
                <w:rFonts w:eastAsia="Times New Roman"/>
                <w:color w:val="000000"/>
                <w:sz w:val="16"/>
                <w:szCs w:val="16"/>
                <w:lang w:eastAsia="en-US"/>
              </w:rPr>
            </w:pPr>
          </w:p>
        </w:tc>
        <w:tc>
          <w:tcPr>
            <w:tcW w:w="2530" w:type="dxa"/>
            <w:vMerge/>
            <w:hideMark/>
          </w:tcPr>
          <w:p w14:paraId="19D5435C" w14:textId="77777777" w:rsidR="007D728E" w:rsidRPr="00CB13F7" w:rsidRDefault="007D728E" w:rsidP="007D728E">
            <w:pPr>
              <w:rPr>
                <w:rFonts w:eastAsia="Times New Roman"/>
                <w:color w:val="000000"/>
                <w:sz w:val="16"/>
                <w:szCs w:val="16"/>
                <w:lang w:eastAsia="en-US"/>
              </w:rPr>
            </w:pPr>
          </w:p>
        </w:tc>
        <w:tc>
          <w:tcPr>
            <w:tcW w:w="1201" w:type="dxa"/>
            <w:vMerge/>
            <w:hideMark/>
          </w:tcPr>
          <w:p w14:paraId="2585E090" w14:textId="77777777" w:rsidR="007D728E" w:rsidRPr="00CB13F7" w:rsidRDefault="007D728E" w:rsidP="007D728E">
            <w:pPr>
              <w:rPr>
                <w:rFonts w:eastAsia="Times New Roman"/>
                <w:color w:val="000000"/>
                <w:sz w:val="16"/>
                <w:szCs w:val="16"/>
                <w:lang w:eastAsia="en-US"/>
              </w:rPr>
            </w:pPr>
          </w:p>
        </w:tc>
        <w:tc>
          <w:tcPr>
            <w:tcW w:w="1461" w:type="dxa"/>
            <w:vMerge/>
            <w:hideMark/>
          </w:tcPr>
          <w:p w14:paraId="1C04BA5F" w14:textId="77777777" w:rsidR="007D728E" w:rsidRPr="00CB13F7" w:rsidRDefault="007D728E" w:rsidP="007D728E">
            <w:pPr>
              <w:rPr>
                <w:rFonts w:eastAsia="Times New Roman"/>
                <w:color w:val="000000"/>
                <w:sz w:val="16"/>
                <w:szCs w:val="16"/>
                <w:lang w:eastAsia="en-US"/>
              </w:rPr>
            </w:pPr>
          </w:p>
        </w:tc>
        <w:tc>
          <w:tcPr>
            <w:tcW w:w="1201" w:type="dxa"/>
            <w:vMerge/>
            <w:hideMark/>
          </w:tcPr>
          <w:p w14:paraId="7C6EA1FA" w14:textId="77777777" w:rsidR="007D728E" w:rsidRPr="00CB13F7" w:rsidRDefault="007D728E" w:rsidP="007D728E">
            <w:pPr>
              <w:rPr>
                <w:rFonts w:eastAsia="Times New Roman"/>
                <w:color w:val="000000"/>
                <w:sz w:val="16"/>
                <w:szCs w:val="16"/>
                <w:lang w:eastAsia="en-US"/>
              </w:rPr>
            </w:pPr>
          </w:p>
        </w:tc>
        <w:tc>
          <w:tcPr>
            <w:tcW w:w="1079" w:type="dxa"/>
            <w:vMerge/>
            <w:hideMark/>
          </w:tcPr>
          <w:p w14:paraId="3B49015C" w14:textId="77777777" w:rsidR="007D728E" w:rsidRPr="00CB13F7" w:rsidRDefault="007D728E" w:rsidP="007D728E">
            <w:pPr>
              <w:rPr>
                <w:rFonts w:eastAsia="Times New Roman"/>
                <w:color w:val="000000"/>
                <w:sz w:val="16"/>
                <w:szCs w:val="16"/>
                <w:lang w:eastAsia="en-US"/>
              </w:rPr>
            </w:pPr>
          </w:p>
        </w:tc>
        <w:tc>
          <w:tcPr>
            <w:tcW w:w="2495" w:type="dxa"/>
            <w:vMerge/>
            <w:hideMark/>
          </w:tcPr>
          <w:p w14:paraId="7AC604E7" w14:textId="77777777" w:rsidR="007D728E" w:rsidRPr="00CB13F7" w:rsidRDefault="007D728E" w:rsidP="007D728E">
            <w:pPr>
              <w:rPr>
                <w:rFonts w:eastAsia="Times New Roman"/>
                <w:color w:val="000000"/>
                <w:sz w:val="16"/>
                <w:szCs w:val="16"/>
                <w:lang w:eastAsia="en-US"/>
              </w:rPr>
            </w:pPr>
          </w:p>
        </w:tc>
      </w:tr>
      <w:tr w:rsidR="007D728E" w:rsidRPr="00CB13F7" w14:paraId="35508DB3" w14:textId="77777777" w:rsidTr="661F9D2E">
        <w:trPr>
          <w:trHeight w:val="825"/>
        </w:trPr>
        <w:tc>
          <w:tcPr>
            <w:tcW w:w="874" w:type="dxa"/>
            <w:tcBorders>
              <w:top w:val="nil"/>
              <w:left w:val="single" w:sz="4" w:space="0" w:color="000000" w:themeColor="text1"/>
              <w:bottom w:val="nil"/>
              <w:right w:val="single" w:sz="4" w:space="0" w:color="000000" w:themeColor="text1"/>
            </w:tcBorders>
            <w:shd w:val="clear" w:color="auto" w:fill="CAEDFA"/>
            <w:hideMark/>
          </w:tcPr>
          <w:p w14:paraId="1F86DDB4"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 </w:t>
            </w:r>
          </w:p>
        </w:tc>
        <w:tc>
          <w:tcPr>
            <w:tcW w:w="2772" w:type="dxa"/>
            <w:gridSpan w:val="2"/>
            <w:vMerge/>
            <w:hideMark/>
          </w:tcPr>
          <w:p w14:paraId="13F4017C" w14:textId="77777777" w:rsidR="007D728E" w:rsidRPr="00CB13F7" w:rsidRDefault="007D728E" w:rsidP="007D728E">
            <w:pPr>
              <w:rPr>
                <w:rFonts w:eastAsia="Times New Roman"/>
                <w:color w:val="000000"/>
                <w:sz w:val="16"/>
                <w:szCs w:val="16"/>
                <w:lang w:eastAsia="en-US"/>
              </w:rPr>
            </w:pPr>
          </w:p>
        </w:tc>
        <w:tc>
          <w:tcPr>
            <w:tcW w:w="2530" w:type="dxa"/>
            <w:vMerge/>
            <w:hideMark/>
          </w:tcPr>
          <w:p w14:paraId="12E9A347" w14:textId="77777777" w:rsidR="007D728E" w:rsidRPr="00CB13F7" w:rsidRDefault="007D728E" w:rsidP="007D728E">
            <w:pPr>
              <w:rPr>
                <w:rFonts w:eastAsia="Times New Roman"/>
                <w:color w:val="000000"/>
                <w:sz w:val="16"/>
                <w:szCs w:val="16"/>
                <w:lang w:eastAsia="en-US"/>
              </w:rPr>
            </w:pPr>
          </w:p>
        </w:tc>
        <w:tc>
          <w:tcPr>
            <w:tcW w:w="1201" w:type="dxa"/>
            <w:vMerge/>
            <w:hideMark/>
          </w:tcPr>
          <w:p w14:paraId="28299B3C" w14:textId="77777777" w:rsidR="007D728E" w:rsidRPr="00CB13F7" w:rsidRDefault="007D728E" w:rsidP="007D728E">
            <w:pPr>
              <w:rPr>
                <w:rFonts w:eastAsia="Times New Roman"/>
                <w:color w:val="000000"/>
                <w:sz w:val="16"/>
                <w:szCs w:val="16"/>
                <w:lang w:eastAsia="en-US"/>
              </w:rPr>
            </w:pPr>
          </w:p>
        </w:tc>
        <w:tc>
          <w:tcPr>
            <w:tcW w:w="1461" w:type="dxa"/>
            <w:vMerge/>
            <w:hideMark/>
          </w:tcPr>
          <w:p w14:paraId="5F35085D" w14:textId="77777777" w:rsidR="007D728E" w:rsidRPr="00CB13F7" w:rsidRDefault="007D728E" w:rsidP="007D728E">
            <w:pPr>
              <w:rPr>
                <w:rFonts w:eastAsia="Times New Roman"/>
                <w:color w:val="000000"/>
                <w:sz w:val="16"/>
                <w:szCs w:val="16"/>
                <w:lang w:eastAsia="en-US"/>
              </w:rPr>
            </w:pPr>
          </w:p>
        </w:tc>
        <w:tc>
          <w:tcPr>
            <w:tcW w:w="1201" w:type="dxa"/>
            <w:vMerge/>
            <w:hideMark/>
          </w:tcPr>
          <w:p w14:paraId="108EC123" w14:textId="77777777" w:rsidR="007D728E" w:rsidRPr="00CB13F7" w:rsidRDefault="007D728E" w:rsidP="007D728E">
            <w:pPr>
              <w:rPr>
                <w:rFonts w:eastAsia="Times New Roman"/>
                <w:color w:val="000000"/>
                <w:sz w:val="16"/>
                <w:szCs w:val="16"/>
                <w:lang w:eastAsia="en-US"/>
              </w:rPr>
            </w:pPr>
          </w:p>
        </w:tc>
        <w:tc>
          <w:tcPr>
            <w:tcW w:w="1079" w:type="dxa"/>
            <w:vMerge/>
            <w:hideMark/>
          </w:tcPr>
          <w:p w14:paraId="4F941E07" w14:textId="77777777" w:rsidR="007D728E" w:rsidRPr="00CB13F7" w:rsidRDefault="007D728E" w:rsidP="007D728E">
            <w:pPr>
              <w:rPr>
                <w:rFonts w:eastAsia="Times New Roman"/>
                <w:color w:val="000000"/>
                <w:sz w:val="16"/>
                <w:szCs w:val="16"/>
                <w:lang w:eastAsia="en-US"/>
              </w:rPr>
            </w:pPr>
          </w:p>
        </w:tc>
        <w:tc>
          <w:tcPr>
            <w:tcW w:w="2495" w:type="dxa"/>
            <w:vMerge/>
            <w:hideMark/>
          </w:tcPr>
          <w:p w14:paraId="0050C2DF" w14:textId="77777777" w:rsidR="007D728E" w:rsidRPr="00CB13F7" w:rsidRDefault="007D728E" w:rsidP="007D728E">
            <w:pPr>
              <w:rPr>
                <w:rFonts w:eastAsia="Times New Roman"/>
                <w:color w:val="000000"/>
                <w:sz w:val="16"/>
                <w:szCs w:val="16"/>
                <w:lang w:eastAsia="en-US"/>
              </w:rPr>
            </w:pPr>
          </w:p>
        </w:tc>
      </w:tr>
      <w:tr w:rsidR="007D728E" w:rsidRPr="00CB13F7" w14:paraId="6C584E96" w14:textId="77777777" w:rsidTr="661F9D2E">
        <w:trPr>
          <w:trHeight w:val="645"/>
        </w:trPr>
        <w:tc>
          <w:tcPr>
            <w:tcW w:w="874" w:type="dxa"/>
            <w:tcBorders>
              <w:top w:val="nil"/>
              <w:left w:val="single" w:sz="4" w:space="0" w:color="000000" w:themeColor="text1"/>
              <w:bottom w:val="nil"/>
              <w:right w:val="single" w:sz="4" w:space="0" w:color="000000" w:themeColor="text1"/>
            </w:tcBorders>
            <w:shd w:val="clear" w:color="auto" w:fill="CAEDFA"/>
            <w:hideMark/>
          </w:tcPr>
          <w:p w14:paraId="6E58D7B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hideMark/>
          </w:tcPr>
          <w:p w14:paraId="61580E26" w14:textId="77777777" w:rsidR="007D728E" w:rsidRPr="00CB13F7" w:rsidRDefault="007D728E" w:rsidP="007D728E">
            <w:pPr>
              <w:rPr>
                <w:rFonts w:eastAsia="Times New Roman"/>
                <w:color w:val="000000"/>
                <w:sz w:val="16"/>
                <w:szCs w:val="16"/>
                <w:lang w:eastAsia="en-US"/>
              </w:rPr>
            </w:pPr>
          </w:p>
        </w:tc>
        <w:tc>
          <w:tcPr>
            <w:tcW w:w="2530" w:type="dxa"/>
            <w:vMerge/>
            <w:hideMark/>
          </w:tcPr>
          <w:p w14:paraId="0A23A817" w14:textId="77777777" w:rsidR="007D728E" w:rsidRPr="00CB13F7" w:rsidRDefault="007D728E" w:rsidP="007D728E">
            <w:pPr>
              <w:rPr>
                <w:rFonts w:eastAsia="Times New Roman"/>
                <w:color w:val="000000"/>
                <w:sz w:val="16"/>
                <w:szCs w:val="16"/>
                <w:lang w:eastAsia="en-US"/>
              </w:rPr>
            </w:pPr>
          </w:p>
        </w:tc>
        <w:tc>
          <w:tcPr>
            <w:tcW w:w="1201" w:type="dxa"/>
            <w:vMerge/>
            <w:hideMark/>
          </w:tcPr>
          <w:p w14:paraId="14F43D7F" w14:textId="77777777" w:rsidR="007D728E" w:rsidRPr="00CB13F7" w:rsidRDefault="007D728E" w:rsidP="007D728E">
            <w:pPr>
              <w:rPr>
                <w:rFonts w:eastAsia="Times New Roman"/>
                <w:color w:val="000000"/>
                <w:sz w:val="16"/>
                <w:szCs w:val="16"/>
                <w:lang w:eastAsia="en-US"/>
              </w:rPr>
            </w:pPr>
          </w:p>
        </w:tc>
        <w:tc>
          <w:tcPr>
            <w:tcW w:w="1461" w:type="dxa"/>
            <w:vMerge/>
            <w:hideMark/>
          </w:tcPr>
          <w:p w14:paraId="78E7DB05" w14:textId="77777777" w:rsidR="007D728E" w:rsidRPr="00CB13F7" w:rsidRDefault="007D728E" w:rsidP="007D728E">
            <w:pPr>
              <w:rPr>
                <w:rFonts w:eastAsia="Times New Roman"/>
                <w:color w:val="000000"/>
                <w:sz w:val="16"/>
                <w:szCs w:val="16"/>
                <w:lang w:eastAsia="en-US"/>
              </w:rPr>
            </w:pPr>
          </w:p>
        </w:tc>
        <w:tc>
          <w:tcPr>
            <w:tcW w:w="1201" w:type="dxa"/>
            <w:vMerge/>
            <w:hideMark/>
          </w:tcPr>
          <w:p w14:paraId="71CA3D42" w14:textId="77777777" w:rsidR="007D728E" w:rsidRPr="00CB13F7" w:rsidRDefault="007D728E" w:rsidP="007D728E">
            <w:pPr>
              <w:rPr>
                <w:rFonts w:eastAsia="Times New Roman"/>
                <w:color w:val="000000"/>
                <w:sz w:val="16"/>
                <w:szCs w:val="16"/>
                <w:lang w:eastAsia="en-US"/>
              </w:rPr>
            </w:pPr>
          </w:p>
        </w:tc>
        <w:tc>
          <w:tcPr>
            <w:tcW w:w="1079" w:type="dxa"/>
            <w:vMerge/>
            <w:hideMark/>
          </w:tcPr>
          <w:p w14:paraId="769D0323" w14:textId="77777777" w:rsidR="007D728E" w:rsidRPr="00CB13F7" w:rsidRDefault="007D728E" w:rsidP="007D728E">
            <w:pPr>
              <w:rPr>
                <w:rFonts w:eastAsia="Times New Roman"/>
                <w:color w:val="000000"/>
                <w:sz w:val="16"/>
                <w:szCs w:val="16"/>
                <w:lang w:eastAsia="en-US"/>
              </w:rPr>
            </w:pPr>
          </w:p>
        </w:tc>
        <w:tc>
          <w:tcPr>
            <w:tcW w:w="2495" w:type="dxa"/>
            <w:vMerge/>
            <w:hideMark/>
          </w:tcPr>
          <w:p w14:paraId="008E40CB" w14:textId="77777777" w:rsidR="007D728E" w:rsidRPr="00CB13F7" w:rsidRDefault="007D728E" w:rsidP="007D728E">
            <w:pPr>
              <w:rPr>
                <w:rFonts w:eastAsia="Times New Roman"/>
                <w:color w:val="000000"/>
                <w:sz w:val="16"/>
                <w:szCs w:val="16"/>
                <w:lang w:eastAsia="en-US"/>
              </w:rPr>
            </w:pPr>
          </w:p>
        </w:tc>
      </w:tr>
      <w:tr w:rsidR="007D728E" w:rsidRPr="00CB13F7" w14:paraId="3E1ACA04" w14:textId="77777777" w:rsidTr="661F9D2E">
        <w:trPr>
          <w:trHeight w:val="1200"/>
        </w:trPr>
        <w:tc>
          <w:tcPr>
            <w:tcW w:w="874" w:type="dxa"/>
            <w:tcBorders>
              <w:top w:val="nil"/>
              <w:left w:val="single" w:sz="4" w:space="0" w:color="000000" w:themeColor="text1"/>
              <w:bottom w:val="nil"/>
              <w:right w:val="single" w:sz="4" w:space="0" w:color="000000" w:themeColor="text1"/>
            </w:tcBorders>
            <w:shd w:val="clear" w:color="auto" w:fill="CAEDFA"/>
            <w:hideMark/>
          </w:tcPr>
          <w:p w14:paraId="12CBBC1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hideMark/>
          </w:tcPr>
          <w:p w14:paraId="2CFB9D71" w14:textId="77777777" w:rsidR="007D728E" w:rsidRPr="00CB13F7" w:rsidRDefault="007D728E" w:rsidP="007D728E">
            <w:pPr>
              <w:rPr>
                <w:rFonts w:eastAsia="Times New Roman"/>
                <w:color w:val="000000"/>
                <w:sz w:val="16"/>
                <w:szCs w:val="16"/>
                <w:lang w:eastAsia="en-US"/>
              </w:rPr>
            </w:pPr>
          </w:p>
        </w:tc>
        <w:tc>
          <w:tcPr>
            <w:tcW w:w="2530" w:type="dxa"/>
            <w:vMerge/>
            <w:hideMark/>
          </w:tcPr>
          <w:p w14:paraId="4BD3BEC8" w14:textId="77777777" w:rsidR="007D728E" w:rsidRPr="00CB13F7" w:rsidRDefault="007D728E" w:rsidP="007D728E">
            <w:pPr>
              <w:rPr>
                <w:rFonts w:eastAsia="Times New Roman"/>
                <w:color w:val="000000"/>
                <w:sz w:val="16"/>
                <w:szCs w:val="16"/>
                <w:lang w:eastAsia="en-US"/>
              </w:rPr>
            </w:pPr>
          </w:p>
        </w:tc>
        <w:tc>
          <w:tcPr>
            <w:tcW w:w="1201" w:type="dxa"/>
            <w:vMerge/>
            <w:hideMark/>
          </w:tcPr>
          <w:p w14:paraId="154AEA7B" w14:textId="77777777" w:rsidR="007D728E" w:rsidRPr="00CB13F7" w:rsidRDefault="007D728E" w:rsidP="007D728E">
            <w:pPr>
              <w:rPr>
                <w:rFonts w:eastAsia="Times New Roman"/>
                <w:color w:val="000000"/>
                <w:sz w:val="16"/>
                <w:szCs w:val="16"/>
                <w:lang w:eastAsia="en-US"/>
              </w:rPr>
            </w:pPr>
          </w:p>
        </w:tc>
        <w:tc>
          <w:tcPr>
            <w:tcW w:w="1461" w:type="dxa"/>
            <w:vMerge/>
            <w:hideMark/>
          </w:tcPr>
          <w:p w14:paraId="761232C4" w14:textId="77777777" w:rsidR="007D728E" w:rsidRPr="00CB13F7" w:rsidRDefault="007D728E" w:rsidP="007D728E">
            <w:pPr>
              <w:rPr>
                <w:rFonts w:eastAsia="Times New Roman"/>
                <w:color w:val="000000"/>
                <w:sz w:val="16"/>
                <w:szCs w:val="16"/>
                <w:lang w:eastAsia="en-US"/>
              </w:rPr>
            </w:pPr>
          </w:p>
        </w:tc>
        <w:tc>
          <w:tcPr>
            <w:tcW w:w="1201" w:type="dxa"/>
            <w:vMerge/>
            <w:hideMark/>
          </w:tcPr>
          <w:p w14:paraId="33329159" w14:textId="77777777" w:rsidR="007D728E" w:rsidRPr="00CB13F7" w:rsidRDefault="007D728E" w:rsidP="007D728E">
            <w:pPr>
              <w:rPr>
                <w:rFonts w:eastAsia="Times New Roman"/>
                <w:color w:val="000000"/>
                <w:sz w:val="16"/>
                <w:szCs w:val="16"/>
                <w:lang w:eastAsia="en-US"/>
              </w:rPr>
            </w:pPr>
          </w:p>
        </w:tc>
        <w:tc>
          <w:tcPr>
            <w:tcW w:w="1079" w:type="dxa"/>
            <w:vMerge/>
            <w:hideMark/>
          </w:tcPr>
          <w:p w14:paraId="35FEDED2" w14:textId="77777777" w:rsidR="007D728E" w:rsidRPr="00CB13F7" w:rsidRDefault="007D728E" w:rsidP="007D728E">
            <w:pPr>
              <w:rPr>
                <w:rFonts w:eastAsia="Times New Roman"/>
                <w:color w:val="000000"/>
                <w:sz w:val="16"/>
                <w:szCs w:val="16"/>
                <w:lang w:eastAsia="en-US"/>
              </w:rPr>
            </w:pPr>
          </w:p>
        </w:tc>
        <w:tc>
          <w:tcPr>
            <w:tcW w:w="2495" w:type="dxa"/>
            <w:vMerge/>
            <w:hideMark/>
          </w:tcPr>
          <w:p w14:paraId="0DB6EFD0" w14:textId="77777777" w:rsidR="007D728E" w:rsidRPr="00CB13F7" w:rsidRDefault="007D728E" w:rsidP="007D728E">
            <w:pPr>
              <w:rPr>
                <w:rFonts w:eastAsia="Times New Roman"/>
                <w:color w:val="000000"/>
                <w:sz w:val="16"/>
                <w:szCs w:val="16"/>
                <w:lang w:eastAsia="en-US"/>
              </w:rPr>
            </w:pPr>
          </w:p>
        </w:tc>
      </w:tr>
      <w:tr w:rsidR="007D728E" w:rsidRPr="00CB13F7" w14:paraId="158ACBB1" w14:textId="77777777" w:rsidTr="661F9D2E">
        <w:trPr>
          <w:trHeight w:val="1185"/>
        </w:trPr>
        <w:tc>
          <w:tcPr>
            <w:tcW w:w="874" w:type="dxa"/>
            <w:tcBorders>
              <w:top w:val="nil"/>
              <w:left w:val="single" w:sz="4" w:space="0" w:color="000000" w:themeColor="text1"/>
              <w:bottom w:val="nil"/>
              <w:right w:val="single" w:sz="4" w:space="0" w:color="000000" w:themeColor="text1"/>
            </w:tcBorders>
            <w:shd w:val="clear" w:color="auto" w:fill="CAEDFA"/>
            <w:hideMark/>
          </w:tcPr>
          <w:p w14:paraId="24C4D1E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2DB615B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Objektivi Specifik 3. Të mundësohet që të gjithë personat me aftësi të kufizuara në Shqipëri të kenë mundësi reale dhe të barabarta për të jetuar në komunitet, me zgjedhje dhe kontroll mbi jetën e tyre, përmes strehimit të aksesueshëm, </w:t>
            </w:r>
            <w:r w:rsidRPr="00CB13F7">
              <w:rPr>
                <w:rFonts w:eastAsia="Times New Roman"/>
                <w:color w:val="000000"/>
                <w:sz w:val="16"/>
                <w:szCs w:val="16"/>
                <w:lang w:eastAsia="en-US"/>
              </w:rPr>
              <w:lastRenderedPageBreak/>
              <w:t>mbështetjes individuale, shërbimeve të bazuara në komunitet dhe njohjes së plotë të kapacitetit ligjor, në përputhje me Konventën e OKB për të Drejtat e Personave me Aftësi të Kufizuara.</w:t>
            </w:r>
          </w:p>
        </w:tc>
        <w:tc>
          <w:tcPr>
            <w:tcW w:w="2530" w:type="dxa"/>
            <w:vMerge w:val="restart"/>
            <w:tcBorders>
              <w:top w:val="single" w:sz="4" w:space="0" w:color="000000" w:themeColor="text1"/>
              <w:left w:val="single" w:sz="4" w:space="0" w:color="000000" w:themeColor="text1"/>
              <w:bottom w:val="nil"/>
              <w:right w:val="nil"/>
            </w:tcBorders>
            <w:shd w:val="clear" w:color="auto" w:fill="CAEDFA"/>
            <w:hideMark/>
          </w:tcPr>
          <w:p w14:paraId="3D6CC6A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Numri i personave me aftësi të kufizuara që përfitojnë shërbime komunitare për jetesë të pavarur (shtëpi të mbështetura, banesë sociale e përshtatur, ose ndihmës personal).</w:t>
            </w:r>
          </w:p>
        </w:tc>
        <w:tc>
          <w:tcPr>
            <w:tcW w:w="1201" w:type="dxa"/>
            <w:tcBorders>
              <w:top w:val="single" w:sz="4" w:space="0" w:color="000000" w:themeColor="text1"/>
              <w:left w:val="nil"/>
              <w:bottom w:val="nil"/>
              <w:right w:val="single" w:sz="4" w:space="0" w:color="000000" w:themeColor="text1"/>
            </w:tcBorders>
            <w:shd w:val="clear" w:color="auto" w:fill="CAEDFA"/>
            <w:hideMark/>
          </w:tcPr>
          <w:p w14:paraId="110EE4F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557</w:t>
            </w:r>
          </w:p>
        </w:tc>
        <w:tc>
          <w:tcPr>
            <w:tcW w:w="1461" w:type="dxa"/>
            <w:tcBorders>
              <w:top w:val="single" w:sz="4" w:space="0" w:color="000000" w:themeColor="text1"/>
              <w:left w:val="nil"/>
              <w:bottom w:val="nil"/>
              <w:right w:val="single" w:sz="4" w:space="0" w:color="000000" w:themeColor="text1"/>
            </w:tcBorders>
            <w:shd w:val="clear" w:color="auto" w:fill="CAEDFA"/>
            <w:noWrap/>
            <w:hideMark/>
          </w:tcPr>
          <w:p w14:paraId="0371C25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20 % (950)</w:t>
            </w:r>
          </w:p>
        </w:tc>
        <w:tc>
          <w:tcPr>
            <w:tcW w:w="1201" w:type="dxa"/>
            <w:tcBorders>
              <w:top w:val="single" w:sz="4" w:space="0" w:color="000000" w:themeColor="text1"/>
              <w:left w:val="nil"/>
              <w:bottom w:val="nil"/>
              <w:right w:val="nil"/>
            </w:tcBorders>
            <w:shd w:val="clear" w:color="auto" w:fill="CAEDFA"/>
            <w:noWrap/>
            <w:hideMark/>
          </w:tcPr>
          <w:p w14:paraId="3E38BCA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45% (1450)</w:t>
            </w:r>
          </w:p>
        </w:tc>
        <w:tc>
          <w:tcPr>
            <w:tcW w:w="1079" w:type="dxa"/>
            <w:tcBorders>
              <w:top w:val="single" w:sz="4" w:space="0" w:color="000000" w:themeColor="text1"/>
              <w:left w:val="nil"/>
              <w:bottom w:val="nil"/>
              <w:right w:val="nil"/>
            </w:tcBorders>
            <w:shd w:val="clear" w:color="auto" w:fill="CAEDFA"/>
            <w:hideMark/>
          </w:tcPr>
          <w:p w14:paraId="21AA059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SHSSH;</w:t>
            </w:r>
            <w:r w:rsidRPr="00CB13F7">
              <w:rPr>
                <w:rFonts w:eastAsia="Times New Roman"/>
                <w:color w:val="000000"/>
                <w:sz w:val="16"/>
                <w:szCs w:val="16"/>
                <w:lang w:eastAsia="en-US"/>
              </w:rPr>
              <w:br/>
              <w:t>Bashkitë;</w:t>
            </w:r>
            <w:r w:rsidRPr="00CB13F7">
              <w:rPr>
                <w:rFonts w:eastAsia="Times New Roman"/>
                <w:color w:val="000000"/>
                <w:sz w:val="16"/>
                <w:szCs w:val="16"/>
                <w:lang w:eastAsia="en-US"/>
              </w:rPr>
              <w:br/>
              <w:t>Fondi Social;</w:t>
            </w:r>
          </w:p>
        </w:tc>
        <w:tc>
          <w:tcPr>
            <w:tcW w:w="2495"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12A66C06" w14:textId="7C9FC83D" w:rsidR="007D728E" w:rsidRPr="00CB13F7" w:rsidRDefault="617A3FC0" w:rsidP="661F9D2E">
            <w:pPr>
              <w:rPr>
                <w:rFonts w:eastAsia="Times New Roman"/>
                <w:color w:val="000000"/>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19; Neni 12; Neni 9)</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 11, </w:t>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 10 </w:t>
            </w:r>
            <w:r w:rsidR="007D728E" w:rsidRPr="00CB13F7">
              <w:br/>
            </w:r>
            <w:r w:rsidR="0080D2BD" w:rsidRPr="00CB13F7">
              <w:rPr>
                <w:rFonts w:eastAsia="Times New Roman"/>
                <w:color w:val="000000" w:themeColor="text1"/>
                <w:sz w:val="16"/>
                <w:szCs w:val="16"/>
                <w:lang w:eastAsia="en-US"/>
              </w:rPr>
              <w:t>EU Disability Strategy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4B03EF" w:rsidRPr="00CB13F7">
              <w:rPr>
                <w:rFonts w:eastAsia="Times New Roman"/>
                <w:color w:val="000000" w:themeColor="text1"/>
                <w:sz w:val="16"/>
                <w:szCs w:val="16"/>
                <w:lang w:eastAsia="en-US"/>
              </w:rPr>
              <w:t>Ë</w:t>
            </w:r>
            <w:r w:rsidR="0080D2BD" w:rsidRPr="00CB13F7">
              <w:rPr>
                <w:rFonts w:eastAsia="Times New Roman"/>
                <w:color w:val="000000" w:themeColor="text1"/>
                <w:sz w:val="16"/>
                <w:szCs w:val="16"/>
                <w:lang w:eastAsia="en-US"/>
              </w:rPr>
              <w:t xml:space="preserve">eb Accessibility Directive 2016/2102 Dokumenti i BE për </w:t>
            </w:r>
            <w:r w:rsidR="48A00EEC" w:rsidRPr="00CB13F7">
              <w:rPr>
                <w:rFonts w:eastAsia="Times New Roman"/>
                <w:color w:val="000000" w:themeColor="text1"/>
                <w:sz w:val="16"/>
                <w:szCs w:val="16"/>
                <w:lang w:eastAsia="en-US"/>
              </w:rPr>
              <w:lastRenderedPageBreak/>
              <w:t>Jetesën</w:t>
            </w:r>
            <w:r w:rsidR="0080D2BD" w:rsidRPr="00CB13F7">
              <w:rPr>
                <w:rFonts w:eastAsia="Times New Roman"/>
                <w:color w:val="000000" w:themeColor="text1"/>
                <w:sz w:val="16"/>
                <w:szCs w:val="16"/>
                <w:lang w:eastAsia="en-US"/>
              </w:rPr>
              <w:t xml:space="preserve"> e Pavarur dhe Përfshirjen në Komunitet</w:t>
            </w:r>
            <w:r w:rsidR="007D728E" w:rsidRPr="00CB13F7">
              <w:br/>
            </w:r>
            <w:r w:rsidR="0080D2BD" w:rsidRPr="00CB13F7">
              <w:rPr>
                <w:rFonts w:eastAsia="Times New Roman"/>
                <w:color w:val="000000" w:themeColor="text1"/>
                <w:sz w:val="16"/>
                <w:szCs w:val="16"/>
                <w:lang w:eastAsia="en-US"/>
              </w:rPr>
              <w:t xml:space="preserve">European Accessibility Act 2019/882 </w:t>
            </w:r>
            <w:r w:rsidR="007D728E" w:rsidRPr="00CB13F7">
              <w:br/>
            </w:r>
            <w:r w:rsidR="0080D2BD" w:rsidRPr="00CB13F7">
              <w:rPr>
                <w:rFonts w:eastAsia="Times New Roman"/>
                <w:color w:val="000000" w:themeColor="text1"/>
                <w:sz w:val="16"/>
                <w:szCs w:val="16"/>
                <w:lang w:eastAsia="en-US"/>
              </w:rPr>
              <w:t xml:space="preserve">EPSR; Parimi 17; Parimi 19 </w:t>
            </w:r>
            <w:r w:rsidR="007D728E" w:rsidRPr="00CB13F7">
              <w:br/>
            </w:r>
            <w:r w:rsidR="0080D2BD" w:rsidRPr="00CB13F7">
              <w:rPr>
                <w:rFonts w:eastAsia="Times New Roman"/>
                <w:color w:val="000000" w:themeColor="text1"/>
                <w:sz w:val="16"/>
                <w:szCs w:val="16"/>
                <w:lang w:eastAsia="en-US"/>
              </w:rPr>
              <w:t>SKZHIE 2022</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Strategjia Kombëtare e Mbrojtjes Sociale 2024</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 xml:space="preserve">Kapituj acquis; Kapitulli 19, Kapitulli 23 </w:t>
            </w:r>
          </w:p>
        </w:tc>
      </w:tr>
      <w:tr w:rsidR="007D728E" w:rsidRPr="00CB13F7" w14:paraId="54CB437B" w14:textId="77777777" w:rsidTr="661F9D2E">
        <w:trPr>
          <w:trHeight w:val="285"/>
        </w:trPr>
        <w:tc>
          <w:tcPr>
            <w:tcW w:w="874" w:type="dxa"/>
            <w:tcBorders>
              <w:top w:val="nil"/>
              <w:left w:val="single" w:sz="4" w:space="0" w:color="000000" w:themeColor="text1"/>
              <w:bottom w:val="nil"/>
              <w:right w:val="single" w:sz="4" w:space="0" w:color="000000" w:themeColor="text1"/>
            </w:tcBorders>
            <w:shd w:val="clear" w:color="auto" w:fill="CAEDFA"/>
            <w:hideMark/>
          </w:tcPr>
          <w:p w14:paraId="08B510E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772" w:type="dxa"/>
            <w:gridSpan w:val="2"/>
            <w:vMerge/>
            <w:hideMark/>
          </w:tcPr>
          <w:p w14:paraId="25565253" w14:textId="77777777" w:rsidR="007D728E" w:rsidRPr="00CB13F7" w:rsidRDefault="007D728E" w:rsidP="007D728E">
            <w:pPr>
              <w:rPr>
                <w:rFonts w:eastAsia="Times New Roman"/>
                <w:color w:val="000000"/>
                <w:sz w:val="16"/>
                <w:szCs w:val="16"/>
                <w:lang w:eastAsia="en-US"/>
              </w:rPr>
            </w:pPr>
          </w:p>
        </w:tc>
        <w:tc>
          <w:tcPr>
            <w:tcW w:w="2530" w:type="dxa"/>
            <w:vMerge/>
            <w:hideMark/>
          </w:tcPr>
          <w:p w14:paraId="7BA0FCE9" w14:textId="77777777"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000000" w:themeColor="text1"/>
            </w:tcBorders>
            <w:shd w:val="clear" w:color="auto" w:fill="CAEDFA"/>
            <w:hideMark/>
          </w:tcPr>
          <w:p w14:paraId="6A1370C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1" w:type="dxa"/>
            <w:tcBorders>
              <w:top w:val="nil"/>
              <w:left w:val="nil"/>
              <w:bottom w:val="nil"/>
              <w:right w:val="single" w:sz="4" w:space="0" w:color="000000" w:themeColor="text1"/>
            </w:tcBorders>
            <w:shd w:val="clear" w:color="auto" w:fill="CAEDFA"/>
            <w:hideMark/>
          </w:tcPr>
          <w:p w14:paraId="06DA5EF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nil"/>
              <w:right w:val="nil"/>
            </w:tcBorders>
            <w:shd w:val="clear" w:color="auto" w:fill="CAEDFA"/>
            <w:hideMark/>
          </w:tcPr>
          <w:p w14:paraId="027A911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79" w:type="dxa"/>
            <w:tcBorders>
              <w:top w:val="nil"/>
              <w:left w:val="nil"/>
              <w:bottom w:val="nil"/>
              <w:right w:val="nil"/>
            </w:tcBorders>
            <w:shd w:val="clear" w:color="auto" w:fill="CAEDFA"/>
            <w:hideMark/>
          </w:tcPr>
          <w:p w14:paraId="331DB56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vMerge/>
            <w:hideMark/>
          </w:tcPr>
          <w:p w14:paraId="15C57FF9" w14:textId="77777777" w:rsidR="007D728E" w:rsidRPr="00CB13F7" w:rsidRDefault="007D728E" w:rsidP="007D728E">
            <w:pPr>
              <w:rPr>
                <w:rFonts w:eastAsia="Times New Roman"/>
                <w:color w:val="000000"/>
                <w:sz w:val="16"/>
                <w:szCs w:val="16"/>
                <w:lang w:eastAsia="en-US"/>
              </w:rPr>
            </w:pPr>
          </w:p>
        </w:tc>
      </w:tr>
      <w:tr w:rsidR="007D728E" w:rsidRPr="00CB13F7" w14:paraId="29129082" w14:textId="77777777" w:rsidTr="661F9D2E">
        <w:trPr>
          <w:trHeight w:val="510"/>
        </w:trPr>
        <w:tc>
          <w:tcPr>
            <w:tcW w:w="874" w:type="dxa"/>
            <w:tcBorders>
              <w:top w:val="nil"/>
              <w:left w:val="single" w:sz="4" w:space="0" w:color="000000" w:themeColor="text1"/>
              <w:bottom w:val="nil"/>
              <w:right w:val="single" w:sz="4" w:space="0" w:color="000000" w:themeColor="text1"/>
            </w:tcBorders>
            <w:shd w:val="clear" w:color="auto" w:fill="CAEDFA"/>
            <w:hideMark/>
          </w:tcPr>
          <w:p w14:paraId="14E89F3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772" w:type="dxa"/>
            <w:gridSpan w:val="2"/>
            <w:vMerge/>
            <w:hideMark/>
          </w:tcPr>
          <w:p w14:paraId="3B3129DF" w14:textId="77777777" w:rsidR="007D728E" w:rsidRPr="00CB13F7" w:rsidRDefault="007D728E" w:rsidP="007D728E">
            <w:pPr>
              <w:rPr>
                <w:rFonts w:eastAsia="Times New Roman"/>
                <w:color w:val="000000"/>
                <w:sz w:val="16"/>
                <w:szCs w:val="16"/>
                <w:lang w:eastAsia="en-US"/>
              </w:rPr>
            </w:pPr>
          </w:p>
        </w:tc>
        <w:tc>
          <w:tcPr>
            <w:tcW w:w="2530" w:type="dxa"/>
            <w:vMerge/>
            <w:hideMark/>
          </w:tcPr>
          <w:p w14:paraId="68201385" w14:textId="77777777"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000000" w:themeColor="text1"/>
            </w:tcBorders>
            <w:shd w:val="clear" w:color="auto" w:fill="CAEDFA"/>
            <w:hideMark/>
          </w:tcPr>
          <w:p w14:paraId="3199C86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1" w:type="dxa"/>
            <w:tcBorders>
              <w:top w:val="nil"/>
              <w:left w:val="nil"/>
              <w:bottom w:val="nil"/>
              <w:right w:val="single" w:sz="4" w:space="0" w:color="000000" w:themeColor="text1"/>
            </w:tcBorders>
            <w:shd w:val="clear" w:color="auto" w:fill="CAEDFA"/>
            <w:hideMark/>
          </w:tcPr>
          <w:p w14:paraId="73AA179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nil"/>
              <w:right w:val="nil"/>
            </w:tcBorders>
            <w:shd w:val="clear" w:color="auto" w:fill="CAEDFA"/>
            <w:hideMark/>
          </w:tcPr>
          <w:p w14:paraId="5F59006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79" w:type="dxa"/>
            <w:tcBorders>
              <w:top w:val="nil"/>
              <w:left w:val="nil"/>
              <w:bottom w:val="nil"/>
              <w:right w:val="nil"/>
            </w:tcBorders>
            <w:shd w:val="clear" w:color="auto" w:fill="CAEDFA"/>
            <w:hideMark/>
          </w:tcPr>
          <w:p w14:paraId="74727BB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vMerge/>
            <w:hideMark/>
          </w:tcPr>
          <w:p w14:paraId="6700E9B4" w14:textId="77777777" w:rsidR="007D728E" w:rsidRPr="00CB13F7" w:rsidRDefault="007D728E" w:rsidP="007D728E">
            <w:pPr>
              <w:rPr>
                <w:rFonts w:eastAsia="Times New Roman"/>
                <w:color w:val="000000"/>
                <w:sz w:val="16"/>
                <w:szCs w:val="16"/>
                <w:lang w:eastAsia="en-US"/>
              </w:rPr>
            </w:pPr>
          </w:p>
        </w:tc>
      </w:tr>
      <w:tr w:rsidR="007D728E" w:rsidRPr="00CB13F7" w14:paraId="0F7DDB98" w14:textId="77777777" w:rsidTr="661F9D2E">
        <w:trPr>
          <w:trHeight w:val="105"/>
        </w:trPr>
        <w:tc>
          <w:tcPr>
            <w:tcW w:w="874" w:type="dxa"/>
            <w:tcBorders>
              <w:top w:val="nil"/>
              <w:left w:val="single" w:sz="4" w:space="0" w:color="000000" w:themeColor="text1"/>
              <w:bottom w:val="nil"/>
              <w:right w:val="single" w:sz="4" w:space="0" w:color="000000" w:themeColor="text1"/>
            </w:tcBorders>
            <w:shd w:val="clear" w:color="auto" w:fill="CAEDFA"/>
            <w:hideMark/>
          </w:tcPr>
          <w:p w14:paraId="483E973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hideMark/>
          </w:tcPr>
          <w:p w14:paraId="243B86C6" w14:textId="77777777" w:rsidR="007D728E" w:rsidRPr="00CB13F7" w:rsidRDefault="007D728E" w:rsidP="007D728E">
            <w:pPr>
              <w:rPr>
                <w:rFonts w:eastAsia="Times New Roman"/>
                <w:color w:val="000000"/>
                <w:sz w:val="16"/>
                <w:szCs w:val="16"/>
                <w:lang w:eastAsia="en-US"/>
              </w:rPr>
            </w:pPr>
          </w:p>
        </w:tc>
        <w:tc>
          <w:tcPr>
            <w:tcW w:w="2530" w:type="dxa"/>
            <w:vMerge/>
            <w:hideMark/>
          </w:tcPr>
          <w:p w14:paraId="1AAE2E74" w14:textId="77777777"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000000" w:themeColor="text1"/>
            </w:tcBorders>
            <w:shd w:val="clear" w:color="auto" w:fill="CAEDFA"/>
            <w:hideMark/>
          </w:tcPr>
          <w:p w14:paraId="2738C76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1" w:type="dxa"/>
            <w:tcBorders>
              <w:top w:val="nil"/>
              <w:left w:val="nil"/>
              <w:bottom w:val="nil"/>
              <w:right w:val="single" w:sz="4" w:space="0" w:color="000000" w:themeColor="text1"/>
            </w:tcBorders>
            <w:shd w:val="clear" w:color="auto" w:fill="CAEDFA"/>
            <w:noWrap/>
            <w:hideMark/>
          </w:tcPr>
          <w:p w14:paraId="4847455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nil"/>
              <w:right w:val="nil"/>
            </w:tcBorders>
            <w:shd w:val="clear" w:color="auto" w:fill="CAEDFA"/>
            <w:noWrap/>
            <w:hideMark/>
          </w:tcPr>
          <w:p w14:paraId="713AE80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79" w:type="dxa"/>
            <w:tcBorders>
              <w:top w:val="nil"/>
              <w:left w:val="nil"/>
              <w:bottom w:val="nil"/>
              <w:right w:val="nil"/>
            </w:tcBorders>
            <w:shd w:val="clear" w:color="auto" w:fill="CAEDFA"/>
            <w:hideMark/>
          </w:tcPr>
          <w:p w14:paraId="7BE51A5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vMerge/>
            <w:hideMark/>
          </w:tcPr>
          <w:p w14:paraId="1F300007" w14:textId="77777777" w:rsidR="007D728E" w:rsidRPr="00CB13F7" w:rsidRDefault="007D728E" w:rsidP="007D728E">
            <w:pPr>
              <w:rPr>
                <w:rFonts w:eastAsia="Times New Roman"/>
                <w:color w:val="000000"/>
                <w:sz w:val="16"/>
                <w:szCs w:val="16"/>
                <w:lang w:eastAsia="en-US"/>
              </w:rPr>
            </w:pPr>
          </w:p>
        </w:tc>
      </w:tr>
      <w:tr w:rsidR="007D728E" w:rsidRPr="00CB13F7" w14:paraId="5574FE11" w14:textId="77777777" w:rsidTr="661F9D2E">
        <w:trPr>
          <w:trHeight w:val="720"/>
        </w:trPr>
        <w:tc>
          <w:tcPr>
            <w:tcW w:w="8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A"/>
            <w:hideMark/>
          </w:tcPr>
          <w:p w14:paraId="6A5E21E5"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 xml:space="preserve">Objektivi Specifik </w:t>
            </w:r>
          </w:p>
        </w:tc>
        <w:tc>
          <w:tcPr>
            <w:tcW w:w="2772" w:type="dxa"/>
            <w:gridSpan w:val="2"/>
            <w:vMerge/>
            <w:hideMark/>
          </w:tcPr>
          <w:p w14:paraId="38473990" w14:textId="77777777" w:rsidR="007D728E" w:rsidRPr="00CB13F7" w:rsidRDefault="007D728E" w:rsidP="007D728E">
            <w:pPr>
              <w:rPr>
                <w:rFonts w:eastAsia="Times New Roman"/>
                <w:color w:val="000000"/>
                <w:sz w:val="16"/>
                <w:szCs w:val="16"/>
                <w:lang w:eastAsia="en-US"/>
              </w:rPr>
            </w:pPr>
          </w:p>
        </w:tc>
        <w:tc>
          <w:tcPr>
            <w:tcW w:w="2530" w:type="dxa"/>
            <w:vMerge/>
            <w:hideMark/>
          </w:tcPr>
          <w:p w14:paraId="1F782E51" w14:textId="77777777"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000000" w:themeColor="text1"/>
            </w:tcBorders>
            <w:shd w:val="clear" w:color="auto" w:fill="CAEDFA"/>
            <w:hideMark/>
          </w:tcPr>
          <w:p w14:paraId="6095AD9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1" w:type="dxa"/>
            <w:tcBorders>
              <w:top w:val="nil"/>
              <w:left w:val="nil"/>
              <w:bottom w:val="nil"/>
              <w:right w:val="single" w:sz="4" w:space="0" w:color="000000" w:themeColor="text1"/>
            </w:tcBorders>
            <w:shd w:val="clear" w:color="auto" w:fill="CAEDFA"/>
            <w:hideMark/>
          </w:tcPr>
          <w:p w14:paraId="6930933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nil"/>
              <w:right w:val="nil"/>
            </w:tcBorders>
            <w:shd w:val="clear" w:color="auto" w:fill="CAEDFA"/>
            <w:hideMark/>
          </w:tcPr>
          <w:p w14:paraId="078C119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79" w:type="dxa"/>
            <w:tcBorders>
              <w:top w:val="nil"/>
              <w:left w:val="nil"/>
              <w:bottom w:val="nil"/>
              <w:right w:val="nil"/>
            </w:tcBorders>
            <w:shd w:val="clear" w:color="auto" w:fill="CAEDFA"/>
            <w:hideMark/>
          </w:tcPr>
          <w:p w14:paraId="238B0C8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vMerge/>
            <w:hideMark/>
          </w:tcPr>
          <w:p w14:paraId="286C152C" w14:textId="77777777" w:rsidR="007D728E" w:rsidRPr="00CB13F7" w:rsidRDefault="007D728E" w:rsidP="007D728E">
            <w:pPr>
              <w:rPr>
                <w:rFonts w:eastAsia="Times New Roman"/>
                <w:color w:val="000000"/>
                <w:sz w:val="16"/>
                <w:szCs w:val="16"/>
                <w:lang w:eastAsia="en-US"/>
              </w:rPr>
            </w:pPr>
          </w:p>
        </w:tc>
      </w:tr>
      <w:tr w:rsidR="007D728E" w:rsidRPr="00CB13F7" w14:paraId="223EFDAE" w14:textId="77777777" w:rsidTr="661F9D2E">
        <w:trPr>
          <w:trHeight w:val="360"/>
        </w:trPr>
        <w:tc>
          <w:tcPr>
            <w:tcW w:w="874" w:type="dxa"/>
            <w:vMerge/>
            <w:hideMark/>
          </w:tcPr>
          <w:p w14:paraId="0443BE27" w14:textId="77777777" w:rsidR="007D728E" w:rsidRPr="00CB13F7" w:rsidRDefault="007D728E" w:rsidP="007D728E">
            <w:pPr>
              <w:rPr>
                <w:rFonts w:eastAsia="Times New Roman"/>
                <w:b/>
                <w:bCs/>
                <w:color w:val="000000"/>
                <w:sz w:val="16"/>
                <w:szCs w:val="16"/>
                <w:lang w:eastAsia="en-US"/>
              </w:rPr>
            </w:pPr>
          </w:p>
        </w:tc>
        <w:tc>
          <w:tcPr>
            <w:tcW w:w="892" w:type="dxa"/>
            <w:tcBorders>
              <w:top w:val="nil"/>
              <w:left w:val="nil"/>
              <w:bottom w:val="nil"/>
              <w:right w:val="nil"/>
            </w:tcBorders>
            <w:shd w:val="clear" w:color="auto" w:fill="CAEDFA"/>
            <w:hideMark/>
          </w:tcPr>
          <w:p w14:paraId="35E287D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880" w:type="dxa"/>
            <w:tcBorders>
              <w:top w:val="nil"/>
              <w:left w:val="nil"/>
              <w:bottom w:val="nil"/>
              <w:right w:val="single" w:sz="4" w:space="0" w:color="000000" w:themeColor="text1"/>
            </w:tcBorders>
            <w:shd w:val="clear" w:color="auto" w:fill="CAEDFA"/>
            <w:hideMark/>
          </w:tcPr>
          <w:p w14:paraId="4E81A98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30" w:type="dxa"/>
            <w:vMerge/>
            <w:hideMark/>
          </w:tcPr>
          <w:p w14:paraId="5F5288BF" w14:textId="77777777"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000000" w:themeColor="text1"/>
            </w:tcBorders>
            <w:shd w:val="clear" w:color="auto" w:fill="CAEDFA"/>
            <w:hideMark/>
          </w:tcPr>
          <w:p w14:paraId="7C54F14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1" w:type="dxa"/>
            <w:tcBorders>
              <w:top w:val="nil"/>
              <w:left w:val="nil"/>
              <w:bottom w:val="nil"/>
              <w:right w:val="single" w:sz="4" w:space="0" w:color="000000" w:themeColor="text1"/>
            </w:tcBorders>
            <w:shd w:val="clear" w:color="auto" w:fill="CAEDFA"/>
            <w:hideMark/>
          </w:tcPr>
          <w:p w14:paraId="61B8641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nil"/>
              <w:right w:val="nil"/>
            </w:tcBorders>
            <w:shd w:val="clear" w:color="auto" w:fill="CAEDFA"/>
            <w:hideMark/>
          </w:tcPr>
          <w:p w14:paraId="79E3BA0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79" w:type="dxa"/>
            <w:tcBorders>
              <w:top w:val="nil"/>
              <w:left w:val="nil"/>
              <w:bottom w:val="nil"/>
              <w:right w:val="nil"/>
            </w:tcBorders>
            <w:shd w:val="clear" w:color="auto" w:fill="CAEDFA"/>
            <w:hideMark/>
          </w:tcPr>
          <w:p w14:paraId="3063FD2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vMerge/>
            <w:hideMark/>
          </w:tcPr>
          <w:p w14:paraId="06F28E05" w14:textId="77777777" w:rsidR="007D728E" w:rsidRPr="00CB13F7" w:rsidRDefault="007D728E" w:rsidP="007D728E">
            <w:pPr>
              <w:rPr>
                <w:rFonts w:eastAsia="Times New Roman"/>
                <w:color w:val="000000"/>
                <w:sz w:val="16"/>
                <w:szCs w:val="16"/>
                <w:lang w:eastAsia="en-US"/>
              </w:rPr>
            </w:pPr>
          </w:p>
        </w:tc>
      </w:tr>
      <w:tr w:rsidR="007D728E" w:rsidRPr="00CB13F7" w14:paraId="2FCE989C" w14:textId="77777777" w:rsidTr="661F9D2E">
        <w:trPr>
          <w:trHeight w:val="3255"/>
        </w:trPr>
        <w:tc>
          <w:tcPr>
            <w:tcW w:w="874" w:type="dxa"/>
            <w:vMerge/>
            <w:hideMark/>
          </w:tcPr>
          <w:p w14:paraId="6596C7F6" w14:textId="77777777" w:rsidR="007D728E" w:rsidRPr="00CB13F7" w:rsidRDefault="007D728E" w:rsidP="007D728E">
            <w:pPr>
              <w:rPr>
                <w:rFonts w:eastAsia="Times New Roman"/>
                <w:b/>
                <w:bCs/>
                <w:color w:val="000000"/>
                <w:sz w:val="16"/>
                <w:szCs w:val="16"/>
                <w:lang w:eastAsia="en-US"/>
              </w:rPr>
            </w:pPr>
          </w:p>
        </w:tc>
        <w:tc>
          <w:tcPr>
            <w:tcW w:w="2772" w:type="dxa"/>
            <w:gridSpan w:val="2"/>
            <w:tcBorders>
              <w:top w:val="single" w:sz="4" w:space="0" w:color="000000" w:themeColor="text1"/>
              <w:left w:val="nil"/>
              <w:bottom w:val="single" w:sz="4" w:space="0" w:color="000000" w:themeColor="text1"/>
              <w:right w:val="single" w:sz="4" w:space="0" w:color="000000" w:themeColor="text1"/>
            </w:tcBorders>
            <w:shd w:val="clear" w:color="auto" w:fill="CAEDFA"/>
            <w:hideMark/>
          </w:tcPr>
          <w:p w14:paraId="64821AB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Objektivi specifik 4: Të garantohet mbrojtja efektive e të drejtave, dinjitetit dhe barazisë së grave dhe vajzave me aftësi të kufizuara nga të gjitha format e dhunës, duke adresuar diskriminimin e shumëfishtë dhe duke siguruar akses të plotë dhe të përshtatur në shërbime, mekanizma mbrojtës dhe drejtësi.</w:t>
            </w:r>
          </w:p>
        </w:tc>
        <w:tc>
          <w:tcPr>
            <w:tcW w:w="2530" w:type="dxa"/>
            <w:tcBorders>
              <w:top w:val="single" w:sz="4" w:space="0" w:color="000000" w:themeColor="text1"/>
              <w:left w:val="nil"/>
              <w:bottom w:val="single" w:sz="4" w:space="0" w:color="000000" w:themeColor="text1"/>
              <w:right w:val="nil"/>
            </w:tcBorders>
            <w:shd w:val="clear" w:color="auto" w:fill="CAEDFA"/>
            <w:hideMark/>
          </w:tcPr>
          <w:p w14:paraId="6E4772A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Numri i grave dhe vajzave me aftësi të kufizuara viktima të dhunës që kanë përfituar shërbime mbrojtëse të specializuara (strehim emergjent, qendër krize, ndihmë juridike falas, shërbim </w:t>
            </w:r>
            <w:r w:rsidR="00234FBC" w:rsidRPr="00CB13F7">
              <w:rPr>
                <w:rFonts w:eastAsia="Times New Roman"/>
                <w:color w:val="000000"/>
                <w:sz w:val="16"/>
                <w:szCs w:val="16"/>
                <w:lang w:eastAsia="en-US"/>
              </w:rPr>
              <w:t>psiko-social</w:t>
            </w:r>
            <w:r w:rsidRPr="00CB13F7">
              <w:rPr>
                <w:rFonts w:eastAsia="Times New Roman"/>
                <w:color w:val="000000"/>
                <w:sz w:val="16"/>
                <w:szCs w:val="16"/>
                <w:lang w:eastAsia="en-US"/>
              </w:rPr>
              <w:t>).</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Numri i grave dhe vajzave me aftësi të kufizuara që kane raportuar </w:t>
            </w:r>
            <w:r w:rsidR="00234FBC" w:rsidRPr="00CB13F7">
              <w:rPr>
                <w:rFonts w:eastAsia="Times New Roman"/>
                <w:color w:val="000000"/>
                <w:sz w:val="16"/>
                <w:szCs w:val="16"/>
                <w:lang w:eastAsia="en-US"/>
              </w:rPr>
              <w:t>dhunën</w:t>
            </w:r>
            <w:r w:rsidRPr="00CB13F7">
              <w:rPr>
                <w:rFonts w:eastAsia="Times New Roman"/>
                <w:color w:val="000000"/>
                <w:sz w:val="16"/>
                <w:szCs w:val="16"/>
                <w:lang w:eastAsia="en-US"/>
              </w:rPr>
              <w:t xml:space="preserve"> .</w:t>
            </w:r>
          </w:p>
        </w:tc>
        <w:tc>
          <w:tcPr>
            <w:tcW w:w="1201" w:type="dxa"/>
            <w:tcBorders>
              <w:top w:val="single" w:sz="4" w:space="0" w:color="000000" w:themeColor="text1"/>
              <w:left w:val="nil"/>
              <w:bottom w:val="single" w:sz="4" w:space="0" w:color="000000" w:themeColor="text1"/>
              <w:right w:val="single" w:sz="4" w:space="0" w:color="000000" w:themeColor="text1"/>
            </w:tcBorders>
            <w:shd w:val="clear" w:color="auto" w:fill="CAEDFA"/>
            <w:hideMark/>
          </w:tcPr>
          <w:p w14:paraId="4605ABBC" w14:textId="22B82FD8"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N</w:t>
            </w:r>
            <w:r w:rsidR="27376958" w:rsidRPr="00CB13F7">
              <w:rPr>
                <w:rFonts w:eastAsia="Times New Roman"/>
                <w:color w:val="000000" w:themeColor="text1"/>
                <w:sz w:val="16"/>
                <w:szCs w:val="16"/>
                <w:lang w:eastAsia="en-US"/>
              </w:rPr>
              <w:t>/</w:t>
            </w:r>
            <w:r w:rsidRPr="00CB13F7">
              <w:rPr>
                <w:rFonts w:eastAsia="Times New Roman"/>
                <w:color w:val="000000" w:themeColor="text1"/>
                <w:sz w:val="16"/>
                <w:szCs w:val="16"/>
                <w:lang w:eastAsia="en-US"/>
              </w:rPr>
              <w:t>a</w:t>
            </w:r>
          </w:p>
        </w:tc>
        <w:tc>
          <w:tcPr>
            <w:tcW w:w="1461" w:type="dxa"/>
            <w:tcBorders>
              <w:top w:val="single" w:sz="4" w:space="0" w:color="000000" w:themeColor="text1"/>
              <w:left w:val="nil"/>
              <w:bottom w:val="single" w:sz="4" w:space="0" w:color="000000" w:themeColor="text1"/>
              <w:right w:val="single" w:sz="4" w:space="0" w:color="000000" w:themeColor="text1"/>
            </w:tcBorders>
            <w:shd w:val="clear" w:color="auto" w:fill="CAEDFA"/>
            <w:hideMark/>
          </w:tcPr>
          <w:p w14:paraId="629A20F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w:t>
            </w:r>
          </w:p>
        </w:tc>
        <w:tc>
          <w:tcPr>
            <w:tcW w:w="1201" w:type="dxa"/>
            <w:tcBorders>
              <w:top w:val="single" w:sz="4" w:space="0" w:color="000000" w:themeColor="text1"/>
              <w:left w:val="nil"/>
              <w:bottom w:val="single" w:sz="4" w:space="0" w:color="000000" w:themeColor="text1"/>
              <w:right w:val="nil"/>
            </w:tcBorders>
            <w:shd w:val="clear" w:color="auto" w:fill="CAEDFA"/>
            <w:hideMark/>
          </w:tcPr>
          <w:p w14:paraId="4DEE88A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15%</w:t>
            </w:r>
          </w:p>
        </w:tc>
        <w:tc>
          <w:tcPr>
            <w:tcW w:w="1079" w:type="dxa"/>
            <w:tcBorders>
              <w:top w:val="single" w:sz="4" w:space="0" w:color="000000" w:themeColor="text1"/>
              <w:left w:val="nil"/>
              <w:bottom w:val="single" w:sz="4" w:space="0" w:color="000000" w:themeColor="text1"/>
              <w:right w:val="nil"/>
            </w:tcBorders>
            <w:shd w:val="clear" w:color="auto" w:fill="CAEDFA"/>
            <w:hideMark/>
          </w:tcPr>
          <w:p w14:paraId="52FC627A" w14:textId="6CBA2BAE" w:rsidR="007D728E" w:rsidRPr="00CB13F7" w:rsidRDefault="00764F0D" w:rsidP="661F9D2E">
            <w:pPr>
              <w:rPr>
                <w:rFonts w:eastAsia="Times New Roman"/>
                <w:color w:val="000000"/>
                <w:sz w:val="16"/>
                <w:szCs w:val="16"/>
                <w:lang w:eastAsia="en-US"/>
              </w:rPr>
            </w:pPr>
            <w:r>
              <w:rPr>
                <w:rFonts w:eastAsia="Times New Roman"/>
                <w:color w:val="000000" w:themeColor="text1"/>
                <w:sz w:val="16"/>
                <w:szCs w:val="16"/>
                <w:lang w:eastAsia="en-US"/>
              </w:rPr>
              <w:t>MSHMS</w:t>
            </w:r>
            <w:r w:rsidR="143799FA" w:rsidRPr="00CB13F7">
              <w:rPr>
                <w:rFonts w:eastAsia="Times New Roman"/>
                <w:color w:val="000000" w:themeColor="text1"/>
                <w:sz w:val="16"/>
                <w:szCs w:val="16"/>
                <w:lang w:eastAsia="en-US"/>
              </w:rPr>
              <w:t xml:space="preserve">; </w:t>
            </w:r>
            <w:r w:rsidR="582810F5" w:rsidRPr="00CB13F7">
              <w:rPr>
                <w:rFonts w:eastAsia="Times New Roman"/>
                <w:color w:val="000000" w:themeColor="text1"/>
                <w:sz w:val="16"/>
                <w:szCs w:val="16"/>
                <w:lang w:eastAsia="en-US"/>
              </w:rPr>
              <w:t xml:space="preserve">Bashkitë (MKR) </w:t>
            </w:r>
            <w:r w:rsidR="0080D2BD" w:rsidRPr="00CB13F7">
              <w:rPr>
                <w:rFonts w:eastAsia="Times New Roman"/>
                <w:color w:val="000000" w:themeColor="text1"/>
                <w:sz w:val="16"/>
                <w:szCs w:val="16"/>
                <w:lang w:eastAsia="en-US"/>
              </w:rPr>
              <w:t>Qendrat për viktimat e dhunës</w:t>
            </w:r>
            <w:r w:rsidR="007D728E" w:rsidRPr="00CB13F7">
              <w:br/>
            </w:r>
            <w:r w:rsidR="0080D2BD" w:rsidRPr="00CB13F7">
              <w:rPr>
                <w:rFonts w:eastAsia="Times New Roman"/>
                <w:color w:val="000000" w:themeColor="text1"/>
                <w:sz w:val="16"/>
                <w:szCs w:val="16"/>
                <w:lang w:eastAsia="en-US"/>
              </w:rPr>
              <w:t>Ndihma Juridike Falas;</w:t>
            </w:r>
            <w:r w:rsidR="007D728E" w:rsidRPr="00CB13F7">
              <w:br/>
            </w:r>
            <w:r w:rsidR="0080D2BD" w:rsidRPr="00CB13F7">
              <w:rPr>
                <w:rFonts w:eastAsia="Times New Roman"/>
                <w:color w:val="000000" w:themeColor="text1"/>
                <w:sz w:val="16"/>
                <w:szCs w:val="16"/>
                <w:lang w:eastAsia="en-US"/>
              </w:rPr>
              <w:t>Policia e Shtetit;</w:t>
            </w:r>
          </w:p>
        </w:tc>
        <w:tc>
          <w:tcPr>
            <w:tcW w:w="2495" w:type="dxa"/>
            <w:tcBorders>
              <w:top w:val="nil"/>
              <w:left w:val="nil"/>
              <w:bottom w:val="single" w:sz="4" w:space="0" w:color="000000" w:themeColor="text1"/>
              <w:right w:val="single" w:sz="4" w:space="0" w:color="000000" w:themeColor="text1"/>
            </w:tcBorders>
            <w:shd w:val="clear" w:color="auto" w:fill="CAEDFA"/>
            <w:hideMark/>
          </w:tcPr>
          <w:p w14:paraId="4E4E8854" w14:textId="7E7B387A" w:rsidR="007D728E" w:rsidRPr="00CB13F7" w:rsidRDefault="33CBAD6D" w:rsidP="661F9D2E">
            <w:pPr>
              <w:rPr>
                <w:rFonts w:eastAsia="Times New Roman"/>
                <w:color w:val="000000" w:themeColor="text1"/>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6, Neni 16, Neni 9, Neni 13, Neni 25, Neni 31);</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5, </w:t>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16, </w:t>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10;</w:t>
            </w:r>
            <w:r w:rsidR="007D728E" w:rsidRPr="00CB13F7">
              <w:br/>
            </w:r>
            <w:r w:rsidR="0080D2BD" w:rsidRPr="00CB13F7">
              <w:rPr>
                <w:rFonts w:eastAsia="Times New Roman"/>
                <w:color w:val="000000" w:themeColor="text1"/>
                <w:sz w:val="16"/>
                <w:szCs w:val="16"/>
                <w:lang w:eastAsia="en-US"/>
              </w:rPr>
              <w:t xml:space="preserve">Directive (EU) 2024/1385 </w:t>
            </w:r>
            <w:r w:rsidR="007D728E" w:rsidRPr="00CB13F7">
              <w:br/>
            </w:r>
            <w:r w:rsidR="0080D2BD" w:rsidRPr="00CB13F7">
              <w:rPr>
                <w:rFonts w:eastAsia="Times New Roman"/>
                <w:color w:val="000000" w:themeColor="text1"/>
                <w:sz w:val="16"/>
                <w:szCs w:val="16"/>
                <w:lang w:eastAsia="en-US"/>
              </w:rPr>
              <w:t>EU Disability Strategy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Konventa e Stambollit;</w:t>
            </w:r>
            <w:r w:rsidR="007D728E" w:rsidRPr="00CB13F7">
              <w:br/>
            </w:r>
            <w:r w:rsidR="0080D2BD" w:rsidRPr="00CB13F7">
              <w:rPr>
                <w:rFonts w:eastAsia="Times New Roman"/>
                <w:color w:val="000000" w:themeColor="text1"/>
                <w:sz w:val="16"/>
                <w:szCs w:val="16"/>
                <w:lang w:eastAsia="en-US"/>
              </w:rPr>
              <w:t xml:space="preserve">EPSR; </w:t>
            </w:r>
            <w:r w:rsidR="007D728E" w:rsidRPr="00CB13F7">
              <w:br/>
            </w:r>
            <w:r w:rsidR="0080D2BD" w:rsidRPr="00CB13F7">
              <w:rPr>
                <w:rFonts w:eastAsia="Times New Roman"/>
                <w:color w:val="000000" w:themeColor="text1"/>
                <w:sz w:val="16"/>
                <w:szCs w:val="16"/>
                <w:lang w:eastAsia="en-US"/>
              </w:rPr>
              <w:t xml:space="preserve">Parimi 17 </w:t>
            </w:r>
            <w:r w:rsidR="007D728E" w:rsidRPr="00CB13F7">
              <w:br/>
            </w:r>
            <w:r w:rsidR="007D728E" w:rsidRPr="00CB13F7">
              <w:br/>
            </w:r>
            <w:r w:rsidR="0080D2BD" w:rsidRPr="00CB13F7">
              <w:rPr>
                <w:rFonts w:eastAsia="Times New Roman"/>
                <w:color w:val="000000" w:themeColor="text1"/>
                <w:sz w:val="16"/>
                <w:szCs w:val="16"/>
                <w:lang w:eastAsia="en-US"/>
              </w:rPr>
              <w:t>SKZHIE 2022</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w:t>
            </w:r>
            <w:r w:rsidR="007D728E" w:rsidRPr="00CB13F7">
              <w:br/>
            </w:r>
            <w:r w:rsidR="0080D2BD" w:rsidRPr="00CB13F7">
              <w:rPr>
                <w:rFonts w:eastAsia="Times New Roman"/>
                <w:color w:val="000000" w:themeColor="text1"/>
                <w:sz w:val="16"/>
                <w:szCs w:val="16"/>
                <w:lang w:eastAsia="en-US"/>
              </w:rPr>
              <w:t>Strategjia e Mbrojtjes Sociale 2023-2020</w:t>
            </w:r>
            <w:r w:rsidR="007D728E" w:rsidRPr="00CB13F7">
              <w:br/>
            </w:r>
            <w:r w:rsidR="1F984772" w:rsidRPr="00CB13F7">
              <w:rPr>
                <w:rFonts w:eastAsia="Times New Roman"/>
                <w:color w:val="000000" w:themeColor="text1"/>
                <w:sz w:val="16"/>
                <w:szCs w:val="16"/>
                <w:lang w:eastAsia="en-US"/>
              </w:rPr>
              <w:t xml:space="preserve">Strategjia Kombëtare për Barazinë Gjinore 2021-2030; </w:t>
            </w:r>
          </w:p>
          <w:p w14:paraId="375AC1EE" w14:textId="58329728" w:rsidR="007D728E" w:rsidRPr="00CB13F7" w:rsidRDefault="0080D2BD" w:rsidP="661F9D2E">
            <w:pPr>
              <w:rPr>
                <w:rFonts w:eastAsia="Times New Roman"/>
                <w:color w:val="000000"/>
                <w:sz w:val="16"/>
                <w:szCs w:val="16"/>
                <w:lang w:eastAsia="en-US"/>
              </w:rPr>
            </w:pPr>
            <w:r w:rsidRPr="00CB13F7">
              <w:rPr>
                <w:rFonts w:eastAsia="Times New Roman"/>
                <w:color w:val="000000" w:themeColor="text1"/>
                <w:sz w:val="16"/>
                <w:szCs w:val="16"/>
                <w:lang w:eastAsia="en-US"/>
              </w:rPr>
              <w:t xml:space="preserve">Kapituj acquis: Kapitulli 23 dhe Kapitulli </w:t>
            </w:r>
            <w:r w:rsidR="0437DBB1" w:rsidRPr="00CB13F7">
              <w:rPr>
                <w:rFonts w:eastAsia="Times New Roman"/>
                <w:color w:val="000000" w:themeColor="text1"/>
                <w:sz w:val="16"/>
                <w:szCs w:val="16"/>
                <w:lang w:eastAsia="en-US"/>
              </w:rPr>
              <w:t>19</w:t>
            </w:r>
            <w:r w:rsidRPr="00CB13F7">
              <w:rPr>
                <w:rFonts w:eastAsia="Times New Roman"/>
                <w:color w:val="000000" w:themeColor="text1"/>
                <w:sz w:val="16"/>
                <w:szCs w:val="16"/>
                <w:lang w:eastAsia="en-US"/>
              </w:rPr>
              <w:t>;</w:t>
            </w:r>
          </w:p>
        </w:tc>
      </w:tr>
      <w:tr w:rsidR="007D728E" w:rsidRPr="00CB13F7" w14:paraId="033F2822" w14:textId="77777777" w:rsidTr="661F9D2E">
        <w:trPr>
          <w:trHeight w:val="1275"/>
        </w:trPr>
        <w:tc>
          <w:tcPr>
            <w:tcW w:w="874" w:type="dxa"/>
            <w:vMerge/>
            <w:hideMark/>
          </w:tcPr>
          <w:p w14:paraId="23C167A6" w14:textId="77777777" w:rsidR="007D728E" w:rsidRPr="00CB13F7" w:rsidRDefault="007D728E" w:rsidP="007D728E">
            <w:pPr>
              <w:rPr>
                <w:rFonts w:eastAsia="Times New Roman"/>
                <w:b/>
                <w:bCs/>
                <w:color w:val="000000"/>
                <w:sz w:val="16"/>
                <w:szCs w:val="16"/>
                <w:lang w:eastAsia="en-US"/>
              </w:rPr>
            </w:pPr>
          </w:p>
        </w:tc>
        <w:tc>
          <w:tcPr>
            <w:tcW w:w="2772" w:type="dxa"/>
            <w:gridSpan w:val="2"/>
            <w:vMerge w:val="restart"/>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4DB2100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Objektivi 5: Fëmijët me aftësi të kufizuara gëzojnë plotësisht të drejtat dhe liritë e tyre themelore në baza të barabarta me fëmijët e tjerë, duke pasur gjithmonë parasysh interesin më të lartë të tyre, me fokus mbështetjen e </w:t>
            </w:r>
            <w:r w:rsidR="00234FBC" w:rsidRPr="00CB13F7">
              <w:rPr>
                <w:rFonts w:eastAsia="Times New Roman"/>
                <w:color w:val="000000"/>
                <w:sz w:val="16"/>
                <w:szCs w:val="16"/>
                <w:lang w:eastAsia="en-US"/>
              </w:rPr>
              <w:t>përshtatshme</w:t>
            </w:r>
            <w:r w:rsidRPr="00CB13F7">
              <w:rPr>
                <w:rFonts w:eastAsia="Times New Roman"/>
                <w:color w:val="000000"/>
                <w:sz w:val="16"/>
                <w:szCs w:val="16"/>
                <w:lang w:eastAsia="en-US"/>
              </w:rPr>
              <w:t xml:space="preserve"> sipas moshës dhe nevojave individuale.</w:t>
            </w:r>
          </w:p>
        </w:tc>
        <w:tc>
          <w:tcPr>
            <w:tcW w:w="2530" w:type="dxa"/>
            <w:vMerge w:val="restart"/>
            <w:tcBorders>
              <w:top w:val="single" w:sz="4" w:space="0" w:color="000000" w:themeColor="text1"/>
              <w:left w:val="single" w:sz="4" w:space="0" w:color="000000" w:themeColor="text1"/>
              <w:bottom w:val="single" w:sz="4" w:space="0" w:color="000000" w:themeColor="text1"/>
              <w:right w:val="nil"/>
            </w:tcBorders>
            <w:shd w:val="clear" w:color="auto" w:fill="CAEDFA"/>
            <w:hideMark/>
          </w:tcPr>
          <w:p w14:paraId="431D329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fëmijëve me aftësi të kufizuara të identifikuar në rrezik ose viktima dhune që trajtohen nga Njësitë e Mbrojtjes së Fëmijëve (NJMF) me plan individual mbrojtjeje dhe ndjekje rasti.</w:t>
            </w:r>
          </w:p>
        </w:tc>
        <w:tc>
          <w:tcPr>
            <w:tcW w:w="1201" w:type="dxa"/>
            <w:tcBorders>
              <w:top w:val="nil"/>
              <w:left w:val="nil"/>
              <w:bottom w:val="nil"/>
              <w:right w:val="single" w:sz="4" w:space="0" w:color="000000" w:themeColor="text1"/>
            </w:tcBorders>
            <w:shd w:val="clear" w:color="auto" w:fill="CAEDFA"/>
            <w:hideMark/>
          </w:tcPr>
          <w:p w14:paraId="522A62C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nil"/>
              <w:right w:val="single" w:sz="4" w:space="0" w:color="000000" w:themeColor="text1"/>
            </w:tcBorders>
            <w:shd w:val="clear" w:color="auto" w:fill="CAEDFA"/>
            <w:hideMark/>
          </w:tcPr>
          <w:p w14:paraId="3F1B842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15%</w:t>
            </w:r>
          </w:p>
        </w:tc>
        <w:tc>
          <w:tcPr>
            <w:tcW w:w="1201" w:type="dxa"/>
            <w:tcBorders>
              <w:top w:val="nil"/>
              <w:left w:val="nil"/>
              <w:bottom w:val="nil"/>
              <w:right w:val="nil"/>
            </w:tcBorders>
            <w:shd w:val="clear" w:color="auto" w:fill="CAEDFA"/>
            <w:hideMark/>
          </w:tcPr>
          <w:p w14:paraId="1DA946D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25%</w:t>
            </w:r>
          </w:p>
        </w:tc>
        <w:tc>
          <w:tcPr>
            <w:tcW w:w="1079" w:type="dxa"/>
            <w:tcBorders>
              <w:top w:val="nil"/>
              <w:left w:val="nil"/>
              <w:bottom w:val="nil"/>
              <w:right w:val="nil"/>
            </w:tcBorders>
            <w:shd w:val="clear" w:color="auto" w:fill="CAEDFA"/>
            <w:hideMark/>
          </w:tcPr>
          <w:p w14:paraId="2A037E21" w14:textId="56E1E5B0" w:rsidR="007D728E" w:rsidRPr="00CB13F7" w:rsidRDefault="02DA3ED9"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ASHDMF</w:t>
            </w:r>
          </w:p>
          <w:p w14:paraId="020FD0A5" w14:textId="0B0C261C"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NJMF (Bashkitë);</w:t>
            </w:r>
            <w:r w:rsidR="007D728E" w:rsidRPr="00CB13F7">
              <w:br/>
            </w:r>
            <w:r w:rsidRPr="00CB13F7">
              <w:rPr>
                <w:rFonts w:eastAsia="Times New Roman"/>
                <w:color w:val="000000" w:themeColor="text1"/>
                <w:sz w:val="16"/>
                <w:szCs w:val="16"/>
                <w:lang w:eastAsia="en-US"/>
              </w:rPr>
              <w:t>SHSSH;</w:t>
            </w:r>
            <w:r w:rsidR="007D728E" w:rsidRPr="00CB13F7">
              <w:br/>
            </w:r>
            <w:r w:rsidRPr="00CB13F7">
              <w:rPr>
                <w:rFonts w:eastAsia="Times New Roman"/>
                <w:color w:val="000000" w:themeColor="text1"/>
                <w:sz w:val="16"/>
                <w:szCs w:val="16"/>
                <w:lang w:eastAsia="en-US"/>
              </w:rPr>
              <w:t>Policia;</w:t>
            </w:r>
            <w:r w:rsidR="007D728E" w:rsidRPr="00CB13F7">
              <w:br/>
            </w:r>
            <w:r w:rsidRPr="00CB13F7">
              <w:rPr>
                <w:rFonts w:eastAsia="Times New Roman"/>
                <w:color w:val="000000" w:themeColor="text1"/>
                <w:sz w:val="16"/>
                <w:szCs w:val="16"/>
                <w:lang w:eastAsia="en-US"/>
              </w:rPr>
              <w:t>Prokuroria;</w:t>
            </w:r>
            <w:r w:rsidR="007D728E" w:rsidRPr="00CB13F7">
              <w:br/>
            </w:r>
            <w:r w:rsidRPr="00CB13F7">
              <w:rPr>
                <w:rFonts w:eastAsia="Times New Roman"/>
                <w:color w:val="000000" w:themeColor="text1"/>
                <w:sz w:val="16"/>
                <w:szCs w:val="16"/>
                <w:lang w:eastAsia="en-US"/>
              </w:rPr>
              <w:t>Shërbimet sociale;</w:t>
            </w:r>
          </w:p>
        </w:tc>
        <w:tc>
          <w:tcPr>
            <w:tcW w:w="2495" w:type="dxa"/>
            <w:vMerge w:val="restart"/>
            <w:tcBorders>
              <w:top w:val="nil"/>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3C40D4E" w14:textId="727A2D64" w:rsidR="007D728E" w:rsidRPr="00CB13F7" w:rsidRDefault="3B1267E5" w:rsidP="661F9D2E">
            <w:pPr>
              <w:rPr>
                <w:rFonts w:eastAsia="Times New Roman"/>
                <w:color w:val="000000"/>
                <w:sz w:val="16"/>
                <w:szCs w:val="16"/>
                <w:lang w:eastAsia="en-US"/>
              </w:rPr>
            </w:pPr>
            <w:r w:rsidRPr="00CB13F7">
              <w:rPr>
                <w:rFonts w:eastAsia="Times New Roman"/>
              </w:rPr>
              <w:t xml:space="preserve"> </w:t>
            </w:r>
            <w:r w:rsidRPr="00CB13F7">
              <w:rPr>
                <w:rFonts w:eastAsia="Times New Roman"/>
                <w:sz w:val="16"/>
                <w:szCs w:val="16"/>
              </w:rPr>
              <w:t>KDPAK</w:t>
            </w:r>
            <w:r w:rsidR="0080D2BD" w:rsidRPr="00CB13F7">
              <w:rPr>
                <w:rFonts w:eastAsia="Times New Roman"/>
                <w:color w:val="000000" w:themeColor="text1"/>
                <w:sz w:val="16"/>
                <w:szCs w:val="16"/>
                <w:lang w:eastAsia="en-US"/>
              </w:rPr>
              <w:t xml:space="preserve"> (Neni 7; Neni 16 Neni 31); </w:t>
            </w:r>
            <w:r w:rsidR="007D728E" w:rsidRPr="00CB13F7">
              <w:br/>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16 (mbrojtje nga dhuna), </w:t>
            </w:r>
            <w:r w:rsidR="7CCBCF77"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10; </w:t>
            </w:r>
            <w:r w:rsidR="007D728E" w:rsidRPr="00CB13F7">
              <w:br/>
            </w:r>
            <w:r w:rsidR="0080D2BD" w:rsidRPr="00CB13F7">
              <w:rPr>
                <w:rFonts w:eastAsia="Times New Roman"/>
                <w:color w:val="000000" w:themeColor="text1"/>
                <w:sz w:val="16"/>
                <w:szCs w:val="16"/>
                <w:lang w:eastAsia="en-US"/>
              </w:rPr>
              <w:t xml:space="preserve">European Child Guarantee </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 Council Recommendation (EU) 2021/1004; </w:t>
            </w:r>
            <w:r w:rsidR="007D728E" w:rsidRPr="00CB13F7">
              <w:br/>
            </w:r>
            <w:r w:rsidR="0080D2BD" w:rsidRPr="00CB13F7">
              <w:rPr>
                <w:rFonts w:eastAsia="Times New Roman"/>
                <w:color w:val="000000" w:themeColor="text1"/>
                <w:sz w:val="16"/>
                <w:szCs w:val="16"/>
                <w:lang w:eastAsia="en-US"/>
              </w:rPr>
              <w:t xml:space="preserve">EPSR: Parimi 11; Parimi 17 </w:t>
            </w:r>
            <w:r w:rsidR="007D728E" w:rsidRPr="00CB13F7">
              <w:br/>
            </w:r>
            <w:r w:rsidR="0080D2BD" w:rsidRPr="00CB13F7">
              <w:rPr>
                <w:rFonts w:eastAsia="Times New Roman"/>
                <w:color w:val="000000" w:themeColor="text1"/>
                <w:sz w:val="16"/>
                <w:szCs w:val="16"/>
                <w:lang w:eastAsia="en-US"/>
              </w:rPr>
              <w:t>SKZHIE 2022</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w:t>
            </w:r>
            <w:r w:rsidR="007D728E" w:rsidRPr="00CB13F7">
              <w:br/>
            </w:r>
            <w:r w:rsidR="73B85C5E" w:rsidRPr="00CB13F7">
              <w:rPr>
                <w:rFonts w:eastAsia="Times New Roman"/>
                <w:color w:val="000000" w:themeColor="text1"/>
                <w:sz w:val="16"/>
                <w:szCs w:val="16"/>
                <w:lang w:eastAsia="en-US"/>
              </w:rPr>
              <w:t>Agjenda Kombëtare për të Drejtat e Fëmijëve</w:t>
            </w:r>
            <w:r w:rsidR="0080D2BD" w:rsidRPr="00CB13F7">
              <w:rPr>
                <w:rFonts w:eastAsia="Times New Roman"/>
                <w:color w:val="000000" w:themeColor="text1"/>
                <w:sz w:val="16"/>
                <w:szCs w:val="16"/>
                <w:lang w:eastAsia="en-US"/>
              </w:rPr>
              <w:t xml:space="preserve"> </w:t>
            </w:r>
            <w:r w:rsidR="007D728E" w:rsidRPr="00CB13F7">
              <w:br/>
            </w:r>
            <w:r w:rsidR="0080D2BD" w:rsidRPr="00CB13F7">
              <w:rPr>
                <w:rFonts w:eastAsia="Times New Roman"/>
                <w:color w:val="000000" w:themeColor="text1"/>
                <w:sz w:val="16"/>
                <w:szCs w:val="16"/>
                <w:lang w:eastAsia="en-US"/>
              </w:rPr>
              <w:t>Kapituj acquis: Kapitulli 23; Kapitulli 19;</w:t>
            </w:r>
          </w:p>
        </w:tc>
      </w:tr>
      <w:tr w:rsidR="007D728E" w:rsidRPr="00CB13F7" w14:paraId="615CFDAC" w14:textId="77777777" w:rsidTr="661F9D2E">
        <w:trPr>
          <w:trHeight w:val="1020"/>
        </w:trPr>
        <w:tc>
          <w:tcPr>
            <w:tcW w:w="874" w:type="dxa"/>
            <w:vMerge/>
            <w:hideMark/>
          </w:tcPr>
          <w:p w14:paraId="28F34CB6" w14:textId="77777777" w:rsidR="007D728E" w:rsidRPr="00CB13F7" w:rsidRDefault="007D728E" w:rsidP="007D728E">
            <w:pPr>
              <w:rPr>
                <w:rFonts w:eastAsia="Times New Roman"/>
                <w:b/>
                <w:bCs/>
                <w:color w:val="000000"/>
                <w:sz w:val="16"/>
                <w:szCs w:val="16"/>
                <w:lang w:eastAsia="en-US"/>
              </w:rPr>
            </w:pPr>
          </w:p>
        </w:tc>
        <w:tc>
          <w:tcPr>
            <w:tcW w:w="2772" w:type="dxa"/>
            <w:gridSpan w:val="2"/>
            <w:vMerge/>
            <w:hideMark/>
          </w:tcPr>
          <w:p w14:paraId="18D2A9FA" w14:textId="77777777" w:rsidR="007D728E" w:rsidRPr="00CB13F7" w:rsidRDefault="007D728E" w:rsidP="007D728E">
            <w:pPr>
              <w:rPr>
                <w:rFonts w:eastAsia="Times New Roman"/>
                <w:color w:val="000000"/>
                <w:sz w:val="16"/>
                <w:szCs w:val="16"/>
                <w:lang w:eastAsia="en-US"/>
              </w:rPr>
            </w:pPr>
          </w:p>
        </w:tc>
        <w:tc>
          <w:tcPr>
            <w:tcW w:w="2530" w:type="dxa"/>
            <w:vMerge/>
            <w:hideMark/>
          </w:tcPr>
          <w:p w14:paraId="64CFADB7" w14:textId="77777777"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000000" w:themeColor="text1"/>
            </w:tcBorders>
            <w:shd w:val="clear" w:color="auto" w:fill="CAEDFA"/>
            <w:hideMark/>
          </w:tcPr>
          <w:p w14:paraId="0E4833C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1" w:type="dxa"/>
            <w:tcBorders>
              <w:top w:val="nil"/>
              <w:left w:val="nil"/>
              <w:bottom w:val="nil"/>
              <w:right w:val="single" w:sz="4" w:space="0" w:color="000000" w:themeColor="text1"/>
            </w:tcBorders>
            <w:shd w:val="clear" w:color="auto" w:fill="CAEDFA"/>
            <w:hideMark/>
          </w:tcPr>
          <w:p w14:paraId="02F71B2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nil"/>
              <w:right w:val="nil"/>
            </w:tcBorders>
            <w:shd w:val="clear" w:color="auto" w:fill="CAEDFA"/>
            <w:hideMark/>
          </w:tcPr>
          <w:p w14:paraId="5CD99A6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79" w:type="dxa"/>
            <w:tcBorders>
              <w:top w:val="nil"/>
              <w:left w:val="nil"/>
              <w:bottom w:val="nil"/>
              <w:right w:val="nil"/>
            </w:tcBorders>
            <w:shd w:val="clear" w:color="auto" w:fill="CAEDFA"/>
            <w:hideMark/>
          </w:tcPr>
          <w:p w14:paraId="23056F9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vMerge/>
            <w:hideMark/>
          </w:tcPr>
          <w:p w14:paraId="2295A162" w14:textId="77777777" w:rsidR="007D728E" w:rsidRPr="00CB13F7" w:rsidRDefault="007D728E" w:rsidP="007D728E">
            <w:pPr>
              <w:rPr>
                <w:rFonts w:eastAsia="Times New Roman"/>
                <w:color w:val="000000"/>
                <w:sz w:val="16"/>
                <w:szCs w:val="16"/>
                <w:lang w:eastAsia="en-US"/>
              </w:rPr>
            </w:pPr>
          </w:p>
        </w:tc>
      </w:tr>
      <w:tr w:rsidR="007D728E" w:rsidRPr="00CB13F7" w14:paraId="4A084C7A" w14:textId="77777777" w:rsidTr="661F9D2E">
        <w:trPr>
          <w:trHeight w:val="3255"/>
        </w:trPr>
        <w:tc>
          <w:tcPr>
            <w:tcW w:w="874" w:type="dxa"/>
            <w:tcBorders>
              <w:top w:val="nil"/>
              <w:left w:val="single" w:sz="4" w:space="0" w:color="000000" w:themeColor="text1"/>
              <w:bottom w:val="nil"/>
              <w:right w:val="single" w:sz="4" w:space="0" w:color="000000" w:themeColor="text1"/>
            </w:tcBorders>
            <w:shd w:val="clear" w:color="auto" w:fill="CAEDFA"/>
            <w:hideMark/>
          </w:tcPr>
          <w:p w14:paraId="477C9DD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772" w:type="dxa"/>
            <w:gridSpan w:val="2"/>
            <w:tcBorders>
              <w:top w:val="single" w:sz="4" w:space="0" w:color="000000" w:themeColor="text1"/>
              <w:left w:val="nil"/>
              <w:bottom w:val="single" w:sz="4" w:space="0" w:color="000000" w:themeColor="text1"/>
              <w:right w:val="single" w:sz="4" w:space="0" w:color="000000" w:themeColor="text1"/>
            </w:tcBorders>
            <w:shd w:val="clear" w:color="auto" w:fill="CAEDFA"/>
            <w:hideMark/>
          </w:tcPr>
          <w:p w14:paraId="12C0A36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Objektivi </w:t>
            </w:r>
            <w:r w:rsidR="00234FBC" w:rsidRPr="00CB13F7">
              <w:rPr>
                <w:rFonts w:eastAsia="Times New Roman"/>
                <w:color w:val="000000"/>
                <w:sz w:val="16"/>
                <w:szCs w:val="16"/>
                <w:lang w:eastAsia="en-US"/>
              </w:rPr>
              <w:t>specifik</w:t>
            </w:r>
            <w:r w:rsidRPr="00CB13F7">
              <w:rPr>
                <w:rFonts w:eastAsia="Times New Roman"/>
                <w:color w:val="000000"/>
                <w:sz w:val="16"/>
                <w:szCs w:val="16"/>
                <w:lang w:eastAsia="en-US"/>
              </w:rPr>
              <w:t xml:space="preserve"> 6: Forcimi i një sistemi gjithëpërfshirës për menaxhimin dhe reagimin ndaj ndryshimeve klimatike, fatkeqësive dhe krizave në Shqipëri, në nivel qendror dhe lokal, me fokus të veçantë te personat me aftësi të kufizuara, për të garantuar sigurinë e jetës dhe mbrojtjen e tyre. </w:t>
            </w:r>
          </w:p>
        </w:tc>
        <w:tc>
          <w:tcPr>
            <w:tcW w:w="2530" w:type="dxa"/>
            <w:tcBorders>
              <w:top w:val="single" w:sz="4" w:space="0" w:color="000000" w:themeColor="text1"/>
              <w:left w:val="nil"/>
              <w:bottom w:val="single" w:sz="4" w:space="0" w:color="000000" w:themeColor="text1"/>
              <w:right w:val="nil"/>
            </w:tcBorders>
            <w:shd w:val="clear" w:color="auto" w:fill="CAEDFA"/>
            <w:hideMark/>
          </w:tcPr>
          <w:p w14:paraId="0348FC1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akteve ligjore dhe nënligjore, udhëzimeve, planeve dhe protokolleve të menaxhimit të emergjencave të miratuara ose të rishikuara që përfshijnë dispozita për personat me aftësi të kufizuara.</w:t>
            </w:r>
          </w:p>
        </w:tc>
        <w:tc>
          <w:tcPr>
            <w:tcW w:w="1201" w:type="dxa"/>
            <w:tcBorders>
              <w:top w:val="single" w:sz="4" w:space="0" w:color="000000" w:themeColor="text1"/>
              <w:left w:val="nil"/>
              <w:bottom w:val="single" w:sz="4" w:space="0" w:color="000000" w:themeColor="text1"/>
              <w:right w:val="single" w:sz="4" w:space="0" w:color="000000" w:themeColor="text1"/>
            </w:tcBorders>
            <w:shd w:val="clear" w:color="auto" w:fill="CAEDFA"/>
            <w:hideMark/>
          </w:tcPr>
          <w:p w14:paraId="21FB99C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single" w:sz="4" w:space="0" w:color="000000" w:themeColor="text1"/>
              <w:left w:val="nil"/>
              <w:bottom w:val="single" w:sz="4" w:space="0" w:color="000000" w:themeColor="text1"/>
              <w:right w:val="single" w:sz="4" w:space="0" w:color="000000" w:themeColor="text1"/>
            </w:tcBorders>
            <w:shd w:val="clear" w:color="auto" w:fill="CAEDFA"/>
            <w:hideMark/>
          </w:tcPr>
          <w:p w14:paraId="4C47539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akte rregullatore të miratuara</w:t>
            </w:r>
          </w:p>
        </w:tc>
        <w:tc>
          <w:tcPr>
            <w:tcW w:w="1201" w:type="dxa"/>
            <w:tcBorders>
              <w:top w:val="single" w:sz="4" w:space="0" w:color="000000" w:themeColor="text1"/>
              <w:left w:val="nil"/>
              <w:bottom w:val="single" w:sz="4" w:space="0" w:color="000000" w:themeColor="text1"/>
              <w:right w:val="nil"/>
            </w:tcBorders>
            <w:shd w:val="clear" w:color="auto" w:fill="CAEDFA"/>
            <w:hideMark/>
          </w:tcPr>
          <w:p w14:paraId="675DBE3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 akte rregullatore të miratuara</w:t>
            </w:r>
          </w:p>
        </w:tc>
        <w:tc>
          <w:tcPr>
            <w:tcW w:w="1079" w:type="dxa"/>
            <w:tcBorders>
              <w:top w:val="single" w:sz="4" w:space="0" w:color="000000" w:themeColor="text1"/>
              <w:left w:val="nil"/>
              <w:bottom w:val="single" w:sz="4" w:space="0" w:color="000000" w:themeColor="text1"/>
              <w:right w:val="nil"/>
            </w:tcBorders>
            <w:shd w:val="clear" w:color="auto" w:fill="CAEDFA"/>
            <w:hideMark/>
          </w:tcPr>
          <w:p w14:paraId="125703F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AKMC;</w:t>
            </w:r>
            <w:r w:rsidRPr="00CB13F7">
              <w:rPr>
                <w:rFonts w:eastAsia="Times New Roman"/>
                <w:color w:val="000000"/>
                <w:sz w:val="16"/>
                <w:szCs w:val="16"/>
                <w:lang w:eastAsia="en-US"/>
              </w:rPr>
              <w:br/>
              <w:t>MSHMS;</w:t>
            </w:r>
          </w:p>
        </w:tc>
        <w:tc>
          <w:tcPr>
            <w:tcW w:w="2495" w:type="dxa"/>
            <w:tcBorders>
              <w:top w:val="nil"/>
              <w:left w:val="nil"/>
              <w:bottom w:val="single" w:sz="4" w:space="0" w:color="000000" w:themeColor="text1"/>
              <w:right w:val="single" w:sz="4" w:space="0" w:color="000000" w:themeColor="text1"/>
            </w:tcBorders>
            <w:shd w:val="clear" w:color="auto" w:fill="CAEDFA"/>
            <w:hideMark/>
          </w:tcPr>
          <w:p w14:paraId="2F401F94" w14:textId="43CD9B34" w:rsidR="007D728E" w:rsidRPr="00CB13F7" w:rsidRDefault="708CB3A5" w:rsidP="007D728E">
            <w:pPr>
              <w:rPr>
                <w:rFonts w:eastAsia="Times New Roman"/>
                <w:color w:val="000000"/>
                <w:sz w:val="16"/>
                <w:szCs w:val="16"/>
                <w:lang w:eastAsia="en-US"/>
              </w:rPr>
            </w:pPr>
            <w:r w:rsidRPr="00CB13F7">
              <w:rPr>
                <w:rFonts w:eastAsia="Times New Roman"/>
                <w:color w:val="000000" w:themeColor="text1"/>
                <w:sz w:val="16"/>
                <w:szCs w:val="16"/>
                <w:lang w:eastAsia="en-US"/>
              </w:rPr>
              <w:t>KDPAK</w:t>
            </w:r>
            <w:r w:rsidR="48A00EEC" w:rsidRPr="00CB13F7">
              <w:rPr>
                <w:rFonts w:eastAsia="Times New Roman"/>
                <w:color w:val="000000" w:themeColor="text1"/>
                <w:sz w:val="16"/>
                <w:szCs w:val="16"/>
                <w:lang w:eastAsia="en-US"/>
              </w:rPr>
              <w:t xml:space="preserve"> (Neni 11; Neni 31);</w:t>
            </w:r>
            <w:r w:rsidR="00234FBC" w:rsidRPr="00CB13F7">
              <w:br/>
            </w:r>
            <w:r w:rsidR="7CCBCF77" w:rsidRPr="00CB13F7">
              <w:rPr>
                <w:rFonts w:eastAsia="Times New Roman"/>
                <w:color w:val="000000" w:themeColor="text1"/>
                <w:sz w:val="16"/>
                <w:szCs w:val="16"/>
                <w:lang w:eastAsia="en-US"/>
              </w:rPr>
              <w:t>OZHQ</w:t>
            </w:r>
            <w:r w:rsidR="48A00EEC" w:rsidRPr="00CB13F7">
              <w:rPr>
                <w:rFonts w:eastAsia="Times New Roman"/>
                <w:color w:val="000000" w:themeColor="text1"/>
                <w:sz w:val="16"/>
                <w:szCs w:val="16"/>
                <w:lang w:eastAsia="en-US"/>
              </w:rPr>
              <w:t xml:space="preserve">11; </w:t>
            </w:r>
            <w:r w:rsidR="00234FBC" w:rsidRPr="00CB13F7">
              <w:br/>
            </w:r>
            <w:r w:rsidR="7CCBCF77" w:rsidRPr="00CB13F7">
              <w:rPr>
                <w:rFonts w:eastAsia="Times New Roman"/>
                <w:color w:val="000000" w:themeColor="text1"/>
                <w:sz w:val="16"/>
                <w:szCs w:val="16"/>
                <w:lang w:eastAsia="en-US"/>
              </w:rPr>
              <w:t>OZHQ</w:t>
            </w:r>
            <w:r w:rsidR="48A00EEC" w:rsidRPr="00CB13F7">
              <w:rPr>
                <w:rFonts w:eastAsia="Times New Roman"/>
                <w:color w:val="000000" w:themeColor="text1"/>
                <w:sz w:val="16"/>
                <w:szCs w:val="16"/>
                <w:lang w:eastAsia="en-US"/>
              </w:rPr>
              <w:t>13;</w:t>
            </w:r>
            <w:r w:rsidR="00234FBC" w:rsidRPr="00CB13F7">
              <w:br/>
            </w:r>
            <w:r w:rsidR="48A00EEC" w:rsidRPr="00CB13F7">
              <w:rPr>
                <w:rFonts w:eastAsia="Times New Roman"/>
                <w:color w:val="000000" w:themeColor="text1"/>
                <w:sz w:val="16"/>
                <w:szCs w:val="16"/>
                <w:lang w:eastAsia="en-US"/>
              </w:rPr>
              <w:t>Sendai Frame</w:t>
            </w:r>
            <w:r w:rsidR="004B03EF" w:rsidRPr="00CB13F7">
              <w:rPr>
                <w:rFonts w:eastAsia="Times New Roman"/>
                <w:color w:val="000000" w:themeColor="text1"/>
                <w:sz w:val="16"/>
                <w:szCs w:val="16"/>
                <w:lang w:eastAsia="en-US"/>
              </w:rPr>
              <w:t>ë</w:t>
            </w:r>
            <w:r w:rsidR="48A00EEC" w:rsidRPr="00CB13F7">
              <w:rPr>
                <w:rFonts w:eastAsia="Times New Roman"/>
                <w:color w:val="000000" w:themeColor="text1"/>
                <w:sz w:val="16"/>
                <w:szCs w:val="16"/>
                <w:lang w:eastAsia="en-US"/>
              </w:rPr>
              <w:t>ork for Disaster Risk Reduction 2015</w:t>
            </w:r>
            <w:r w:rsidR="77B74F3F" w:rsidRPr="00CB13F7">
              <w:rPr>
                <w:rFonts w:eastAsia="Times New Roman"/>
                <w:color w:val="000000" w:themeColor="text1"/>
                <w:sz w:val="16"/>
                <w:szCs w:val="16"/>
                <w:lang w:eastAsia="en-US"/>
              </w:rPr>
              <w:t>-</w:t>
            </w:r>
            <w:r w:rsidR="48A00EEC" w:rsidRPr="00CB13F7">
              <w:rPr>
                <w:rFonts w:eastAsia="Times New Roman"/>
                <w:color w:val="000000" w:themeColor="text1"/>
                <w:sz w:val="16"/>
                <w:szCs w:val="16"/>
                <w:lang w:eastAsia="en-US"/>
              </w:rPr>
              <w:t xml:space="preserve">2030; </w:t>
            </w:r>
            <w:r w:rsidR="00234FBC" w:rsidRPr="00CB13F7">
              <w:br/>
            </w:r>
            <w:r w:rsidR="48A00EEC" w:rsidRPr="00CB13F7">
              <w:rPr>
                <w:rFonts w:eastAsia="Times New Roman"/>
                <w:color w:val="000000" w:themeColor="text1"/>
                <w:sz w:val="16"/>
                <w:szCs w:val="16"/>
                <w:lang w:eastAsia="en-US"/>
              </w:rPr>
              <w:t>EU Disability Strategy 2021</w:t>
            </w:r>
            <w:r w:rsidR="77B74F3F" w:rsidRPr="00CB13F7">
              <w:rPr>
                <w:rFonts w:eastAsia="Times New Roman"/>
                <w:color w:val="000000" w:themeColor="text1"/>
                <w:sz w:val="16"/>
                <w:szCs w:val="16"/>
                <w:lang w:eastAsia="en-US"/>
              </w:rPr>
              <w:t>-</w:t>
            </w:r>
            <w:r w:rsidR="48A00EEC" w:rsidRPr="00CB13F7">
              <w:rPr>
                <w:rFonts w:eastAsia="Times New Roman"/>
                <w:color w:val="000000" w:themeColor="text1"/>
                <w:sz w:val="16"/>
                <w:szCs w:val="16"/>
                <w:lang w:eastAsia="en-US"/>
              </w:rPr>
              <w:t xml:space="preserve">2030; </w:t>
            </w:r>
            <w:r w:rsidR="00234FBC" w:rsidRPr="00CB13F7">
              <w:br/>
            </w:r>
            <w:r w:rsidR="48A00EEC" w:rsidRPr="00CB13F7">
              <w:rPr>
                <w:rFonts w:eastAsia="Times New Roman"/>
                <w:color w:val="000000" w:themeColor="text1"/>
                <w:sz w:val="16"/>
                <w:szCs w:val="16"/>
                <w:lang w:eastAsia="en-US"/>
              </w:rPr>
              <w:t>SKZHIE 2022</w:t>
            </w:r>
            <w:r w:rsidR="77B74F3F" w:rsidRPr="00CB13F7">
              <w:rPr>
                <w:rFonts w:eastAsia="Times New Roman"/>
                <w:color w:val="000000" w:themeColor="text1"/>
                <w:sz w:val="16"/>
                <w:szCs w:val="16"/>
                <w:lang w:eastAsia="en-US"/>
              </w:rPr>
              <w:t>-</w:t>
            </w:r>
            <w:r w:rsidR="48A00EEC" w:rsidRPr="00CB13F7">
              <w:rPr>
                <w:rFonts w:eastAsia="Times New Roman"/>
                <w:color w:val="000000" w:themeColor="text1"/>
                <w:sz w:val="16"/>
                <w:szCs w:val="16"/>
                <w:lang w:eastAsia="en-US"/>
              </w:rPr>
              <w:t xml:space="preserve">2030; </w:t>
            </w:r>
            <w:r w:rsidR="00234FBC" w:rsidRPr="00CB13F7">
              <w:br/>
            </w:r>
            <w:r w:rsidR="48A00EEC" w:rsidRPr="00CB13F7">
              <w:rPr>
                <w:rFonts w:eastAsia="Times New Roman"/>
                <w:color w:val="000000" w:themeColor="text1"/>
                <w:sz w:val="16"/>
                <w:szCs w:val="16"/>
                <w:lang w:eastAsia="en-US"/>
              </w:rPr>
              <w:t>Strategjia Kombëtare e Mbrojtjes Sociale 2024</w:t>
            </w:r>
            <w:r w:rsidR="77B74F3F" w:rsidRPr="00CB13F7">
              <w:rPr>
                <w:rFonts w:eastAsia="Times New Roman"/>
                <w:color w:val="000000" w:themeColor="text1"/>
                <w:sz w:val="16"/>
                <w:szCs w:val="16"/>
                <w:lang w:eastAsia="en-US"/>
              </w:rPr>
              <w:t>-</w:t>
            </w:r>
            <w:r w:rsidR="48A00EEC" w:rsidRPr="00CB13F7">
              <w:rPr>
                <w:rFonts w:eastAsia="Times New Roman"/>
                <w:color w:val="000000" w:themeColor="text1"/>
                <w:sz w:val="16"/>
                <w:szCs w:val="16"/>
                <w:lang w:eastAsia="en-US"/>
              </w:rPr>
              <w:t xml:space="preserve">2030; </w:t>
            </w:r>
            <w:r w:rsidR="00234FBC" w:rsidRPr="00CB13F7">
              <w:br/>
            </w:r>
            <w:r w:rsidR="48A00EEC" w:rsidRPr="00CB13F7">
              <w:rPr>
                <w:rFonts w:eastAsia="Times New Roman"/>
                <w:color w:val="000000" w:themeColor="text1"/>
                <w:sz w:val="16"/>
                <w:szCs w:val="16"/>
                <w:lang w:eastAsia="en-US"/>
              </w:rPr>
              <w:t xml:space="preserve">Kapituj acquis: Kapitulli 27; Kapitulli 23; </w:t>
            </w:r>
            <w:r w:rsidR="00234FBC" w:rsidRPr="00CB13F7">
              <w:br/>
            </w:r>
            <w:r w:rsidR="48A00EEC" w:rsidRPr="00CB13F7">
              <w:rPr>
                <w:rFonts w:eastAsia="Times New Roman"/>
                <w:color w:val="000000" w:themeColor="text1"/>
                <w:sz w:val="16"/>
                <w:szCs w:val="16"/>
                <w:lang w:eastAsia="en-US"/>
              </w:rPr>
              <w:t>Strategjia Kombëtare për Reduktimin e Rrezikut nga Fatkeqësitë 2023</w:t>
            </w:r>
            <w:r w:rsidR="77B74F3F" w:rsidRPr="00CB13F7">
              <w:rPr>
                <w:rFonts w:eastAsia="Times New Roman"/>
                <w:color w:val="000000" w:themeColor="text1"/>
                <w:sz w:val="16"/>
                <w:szCs w:val="16"/>
                <w:lang w:eastAsia="en-US"/>
              </w:rPr>
              <w:t>-</w:t>
            </w:r>
            <w:r w:rsidR="48A00EEC" w:rsidRPr="00CB13F7">
              <w:rPr>
                <w:rFonts w:eastAsia="Times New Roman"/>
                <w:color w:val="000000" w:themeColor="text1"/>
                <w:sz w:val="16"/>
                <w:szCs w:val="16"/>
                <w:lang w:eastAsia="en-US"/>
              </w:rPr>
              <w:t>2030;</w:t>
            </w:r>
          </w:p>
        </w:tc>
      </w:tr>
      <w:tr w:rsidR="007D728E" w:rsidRPr="00CB13F7" w14:paraId="6CD9A230" w14:textId="77777777" w:rsidTr="661F9D2E">
        <w:trPr>
          <w:trHeight w:val="2385"/>
        </w:trPr>
        <w:tc>
          <w:tcPr>
            <w:tcW w:w="874" w:type="dxa"/>
            <w:tcBorders>
              <w:top w:val="single" w:sz="4" w:space="0" w:color="auto"/>
              <w:left w:val="single" w:sz="4" w:space="0" w:color="auto"/>
              <w:bottom w:val="nil"/>
              <w:right w:val="single" w:sz="4" w:space="0" w:color="auto"/>
            </w:tcBorders>
            <w:hideMark/>
          </w:tcPr>
          <w:p w14:paraId="3B6ACAB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tcBorders>
              <w:top w:val="single" w:sz="4" w:space="0" w:color="000000" w:themeColor="text1"/>
              <w:left w:val="nil"/>
              <w:bottom w:val="nil"/>
              <w:right w:val="single" w:sz="4" w:space="0" w:color="000000" w:themeColor="text1"/>
            </w:tcBorders>
            <w:hideMark/>
          </w:tcPr>
          <w:p w14:paraId="5997A83F" w14:textId="06BA4809" w:rsidR="007D728E" w:rsidRPr="00CB13F7" w:rsidRDefault="0080D2BD" w:rsidP="661F9D2E">
            <w:pPr>
              <w:rPr>
                <w:rFonts w:eastAsia="Times New Roman"/>
                <w:lang w:eastAsia="en-US"/>
              </w:rPr>
            </w:pPr>
            <w:r w:rsidRPr="00CB13F7">
              <w:rPr>
                <w:rFonts w:eastAsia="Times New Roman"/>
                <w:color w:val="000000" w:themeColor="text1"/>
                <w:sz w:val="16"/>
                <w:szCs w:val="16"/>
                <w:lang w:eastAsia="en-US"/>
              </w:rPr>
              <w:t xml:space="preserve"> 1.1. Konsolidimi dhe përmirësimi i skemës së pagesave të aftësisë së kufizuar, për të garantuar rritjen e masës së përfitimit, për të mbuluar kostot që lidhen me aftësinë e kufizuar, por edhe skemave të tjera mbështetëse financiare (NE etj) për të garantuar akses, mbështetje për personat me aftësi të kufizuara dhe familjarët e tyre me ndikim zbutjen e varfërisë dhe pabarazisë.</w:t>
            </w:r>
          </w:p>
          <w:p w14:paraId="0AF0E6D8" w14:textId="432F6DC4" w:rsidR="007D728E" w:rsidRPr="00CB13F7" w:rsidRDefault="007D728E" w:rsidP="661F9D2E">
            <w:pPr>
              <w:rPr>
                <w:rFonts w:eastAsia="Times New Roman"/>
                <w:sz w:val="16"/>
                <w:szCs w:val="16"/>
                <w:lang w:eastAsia="en-US"/>
              </w:rPr>
            </w:pPr>
          </w:p>
        </w:tc>
        <w:tc>
          <w:tcPr>
            <w:tcW w:w="2530" w:type="dxa"/>
            <w:tcBorders>
              <w:top w:val="single" w:sz="4" w:space="0" w:color="000000" w:themeColor="text1"/>
              <w:left w:val="nil"/>
              <w:bottom w:val="nil"/>
              <w:right w:val="nil"/>
            </w:tcBorders>
            <w:hideMark/>
          </w:tcPr>
          <w:p w14:paraId="56D49DB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personave me aftësi të kufizuara të regjistruar që përfitojnë pagesë të aftësisë së kufizuar nga skema kombëtare e mbështetjes financiare.</w:t>
            </w:r>
          </w:p>
        </w:tc>
        <w:tc>
          <w:tcPr>
            <w:tcW w:w="1201" w:type="dxa"/>
            <w:tcBorders>
              <w:top w:val="nil"/>
              <w:left w:val="nil"/>
              <w:bottom w:val="nil"/>
              <w:right w:val="single" w:sz="4" w:space="0" w:color="000000" w:themeColor="text1"/>
            </w:tcBorders>
            <w:noWrap/>
            <w:hideMark/>
          </w:tcPr>
          <w:p w14:paraId="35B29C7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87%</w:t>
            </w:r>
          </w:p>
        </w:tc>
        <w:tc>
          <w:tcPr>
            <w:tcW w:w="1461" w:type="dxa"/>
            <w:tcBorders>
              <w:top w:val="nil"/>
              <w:left w:val="nil"/>
              <w:bottom w:val="nil"/>
              <w:right w:val="single" w:sz="4" w:space="0" w:color="000000" w:themeColor="text1"/>
            </w:tcBorders>
            <w:noWrap/>
            <w:hideMark/>
          </w:tcPr>
          <w:p w14:paraId="2029632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95%</w:t>
            </w:r>
          </w:p>
        </w:tc>
        <w:tc>
          <w:tcPr>
            <w:tcW w:w="1201" w:type="dxa"/>
            <w:tcBorders>
              <w:top w:val="nil"/>
              <w:left w:val="nil"/>
              <w:bottom w:val="nil"/>
              <w:right w:val="nil"/>
            </w:tcBorders>
            <w:noWrap/>
            <w:hideMark/>
          </w:tcPr>
          <w:p w14:paraId="6ECE053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97%</w:t>
            </w:r>
          </w:p>
        </w:tc>
        <w:tc>
          <w:tcPr>
            <w:tcW w:w="1079" w:type="dxa"/>
            <w:tcBorders>
              <w:top w:val="nil"/>
              <w:left w:val="nil"/>
              <w:bottom w:val="nil"/>
              <w:right w:val="nil"/>
            </w:tcBorders>
            <w:hideMark/>
          </w:tcPr>
          <w:p w14:paraId="70AC043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Të dhëna </w:t>
            </w:r>
            <w:r w:rsidR="0089320C" w:rsidRPr="00CB13F7">
              <w:rPr>
                <w:rFonts w:eastAsia="Times New Roman"/>
                <w:color w:val="000000"/>
                <w:sz w:val="16"/>
                <w:szCs w:val="16"/>
                <w:lang w:eastAsia="en-US"/>
              </w:rPr>
              <w:t>administrative</w:t>
            </w:r>
            <w:r w:rsidRPr="00CB13F7">
              <w:rPr>
                <w:rFonts w:eastAsia="Times New Roman"/>
                <w:color w:val="000000"/>
                <w:sz w:val="16"/>
                <w:szCs w:val="16"/>
                <w:lang w:eastAsia="en-US"/>
              </w:rPr>
              <w:t xml:space="preserve"> të SHSSH;</w:t>
            </w:r>
            <w:r w:rsidRPr="00CB13F7">
              <w:rPr>
                <w:rFonts w:eastAsia="Times New Roman"/>
                <w:color w:val="000000"/>
                <w:sz w:val="16"/>
                <w:szCs w:val="16"/>
                <w:lang w:eastAsia="en-US"/>
              </w:rPr>
              <w:br/>
              <w:t>Raporte të MSHMS;</w:t>
            </w:r>
          </w:p>
        </w:tc>
        <w:tc>
          <w:tcPr>
            <w:tcW w:w="2495" w:type="dxa"/>
            <w:tcBorders>
              <w:top w:val="nil"/>
              <w:left w:val="nil"/>
              <w:bottom w:val="nil"/>
              <w:right w:val="single" w:sz="4" w:space="0" w:color="000000" w:themeColor="text1"/>
            </w:tcBorders>
            <w:hideMark/>
          </w:tcPr>
          <w:p w14:paraId="1229E8E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50E6382" w14:textId="77777777" w:rsidTr="661F9D2E">
        <w:trPr>
          <w:trHeight w:val="1170"/>
        </w:trPr>
        <w:tc>
          <w:tcPr>
            <w:tcW w:w="874" w:type="dxa"/>
            <w:tcBorders>
              <w:top w:val="nil"/>
              <w:left w:val="nil"/>
              <w:bottom w:val="nil"/>
              <w:right w:val="nil"/>
            </w:tcBorders>
            <w:noWrap/>
            <w:hideMark/>
          </w:tcPr>
          <w:p w14:paraId="74300053" w14:textId="77777777" w:rsidR="007D728E" w:rsidRPr="00CB13F7" w:rsidRDefault="007D728E" w:rsidP="007D728E">
            <w:pPr>
              <w:rPr>
                <w:rFonts w:eastAsia="Times New Roman"/>
                <w:color w:val="000000"/>
                <w:sz w:val="16"/>
                <w:szCs w:val="16"/>
                <w:lang w:eastAsia="en-US"/>
              </w:rPr>
            </w:pPr>
          </w:p>
        </w:tc>
        <w:tc>
          <w:tcPr>
            <w:tcW w:w="2772" w:type="dxa"/>
            <w:gridSpan w:val="2"/>
            <w:tcBorders>
              <w:top w:val="single" w:sz="4" w:space="0" w:color="auto"/>
              <w:left w:val="single" w:sz="4" w:space="0" w:color="auto"/>
              <w:bottom w:val="nil"/>
              <w:right w:val="single" w:sz="4" w:space="0" w:color="000000" w:themeColor="text1"/>
            </w:tcBorders>
            <w:hideMark/>
          </w:tcPr>
          <w:p w14:paraId="328C43FF" w14:textId="1C20FF98" w:rsidR="007D728E" w:rsidRPr="00CB13F7" w:rsidRDefault="0080D2BD" w:rsidP="661F9D2E">
            <w:pPr>
              <w:rPr>
                <w:rFonts w:eastAsia="Times New Roman"/>
                <w:lang w:eastAsia="en-US"/>
              </w:rPr>
            </w:pPr>
            <w:r w:rsidRPr="00CB13F7">
              <w:rPr>
                <w:rFonts w:eastAsia="Times New Roman"/>
                <w:color w:val="000000" w:themeColor="text1"/>
                <w:sz w:val="16"/>
                <w:szCs w:val="16"/>
                <w:lang w:eastAsia="en-US"/>
              </w:rPr>
              <w:t>1.2. Konsolidimi i vlerësimit bio-</w:t>
            </w:r>
            <w:r w:rsidR="48A00EEC" w:rsidRPr="00CB13F7">
              <w:rPr>
                <w:rFonts w:eastAsia="Times New Roman"/>
                <w:color w:val="000000" w:themeColor="text1"/>
                <w:sz w:val="16"/>
                <w:szCs w:val="16"/>
                <w:lang w:eastAsia="en-US"/>
              </w:rPr>
              <w:t>psiko-social</w:t>
            </w:r>
            <w:r w:rsidRPr="00CB13F7">
              <w:rPr>
                <w:rFonts w:eastAsia="Times New Roman"/>
                <w:color w:val="000000" w:themeColor="text1"/>
                <w:sz w:val="16"/>
                <w:szCs w:val="16"/>
                <w:lang w:eastAsia="en-US"/>
              </w:rPr>
              <w:t xml:space="preserve"> të aftësisë së kufizuar me qëllim adresimin efektiv dhe të përgjegjshëm gjinor të nevojave individuale të tyre.</w:t>
            </w:r>
          </w:p>
          <w:p w14:paraId="708957C7" w14:textId="01E29E85" w:rsidR="007D728E" w:rsidRPr="00CB13F7" w:rsidRDefault="007D728E" w:rsidP="661F9D2E">
            <w:pPr>
              <w:rPr>
                <w:rFonts w:eastAsia="Times New Roman"/>
                <w:sz w:val="16"/>
                <w:szCs w:val="16"/>
                <w:lang w:eastAsia="en-US"/>
              </w:rPr>
            </w:pPr>
          </w:p>
        </w:tc>
        <w:tc>
          <w:tcPr>
            <w:tcW w:w="2530" w:type="dxa"/>
            <w:tcBorders>
              <w:top w:val="single" w:sz="4" w:space="0" w:color="auto"/>
              <w:left w:val="nil"/>
              <w:bottom w:val="nil"/>
              <w:right w:val="nil"/>
            </w:tcBorders>
            <w:hideMark/>
          </w:tcPr>
          <w:p w14:paraId="5FF94F39" w14:textId="4B55927E"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Përqindja e personave të vlerësuar me aftësi të kufizuara që referohen të paktën në një shërbim mbështetës (shëndetësor, social, arsimor, punësim</w:t>
            </w:r>
            <w:r w:rsidR="7F6D48FF" w:rsidRPr="00CB13F7">
              <w:rPr>
                <w:rFonts w:eastAsia="Times New Roman"/>
                <w:color w:val="000000" w:themeColor="text1"/>
                <w:sz w:val="16"/>
                <w:szCs w:val="16"/>
                <w:lang w:eastAsia="en-US"/>
              </w:rPr>
              <w:t>, formimi profesional</w:t>
            </w:r>
            <w:r w:rsidRPr="00CB13F7">
              <w:rPr>
                <w:rFonts w:eastAsia="Times New Roman"/>
                <w:color w:val="000000" w:themeColor="text1"/>
                <w:sz w:val="16"/>
                <w:szCs w:val="16"/>
                <w:lang w:eastAsia="en-US"/>
              </w:rPr>
              <w:t xml:space="preserve"> ose pajisje ndihmëse) pas përfundimit të vlerësimit.</w:t>
            </w:r>
          </w:p>
        </w:tc>
        <w:tc>
          <w:tcPr>
            <w:tcW w:w="1201" w:type="dxa"/>
            <w:tcBorders>
              <w:top w:val="single" w:sz="4" w:space="0" w:color="auto"/>
              <w:left w:val="nil"/>
              <w:bottom w:val="nil"/>
              <w:right w:val="single" w:sz="4" w:space="0" w:color="auto"/>
            </w:tcBorders>
            <w:hideMark/>
          </w:tcPr>
          <w:p w14:paraId="7A61272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13763</w:t>
            </w:r>
            <w:r w:rsidRPr="00CB13F7">
              <w:rPr>
                <w:rFonts w:eastAsia="Times New Roman"/>
                <w:color w:val="000000"/>
                <w:sz w:val="16"/>
                <w:szCs w:val="16"/>
                <w:lang w:eastAsia="en-US"/>
              </w:rPr>
              <w:br/>
              <w:t xml:space="preserve">Nr i grave dhe vajzave </w:t>
            </w:r>
          </w:p>
        </w:tc>
        <w:tc>
          <w:tcPr>
            <w:tcW w:w="1461" w:type="dxa"/>
            <w:tcBorders>
              <w:top w:val="single" w:sz="4" w:space="0" w:color="auto"/>
              <w:left w:val="nil"/>
              <w:bottom w:val="nil"/>
              <w:right w:val="single" w:sz="4" w:space="0" w:color="auto"/>
            </w:tcBorders>
            <w:hideMark/>
          </w:tcPr>
          <w:p w14:paraId="7C270CA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20 %</w:t>
            </w:r>
            <w:r w:rsidRPr="00CB13F7">
              <w:rPr>
                <w:rFonts w:eastAsia="Times New Roman"/>
                <w:color w:val="000000"/>
                <w:sz w:val="16"/>
                <w:szCs w:val="16"/>
                <w:lang w:eastAsia="en-US"/>
              </w:rPr>
              <w:br/>
              <w:t>Nr i grave dhe vajzave</w:t>
            </w:r>
          </w:p>
        </w:tc>
        <w:tc>
          <w:tcPr>
            <w:tcW w:w="1201" w:type="dxa"/>
            <w:tcBorders>
              <w:top w:val="single" w:sz="4" w:space="0" w:color="auto"/>
              <w:left w:val="nil"/>
              <w:bottom w:val="nil"/>
              <w:right w:val="nil"/>
            </w:tcBorders>
            <w:hideMark/>
          </w:tcPr>
          <w:p w14:paraId="011C6F0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w:t>
            </w:r>
            <w:r w:rsidRPr="00CB13F7">
              <w:rPr>
                <w:rFonts w:eastAsia="Times New Roman"/>
                <w:color w:val="000000"/>
                <w:sz w:val="16"/>
                <w:szCs w:val="16"/>
                <w:lang w:eastAsia="en-US"/>
              </w:rPr>
              <w:br/>
              <w:t>Nr i grave dhe vajzave</w:t>
            </w:r>
          </w:p>
        </w:tc>
        <w:tc>
          <w:tcPr>
            <w:tcW w:w="1079" w:type="dxa"/>
            <w:tcBorders>
              <w:top w:val="single" w:sz="4" w:space="0" w:color="auto"/>
              <w:left w:val="nil"/>
              <w:bottom w:val="nil"/>
              <w:right w:val="nil"/>
            </w:tcBorders>
            <w:hideMark/>
          </w:tcPr>
          <w:p w14:paraId="3ADD3B9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Të dhëna administrative SHSSH;</w:t>
            </w:r>
            <w:r w:rsidRPr="00CB13F7">
              <w:rPr>
                <w:rFonts w:eastAsia="Times New Roman"/>
                <w:color w:val="000000"/>
                <w:sz w:val="16"/>
                <w:szCs w:val="16"/>
                <w:lang w:eastAsia="en-US"/>
              </w:rPr>
              <w:br/>
              <w:t>Raporte të MSHMS;</w:t>
            </w:r>
          </w:p>
        </w:tc>
        <w:tc>
          <w:tcPr>
            <w:tcW w:w="2495" w:type="dxa"/>
            <w:tcBorders>
              <w:top w:val="single" w:sz="4" w:space="0" w:color="auto"/>
              <w:left w:val="single" w:sz="4" w:space="0" w:color="auto"/>
              <w:bottom w:val="nil"/>
              <w:right w:val="single" w:sz="4" w:space="0" w:color="auto"/>
            </w:tcBorders>
            <w:noWrap/>
            <w:hideMark/>
          </w:tcPr>
          <w:p w14:paraId="5443B89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935F228" w14:textId="77777777" w:rsidTr="661F9D2E">
        <w:trPr>
          <w:trHeight w:val="780"/>
        </w:trPr>
        <w:tc>
          <w:tcPr>
            <w:tcW w:w="874" w:type="dxa"/>
            <w:tcBorders>
              <w:top w:val="nil"/>
              <w:left w:val="nil"/>
              <w:bottom w:val="nil"/>
              <w:right w:val="nil"/>
            </w:tcBorders>
            <w:noWrap/>
            <w:hideMark/>
          </w:tcPr>
          <w:p w14:paraId="540C5176" w14:textId="77777777" w:rsidR="007D728E" w:rsidRPr="00CB13F7" w:rsidRDefault="007D728E" w:rsidP="007D728E">
            <w:pPr>
              <w:rPr>
                <w:rFonts w:eastAsia="Times New Roman"/>
                <w:color w:val="000000"/>
                <w:sz w:val="16"/>
                <w:szCs w:val="16"/>
                <w:lang w:eastAsia="en-US"/>
              </w:rPr>
            </w:pPr>
          </w:p>
        </w:tc>
        <w:tc>
          <w:tcPr>
            <w:tcW w:w="2772" w:type="dxa"/>
            <w:gridSpan w:val="2"/>
            <w:tcBorders>
              <w:top w:val="nil"/>
              <w:left w:val="single" w:sz="4" w:space="0" w:color="auto"/>
              <w:bottom w:val="single" w:sz="4" w:space="0" w:color="auto"/>
              <w:right w:val="single" w:sz="4" w:space="0" w:color="000000" w:themeColor="text1"/>
            </w:tcBorders>
            <w:hideMark/>
          </w:tcPr>
          <w:p w14:paraId="779DF08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30" w:type="dxa"/>
            <w:tcBorders>
              <w:top w:val="nil"/>
              <w:left w:val="nil"/>
              <w:bottom w:val="single" w:sz="4" w:space="0" w:color="auto"/>
              <w:right w:val="nil"/>
            </w:tcBorders>
            <w:hideMark/>
          </w:tcPr>
          <w:p w14:paraId="01219B5A" w14:textId="77777777"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Përqindja e përfituesve dhe familjarëve të tyre që deklarojnë kënaqësi me procesin e vlerësimit bio-</w:t>
            </w:r>
            <w:r w:rsidR="48A00EEC" w:rsidRPr="00CB13F7">
              <w:rPr>
                <w:rFonts w:eastAsia="Times New Roman"/>
                <w:color w:val="000000" w:themeColor="text1"/>
                <w:sz w:val="16"/>
                <w:szCs w:val="16"/>
                <w:lang w:eastAsia="en-US"/>
              </w:rPr>
              <w:t>psiko-social</w:t>
            </w:r>
            <w:r w:rsidRPr="00CB13F7">
              <w:rPr>
                <w:rFonts w:eastAsia="Times New Roman"/>
                <w:color w:val="000000" w:themeColor="text1"/>
                <w:sz w:val="16"/>
                <w:szCs w:val="16"/>
                <w:lang w:eastAsia="en-US"/>
              </w:rPr>
              <w:t>.</w:t>
            </w:r>
          </w:p>
        </w:tc>
        <w:tc>
          <w:tcPr>
            <w:tcW w:w="1201" w:type="dxa"/>
            <w:tcBorders>
              <w:top w:val="nil"/>
              <w:left w:val="nil"/>
              <w:bottom w:val="single" w:sz="4" w:space="0" w:color="auto"/>
              <w:right w:val="single" w:sz="4" w:space="0" w:color="auto"/>
            </w:tcBorders>
            <w:hideMark/>
          </w:tcPr>
          <w:p w14:paraId="01518E9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single" w:sz="4" w:space="0" w:color="auto"/>
              <w:right w:val="single" w:sz="4" w:space="0" w:color="auto"/>
            </w:tcBorders>
            <w:noWrap/>
            <w:hideMark/>
          </w:tcPr>
          <w:p w14:paraId="30D8B20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60%</w:t>
            </w:r>
          </w:p>
        </w:tc>
        <w:tc>
          <w:tcPr>
            <w:tcW w:w="1201" w:type="dxa"/>
            <w:tcBorders>
              <w:top w:val="nil"/>
              <w:left w:val="nil"/>
              <w:bottom w:val="single" w:sz="4" w:space="0" w:color="auto"/>
              <w:right w:val="nil"/>
            </w:tcBorders>
            <w:noWrap/>
            <w:hideMark/>
          </w:tcPr>
          <w:p w14:paraId="0432236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w:t>
            </w:r>
          </w:p>
        </w:tc>
        <w:tc>
          <w:tcPr>
            <w:tcW w:w="1079" w:type="dxa"/>
            <w:tcBorders>
              <w:top w:val="nil"/>
              <w:left w:val="nil"/>
              <w:bottom w:val="single" w:sz="4" w:space="0" w:color="auto"/>
              <w:right w:val="nil"/>
            </w:tcBorders>
            <w:hideMark/>
          </w:tcPr>
          <w:p w14:paraId="1284C66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Anketat periodike të kënaqësisë së përfituesve (MSHMS/SHSSH);</w:t>
            </w:r>
          </w:p>
        </w:tc>
        <w:tc>
          <w:tcPr>
            <w:tcW w:w="2495" w:type="dxa"/>
            <w:tcBorders>
              <w:top w:val="nil"/>
              <w:left w:val="single" w:sz="4" w:space="0" w:color="auto"/>
              <w:bottom w:val="single" w:sz="4" w:space="0" w:color="auto"/>
              <w:right w:val="single" w:sz="4" w:space="0" w:color="auto"/>
            </w:tcBorders>
            <w:hideMark/>
          </w:tcPr>
          <w:p w14:paraId="0ABB298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08777C4" w14:textId="77777777" w:rsidTr="661F9D2E">
        <w:trPr>
          <w:trHeight w:val="1470"/>
        </w:trPr>
        <w:tc>
          <w:tcPr>
            <w:tcW w:w="874" w:type="dxa"/>
            <w:vMerge w:val="restart"/>
            <w:tcBorders>
              <w:top w:val="nil"/>
              <w:left w:val="single" w:sz="4" w:space="0" w:color="auto"/>
              <w:bottom w:val="nil"/>
              <w:right w:val="single" w:sz="4" w:space="0" w:color="auto"/>
            </w:tcBorders>
            <w:hideMark/>
          </w:tcPr>
          <w:p w14:paraId="3597C84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772" w:type="dxa"/>
            <w:gridSpan w:val="2"/>
            <w:vMerge w:val="restart"/>
            <w:tcBorders>
              <w:top w:val="nil"/>
              <w:left w:val="nil"/>
              <w:bottom w:val="single" w:sz="4" w:space="0" w:color="000000" w:themeColor="text1"/>
              <w:right w:val="single" w:sz="4" w:space="0" w:color="000000" w:themeColor="text1"/>
            </w:tcBorders>
            <w:hideMark/>
          </w:tcPr>
          <w:p w14:paraId="1AEA2E1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2.1: Rishikimi dhe konsolidimi i kuadrit rregullator ligjor dhe institucional për mundësimin e shërbimeve të përkujdesit shoqëror për personat me aftësi të kufizuara, udhëhequr nga parimet e qasjes duale dhe shërbimeve gjatë gjithë ciklit të jetës. </w:t>
            </w:r>
          </w:p>
        </w:tc>
        <w:tc>
          <w:tcPr>
            <w:tcW w:w="2530" w:type="dxa"/>
            <w:tcBorders>
              <w:top w:val="nil"/>
              <w:left w:val="nil"/>
              <w:bottom w:val="nil"/>
              <w:right w:val="nil"/>
            </w:tcBorders>
            <w:hideMark/>
          </w:tcPr>
          <w:p w14:paraId="24F634D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bashkive që ofrojnë të paktën një shërbim komunitar të specializuar për personat me aftësi të kufizuara (shërbime ditore, ndërhyrje e hershme, rehabilituese, jetesë e pavarur, respite care ose shërbim lëvizës)</w:t>
            </w:r>
          </w:p>
        </w:tc>
        <w:tc>
          <w:tcPr>
            <w:tcW w:w="1201" w:type="dxa"/>
            <w:tcBorders>
              <w:top w:val="nil"/>
              <w:left w:val="nil"/>
              <w:bottom w:val="nil"/>
              <w:right w:val="single" w:sz="4" w:space="0" w:color="auto"/>
            </w:tcBorders>
            <w:hideMark/>
          </w:tcPr>
          <w:p w14:paraId="14550C5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26 bashki</w:t>
            </w:r>
          </w:p>
        </w:tc>
        <w:tc>
          <w:tcPr>
            <w:tcW w:w="1461" w:type="dxa"/>
            <w:tcBorders>
              <w:top w:val="nil"/>
              <w:left w:val="nil"/>
              <w:bottom w:val="nil"/>
              <w:right w:val="single" w:sz="4" w:space="0" w:color="auto"/>
            </w:tcBorders>
            <w:hideMark/>
          </w:tcPr>
          <w:p w14:paraId="1DC669D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34 bashki</w:t>
            </w:r>
          </w:p>
        </w:tc>
        <w:tc>
          <w:tcPr>
            <w:tcW w:w="1201" w:type="dxa"/>
            <w:tcBorders>
              <w:top w:val="nil"/>
              <w:left w:val="nil"/>
              <w:bottom w:val="nil"/>
              <w:right w:val="nil"/>
            </w:tcBorders>
            <w:hideMark/>
          </w:tcPr>
          <w:p w14:paraId="5FD69AC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42 bashki</w:t>
            </w:r>
          </w:p>
        </w:tc>
        <w:tc>
          <w:tcPr>
            <w:tcW w:w="1079" w:type="dxa"/>
            <w:tcBorders>
              <w:top w:val="nil"/>
              <w:left w:val="nil"/>
              <w:bottom w:val="nil"/>
              <w:right w:val="nil"/>
            </w:tcBorders>
            <w:hideMark/>
          </w:tcPr>
          <w:p w14:paraId="46FD411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SHSSH;</w:t>
            </w:r>
            <w:r w:rsidRPr="00CB13F7">
              <w:rPr>
                <w:rFonts w:eastAsia="Times New Roman"/>
                <w:color w:val="000000"/>
                <w:sz w:val="16"/>
                <w:szCs w:val="16"/>
                <w:lang w:eastAsia="en-US"/>
              </w:rPr>
              <w:br/>
              <w:t>Bashkitë;</w:t>
            </w:r>
            <w:r w:rsidRPr="00CB13F7">
              <w:rPr>
                <w:rFonts w:eastAsia="Times New Roman"/>
                <w:color w:val="000000"/>
                <w:sz w:val="16"/>
                <w:szCs w:val="16"/>
                <w:lang w:eastAsia="en-US"/>
              </w:rPr>
              <w:br/>
            </w:r>
            <w:r w:rsidRPr="00CB13F7">
              <w:rPr>
                <w:rFonts w:eastAsia="Times New Roman"/>
                <w:sz w:val="16"/>
                <w:szCs w:val="16"/>
                <w:lang w:eastAsia="en-US"/>
              </w:rPr>
              <w:t>Fondi Social;</w:t>
            </w:r>
          </w:p>
        </w:tc>
        <w:tc>
          <w:tcPr>
            <w:tcW w:w="2495" w:type="dxa"/>
            <w:tcBorders>
              <w:top w:val="nil"/>
              <w:left w:val="nil"/>
              <w:bottom w:val="nil"/>
              <w:right w:val="single" w:sz="4" w:space="0" w:color="auto"/>
            </w:tcBorders>
            <w:hideMark/>
          </w:tcPr>
          <w:p w14:paraId="7CB756B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35F1B553" w14:textId="77777777" w:rsidTr="00DF78A4">
        <w:trPr>
          <w:trHeight w:val="765"/>
        </w:trPr>
        <w:tc>
          <w:tcPr>
            <w:tcW w:w="874" w:type="dxa"/>
            <w:vMerge/>
            <w:hideMark/>
          </w:tcPr>
          <w:p w14:paraId="080A4B49" w14:textId="77777777" w:rsidR="007D728E" w:rsidRPr="00CB13F7" w:rsidRDefault="007D728E" w:rsidP="007D728E">
            <w:pPr>
              <w:rPr>
                <w:rFonts w:eastAsia="Times New Roman"/>
                <w:color w:val="000000"/>
                <w:sz w:val="16"/>
                <w:szCs w:val="16"/>
                <w:lang w:eastAsia="en-US"/>
              </w:rPr>
            </w:pPr>
          </w:p>
        </w:tc>
        <w:tc>
          <w:tcPr>
            <w:tcW w:w="2772" w:type="dxa"/>
            <w:gridSpan w:val="2"/>
            <w:vMerge/>
            <w:hideMark/>
          </w:tcPr>
          <w:p w14:paraId="0DF6E206" w14:textId="77777777" w:rsidR="007D728E" w:rsidRPr="00CB13F7" w:rsidRDefault="007D728E" w:rsidP="007D728E">
            <w:pPr>
              <w:rPr>
                <w:rFonts w:eastAsia="Times New Roman"/>
                <w:color w:val="000000"/>
                <w:sz w:val="16"/>
                <w:szCs w:val="16"/>
                <w:lang w:eastAsia="en-US"/>
              </w:rPr>
            </w:pPr>
          </w:p>
        </w:tc>
        <w:tc>
          <w:tcPr>
            <w:tcW w:w="2530" w:type="dxa"/>
            <w:tcBorders>
              <w:top w:val="nil"/>
              <w:left w:val="nil"/>
              <w:bottom w:val="nil"/>
              <w:right w:val="nil"/>
            </w:tcBorders>
          </w:tcPr>
          <w:p w14:paraId="5349C3FD" w14:textId="7B70E465"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single" w:sz="4" w:space="0" w:color="auto"/>
            </w:tcBorders>
          </w:tcPr>
          <w:p w14:paraId="4FF0A982" w14:textId="34F6FD30" w:rsidR="007D728E" w:rsidRPr="00CB13F7" w:rsidRDefault="007D728E" w:rsidP="007D728E">
            <w:pPr>
              <w:rPr>
                <w:rFonts w:eastAsia="Times New Roman"/>
                <w:color w:val="000000"/>
                <w:sz w:val="16"/>
                <w:szCs w:val="16"/>
                <w:lang w:eastAsia="en-US"/>
              </w:rPr>
            </w:pPr>
          </w:p>
        </w:tc>
        <w:tc>
          <w:tcPr>
            <w:tcW w:w="1461" w:type="dxa"/>
            <w:tcBorders>
              <w:top w:val="nil"/>
              <w:left w:val="nil"/>
              <w:bottom w:val="nil"/>
              <w:right w:val="single" w:sz="4" w:space="0" w:color="auto"/>
            </w:tcBorders>
          </w:tcPr>
          <w:p w14:paraId="5EA3CFF1" w14:textId="025BF614" w:rsidR="007D728E" w:rsidRPr="00CB13F7" w:rsidRDefault="007D728E" w:rsidP="007D728E">
            <w:pPr>
              <w:rPr>
                <w:rFonts w:eastAsia="Times New Roman"/>
                <w:color w:val="000000"/>
                <w:sz w:val="16"/>
                <w:szCs w:val="16"/>
                <w:lang w:eastAsia="en-US"/>
              </w:rPr>
            </w:pPr>
          </w:p>
        </w:tc>
        <w:tc>
          <w:tcPr>
            <w:tcW w:w="1201" w:type="dxa"/>
            <w:tcBorders>
              <w:top w:val="nil"/>
              <w:left w:val="nil"/>
              <w:bottom w:val="nil"/>
              <w:right w:val="nil"/>
            </w:tcBorders>
          </w:tcPr>
          <w:p w14:paraId="4D6D4A15" w14:textId="1CFC165D" w:rsidR="007D728E" w:rsidRPr="00CB13F7" w:rsidRDefault="007D728E" w:rsidP="007D728E">
            <w:pPr>
              <w:rPr>
                <w:rFonts w:eastAsia="Times New Roman"/>
                <w:color w:val="000000"/>
                <w:sz w:val="16"/>
                <w:szCs w:val="16"/>
                <w:lang w:eastAsia="en-US"/>
              </w:rPr>
            </w:pPr>
          </w:p>
        </w:tc>
        <w:tc>
          <w:tcPr>
            <w:tcW w:w="1079" w:type="dxa"/>
            <w:tcBorders>
              <w:top w:val="nil"/>
              <w:left w:val="nil"/>
              <w:bottom w:val="nil"/>
              <w:right w:val="nil"/>
            </w:tcBorders>
            <w:hideMark/>
          </w:tcPr>
          <w:p w14:paraId="74BFF94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tcBorders>
              <w:top w:val="nil"/>
              <w:left w:val="nil"/>
              <w:bottom w:val="nil"/>
              <w:right w:val="single" w:sz="4" w:space="0" w:color="auto"/>
            </w:tcBorders>
            <w:hideMark/>
          </w:tcPr>
          <w:p w14:paraId="03CBA12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40C62B6" w14:textId="77777777" w:rsidTr="661F9D2E">
        <w:trPr>
          <w:trHeight w:val="765"/>
        </w:trPr>
        <w:tc>
          <w:tcPr>
            <w:tcW w:w="874" w:type="dxa"/>
            <w:vMerge/>
            <w:hideMark/>
          </w:tcPr>
          <w:p w14:paraId="14C6036D" w14:textId="77777777" w:rsidR="007D728E" w:rsidRPr="00CB13F7" w:rsidRDefault="007D728E" w:rsidP="007D728E">
            <w:pPr>
              <w:rPr>
                <w:rFonts w:eastAsia="Times New Roman"/>
                <w:color w:val="000000"/>
                <w:sz w:val="16"/>
                <w:szCs w:val="16"/>
                <w:lang w:eastAsia="en-US"/>
              </w:rPr>
            </w:pPr>
          </w:p>
        </w:tc>
        <w:tc>
          <w:tcPr>
            <w:tcW w:w="2772" w:type="dxa"/>
            <w:gridSpan w:val="2"/>
            <w:vMerge/>
            <w:hideMark/>
          </w:tcPr>
          <w:p w14:paraId="0B7E3103" w14:textId="77777777" w:rsidR="007D728E" w:rsidRPr="00CB13F7" w:rsidRDefault="007D728E" w:rsidP="007D728E">
            <w:pPr>
              <w:rPr>
                <w:rFonts w:eastAsia="Times New Roman"/>
                <w:color w:val="000000"/>
                <w:sz w:val="16"/>
                <w:szCs w:val="16"/>
                <w:lang w:eastAsia="en-US"/>
              </w:rPr>
            </w:pPr>
          </w:p>
        </w:tc>
        <w:tc>
          <w:tcPr>
            <w:tcW w:w="2530" w:type="dxa"/>
            <w:tcBorders>
              <w:top w:val="nil"/>
              <w:left w:val="nil"/>
              <w:bottom w:val="single" w:sz="4" w:space="0" w:color="auto"/>
              <w:right w:val="nil"/>
            </w:tcBorders>
            <w:hideMark/>
          </w:tcPr>
          <w:p w14:paraId="032AED5A" w14:textId="176C31CD"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 xml:space="preserve">Numri i personave me aftësi të kufizuara që jetojnë në institucione rezidenciale afatgjata </w:t>
            </w:r>
            <w:r w:rsidR="3981A52A" w:rsidRPr="00CB13F7">
              <w:rPr>
                <w:rFonts w:eastAsia="Times New Roman"/>
                <w:color w:val="000000" w:themeColor="text1"/>
                <w:sz w:val="16"/>
                <w:szCs w:val="16"/>
                <w:lang w:eastAsia="en-US"/>
              </w:rPr>
              <w:t xml:space="preserve">publike </w:t>
            </w:r>
            <w:r w:rsidRPr="00CB13F7">
              <w:rPr>
                <w:rFonts w:eastAsia="Times New Roman"/>
                <w:color w:val="000000" w:themeColor="text1"/>
                <w:sz w:val="16"/>
                <w:szCs w:val="16"/>
                <w:lang w:eastAsia="en-US"/>
              </w:rPr>
              <w:t xml:space="preserve">ne </w:t>
            </w:r>
            <w:r w:rsidR="4BFFCF71" w:rsidRPr="00CB13F7">
              <w:rPr>
                <w:rFonts w:eastAsia="Times New Roman"/>
                <w:color w:val="000000" w:themeColor="text1"/>
                <w:sz w:val="16"/>
                <w:szCs w:val="16"/>
                <w:lang w:eastAsia="en-US"/>
              </w:rPr>
              <w:t>rënie</w:t>
            </w:r>
            <w:r w:rsidRPr="00CB13F7">
              <w:rPr>
                <w:rFonts w:eastAsia="Times New Roman"/>
                <w:color w:val="000000" w:themeColor="text1"/>
                <w:sz w:val="16"/>
                <w:szCs w:val="16"/>
                <w:lang w:eastAsia="en-US"/>
              </w:rPr>
              <w:t xml:space="preserve"> vit pas viti.</w:t>
            </w:r>
          </w:p>
        </w:tc>
        <w:tc>
          <w:tcPr>
            <w:tcW w:w="1201" w:type="dxa"/>
            <w:tcBorders>
              <w:top w:val="nil"/>
              <w:left w:val="nil"/>
              <w:bottom w:val="single" w:sz="4" w:space="0" w:color="auto"/>
              <w:right w:val="single" w:sz="4" w:space="0" w:color="auto"/>
            </w:tcBorders>
            <w:hideMark/>
          </w:tcPr>
          <w:p w14:paraId="20E03E15" w14:textId="129A5FFF" w:rsidR="007D728E" w:rsidRPr="00CB13F7" w:rsidRDefault="12B5686B" w:rsidP="007D728E">
            <w:pPr>
              <w:rPr>
                <w:rFonts w:eastAsia="Times New Roman"/>
                <w:color w:val="000000"/>
                <w:sz w:val="16"/>
                <w:szCs w:val="16"/>
                <w:lang w:eastAsia="en-US"/>
              </w:rPr>
            </w:pPr>
            <w:r w:rsidRPr="00CB13F7">
              <w:rPr>
                <w:rFonts w:eastAsia="Times New Roman"/>
                <w:color w:val="000000" w:themeColor="text1"/>
                <w:sz w:val="16"/>
                <w:szCs w:val="16"/>
                <w:lang w:eastAsia="en-US"/>
              </w:rPr>
              <w:t>213</w:t>
            </w:r>
          </w:p>
        </w:tc>
        <w:tc>
          <w:tcPr>
            <w:tcW w:w="1461" w:type="dxa"/>
            <w:tcBorders>
              <w:top w:val="nil"/>
              <w:left w:val="nil"/>
              <w:bottom w:val="single" w:sz="4" w:space="0" w:color="auto"/>
              <w:right w:val="single" w:sz="4" w:space="0" w:color="auto"/>
            </w:tcBorders>
            <w:hideMark/>
          </w:tcPr>
          <w:p w14:paraId="55BA81CC" w14:textId="47616EE9" w:rsidR="007D728E" w:rsidRPr="00CB13F7" w:rsidRDefault="1242C73E" w:rsidP="007D728E">
            <w:pPr>
              <w:rPr>
                <w:rFonts w:eastAsia="Times New Roman"/>
                <w:color w:val="000000"/>
                <w:sz w:val="16"/>
                <w:szCs w:val="16"/>
                <w:lang w:eastAsia="en-US"/>
              </w:rPr>
            </w:pPr>
            <w:r w:rsidRPr="00CB13F7">
              <w:rPr>
                <w:rFonts w:eastAsia="Times New Roman"/>
                <w:color w:val="000000" w:themeColor="text1"/>
                <w:sz w:val="16"/>
                <w:szCs w:val="16"/>
                <w:lang w:eastAsia="en-US"/>
              </w:rPr>
              <w:t>180</w:t>
            </w:r>
          </w:p>
        </w:tc>
        <w:tc>
          <w:tcPr>
            <w:tcW w:w="1201" w:type="dxa"/>
            <w:tcBorders>
              <w:top w:val="nil"/>
              <w:left w:val="nil"/>
              <w:bottom w:val="single" w:sz="4" w:space="0" w:color="auto"/>
              <w:right w:val="nil"/>
            </w:tcBorders>
            <w:hideMark/>
          </w:tcPr>
          <w:p w14:paraId="6F125B9A" w14:textId="7FE8C019" w:rsidR="007D728E" w:rsidRPr="00CB13F7" w:rsidRDefault="49E8C521" w:rsidP="007D728E">
            <w:pPr>
              <w:rPr>
                <w:rFonts w:eastAsia="Times New Roman"/>
                <w:color w:val="000000"/>
                <w:sz w:val="16"/>
                <w:szCs w:val="16"/>
                <w:lang w:eastAsia="en-US"/>
              </w:rPr>
            </w:pPr>
            <w:r w:rsidRPr="00CB13F7">
              <w:rPr>
                <w:rFonts w:eastAsia="Times New Roman"/>
                <w:color w:val="000000" w:themeColor="text1"/>
                <w:sz w:val="16"/>
                <w:szCs w:val="16"/>
                <w:lang w:eastAsia="en-US"/>
              </w:rPr>
              <w:t>150</w:t>
            </w:r>
          </w:p>
        </w:tc>
        <w:tc>
          <w:tcPr>
            <w:tcW w:w="1079" w:type="dxa"/>
            <w:tcBorders>
              <w:top w:val="nil"/>
              <w:left w:val="nil"/>
              <w:bottom w:val="single" w:sz="4" w:space="0" w:color="auto"/>
              <w:right w:val="nil"/>
            </w:tcBorders>
            <w:hideMark/>
          </w:tcPr>
          <w:p w14:paraId="2E5123C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495" w:type="dxa"/>
            <w:tcBorders>
              <w:top w:val="nil"/>
              <w:left w:val="nil"/>
              <w:bottom w:val="single" w:sz="4" w:space="0" w:color="auto"/>
              <w:right w:val="single" w:sz="4" w:space="0" w:color="auto"/>
            </w:tcBorders>
            <w:hideMark/>
          </w:tcPr>
          <w:p w14:paraId="79D5398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72A3D63" w14:textId="77777777" w:rsidTr="661F9D2E">
        <w:trPr>
          <w:trHeight w:val="1740"/>
        </w:trPr>
        <w:tc>
          <w:tcPr>
            <w:tcW w:w="874" w:type="dxa"/>
            <w:vMerge w:val="restart"/>
            <w:tcBorders>
              <w:top w:val="nil"/>
              <w:left w:val="single" w:sz="4" w:space="0" w:color="auto"/>
              <w:bottom w:val="nil"/>
              <w:right w:val="single" w:sz="4" w:space="0" w:color="auto"/>
            </w:tcBorders>
            <w:hideMark/>
          </w:tcPr>
          <w:p w14:paraId="6A3386DA"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Masat prioritare</w:t>
            </w:r>
          </w:p>
        </w:tc>
        <w:tc>
          <w:tcPr>
            <w:tcW w:w="2772" w:type="dxa"/>
            <w:gridSpan w:val="2"/>
            <w:tcBorders>
              <w:top w:val="nil"/>
              <w:left w:val="nil"/>
              <w:bottom w:val="nil"/>
              <w:right w:val="nil"/>
            </w:tcBorders>
            <w:hideMark/>
          </w:tcPr>
          <w:p w14:paraId="55C955E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3.1. Të garantohet e drejta e personave me aftësi të kufizuara për të jetuar në komunitet, me zgjedhje reale mbi ku, si dhe me kë jetojnë, përmes sigurimit të strehimit të aksesueshëm, shërbimeve mbështetëse në banesë dhe alternativave komunitare ndaj institucionalizimit.</w:t>
            </w:r>
          </w:p>
        </w:tc>
        <w:tc>
          <w:tcPr>
            <w:tcW w:w="2530" w:type="dxa"/>
            <w:tcBorders>
              <w:top w:val="single" w:sz="4" w:space="0" w:color="auto"/>
              <w:left w:val="single" w:sz="4" w:space="0" w:color="auto"/>
              <w:bottom w:val="nil"/>
              <w:right w:val="nil"/>
            </w:tcBorders>
            <w:hideMark/>
          </w:tcPr>
          <w:p w14:paraId="27F055C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personave me aftësi të kufizuara që përfitojnë nga programet publike të strehimit (banesa sociale ose subvencion qiraje) gjatë vitit.</w:t>
            </w:r>
          </w:p>
        </w:tc>
        <w:tc>
          <w:tcPr>
            <w:tcW w:w="1201" w:type="dxa"/>
            <w:tcBorders>
              <w:top w:val="nil"/>
              <w:left w:val="nil"/>
              <w:bottom w:val="single" w:sz="4" w:space="0" w:color="000000" w:themeColor="text1"/>
              <w:right w:val="single" w:sz="4" w:space="0" w:color="000000" w:themeColor="text1"/>
            </w:tcBorders>
            <w:hideMark/>
          </w:tcPr>
          <w:p w14:paraId="4A189B1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982</w:t>
            </w:r>
          </w:p>
        </w:tc>
        <w:tc>
          <w:tcPr>
            <w:tcW w:w="1461" w:type="dxa"/>
            <w:tcBorders>
              <w:top w:val="nil"/>
              <w:left w:val="nil"/>
              <w:bottom w:val="single" w:sz="4" w:space="0" w:color="000000" w:themeColor="text1"/>
              <w:right w:val="single" w:sz="4" w:space="0" w:color="000000" w:themeColor="text1"/>
            </w:tcBorders>
            <w:noWrap/>
            <w:hideMark/>
          </w:tcPr>
          <w:p w14:paraId="2D02F11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196</w:t>
            </w:r>
          </w:p>
        </w:tc>
        <w:tc>
          <w:tcPr>
            <w:tcW w:w="1201" w:type="dxa"/>
            <w:tcBorders>
              <w:top w:val="nil"/>
              <w:left w:val="nil"/>
              <w:bottom w:val="single" w:sz="4" w:space="0" w:color="000000" w:themeColor="text1"/>
              <w:right w:val="nil"/>
            </w:tcBorders>
            <w:noWrap/>
            <w:hideMark/>
          </w:tcPr>
          <w:p w14:paraId="64E6CAA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442</w:t>
            </w:r>
          </w:p>
        </w:tc>
        <w:tc>
          <w:tcPr>
            <w:tcW w:w="1079" w:type="dxa"/>
            <w:tcBorders>
              <w:top w:val="nil"/>
              <w:left w:val="nil"/>
              <w:bottom w:val="single" w:sz="4" w:space="0" w:color="000000" w:themeColor="text1"/>
              <w:right w:val="nil"/>
            </w:tcBorders>
            <w:hideMark/>
          </w:tcPr>
          <w:p w14:paraId="04F857D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Raporte të Drejtorisë së Strehimit;</w:t>
            </w:r>
          </w:p>
        </w:tc>
        <w:tc>
          <w:tcPr>
            <w:tcW w:w="2495" w:type="dxa"/>
            <w:tcBorders>
              <w:top w:val="nil"/>
              <w:left w:val="nil"/>
              <w:bottom w:val="single" w:sz="4" w:space="0" w:color="000000" w:themeColor="text1"/>
              <w:right w:val="single" w:sz="4" w:space="0" w:color="000000" w:themeColor="text1"/>
            </w:tcBorders>
            <w:hideMark/>
          </w:tcPr>
          <w:p w14:paraId="464E5BF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DBA825E" w14:textId="77777777" w:rsidTr="661F9D2E">
        <w:trPr>
          <w:trHeight w:val="1245"/>
        </w:trPr>
        <w:tc>
          <w:tcPr>
            <w:tcW w:w="874" w:type="dxa"/>
            <w:vMerge/>
            <w:hideMark/>
          </w:tcPr>
          <w:p w14:paraId="3A81DD13" w14:textId="77777777" w:rsidR="007D728E" w:rsidRPr="00CB13F7" w:rsidRDefault="007D728E" w:rsidP="007D728E">
            <w:pPr>
              <w:rPr>
                <w:rFonts w:eastAsia="Times New Roman"/>
                <w:b/>
                <w:bCs/>
                <w:color w:val="000000"/>
                <w:sz w:val="16"/>
                <w:szCs w:val="16"/>
                <w:lang w:eastAsia="en-US"/>
              </w:rPr>
            </w:pPr>
          </w:p>
        </w:tc>
        <w:tc>
          <w:tcPr>
            <w:tcW w:w="2772" w:type="dxa"/>
            <w:gridSpan w:val="2"/>
            <w:vMerge w:val="restart"/>
            <w:tcBorders>
              <w:top w:val="single" w:sz="4" w:space="0" w:color="auto"/>
              <w:left w:val="nil"/>
              <w:bottom w:val="single" w:sz="4" w:space="0" w:color="000000" w:themeColor="text1"/>
              <w:right w:val="single" w:sz="4" w:space="0" w:color="000000" w:themeColor="text1"/>
            </w:tcBorders>
            <w:hideMark/>
          </w:tcPr>
          <w:p w14:paraId="230B012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Masa prioritare 3.2. Të krijohet dhe zbatohet një program kombëtar i shërbimit të ndihmësit personal, në mbështetje të jetesës së pavarur, i standardizuar, i financuar dhe i monitoruar, që u mundëson personave me aftësi të kufizuara të kontrollojnë jetën e tyre, të marrin pjesë në komunitet.</w:t>
            </w:r>
          </w:p>
        </w:tc>
        <w:tc>
          <w:tcPr>
            <w:tcW w:w="2530" w:type="dxa"/>
            <w:vMerge w:val="restart"/>
            <w:tcBorders>
              <w:top w:val="single" w:sz="4" w:space="0" w:color="auto"/>
              <w:left w:val="nil"/>
              <w:bottom w:val="nil"/>
              <w:right w:val="nil"/>
            </w:tcBorders>
            <w:hideMark/>
          </w:tcPr>
          <w:p w14:paraId="7837706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Kuadri ligjor dhe nënligjor për shërbimin e ndihmësit personal është miratuar dhe në zbatim.</w:t>
            </w:r>
          </w:p>
        </w:tc>
        <w:tc>
          <w:tcPr>
            <w:tcW w:w="1201" w:type="dxa"/>
            <w:vMerge w:val="restart"/>
            <w:tcBorders>
              <w:top w:val="nil"/>
              <w:left w:val="nil"/>
              <w:bottom w:val="nil"/>
              <w:right w:val="single" w:sz="4" w:space="0" w:color="000000" w:themeColor="text1"/>
            </w:tcBorders>
            <w:hideMark/>
          </w:tcPr>
          <w:p w14:paraId="01DF432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vMerge w:val="restart"/>
            <w:tcBorders>
              <w:top w:val="nil"/>
              <w:left w:val="single" w:sz="4" w:space="0" w:color="000000" w:themeColor="text1"/>
              <w:bottom w:val="nil"/>
              <w:right w:val="single" w:sz="4" w:space="0" w:color="000000" w:themeColor="text1"/>
            </w:tcBorders>
            <w:hideMark/>
          </w:tcPr>
          <w:p w14:paraId="04C2B4E2" w14:textId="3B18CB18" w:rsidR="007D728E" w:rsidRPr="00CB13F7" w:rsidRDefault="0080D2BD" w:rsidP="661F9D2E">
            <w:pPr>
              <w:rPr>
                <w:rFonts w:eastAsia="Times New Roman"/>
                <w:color w:val="000000" w:themeColor="text1"/>
                <w:sz w:val="16"/>
                <w:szCs w:val="16"/>
                <w:lang w:eastAsia="en-US"/>
              </w:rPr>
            </w:pPr>
            <w:r w:rsidRPr="00CB13F7">
              <w:rPr>
                <w:rFonts w:eastAsia="Times New Roman"/>
                <w:color w:val="000000" w:themeColor="text1"/>
                <w:sz w:val="16"/>
                <w:szCs w:val="16"/>
                <w:lang w:eastAsia="en-US"/>
              </w:rPr>
              <w:t>1 akt rregullator te ndryshuara;</w:t>
            </w:r>
            <w:r w:rsidR="007D728E" w:rsidRPr="00CB13F7">
              <w:br/>
            </w:r>
            <w:r w:rsidR="007D728E" w:rsidRPr="00CB13F7">
              <w:br/>
            </w:r>
            <w:r w:rsidR="007D728E" w:rsidRPr="00CB13F7">
              <w:br/>
            </w:r>
            <w:r w:rsidR="007D728E" w:rsidRPr="00CB13F7">
              <w:br/>
            </w:r>
            <w:r w:rsidR="007D728E" w:rsidRPr="00CB13F7">
              <w:br/>
            </w:r>
          </w:p>
          <w:p w14:paraId="6D2124FC" w14:textId="359F3973"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240</w:t>
            </w:r>
          </w:p>
        </w:tc>
        <w:tc>
          <w:tcPr>
            <w:tcW w:w="1201" w:type="dxa"/>
            <w:vMerge w:val="restart"/>
            <w:tcBorders>
              <w:top w:val="nil"/>
              <w:left w:val="single" w:sz="4" w:space="0" w:color="000000" w:themeColor="text1"/>
              <w:bottom w:val="nil"/>
              <w:right w:val="nil"/>
            </w:tcBorders>
            <w:hideMark/>
          </w:tcPr>
          <w:p w14:paraId="2B94B942" w14:textId="72618A1B"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2 akte rregullatore te ndryshuara;</w:t>
            </w:r>
            <w:r w:rsidR="007D728E" w:rsidRPr="00CB13F7">
              <w:br/>
            </w:r>
            <w:r w:rsidR="007D728E" w:rsidRPr="00CB13F7">
              <w:br/>
            </w:r>
            <w:r w:rsidR="007D728E" w:rsidRPr="00CB13F7">
              <w:br/>
            </w:r>
            <w:r w:rsidR="007D728E" w:rsidRPr="00CB13F7">
              <w:br/>
            </w:r>
            <w:r w:rsidR="007D728E" w:rsidRPr="00CB13F7">
              <w:br/>
            </w:r>
            <w:r w:rsidR="2DA040C3" w:rsidRPr="00CB13F7">
              <w:rPr>
                <w:sz w:val="16"/>
                <w:szCs w:val="16"/>
              </w:rPr>
              <w:t>35</w:t>
            </w:r>
            <w:r w:rsidRPr="00CB13F7">
              <w:rPr>
                <w:rFonts w:eastAsia="Times New Roman"/>
                <w:color w:val="000000" w:themeColor="text1"/>
                <w:sz w:val="16"/>
                <w:szCs w:val="16"/>
                <w:lang w:eastAsia="en-US"/>
              </w:rPr>
              <w:t>0</w:t>
            </w:r>
          </w:p>
        </w:tc>
        <w:tc>
          <w:tcPr>
            <w:tcW w:w="1079" w:type="dxa"/>
            <w:vMerge w:val="restart"/>
            <w:tcBorders>
              <w:top w:val="nil"/>
              <w:left w:val="single" w:sz="4" w:space="0" w:color="000000" w:themeColor="text1"/>
              <w:bottom w:val="nil"/>
              <w:right w:val="nil"/>
            </w:tcBorders>
            <w:hideMark/>
          </w:tcPr>
          <w:p w14:paraId="0393DDFD" w14:textId="302B46AE"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br/>
              <w:t>Monitorime të MSHMS;</w:t>
            </w:r>
            <w:r w:rsidR="00FE6A3E">
              <w:rPr>
                <w:rFonts w:eastAsia="Times New Roman"/>
                <w:color w:val="000000"/>
                <w:sz w:val="16"/>
                <w:szCs w:val="16"/>
                <w:lang w:eastAsia="en-US"/>
              </w:rPr>
              <w:t>Bashkitë</w:t>
            </w:r>
          </w:p>
        </w:tc>
        <w:tc>
          <w:tcPr>
            <w:tcW w:w="2495" w:type="dxa"/>
            <w:vMerge w:val="restart"/>
            <w:tcBorders>
              <w:top w:val="nil"/>
              <w:left w:val="single" w:sz="4" w:space="0" w:color="000000" w:themeColor="text1"/>
              <w:bottom w:val="nil"/>
              <w:right w:val="single" w:sz="4" w:space="0" w:color="000000" w:themeColor="text1"/>
            </w:tcBorders>
            <w:hideMark/>
          </w:tcPr>
          <w:p w14:paraId="5AB7F18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26B905C" w14:textId="77777777" w:rsidTr="661F9D2E">
        <w:trPr>
          <w:trHeight w:val="270"/>
        </w:trPr>
        <w:tc>
          <w:tcPr>
            <w:tcW w:w="874" w:type="dxa"/>
            <w:tcBorders>
              <w:top w:val="nil"/>
              <w:left w:val="single" w:sz="4" w:space="0" w:color="auto"/>
              <w:bottom w:val="nil"/>
              <w:right w:val="single" w:sz="4" w:space="0" w:color="auto"/>
            </w:tcBorders>
            <w:hideMark/>
          </w:tcPr>
          <w:p w14:paraId="5728295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hideMark/>
          </w:tcPr>
          <w:p w14:paraId="3AC5C1BF" w14:textId="77777777" w:rsidR="007D728E" w:rsidRPr="00CB13F7" w:rsidRDefault="007D728E" w:rsidP="007D728E">
            <w:pPr>
              <w:rPr>
                <w:rFonts w:eastAsia="Times New Roman"/>
                <w:color w:val="000000"/>
                <w:sz w:val="16"/>
                <w:szCs w:val="16"/>
                <w:lang w:eastAsia="en-US"/>
              </w:rPr>
            </w:pPr>
          </w:p>
        </w:tc>
        <w:tc>
          <w:tcPr>
            <w:tcW w:w="2530" w:type="dxa"/>
            <w:vMerge/>
            <w:hideMark/>
          </w:tcPr>
          <w:p w14:paraId="4FA69480" w14:textId="77777777" w:rsidR="007D728E" w:rsidRPr="00CB13F7" w:rsidRDefault="007D728E" w:rsidP="007D728E">
            <w:pPr>
              <w:rPr>
                <w:rFonts w:eastAsia="Times New Roman"/>
                <w:color w:val="000000"/>
                <w:sz w:val="16"/>
                <w:szCs w:val="16"/>
                <w:lang w:eastAsia="en-US"/>
              </w:rPr>
            </w:pPr>
          </w:p>
        </w:tc>
        <w:tc>
          <w:tcPr>
            <w:tcW w:w="1201" w:type="dxa"/>
            <w:vMerge/>
            <w:hideMark/>
          </w:tcPr>
          <w:p w14:paraId="449BE3B7" w14:textId="77777777" w:rsidR="007D728E" w:rsidRPr="00CB13F7" w:rsidRDefault="007D728E" w:rsidP="007D728E">
            <w:pPr>
              <w:rPr>
                <w:rFonts w:eastAsia="Times New Roman"/>
                <w:color w:val="000000"/>
                <w:sz w:val="16"/>
                <w:szCs w:val="16"/>
                <w:lang w:eastAsia="en-US"/>
              </w:rPr>
            </w:pPr>
          </w:p>
        </w:tc>
        <w:tc>
          <w:tcPr>
            <w:tcW w:w="1461" w:type="dxa"/>
            <w:vMerge/>
            <w:hideMark/>
          </w:tcPr>
          <w:p w14:paraId="2B7BCEEE" w14:textId="77777777" w:rsidR="007D728E" w:rsidRPr="00CB13F7" w:rsidRDefault="007D728E" w:rsidP="007D728E">
            <w:pPr>
              <w:rPr>
                <w:rFonts w:eastAsia="Times New Roman"/>
                <w:color w:val="000000"/>
                <w:sz w:val="16"/>
                <w:szCs w:val="16"/>
                <w:lang w:eastAsia="en-US"/>
              </w:rPr>
            </w:pPr>
          </w:p>
        </w:tc>
        <w:tc>
          <w:tcPr>
            <w:tcW w:w="1201" w:type="dxa"/>
            <w:vMerge/>
            <w:hideMark/>
          </w:tcPr>
          <w:p w14:paraId="47BE4612" w14:textId="77777777" w:rsidR="007D728E" w:rsidRPr="00CB13F7" w:rsidRDefault="007D728E" w:rsidP="007D728E">
            <w:pPr>
              <w:rPr>
                <w:rFonts w:eastAsia="Times New Roman"/>
                <w:color w:val="000000"/>
                <w:sz w:val="16"/>
                <w:szCs w:val="16"/>
                <w:lang w:eastAsia="en-US"/>
              </w:rPr>
            </w:pPr>
          </w:p>
        </w:tc>
        <w:tc>
          <w:tcPr>
            <w:tcW w:w="1079" w:type="dxa"/>
            <w:vMerge/>
            <w:hideMark/>
          </w:tcPr>
          <w:p w14:paraId="6992F08F" w14:textId="77777777" w:rsidR="007D728E" w:rsidRPr="00CB13F7" w:rsidRDefault="007D728E" w:rsidP="007D728E">
            <w:pPr>
              <w:rPr>
                <w:rFonts w:eastAsia="Times New Roman"/>
                <w:color w:val="000000"/>
                <w:sz w:val="16"/>
                <w:szCs w:val="16"/>
                <w:lang w:eastAsia="en-US"/>
              </w:rPr>
            </w:pPr>
          </w:p>
        </w:tc>
        <w:tc>
          <w:tcPr>
            <w:tcW w:w="2495" w:type="dxa"/>
            <w:vMerge/>
            <w:hideMark/>
          </w:tcPr>
          <w:p w14:paraId="45239DDA" w14:textId="77777777" w:rsidR="007D728E" w:rsidRPr="00CB13F7" w:rsidRDefault="007D728E" w:rsidP="007D728E">
            <w:pPr>
              <w:rPr>
                <w:rFonts w:eastAsia="Times New Roman"/>
                <w:color w:val="000000"/>
                <w:sz w:val="16"/>
                <w:szCs w:val="16"/>
                <w:lang w:eastAsia="en-US"/>
              </w:rPr>
            </w:pPr>
          </w:p>
        </w:tc>
      </w:tr>
      <w:tr w:rsidR="007D728E" w:rsidRPr="00CB13F7" w14:paraId="51867912" w14:textId="77777777" w:rsidTr="661F9D2E">
        <w:trPr>
          <w:trHeight w:val="660"/>
        </w:trPr>
        <w:tc>
          <w:tcPr>
            <w:tcW w:w="874" w:type="dxa"/>
            <w:tcBorders>
              <w:top w:val="nil"/>
              <w:left w:val="single" w:sz="4" w:space="0" w:color="auto"/>
              <w:bottom w:val="nil"/>
              <w:right w:val="single" w:sz="4" w:space="0" w:color="auto"/>
            </w:tcBorders>
            <w:hideMark/>
          </w:tcPr>
          <w:p w14:paraId="738DDCE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hideMark/>
          </w:tcPr>
          <w:p w14:paraId="2461898E" w14:textId="77777777" w:rsidR="007D728E" w:rsidRPr="00CB13F7" w:rsidRDefault="007D728E" w:rsidP="007D728E">
            <w:pPr>
              <w:rPr>
                <w:rFonts w:eastAsia="Times New Roman"/>
                <w:color w:val="000000"/>
                <w:sz w:val="16"/>
                <w:szCs w:val="16"/>
                <w:lang w:eastAsia="en-US"/>
              </w:rPr>
            </w:pPr>
          </w:p>
        </w:tc>
        <w:tc>
          <w:tcPr>
            <w:tcW w:w="2530" w:type="dxa"/>
            <w:tcBorders>
              <w:top w:val="nil"/>
              <w:left w:val="nil"/>
              <w:bottom w:val="nil"/>
              <w:right w:val="nil"/>
            </w:tcBorders>
            <w:hideMark/>
          </w:tcPr>
          <w:p w14:paraId="4CE6D6F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personave me aftësi të kufizuara që përfitojnë shërbimin e ndihmësit personal gjatë vitit.</w:t>
            </w:r>
          </w:p>
        </w:tc>
        <w:tc>
          <w:tcPr>
            <w:tcW w:w="1201" w:type="dxa"/>
            <w:vMerge/>
            <w:hideMark/>
          </w:tcPr>
          <w:p w14:paraId="4ED28FE9" w14:textId="77777777" w:rsidR="007D728E" w:rsidRPr="00CB13F7" w:rsidRDefault="007D728E" w:rsidP="007D728E">
            <w:pPr>
              <w:rPr>
                <w:rFonts w:eastAsia="Times New Roman"/>
                <w:color w:val="000000"/>
                <w:sz w:val="16"/>
                <w:szCs w:val="16"/>
                <w:lang w:eastAsia="en-US"/>
              </w:rPr>
            </w:pPr>
          </w:p>
        </w:tc>
        <w:tc>
          <w:tcPr>
            <w:tcW w:w="1461" w:type="dxa"/>
            <w:vMerge/>
            <w:hideMark/>
          </w:tcPr>
          <w:p w14:paraId="7EE7BBFA" w14:textId="77777777" w:rsidR="007D728E" w:rsidRPr="00CB13F7" w:rsidRDefault="007D728E" w:rsidP="007D728E">
            <w:pPr>
              <w:rPr>
                <w:rFonts w:eastAsia="Times New Roman"/>
                <w:color w:val="000000"/>
                <w:sz w:val="16"/>
                <w:szCs w:val="16"/>
                <w:lang w:eastAsia="en-US"/>
              </w:rPr>
            </w:pPr>
          </w:p>
        </w:tc>
        <w:tc>
          <w:tcPr>
            <w:tcW w:w="1201" w:type="dxa"/>
            <w:vMerge/>
            <w:hideMark/>
          </w:tcPr>
          <w:p w14:paraId="1B2359F6" w14:textId="77777777" w:rsidR="007D728E" w:rsidRPr="00CB13F7" w:rsidRDefault="007D728E" w:rsidP="007D728E">
            <w:pPr>
              <w:rPr>
                <w:rFonts w:eastAsia="Times New Roman"/>
                <w:color w:val="000000"/>
                <w:sz w:val="16"/>
                <w:szCs w:val="16"/>
                <w:lang w:eastAsia="en-US"/>
              </w:rPr>
            </w:pPr>
          </w:p>
        </w:tc>
        <w:tc>
          <w:tcPr>
            <w:tcW w:w="1079" w:type="dxa"/>
            <w:vMerge/>
            <w:hideMark/>
          </w:tcPr>
          <w:p w14:paraId="363EFAAD" w14:textId="77777777" w:rsidR="007D728E" w:rsidRPr="00CB13F7" w:rsidRDefault="007D728E" w:rsidP="007D728E">
            <w:pPr>
              <w:rPr>
                <w:rFonts w:eastAsia="Times New Roman"/>
                <w:color w:val="000000"/>
                <w:sz w:val="16"/>
                <w:szCs w:val="16"/>
                <w:lang w:eastAsia="en-US"/>
              </w:rPr>
            </w:pPr>
          </w:p>
        </w:tc>
        <w:tc>
          <w:tcPr>
            <w:tcW w:w="2495" w:type="dxa"/>
            <w:vMerge/>
            <w:hideMark/>
          </w:tcPr>
          <w:p w14:paraId="29237D31" w14:textId="77777777" w:rsidR="007D728E" w:rsidRPr="00CB13F7" w:rsidRDefault="007D728E" w:rsidP="007D728E">
            <w:pPr>
              <w:rPr>
                <w:rFonts w:eastAsia="Times New Roman"/>
                <w:color w:val="000000"/>
                <w:sz w:val="16"/>
                <w:szCs w:val="16"/>
                <w:lang w:eastAsia="en-US"/>
              </w:rPr>
            </w:pPr>
          </w:p>
        </w:tc>
      </w:tr>
      <w:tr w:rsidR="007D728E" w:rsidRPr="00CB13F7" w14:paraId="52B03923" w14:textId="77777777" w:rsidTr="661F9D2E">
        <w:trPr>
          <w:trHeight w:val="1530"/>
        </w:trPr>
        <w:tc>
          <w:tcPr>
            <w:tcW w:w="874" w:type="dxa"/>
            <w:vMerge w:val="restart"/>
            <w:tcBorders>
              <w:top w:val="nil"/>
              <w:left w:val="single" w:sz="4" w:space="0" w:color="auto"/>
              <w:bottom w:val="nil"/>
              <w:right w:val="single" w:sz="4" w:space="0" w:color="auto"/>
            </w:tcBorders>
            <w:hideMark/>
          </w:tcPr>
          <w:p w14:paraId="2EDF913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val="restart"/>
            <w:tcBorders>
              <w:top w:val="nil"/>
              <w:left w:val="nil"/>
              <w:bottom w:val="single" w:sz="4" w:space="0" w:color="000000" w:themeColor="text1"/>
              <w:right w:val="nil"/>
            </w:tcBorders>
            <w:hideMark/>
          </w:tcPr>
          <w:p w14:paraId="51D1BC9F" w14:textId="6CFED9AE"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Masa Prioritare 3.3. Të garantohet për të gjithë personat me aftësi të kufizuara njohja e plotë para ligjit dhe e drejta për të marrë vendime për jetën e tyre, përmes zëvendësimit të kujdestarisë</w:t>
            </w:r>
            <w:r w:rsidR="2CDFD0ED" w:rsidRPr="00CB13F7">
              <w:rPr>
                <w:rFonts w:eastAsia="Times New Roman"/>
                <w:color w:val="000000" w:themeColor="text1"/>
                <w:sz w:val="16"/>
                <w:szCs w:val="16"/>
                <w:lang w:eastAsia="en-US"/>
              </w:rPr>
              <w:t xml:space="preserve"> ligjore</w:t>
            </w:r>
            <w:r w:rsidRPr="00CB13F7">
              <w:rPr>
                <w:rFonts w:eastAsia="Times New Roman"/>
                <w:color w:val="000000" w:themeColor="text1"/>
                <w:sz w:val="16"/>
                <w:szCs w:val="16"/>
                <w:lang w:eastAsia="en-US"/>
              </w:rPr>
              <w:t xml:space="preserve"> me një sistem të vendimmarrjes së mbështetur që respekton vullnetin, </w:t>
            </w:r>
            <w:r w:rsidRPr="00CB13F7">
              <w:rPr>
                <w:rFonts w:eastAsia="Times New Roman"/>
                <w:color w:val="000000" w:themeColor="text1"/>
                <w:sz w:val="16"/>
                <w:szCs w:val="16"/>
                <w:lang w:eastAsia="en-US"/>
              </w:rPr>
              <w:lastRenderedPageBreak/>
              <w:t>preferencat dhe autonominë e individit (Referohu tek Drejtësia; 2.1)</w:t>
            </w:r>
          </w:p>
        </w:tc>
        <w:tc>
          <w:tcPr>
            <w:tcW w:w="2530" w:type="dxa"/>
            <w:tcBorders>
              <w:top w:val="single" w:sz="4" w:space="0" w:color="auto"/>
              <w:left w:val="single" w:sz="4" w:space="0" w:color="auto"/>
              <w:bottom w:val="nil"/>
              <w:right w:val="nil"/>
            </w:tcBorders>
            <w:hideMark/>
          </w:tcPr>
          <w:p w14:paraId="763E05F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Kuadri ligjor dhe nënligjor për vendimmarrjen e mbështetur i miratuar dhe në fuqi, duke garantuar ushtrimin e zotësisë juridike për personat me aftësi të kufizuara.</w:t>
            </w:r>
          </w:p>
        </w:tc>
        <w:tc>
          <w:tcPr>
            <w:tcW w:w="1201" w:type="dxa"/>
            <w:tcBorders>
              <w:top w:val="single" w:sz="4" w:space="0" w:color="auto"/>
              <w:left w:val="nil"/>
              <w:bottom w:val="nil"/>
              <w:right w:val="single" w:sz="4" w:space="0" w:color="auto"/>
            </w:tcBorders>
            <w:hideMark/>
          </w:tcPr>
          <w:p w14:paraId="4477A54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single" w:sz="4" w:space="0" w:color="auto"/>
              <w:left w:val="nil"/>
              <w:bottom w:val="nil"/>
              <w:right w:val="single" w:sz="4" w:space="0" w:color="auto"/>
            </w:tcBorders>
            <w:hideMark/>
          </w:tcPr>
          <w:p w14:paraId="3D0C78D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 2 akte rregullatore të ndryshuara</w:t>
            </w:r>
          </w:p>
        </w:tc>
        <w:tc>
          <w:tcPr>
            <w:tcW w:w="1201" w:type="dxa"/>
            <w:tcBorders>
              <w:top w:val="single" w:sz="4" w:space="0" w:color="auto"/>
              <w:left w:val="nil"/>
              <w:bottom w:val="nil"/>
              <w:right w:val="nil"/>
            </w:tcBorders>
            <w:hideMark/>
          </w:tcPr>
          <w:p w14:paraId="2283FCF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 akte rregullatore të ndryshuara</w:t>
            </w:r>
          </w:p>
        </w:tc>
        <w:tc>
          <w:tcPr>
            <w:tcW w:w="1079" w:type="dxa"/>
            <w:tcBorders>
              <w:top w:val="single" w:sz="4" w:space="0" w:color="auto"/>
              <w:left w:val="nil"/>
              <w:bottom w:val="nil"/>
              <w:right w:val="nil"/>
            </w:tcBorders>
            <w:hideMark/>
          </w:tcPr>
          <w:p w14:paraId="3C8B4533" w14:textId="7FC6FF50"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br/>
              <w:t>Ministria e Drejtësisë;</w:t>
            </w:r>
            <w:r w:rsidR="00FE6A3E">
              <w:rPr>
                <w:rFonts w:eastAsia="Times New Roman"/>
                <w:color w:val="000000"/>
                <w:sz w:val="16"/>
                <w:szCs w:val="16"/>
                <w:lang w:eastAsia="en-US"/>
              </w:rPr>
              <w:t xml:space="preserve">Ministria e Shëndetësisë dhe Mirëqenies Sociale </w:t>
            </w:r>
          </w:p>
        </w:tc>
        <w:tc>
          <w:tcPr>
            <w:tcW w:w="2495" w:type="dxa"/>
            <w:vMerge w:val="restart"/>
            <w:tcBorders>
              <w:top w:val="single" w:sz="4" w:space="0" w:color="auto"/>
              <w:left w:val="single" w:sz="4" w:space="0" w:color="auto"/>
              <w:bottom w:val="nil"/>
              <w:right w:val="single" w:sz="4" w:space="0" w:color="auto"/>
            </w:tcBorders>
            <w:hideMark/>
          </w:tcPr>
          <w:p w14:paraId="45EA905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F59D778" w14:textId="77777777" w:rsidTr="661F9D2E">
        <w:trPr>
          <w:trHeight w:val="1215"/>
        </w:trPr>
        <w:tc>
          <w:tcPr>
            <w:tcW w:w="874" w:type="dxa"/>
            <w:vMerge/>
            <w:hideMark/>
          </w:tcPr>
          <w:p w14:paraId="4D8CE442" w14:textId="77777777" w:rsidR="007D728E" w:rsidRPr="00CB13F7" w:rsidRDefault="007D728E" w:rsidP="007D728E">
            <w:pPr>
              <w:rPr>
                <w:rFonts w:eastAsia="Times New Roman"/>
                <w:color w:val="000000"/>
                <w:sz w:val="16"/>
                <w:szCs w:val="16"/>
                <w:lang w:eastAsia="en-US"/>
              </w:rPr>
            </w:pPr>
          </w:p>
        </w:tc>
        <w:tc>
          <w:tcPr>
            <w:tcW w:w="2772" w:type="dxa"/>
            <w:gridSpan w:val="2"/>
            <w:vMerge/>
            <w:hideMark/>
          </w:tcPr>
          <w:p w14:paraId="311D8B13" w14:textId="77777777" w:rsidR="007D728E" w:rsidRPr="00CB13F7" w:rsidRDefault="007D728E" w:rsidP="007D728E">
            <w:pPr>
              <w:rPr>
                <w:rFonts w:eastAsia="Times New Roman"/>
                <w:color w:val="000000"/>
                <w:sz w:val="16"/>
                <w:szCs w:val="16"/>
                <w:lang w:eastAsia="en-US"/>
              </w:rPr>
            </w:pPr>
          </w:p>
        </w:tc>
        <w:tc>
          <w:tcPr>
            <w:tcW w:w="2530" w:type="dxa"/>
            <w:tcBorders>
              <w:top w:val="nil"/>
              <w:left w:val="single" w:sz="4" w:space="0" w:color="auto"/>
              <w:bottom w:val="nil"/>
              <w:right w:val="nil"/>
            </w:tcBorders>
            <w:hideMark/>
          </w:tcPr>
          <w:p w14:paraId="556D1C3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Udhëzime dhe programe trajnimi për zbatimin e vendimmarrjes së mbështetur të miratuara dhe të përdorura nga profesionistët e sektorëve përkatës (gjyqësor, shëndetësi, polici, shërbime sociale).</w:t>
            </w:r>
          </w:p>
        </w:tc>
        <w:tc>
          <w:tcPr>
            <w:tcW w:w="1201" w:type="dxa"/>
            <w:tcBorders>
              <w:top w:val="nil"/>
              <w:left w:val="nil"/>
              <w:bottom w:val="nil"/>
              <w:right w:val="single" w:sz="4" w:space="0" w:color="auto"/>
            </w:tcBorders>
            <w:hideMark/>
          </w:tcPr>
          <w:p w14:paraId="55E11CD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86</w:t>
            </w:r>
          </w:p>
        </w:tc>
        <w:tc>
          <w:tcPr>
            <w:tcW w:w="1461" w:type="dxa"/>
            <w:tcBorders>
              <w:top w:val="nil"/>
              <w:left w:val="nil"/>
              <w:bottom w:val="nil"/>
              <w:right w:val="single" w:sz="4" w:space="0" w:color="auto"/>
            </w:tcBorders>
            <w:noWrap/>
            <w:hideMark/>
          </w:tcPr>
          <w:p w14:paraId="381B2A6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136</w:t>
            </w:r>
          </w:p>
        </w:tc>
        <w:tc>
          <w:tcPr>
            <w:tcW w:w="1201" w:type="dxa"/>
            <w:tcBorders>
              <w:top w:val="nil"/>
              <w:left w:val="nil"/>
              <w:bottom w:val="nil"/>
              <w:right w:val="nil"/>
            </w:tcBorders>
            <w:noWrap/>
            <w:hideMark/>
          </w:tcPr>
          <w:p w14:paraId="0537BA1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186</w:t>
            </w:r>
          </w:p>
        </w:tc>
        <w:tc>
          <w:tcPr>
            <w:tcW w:w="1079" w:type="dxa"/>
            <w:tcBorders>
              <w:top w:val="nil"/>
              <w:left w:val="nil"/>
              <w:bottom w:val="nil"/>
              <w:right w:val="nil"/>
            </w:tcBorders>
            <w:hideMark/>
          </w:tcPr>
          <w:p w14:paraId="45EBE9E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Ministria e Drejtësisë; Shkolla e Magjistraturës; institucionet përkatëse;</w:t>
            </w:r>
          </w:p>
        </w:tc>
        <w:tc>
          <w:tcPr>
            <w:tcW w:w="2495" w:type="dxa"/>
            <w:vMerge/>
            <w:hideMark/>
          </w:tcPr>
          <w:p w14:paraId="067987C2" w14:textId="77777777" w:rsidR="007D728E" w:rsidRPr="00CB13F7" w:rsidRDefault="007D728E" w:rsidP="007D728E">
            <w:pPr>
              <w:rPr>
                <w:rFonts w:eastAsia="Times New Roman"/>
                <w:color w:val="000000"/>
                <w:sz w:val="16"/>
                <w:szCs w:val="16"/>
                <w:lang w:eastAsia="en-US"/>
              </w:rPr>
            </w:pPr>
          </w:p>
        </w:tc>
      </w:tr>
      <w:tr w:rsidR="007D728E" w:rsidRPr="00CB13F7" w14:paraId="3148661A" w14:textId="77777777" w:rsidTr="661F9D2E">
        <w:trPr>
          <w:trHeight w:val="960"/>
        </w:trPr>
        <w:tc>
          <w:tcPr>
            <w:tcW w:w="874" w:type="dxa"/>
            <w:vMerge w:val="restart"/>
            <w:tcBorders>
              <w:top w:val="nil"/>
              <w:left w:val="single" w:sz="4" w:space="0" w:color="auto"/>
              <w:bottom w:val="nil"/>
              <w:right w:val="single" w:sz="4" w:space="0" w:color="auto"/>
            </w:tcBorders>
            <w:hideMark/>
          </w:tcPr>
          <w:p w14:paraId="34AC071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772" w:type="dxa"/>
            <w:gridSpan w:val="2"/>
            <w:vMerge w:val="restart"/>
            <w:tcBorders>
              <w:top w:val="single" w:sz="4" w:space="0" w:color="000000" w:themeColor="text1"/>
              <w:left w:val="nil"/>
              <w:bottom w:val="nil"/>
              <w:right w:val="nil"/>
            </w:tcBorders>
            <w:hideMark/>
          </w:tcPr>
          <w:p w14:paraId="4697BD0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4.1. Garantimi i aksesueshmërisë dhe përshtatjes së shërbimeve, mekanizmave të referimit dhe procedurave për gratë dhe vajzat me aftësi të kufizuara, viktima të dhunës.</w:t>
            </w:r>
          </w:p>
        </w:tc>
        <w:tc>
          <w:tcPr>
            <w:tcW w:w="2530" w:type="dxa"/>
            <w:tcBorders>
              <w:top w:val="single" w:sz="4" w:space="0" w:color="auto"/>
              <w:left w:val="single" w:sz="4" w:space="0" w:color="auto"/>
              <w:bottom w:val="nil"/>
              <w:right w:val="nil"/>
            </w:tcBorders>
            <w:hideMark/>
          </w:tcPr>
          <w:p w14:paraId="463B11E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e qendrave/shërbimeve për viktimat e dhunës (strehëza, qendra komunitare, linja këshillimi) që kanë kaluar vlerësimin e aksesueshmërisë dhe kanë zbatuar rekomandimet kryesore.</w:t>
            </w:r>
          </w:p>
        </w:tc>
        <w:tc>
          <w:tcPr>
            <w:tcW w:w="1201" w:type="dxa"/>
            <w:tcBorders>
              <w:top w:val="single" w:sz="4" w:space="0" w:color="auto"/>
              <w:left w:val="single" w:sz="4" w:space="0" w:color="auto"/>
              <w:bottom w:val="nil"/>
              <w:right w:val="single" w:sz="4" w:space="0" w:color="auto"/>
            </w:tcBorders>
            <w:hideMark/>
          </w:tcPr>
          <w:p w14:paraId="6329ACE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single" w:sz="4" w:space="0" w:color="auto"/>
              <w:left w:val="nil"/>
              <w:bottom w:val="nil"/>
              <w:right w:val="single" w:sz="4" w:space="0" w:color="auto"/>
            </w:tcBorders>
            <w:hideMark/>
          </w:tcPr>
          <w:p w14:paraId="50DAA3F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w:t>
            </w:r>
          </w:p>
        </w:tc>
        <w:tc>
          <w:tcPr>
            <w:tcW w:w="1201" w:type="dxa"/>
            <w:tcBorders>
              <w:top w:val="single" w:sz="4" w:space="0" w:color="auto"/>
              <w:left w:val="nil"/>
              <w:bottom w:val="nil"/>
              <w:right w:val="nil"/>
            </w:tcBorders>
            <w:hideMark/>
          </w:tcPr>
          <w:p w14:paraId="6ED0D4E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w:t>
            </w:r>
          </w:p>
        </w:tc>
        <w:tc>
          <w:tcPr>
            <w:tcW w:w="1079" w:type="dxa"/>
            <w:tcBorders>
              <w:top w:val="single" w:sz="4" w:space="0" w:color="auto"/>
              <w:left w:val="nil"/>
              <w:bottom w:val="nil"/>
              <w:right w:val="nil"/>
            </w:tcBorders>
            <w:hideMark/>
          </w:tcPr>
          <w:p w14:paraId="5C83A4A3" w14:textId="30409596"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Bashkitë</w:t>
            </w:r>
            <w:r w:rsidR="00781AF5" w:rsidRPr="00CB13F7">
              <w:rPr>
                <w:rFonts w:eastAsia="Times New Roman"/>
                <w:color w:val="000000"/>
                <w:sz w:val="16"/>
                <w:szCs w:val="16"/>
                <w:lang w:eastAsia="en-US"/>
              </w:rPr>
              <w:t>/Qarqet</w:t>
            </w:r>
            <w:r w:rsidRPr="00CB13F7">
              <w:rPr>
                <w:rFonts w:eastAsia="Times New Roman"/>
                <w:color w:val="000000"/>
                <w:sz w:val="16"/>
                <w:szCs w:val="16"/>
                <w:lang w:eastAsia="en-US"/>
              </w:rPr>
              <w:t>;</w:t>
            </w:r>
            <w:r w:rsidRPr="00CB13F7">
              <w:rPr>
                <w:rFonts w:eastAsia="Times New Roman"/>
                <w:color w:val="000000"/>
                <w:sz w:val="16"/>
                <w:szCs w:val="16"/>
                <w:lang w:eastAsia="en-US"/>
              </w:rPr>
              <w:br/>
              <w:t>Mekanizmi i koordinimit kundër dhunës në familje;</w:t>
            </w:r>
          </w:p>
        </w:tc>
        <w:tc>
          <w:tcPr>
            <w:tcW w:w="2495" w:type="dxa"/>
            <w:tcBorders>
              <w:top w:val="single" w:sz="4" w:space="0" w:color="auto"/>
              <w:left w:val="nil"/>
              <w:bottom w:val="nil"/>
              <w:right w:val="single" w:sz="4" w:space="0" w:color="auto"/>
            </w:tcBorders>
            <w:hideMark/>
          </w:tcPr>
          <w:p w14:paraId="414FE67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C1F4683" w14:textId="77777777" w:rsidTr="661F9D2E">
        <w:trPr>
          <w:trHeight w:val="1410"/>
        </w:trPr>
        <w:tc>
          <w:tcPr>
            <w:tcW w:w="874" w:type="dxa"/>
            <w:vMerge/>
            <w:hideMark/>
          </w:tcPr>
          <w:p w14:paraId="4181C03F" w14:textId="77777777" w:rsidR="007D728E" w:rsidRPr="00CB13F7" w:rsidRDefault="007D728E" w:rsidP="007D728E">
            <w:pPr>
              <w:rPr>
                <w:rFonts w:eastAsia="Times New Roman"/>
                <w:color w:val="000000"/>
                <w:sz w:val="16"/>
                <w:szCs w:val="16"/>
                <w:lang w:eastAsia="en-US"/>
              </w:rPr>
            </w:pPr>
          </w:p>
        </w:tc>
        <w:tc>
          <w:tcPr>
            <w:tcW w:w="2772" w:type="dxa"/>
            <w:gridSpan w:val="2"/>
            <w:vMerge/>
            <w:hideMark/>
          </w:tcPr>
          <w:p w14:paraId="29B911B2" w14:textId="77777777" w:rsidR="007D728E" w:rsidRPr="00CB13F7" w:rsidRDefault="007D728E" w:rsidP="007D728E">
            <w:pPr>
              <w:rPr>
                <w:rFonts w:eastAsia="Times New Roman"/>
                <w:color w:val="000000"/>
                <w:sz w:val="16"/>
                <w:szCs w:val="16"/>
                <w:lang w:eastAsia="en-US"/>
              </w:rPr>
            </w:pPr>
          </w:p>
        </w:tc>
        <w:tc>
          <w:tcPr>
            <w:tcW w:w="2530" w:type="dxa"/>
            <w:tcBorders>
              <w:top w:val="nil"/>
              <w:left w:val="single" w:sz="4" w:space="0" w:color="auto"/>
              <w:bottom w:val="nil"/>
              <w:right w:val="nil"/>
            </w:tcBorders>
            <w:hideMark/>
          </w:tcPr>
          <w:p w14:paraId="3BE8A73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grave dhe vajzave me aftësi të kufizuara viktima të dhunës që kanë marrë shërbime mbështetëse (strehim, këshillim, ndihmë juridike, rehabilitim) gjatë vitit.</w:t>
            </w:r>
          </w:p>
        </w:tc>
        <w:tc>
          <w:tcPr>
            <w:tcW w:w="1201" w:type="dxa"/>
            <w:tcBorders>
              <w:top w:val="nil"/>
              <w:left w:val="single" w:sz="4" w:space="0" w:color="auto"/>
              <w:bottom w:val="nil"/>
              <w:right w:val="single" w:sz="4" w:space="0" w:color="auto"/>
            </w:tcBorders>
            <w:hideMark/>
          </w:tcPr>
          <w:p w14:paraId="6763C2B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nil"/>
              <w:right w:val="single" w:sz="4" w:space="0" w:color="auto"/>
            </w:tcBorders>
            <w:hideMark/>
          </w:tcPr>
          <w:p w14:paraId="7932E41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30%</w:t>
            </w:r>
          </w:p>
        </w:tc>
        <w:tc>
          <w:tcPr>
            <w:tcW w:w="1201" w:type="dxa"/>
            <w:tcBorders>
              <w:top w:val="nil"/>
              <w:left w:val="nil"/>
              <w:bottom w:val="nil"/>
              <w:right w:val="nil"/>
            </w:tcBorders>
            <w:hideMark/>
          </w:tcPr>
          <w:p w14:paraId="306523D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w:t>
            </w:r>
          </w:p>
        </w:tc>
        <w:tc>
          <w:tcPr>
            <w:tcW w:w="1079" w:type="dxa"/>
            <w:tcBorders>
              <w:top w:val="nil"/>
              <w:left w:val="nil"/>
              <w:bottom w:val="nil"/>
              <w:right w:val="nil"/>
            </w:tcBorders>
            <w:hideMark/>
          </w:tcPr>
          <w:p w14:paraId="331DC98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Sistemi i menaxhimit të rasteve të dhunës në familje;</w:t>
            </w:r>
            <w:r w:rsidRPr="00CB13F7">
              <w:rPr>
                <w:rFonts w:eastAsia="Times New Roman"/>
                <w:color w:val="000000"/>
                <w:sz w:val="16"/>
                <w:szCs w:val="16"/>
                <w:lang w:eastAsia="en-US"/>
              </w:rPr>
              <w:br/>
              <w:t>Bashkitë;</w:t>
            </w:r>
            <w:r w:rsidRPr="00CB13F7">
              <w:rPr>
                <w:rFonts w:eastAsia="Times New Roman"/>
                <w:color w:val="000000"/>
                <w:sz w:val="16"/>
                <w:szCs w:val="16"/>
                <w:lang w:eastAsia="en-US"/>
              </w:rPr>
              <w:br/>
              <w:t>Strehëzat;</w:t>
            </w:r>
          </w:p>
        </w:tc>
        <w:tc>
          <w:tcPr>
            <w:tcW w:w="2495" w:type="dxa"/>
            <w:tcBorders>
              <w:top w:val="nil"/>
              <w:left w:val="nil"/>
              <w:bottom w:val="nil"/>
              <w:right w:val="single" w:sz="4" w:space="0" w:color="auto"/>
            </w:tcBorders>
            <w:hideMark/>
          </w:tcPr>
          <w:p w14:paraId="18C802C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9F8DB29" w14:textId="77777777" w:rsidTr="661F9D2E">
        <w:trPr>
          <w:trHeight w:val="1545"/>
        </w:trPr>
        <w:tc>
          <w:tcPr>
            <w:tcW w:w="874" w:type="dxa"/>
            <w:vMerge w:val="restart"/>
            <w:tcBorders>
              <w:top w:val="nil"/>
              <w:left w:val="single" w:sz="4" w:space="0" w:color="auto"/>
              <w:bottom w:val="nil"/>
              <w:right w:val="single" w:sz="4" w:space="0" w:color="auto"/>
            </w:tcBorders>
            <w:hideMark/>
          </w:tcPr>
          <w:p w14:paraId="66E0EE9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vMerge w:val="restart"/>
            <w:tcBorders>
              <w:top w:val="single" w:sz="4" w:space="0" w:color="auto"/>
              <w:left w:val="nil"/>
              <w:bottom w:val="nil"/>
              <w:right w:val="single" w:sz="4" w:space="0" w:color="000000" w:themeColor="text1"/>
            </w:tcBorders>
            <w:hideMark/>
          </w:tcPr>
          <w:p w14:paraId="5E2E49B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4.2. Parandalimi i dhunës ndaj grave dhe vajzave me aftësi të kufizuara në familje dhe komunitet, përmes rritjes së ndërgjegjësimit të familjarëve, kujdestarëve dhe komunitetit, si dhe forcimit të mekanizmave të raportimit të bazuara në evidencë, mbrojtjes dhe ndërhyrjes së hershme.</w:t>
            </w:r>
          </w:p>
        </w:tc>
        <w:tc>
          <w:tcPr>
            <w:tcW w:w="2530" w:type="dxa"/>
            <w:tcBorders>
              <w:top w:val="single" w:sz="4" w:space="0" w:color="auto"/>
              <w:left w:val="nil"/>
              <w:bottom w:val="nil"/>
              <w:right w:val="nil"/>
            </w:tcBorders>
            <w:hideMark/>
          </w:tcPr>
          <w:p w14:paraId="30CE94B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grave dhe vajzave me aftësi të kufizuara që kanë marrë informacion në formate të aksesueshme mbi parandalimin dhe raportimin e dhunës</w:t>
            </w:r>
          </w:p>
        </w:tc>
        <w:tc>
          <w:tcPr>
            <w:tcW w:w="1201" w:type="dxa"/>
            <w:tcBorders>
              <w:top w:val="single" w:sz="4" w:space="0" w:color="auto"/>
              <w:left w:val="nil"/>
              <w:bottom w:val="nil"/>
              <w:right w:val="single" w:sz="4" w:space="0" w:color="auto"/>
            </w:tcBorders>
            <w:hideMark/>
          </w:tcPr>
          <w:p w14:paraId="002B58B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single" w:sz="4" w:space="0" w:color="auto"/>
              <w:left w:val="nil"/>
              <w:bottom w:val="nil"/>
              <w:right w:val="single" w:sz="4" w:space="0" w:color="auto"/>
            </w:tcBorders>
            <w:noWrap/>
            <w:hideMark/>
          </w:tcPr>
          <w:p w14:paraId="19F82FF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400</w:t>
            </w:r>
          </w:p>
        </w:tc>
        <w:tc>
          <w:tcPr>
            <w:tcW w:w="1201" w:type="dxa"/>
            <w:tcBorders>
              <w:top w:val="single" w:sz="4" w:space="0" w:color="auto"/>
              <w:left w:val="nil"/>
              <w:bottom w:val="nil"/>
              <w:right w:val="nil"/>
            </w:tcBorders>
            <w:hideMark/>
          </w:tcPr>
          <w:p w14:paraId="6154E06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800</w:t>
            </w:r>
          </w:p>
        </w:tc>
        <w:tc>
          <w:tcPr>
            <w:tcW w:w="1079" w:type="dxa"/>
            <w:tcBorders>
              <w:top w:val="single" w:sz="4" w:space="0" w:color="auto"/>
              <w:left w:val="nil"/>
              <w:bottom w:val="nil"/>
              <w:right w:val="nil"/>
            </w:tcBorders>
            <w:hideMark/>
          </w:tcPr>
          <w:p w14:paraId="10310D04" w14:textId="3392BBE7"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Bashkitë</w:t>
            </w:r>
            <w:r w:rsidR="064893B9" w:rsidRPr="00CB13F7">
              <w:rPr>
                <w:rFonts w:eastAsia="Times New Roman"/>
                <w:color w:val="000000" w:themeColor="text1"/>
                <w:sz w:val="16"/>
                <w:szCs w:val="16"/>
                <w:lang w:eastAsia="en-US"/>
              </w:rPr>
              <w:t xml:space="preserve"> MKR</w:t>
            </w:r>
            <w:r w:rsidRPr="00CB13F7">
              <w:rPr>
                <w:rFonts w:eastAsia="Times New Roman"/>
                <w:color w:val="000000" w:themeColor="text1"/>
                <w:sz w:val="16"/>
                <w:szCs w:val="16"/>
                <w:lang w:eastAsia="en-US"/>
              </w:rPr>
              <w:t>;</w:t>
            </w:r>
            <w:r w:rsidR="007D728E" w:rsidRPr="00CB13F7">
              <w:br/>
            </w:r>
            <w:r w:rsidRPr="00CB13F7">
              <w:rPr>
                <w:rFonts w:eastAsia="Times New Roman"/>
                <w:color w:val="000000" w:themeColor="text1"/>
                <w:sz w:val="16"/>
                <w:szCs w:val="16"/>
                <w:lang w:eastAsia="en-US"/>
              </w:rPr>
              <w:t xml:space="preserve">Shkollat; </w:t>
            </w:r>
            <w:r w:rsidR="007D728E" w:rsidRPr="00CB13F7">
              <w:br/>
            </w:r>
            <w:r w:rsidRPr="00CB13F7">
              <w:rPr>
                <w:rFonts w:eastAsia="Times New Roman"/>
                <w:color w:val="000000" w:themeColor="text1"/>
                <w:sz w:val="16"/>
                <w:szCs w:val="16"/>
                <w:lang w:eastAsia="en-US"/>
              </w:rPr>
              <w:t xml:space="preserve">Shërbimi social; </w:t>
            </w:r>
            <w:r w:rsidR="007D728E" w:rsidRPr="00CB13F7">
              <w:br/>
            </w:r>
            <w:r w:rsidRPr="00CB13F7">
              <w:rPr>
                <w:rFonts w:eastAsia="Times New Roman"/>
                <w:color w:val="000000" w:themeColor="text1"/>
                <w:sz w:val="16"/>
                <w:szCs w:val="16"/>
                <w:lang w:eastAsia="en-US"/>
              </w:rPr>
              <w:t>Shëndetësia</w:t>
            </w:r>
          </w:p>
        </w:tc>
        <w:tc>
          <w:tcPr>
            <w:tcW w:w="2495" w:type="dxa"/>
            <w:vMerge w:val="restart"/>
            <w:tcBorders>
              <w:top w:val="single" w:sz="4" w:space="0" w:color="auto"/>
              <w:left w:val="single" w:sz="4" w:space="0" w:color="auto"/>
              <w:bottom w:val="nil"/>
              <w:right w:val="single" w:sz="4" w:space="0" w:color="auto"/>
            </w:tcBorders>
            <w:hideMark/>
          </w:tcPr>
          <w:p w14:paraId="44CD105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18CF74F" w14:textId="77777777" w:rsidTr="661F9D2E">
        <w:trPr>
          <w:trHeight w:val="1380"/>
        </w:trPr>
        <w:tc>
          <w:tcPr>
            <w:tcW w:w="874" w:type="dxa"/>
            <w:vMerge/>
            <w:hideMark/>
          </w:tcPr>
          <w:p w14:paraId="2AFC698B" w14:textId="77777777" w:rsidR="007D728E" w:rsidRPr="00CB13F7" w:rsidRDefault="007D728E" w:rsidP="007D728E">
            <w:pPr>
              <w:rPr>
                <w:rFonts w:eastAsia="Times New Roman"/>
                <w:color w:val="000000"/>
                <w:sz w:val="16"/>
                <w:szCs w:val="16"/>
                <w:lang w:eastAsia="en-US"/>
              </w:rPr>
            </w:pPr>
          </w:p>
        </w:tc>
        <w:tc>
          <w:tcPr>
            <w:tcW w:w="2772" w:type="dxa"/>
            <w:gridSpan w:val="2"/>
            <w:vMerge/>
            <w:hideMark/>
          </w:tcPr>
          <w:p w14:paraId="3069D56F" w14:textId="77777777" w:rsidR="007D728E" w:rsidRPr="00CB13F7" w:rsidRDefault="007D728E" w:rsidP="007D728E">
            <w:pPr>
              <w:rPr>
                <w:rFonts w:eastAsia="Times New Roman"/>
                <w:color w:val="000000"/>
                <w:sz w:val="16"/>
                <w:szCs w:val="16"/>
                <w:lang w:eastAsia="en-US"/>
              </w:rPr>
            </w:pPr>
          </w:p>
        </w:tc>
        <w:tc>
          <w:tcPr>
            <w:tcW w:w="2530" w:type="dxa"/>
            <w:tcBorders>
              <w:top w:val="nil"/>
              <w:left w:val="nil"/>
              <w:bottom w:val="single" w:sz="4" w:space="0" w:color="auto"/>
              <w:right w:val="nil"/>
            </w:tcBorders>
            <w:hideMark/>
          </w:tcPr>
          <w:p w14:paraId="672DD84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Ekziston dhe funksionon sistem kombëtar i mbledhjes së të dhënave për dhunën ndaj grave dhe vajzave me aftësi të kufizuara, me të dhëna të ndara sipas gjinisë dhe llojit të aftësisë së kufizuar.</w:t>
            </w:r>
          </w:p>
        </w:tc>
        <w:tc>
          <w:tcPr>
            <w:tcW w:w="1201" w:type="dxa"/>
            <w:tcBorders>
              <w:top w:val="nil"/>
              <w:left w:val="nil"/>
              <w:bottom w:val="single" w:sz="4" w:space="0" w:color="auto"/>
              <w:right w:val="single" w:sz="4" w:space="0" w:color="auto"/>
            </w:tcBorders>
            <w:hideMark/>
          </w:tcPr>
          <w:p w14:paraId="64CF8E5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single" w:sz="4" w:space="0" w:color="auto"/>
              <w:right w:val="single" w:sz="4" w:space="0" w:color="auto"/>
            </w:tcBorders>
            <w:hideMark/>
          </w:tcPr>
          <w:p w14:paraId="099451F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201" w:type="dxa"/>
            <w:tcBorders>
              <w:top w:val="nil"/>
              <w:left w:val="nil"/>
              <w:bottom w:val="single" w:sz="4" w:space="0" w:color="auto"/>
              <w:right w:val="nil"/>
            </w:tcBorders>
            <w:hideMark/>
          </w:tcPr>
          <w:p w14:paraId="1A19003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Sistemi i të dhënave i ngritur</w:t>
            </w:r>
          </w:p>
        </w:tc>
        <w:tc>
          <w:tcPr>
            <w:tcW w:w="1079" w:type="dxa"/>
            <w:tcBorders>
              <w:top w:val="nil"/>
              <w:left w:val="nil"/>
              <w:bottom w:val="single" w:sz="4" w:space="0" w:color="auto"/>
              <w:right w:val="nil"/>
            </w:tcBorders>
            <w:hideMark/>
          </w:tcPr>
          <w:p w14:paraId="4C2B150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INSTAT;</w:t>
            </w:r>
            <w:r w:rsidRPr="00CB13F7">
              <w:rPr>
                <w:rFonts w:eastAsia="Times New Roman"/>
                <w:color w:val="000000"/>
                <w:sz w:val="16"/>
                <w:szCs w:val="16"/>
                <w:lang w:eastAsia="en-US"/>
              </w:rPr>
              <w:br/>
              <w:t>MSHMS;</w:t>
            </w:r>
            <w:r w:rsidRPr="00CB13F7">
              <w:rPr>
                <w:rFonts w:eastAsia="Times New Roman"/>
                <w:color w:val="000000"/>
                <w:sz w:val="16"/>
                <w:szCs w:val="16"/>
                <w:lang w:eastAsia="en-US"/>
              </w:rPr>
              <w:br/>
              <w:t>Ministria e Drejtësisë;</w:t>
            </w:r>
            <w:r w:rsidRPr="00CB13F7">
              <w:rPr>
                <w:rFonts w:eastAsia="Times New Roman"/>
                <w:color w:val="000000"/>
                <w:sz w:val="16"/>
                <w:szCs w:val="16"/>
                <w:lang w:eastAsia="en-US"/>
              </w:rPr>
              <w:br/>
              <w:t>Policia;</w:t>
            </w:r>
          </w:p>
        </w:tc>
        <w:tc>
          <w:tcPr>
            <w:tcW w:w="2495" w:type="dxa"/>
            <w:vMerge/>
            <w:hideMark/>
          </w:tcPr>
          <w:p w14:paraId="2BD18FF8" w14:textId="77777777" w:rsidR="007D728E" w:rsidRPr="00CB13F7" w:rsidRDefault="007D728E" w:rsidP="007D728E">
            <w:pPr>
              <w:rPr>
                <w:rFonts w:eastAsia="Times New Roman"/>
                <w:color w:val="000000"/>
                <w:sz w:val="16"/>
                <w:szCs w:val="16"/>
                <w:lang w:eastAsia="en-US"/>
              </w:rPr>
            </w:pPr>
          </w:p>
        </w:tc>
      </w:tr>
      <w:tr w:rsidR="007D728E" w:rsidRPr="00CB13F7" w14:paraId="7C60CDC0" w14:textId="77777777" w:rsidTr="661F9D2E">
        <w:trPr>
          <w:trHeight w:val="1470"/>
        </w:trPr>
        <w:tc>
          <w:tcPr>
            <w:tcW w:w="874" w:type="dxa"/>
            <w:tcBorders>
              <w:top w:val="nil"/>
              <w:left w:val="single" w:sz="4" w:space="0" w:color="auto"/>
              <w:bottom w:val="nil"/>
              <w:right w:val="single" w:sz="4" w:space="0" w:color="auto"/>
            </w:tcBorders>
            <w:hideMark/>
          </w:tcPr>
          <w:p w14:paraId="37F85FD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tcBorders>
              <w:top w:val="single" w:sz="4" w:space="0" w:color="auto"/>
              <w:left w:val="nil"/>
              <w:bottom w:val="single" w:sz="4" w:space="0" w:color="000000" w:themeColor="text1"/>
              <w:right w:val="single" w:sz="4" w:space="0" w:color="000000" w:themeColor="text1"/>
            </w:tcBorders>
            <w:hideMark/>
          </w:tcPr>
          <w:p w14:paraId="4E81F2F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4. 3. Mundësimi i një qasjeje të plotë, të informuar dhe </w:t>
            </w:r>
            <w:r w:rsidR="0089320C" w:rsidRPr="00CB13F7">
              <w:rPr>
                <w:rFonts w:eastAsia="Times New Roman"/>
                <w:color w:val="000000"/>
                <w:sz w:val="16"/>
                <w:szCs w:val="16"/>
                <w:lang w:eastAsia="en-US"/>
              </w:rPr>
              <w:t>pa diskriminim</w:t>
            </w:r>
            <w:r w:rsidRPr="00CB13F7">
              <w:rPr>
                <w:rFonts w:eastAsia="Times New Roman"/>
                <w:color w:val="000000"/>
                <w:sz w:val="16"/>
                <w:szCs w:val="16"/>
                <w:lang w:eastAsia="en-US"/>
              </w:rPr>
              <w:t xml:space="preserve"> në shërbime të shëndetit seksual dhe riprodhues, duke respektuar autonominë dhe të drejtat riprodhuese të grave me aftësi të kufizuara. </w:t>
            </w:r>
          </w:p>
        </w:tc>
        <w:tc>
          <w:tcPr>
            <w:tcW w:w="2530" w:type="dxa"/>
            <w:tcBorders>
              <w:top w:val="nil"/>
              <w:left w:val="nil"/>
              <w:bottom w:val="single" w:sz="4" w:space="0" w:color="000000" w:themeColor="text1"/>
              <w:right w:val="nil"/>
            </w:tcBorders>
            <w:hideMark/>
          </w:tcPr>
          <w:p w14:paraId="6A535748" w14:textId="4C62602A"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Përqindja e institucioneve shëndetësore publike (kujdesi parësor dhe spitalor) që ofrojnë informacion për shëndetin seksual dhe riprodhues </w:t>
            </w:r>
            <w:r w:rsidR="006F5202" w:rsidRPr="00CB13F7">
              <w:rPr>
                <w:rFonts w:eastAsia="Times New Roman"/>
                <w:color w:val="000000"/>
                <w:sz w:val="16"/>
                <w:szCs w:val="16"/>
                <w:lang w:eastAsia="en-US"/>
              </w:rPr>
              <w:t xml:space="preserve">me </w:t>
            </w:r>
            <w:r w:rsidRPr="00CB13F7">
              <w:rPr>
                <w:rFonts w:eastAsia="Times New Roman"/>
                <w:color w:val="000000"/>
                <w:sz w:val="16"/>
                <w:szCs w:val="16"/>
                <w:lang w:eastAsia="en-US"/>
              </w:rPr>
              <w:t>formate të aksesueshme .</w:t>
            </w:r>
          </w:p>
        </w:tc>
        <w:tc>
          <w:tcPr>
            <w:tcW w:w="1201" w:type="dxa"/>
            <w:tcBorders>
              <w:top w:val="nil"/>
              <w:left w:val="nil"/>
              <w:bottom w:val="nil"/>
              <w:right w:val="single" w:sz="4" w:space="0" w:color="000000" w:themeColor="text1"/>
            </w:tcBorders>
            <w:hideMark/>
          </w:tcPr>
          <w:p w14:paraId="1A4845A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single" w:sz="4" w:space="0" w:color="000000" w:themeColor="text1"/>
              <w:right w:val="single" w:sz="4" w:space="0" w:color="000000" w:themeColor="text1"/>
            </w:tcBorders>
            <w:hideMark/>
          </w:tcPr>
          <w:p w14:paraId="61A562C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w:t>
            </w:r>
          </w:p>
        </w:tc>
        <w:tc>
          <w:tcPr>
            <w:tcW w:w="1201" w:type="dxa"/>
            <w:tcBorders>
              <w:top w:val="nil"/>
              <w:left w:val="nil"/>
              <w:bottom w:val="single" w:sz="4" w:space="0" w:color="000000" w:themeColor="text1"/>
              <w:right w:val="nil"/>
            </w:tcBorders>
            <w:noWrap/>
            <w:hideMark/>
          </w:tcPr>
          <w:p w14:paraId="20CC165C" w14:textId="18A0C523" w:rsidR="007D728E" w:rsidRPr="00CB13F7" w:rsidRDefault="00DF78A4" w:rsidP="007D728E">
            <w:pPr>
              <w:rPr>
                <w:rFonts w:eastAsia="Times New Roman"/>
                <w:color w:val="000000"/>
                <w:sz w:val="16"/>
                <w:szCs w:val="16"/>
                <w:lang w:eastAsia="en-US"/>
              </w:rPr>
            </w:pPr>
            <w:r w:rsidRPr="00CB13F7">
              <w:rPr>
                <w:rFonts w:eastAsia="Times New Roman"/>
                <w:color w:val="000000"/>
                <w:sz w:val="16"/>
                <w:szCs w:val="16"/>
                <w:lang w:eastAsia="en-US"/>
              </w:rPr>
              <w:t>40%</w:t>
            </w:r>
          </w:p>
        </w:tc>
        <w:tc>
          <w:tcPr>
            <w:tcW w:w="1079" w:type="dxa"/>
            <w:tcBorders>
              <w:top w:val="nil"/>
              <w:left w:val="nil"/>
              <w:bottom w:val="single" w:sz="4" w:space="0" w:color="000000" w:themeColor="text1"/>
              <w:right w:val="nil"/>
            </w:tcBorders>
            <w:hideMark/>
          </w:tcPr>
          <w:p w14:paraId="508290A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ISHP;</w:t>
            </w:r>
            <w:r w:rsidRPr="00CB13F7">
              <w:rPr>
                <w:rFonts w:eastAsia="Times New Roman"/>
                <w:color w:val="000000"/>
                <w:sz w:val="16"/>
                <w:szCs w:val="16"/>
                <w:lang w:eastAsia="en-US"/>
              </w:rPr>
              <w:br/>
              <w:t>OSHKSH;</w:t>
            </w:r>
          </w:p>
        </w:tc>
        <w:tc>
          <w:tcPr>
            <w:tcW w:w="2495" w:type="dxa"/>
            <w:tcBorders>
              <w:top w:val="nil"/>
              <w:left w:val="nil"/>
              <w:bottom w:val="single" w:sz="4" w:space="0" w:color="000000" w:themeColor="text1"/>
              <w:right w:val="single" w:sz="4" w:space="0" w:color="000000" w:themeColor="text1"/>
            </w:tcBorders>
            <w:hideMark/>
          </w:tcPr>
          <w:p w14:paraId="3BF335B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4B1E699" w14:textId="77777777" w:rsidTr="661F9D2E">
        <w:trPr>
          <w:trHeight w:val="1185"/>
        </w:trPr>
        <w:tc>
          <w:tcPr>
            <w:tcW w:w="874" w:type="dxa"/>
            <w:tcBorders>
              <w:top w:val="nil"/>
              <w:left w:val="single" w:sz="4" w:space="0" w:color="auto"/>
              <w:bottom w:val="nil"/>
              <w:right w:val="single" w:sz="4" w:space="0" w:color="auto"/>
            </w:tcBorders>
            <w:hideMark/>
          </w:tcPr>
          <w:p w14:paraId="28C22CE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772" w:type="dxa"/>
            <w:gridSpan w:val="2"/>
            <w:tcBorders>
              <w:top w:val="single" w:sz="4" w:space="0" w:color="000000" w:themeColor="text1"/>
              <w:left w:val="nil"/>
              <w:bottom w:val="nil"/>
              <w:right w:val="single" w:sz="4" w:space="0" w:color="000000" w:themeColor="text1"/>
            </w:tcBorders>
            <w:hideMark/>
          </w:tcPr>
          <w:p w14:paraId="3C41277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 5. 1. Përforcimi i mbrojtjes nga dhuna dhe diskriminimi, përmes fuqizimit të kapaciteteve, shërbimeve të integruara, forcimit të sistemeve të të dhënave, monitorimit dhe raportimit.</w:t>
            </w:r>
          </w:p>
        </w:tc>
        <w:tc>
          <w:tcPr>
            <w:tcW w:w="2530" w:type="dxa"/>
            <w:tcBorders>
              <w:top w:val="single" w:sz="4" w:space="0" w:color="000000" w:themeColor="text1"/>
              <w:left w:val="nil"/>
              <w:bottom w:val="nil"/>
              <w:right w:val="nil"/>
            </w:tcBorders>
            <w:hideMark/>
          </w:tcPr>
          <w:p w14:paraId="2A946EC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Numri i fëmijëve me aftësi të kufizuara viktima të dhunës që kanë përfituar shërbime </w:t>
            </w:r>
            <w:r w:rsidR="00234FBC" w:rsidRPr="00CB13F7">
              <w:rPr>
                <w:rFonts w:eastAsia="Times New Roman"/>
                <w:color w:val="000000"/>
                <w:sz w:val="16"/>
                <w:szCs w:val="16"/>
                <w:lang w:eastAsia="en-US"/>
              </w:rPr>
              <w:t>psiko-sociale</w:t>
            </w:r>
            <w:r w:rsidRPr="00CB13F7">
              <w:rPr>
                <w:rFonts w:eastAsia="Times New Roman"/>
                <w:color w:val="000000"/>
                <w:sz w:val="16"/>
                <w:szCs w:val="16"/>
                <w:lang w:eastAsia="en-US"/>
              </w:rPr>
              <w:t xml:space="preserve"> dhe menaxhim rasti nga Njësitë e Mbrojtjes së Fëmijëve ose shërbimet komunitare.</w:t>
            </w:r>
          </w:p>
        </w:tc>
        <w:tc>
          <w:tcPr>
            <w:tcW w:w="1201" w:type="dxa"/>
            <w:tcBorders>
              <w:top w:val="single" w:sz="4" w:space="0" w:color="000000" w:themeColor="text1"/>
              <w:left w:val="nil"/>
              <w:bottom w:val="nil"/>
              <w:right w:val="single" w:sz="4" w:space="0" w:color="000000" w:themeColor="text1"/>
            </w:tcBorders>
            <w:hideMark/>
          </w:tcPr>
          <w:p w14:paraId="1B6B958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nil"/>
              <w:right w:val="single" w:sz="4" w:space="0" w:color="000000" w:themeColor="text1"/>
            </w:tcBorders>
            <w:hideMark/>
          </w:tcPr>
          <w:p w14:paraId="09531FF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w:t>
            </w:r>
          </w:p>
        </w:tc>
        <w:tc>
          <w:tcPr>
            <w:tcW w:w="1201" w:type="dxa"/>
            <w:tcBorders>
              <w:top w:val="nil"/>
              <w:left w:val="nil"/>
              <w:bottom w:val="nil"/>
              <w:right w:val="nil"/>
            </w:tcBorders>
            <w:hideMark/>
          </w:tcPr>
          <w:p w14:paraId="54FE707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70%</w:t>
            </w:r>
          </w:p>
        </w:tc>
        <w:tc>
          <w:tcPr>
            <w:tcW w:w="1079" w:type="dxa"/>
            <w:tcBorders>
              <w:top w:val="nil"/>
              <w:left w:val="nil"/>
              <w:bottom w:val="nil"/>
              <w:right w:val="nil"/>
            </w:tcBorders>
            <w:hideMark/>
          </w:tcPr>
          <w:p w14:paraId="402C88DA" w14:textId="7BE7D995" w:rsidR="007D728E" w:rsidRPr="00CB13F7" w:rsidRDefault="0080D2BD" w:rsidP="007D728E">
            <w:pPr>
              <w:rPr>
                <w:rFonts w:eastAsia="Times New Roman"/>
                <w:color w:val="000000"/>
                <w:sz w:val="16"/>
                <w:szCs w:val="16"/>
                <w:lang w:eastAsia="en-US"/>
              </w:rPr>
            </w:pPr>
            <w:r w:rsidRPr="00CB13F7">
              <w:rPr>
                <w:rFonts w:eastAsia="Times New Roman"/>
                <w:color w:val="000000" w:themeColor="text1"/>
                <w:sz w:val="16"/>
                <w:szCs w:val="16"/>
                <w:lang w:eastAsia="en-US"/>
              </w:rPr>
              <w:t>Sistemi i mbrojtjes së fëmijëve;</w:t>
            </w:r>
            <w:r w:rsidR="007D728E" w:rsidRPr="00CB13F7">
              <w:br/>
            </w:r>
            <w:r w:rsidRPr="00CB13F7">
              <w:rPr>
                <w:rFonts w:eastAsia="Times New Roman"/>
                <w:color w:val="000000" w:themeColor="text1"/>
                <w:sz w:val="16"/>
                <w:szCs w:val="16"/>
                <w:lang w:eastAsia="en-US"/>
              </w:rPr>
              <w:t xml:space="preserve">Raporte të </w:t>
            </w:r>
            <w:r w:rsidR="4768D9C6" w:rsidRPr="00CB13F7">
              <w:rPr>
                <w:rFonts w:eastAsia="Times New Roman"/>
                <w:color w:val="000000" w:themeColor="text1"/>
                <w:sz w:val="16"/>
                <w:szCs w:val="16"/>
                <w:lang w:eastAsia="en-US"/>
              </w:rPr>
              <w:t>ASHDMF</w:t>
            </w:r>
            <w:r w:rsidR="007D728E" w:rsidRPr="00CB13F7">
              <w:br/>
            </w:r>
            <w:r w:rsidRPr="00CB13F7">
              <w:rPr>
                <w:rFonts w:eastAsia="Times New Roman"/>
                <w:color w:val="000000" w:themeColor="text1"/>
                <w:sz w:val="16"/>
                <w:szCs w:val="16"/>
                <w:lang w:eastAsia="en-US"/>
              </w:rPr>
              <w:t>Raporte të bashkive;</w:t>
            </w:r>
          </w:p>
        </w:tc>
        <w:tc>
          <w:tcPr>
            <w:tcW w:w="2495" w:type="dxa"/>
            <w:tcBorders>
              <w:top w:val="nil"/>
              <w:left w:val="nil"/>
              <w:bottom w:val="nil"/>
              <w:right w:val="single" w:sz="4" w:space="0" w:color="000000" w:themeColor="text1"/>
            </w:tcBorders>
            <w:hideMark/>
          </w:tcPr>
          <w:p w14:paraId="078AD8F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1448DCE" w14:textId="77777777" w:rsidTr="661F9D2E">
        <w:trPr>
          <w:trHeight w:val="1275"/>
        </w:trPr>
        <w:tc>
          <w:tcPr>
            <w:tcW w:w="874" w:type="dxa"/>
            <w:vMerge w:val="restart"/>
            <w:tcBorders>
              <w:top w:val="nil"/>
              <w:left w:val="single" w:sz="4" w:space="0" w:color="auto"/>
              <w:bottom w:val="single" w:sz="4" w:space="0" w:color="000000" w:themeColor="text1"/>
              <w:right w:val="single" w:sz="4" w:space="0" w:color="auto"/>
            </w:tcBorders>
            <w:noWrap/>
            <w:hideMark/>
          </w:tcPr>
          <w:p w14:paraId="67E8733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772" w:type="dxa"/>
            <w:gridSpan w:val="2"/>
            <w:tcBorders>
              <w:top w:val="single" w:sz="4" w:space="0" w:color="auto"/>
              <w:left w:val="nil"/>
              <w:bottom w:val="nil"/>
              <w:right w:val="single" w:sz="4" w:space="0" w:color="000000" w:themeColor="text1"/>
            </w:tcBorders>
            <w:hideMark/>
          </w:tcPr>
          <w:p w14:paraId="5B99EE8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6.1. Integrimi i aftësisë së kufizuar në politikat dhe kuadrin ligjor për menaxhimin e riskut nga fatkeqësitë</w:t>
            </w:r>
          </w:p>
        </w:tc>
        <w:tc>
          <w:tcPr>
            <w:tcW w:w="2530" w:type="dxa"/>
            <w:tcBorders>
              <w:top w:val="single" w:sz="4" w:space="0" w:color="auto"/>
              <w:left w:val="nil"/>
              <w:bottom w:val="nil"/>
              <w:right w:val="nil"/>
            </w:tcBorders>
            <w:hideMark/>
          </w:tcPr>
          <w:p w14:paraId="3B5FDB0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Janë miratuar dhe zbatohen akte ligjore, udhëzime dhe protokolle të menaxhimit të riskut nga fatkeqësitë që përfshijnë aksesueshmërinë, njoftimin e hershëm dhe evakuimin për personat me aftësi të kufizuara</w:t>
            </w:r>
          </w:p>
        </w:tc>
        <w:tc>
          <w:tcPr>
            <w:tcW w:w="1201" w:type="dxa"/>
            <w:tcBorders>
              <w:top w:val="single" w:sz="4" w:space="0" w:color="auto"/>
              <w:left w:val="nil"/>
              <w:bottom w:val="nil"/>
              <w:right w:val="single" w:sz="4" w:space="0" w:color="auto"/>
            </w:tcBorders>
            <w:hideMark/>
          </w:tcPr>
          <w:p w14:paraId="6762614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single" w:sz="4" w:space="0" w:color="auto"/>
              <w:left w:val="nil"/>
              <w:bottom w:val="nil"/>
              <w:right w:val="single" w:sz="4" w:space="0" w:color="auto"/>
            </w:tcBorders>
            <w:hideMark/>
          </w:tcPr>
          <w:p w14:paraId="443BA4E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akt rregullator i ndryshuar</w:t>
            </w:r>
          </w:p>
        </w:tc>
        <w:tc>
          <w:tcPr>
            <w:tcW w:w="1201" w:type="dxa"/>
            <w:tcBorders>
              <w:top w:val="single" w:sz="4" w:space="0" w:color="auto"/>
              <w:left w:val="nil"/>
              <w:bottom w:val="nil"/>
              <w:right w:val="single" w:sz="4" w:space="0" w:color="auto"/>
            </w:tcBorders>
            <w:hideMark/>
          </w:tcPr>
          <w:p w14:paraId="3F33361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akte rregullatore të ndryshuar</w:t>
            </w:r>
          </w:p>
        </w:tc>
        <w:tc>
          <w:tcPr>
            <w:tcW w:w="1079" w:type="dxa"/>
            <w:tcBorders>
              <w:top w:val="single" w:sz="4" w:space="0" w:color="auto"/>
              <w:left w:val="nil"/>
              <w:bottom w:val="nil"/>
              <w:right w:val="nil"/>
            </w:tcBorders>
            <w:hideMark/>
          </w:tcPr>
          <w:p w14:paraId="2AB0202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AKMC;</w:t>
            </w:r>
            <w:r w:rsidRPr="00CB13F7">
              <w:rPr>
                <w:rFonts w:eastAsia="Times New Roman"/>
                <w:sz w:val="16"/>
                <w:szCs w:val="16"/>
                <w:lang w:eastAsia="en-US"/>
              </w:rPr>
              <w:br/>
              <w:t>MSHMS;</w:t>
            </w:r>
          </w:p>
        </w:tc>
        <w:tc>
          <w:tcPr>
            <w:tcW w:w="2495" w:type="dxa"/>
            <w:tcBorders>
              <w:top w:val="single" w:sz="4" w:space="0" w:color="auto"/>
              <w:left w:val="single" w:sz="4" w:space="0" w:color="auto"/>
              <w:bottom w:val="single" w:sz="4" w:space="0" w:color="auto"/>
              <w:right w:val="single" w:sz="4" w:space="0" w:color="auto"/>
            </w:tcBorders>
            <w:hideMark/>
          </w:tcPr>
          <w:p w14:paraId="41CF1AD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D717384" w14:textId="77777777" w:rsidTr="661F9D2E">
        <w:trPr>
          <w:trHeight w:val="1035"/>
        </w:trPr>
        <w:tc>
          <w:tcPr>
            <w:tcW w:w="874" w:type="dxa"/>
            <w:vMerge/>
            <w:hideMark/>
          </w:tcPr>
          <w:p w14:paraId="7E00F56B" w14:textId="77777777" w:rsidR="007D728E" w:rsidRPr="00CB13F7" w:rsidRDefault="007D728E" w:rsidP="007D728E">
            <w:pPr>
              <w:rPr>
                <w:rFonts w:eastAsia="Times New Roman"/>
                <w:color w:val="000000"/>
                <w:sz w:val="16"/>
                <w:szCs w:val="16"/>
                <w:lang w:eastAsia="en-US"/>
              </w:rPr>
            </w:pPr>
          </w:p>
        </w:tc>
        <w:tc>
          <w:tcPr>
            <w:tcW w:w="2772" w:type="dxa"/>
            <w:gridSpan w:val="2"/>
            <w:tcBorders>
              <w:top w:val="nil"/>
              <w:left w:val="nil"/>
              <w:bottom w:val="nil"/>
              <w:right w:val="single" w:sz="4" w:space="0" w:color="000000" w:themeColor="text1"/>
            </w:tcBorders>
            <w:hideMark/>
          </w:tcPr>
          <w:p w14:paraId="05D4050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30" w:type="dxa"/>
            <w:tcBorders>
              <w:top w:val="nil"/>
              <w:left w:val="nil"/>
              <w:bottom w:val="nil"/>
              <w:right w:val="nil"/>
            </w:tcBorders>
            <w:hideMark/>
          </w:tcPr>
          <w:p w14:paraId="31D2B53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planeve vendore të emergjencave që përfshijnë procedura të aksesueshme për paralajmërim, evakuim dhe strehim të personave me aftësi të kufizuara.</w:t>
            </w:r>
          </w:p>
        </w:tc>
        <w:tc>
          <w:tcPr>
            <w:tcW w:w="1201" w:type="dxa"/>
            <w:tcBorders>
              <w:top w:val="nil"/>
              <w:left w:val="nil"/>
              <w:bottom w:val="nil"/>
              <w:right w:val="single" w:sz="4" w:space="0" w:color="auto"/>
            </w:tcBorders>
            <w:hideMark/>
          </w:tcPr>
          <w:p w14:paraId="7B7FC61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nil"/>
              <w:right w:val="single" w:sz="4" w:space="0" w:color="auto"/>
            </w:tcBorders>
            <w:hideMark/>
          </w:tcPr>
          <w:p w14:paraId="6FE0486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w:t>
            </w:r>
          </w:p>
        </w:tc>
        <w:tc>
          <w:tcPr>
            <w:tcW w:w="1201" w:type="dxa"/>
            <w:tcBorders>
              <w:top w:val="nil"/>
              <w:left w:val="nil"/>
              <w:bottom w:val="nil"/>
              <w:right w:val="single" w:sz="4" w:space="0" w:color="auto"/>
            </w:tcBorders>
            <w:hideMark/>
          </w:tcPr>
          <w:p w14:paraId="0A45CF9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w:t>
            </w:r>
          </w:p>
        </w:tc>
        <w:tc>
          <w:tcPr>
            <w:tcW w:w="3574" w:type="dxa"/>
            <w:gridSpan w:val="2"/>
            <w:tcBorders>
              <w:top w:val="nil"/>
              <w:left w:val="nil"/>
              <w:bottom w:val="nil"/>
              <w:right w:val="nil"/>
            </w:tcBorders>
            <w:hideMark/>
          </w:tcPr>
          <w:p w14:paraId="333899C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AKMC;</w:t>
            </w:r>
            <w:r w:rsidRPr="00CB13F7">
              <w:rPr>
                <w:rFonts w:eastAsia="Times New Roman"/>
                <w:color w:val="000000"/>
                <w:sz w:val="16"/>
                <w:szCs w:val="16"/>
                <w:lang w:eastAsia="en-US"/>
              </w:rPr>
              <w:br/>
              <w:t>MSHMS;</w:t>
            </w:r>
          </w:p>
        </w:tc>
      </w:tr>
      <w:tr w:rsidR="007D728E" w:rsidRPr="00CB13F7" w14:paraId="76BB9922" w14:textId="77777777" w:rsidTr="661F9D2E">
        <w:trPr>
          <w:trHeight w:val="1215"/>
        </w:trPr>
        <w:tc>
          <w:tcPr>
            <w:tcW w:w="874" w:type="dxa"/>
            <w:vMerge/>
            <w:hideMark/>
          </w:tcPr>
          <w:p w14:paraId="24695636" w14:textId="77777777" w:rsidR="007D728E" w:rsidRPr="00CB13F7" w:rsidRDefault="007D728E" w:rsidP="007D728E">
            <w:pPr>
              <w:rPr>
                <w:rFonts w:eastAsia="Times New Roman"/>
                <w:color w:val="000000"/>
                <w:sz w:val="16"/>
                <w:szCs w:val="16"/>
                <w:lang w:eastAsia="en-US"/>
              </w:rPr>
            </w:pPr>
          </w:p>
        </w:tc>
        <w:tc>
          <w:tcPr>
            <w:tcW w:w="2772" w:type="dxa"/>
            <w:gridSpan w:val="2"/>
            <w:tcBorders>
              <w:top w:val="nil"/>
              <w:left w:val="nil"/>
              <w:bottom w:val="single" w:sz="4" w:space="0" w:color="auto"/>
              <w:right w:val="single" w:sz="4" w:space="0" w:color="000000" w:themeColor="text1"/>
            </w:tcBorders>
            <w:hideMark/>
          </w:tcPr>
          <w:p w14:paraId="781D257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30" w:type="dxa"/>
            <w:tcBorders>
              <w:top w:val="nil"/>
              <w:left w:val="nil"/>
              <w:bottom w:val="single" w:sz="4" w:space="0" w:color="auto"/>
              <w:right w:val="nil"/>
            </w:tcBorders>
            <w:hideMark/>
          </w:tcPr>
          <w:p w14:paraId="11341E6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nismave të financuara në kuadër të programit buxhetor 05320 (Ndryshimet Klimatike) që përfshijnë masa ose komponentë specifikë për personat me aftësi të kufizuara.</w:t>
            </w:r>
          </w:p>
        </w:tc>
        <w:tc>
          <w:tcPr>
            <w:tcW w:w="1201" w:type="dxa"/>
            <w:tcBorders>
              <w:top w:val="nil"/>
              <w:left w:val="nil"/>
              <w:bottom w:val="single" w:sz="4" w:space="0" w:color="auto"/>
              <w:right w:val="single" w:sz="4" w:space="0" w:color="auto"/>
            </w:tcBorders>
            <w:hideMark/>
          </w:tcPr>
          <w:p w14:paraId="177E2D5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1461" w:type="dxa"/>
            <w:tcBorders>
              <w:top w:val="nil"/>
              <w:left w:val="nil"/>
              <w:bottom w:val="single" w:sz="4" w:space="0" w:color="auto"/>
              <w:right w:val="single" w:sz="4" w:space="0" w:color="auto"/>
            </w:tcBorders>
            <w:noWrap/>
            <w:hideMark/>
          </w:tcPr>
          <w:p w14:paraId="5E9EC5C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w:t>
            </w:r>
          </w:p>
        </w:tc>
        <w:tc>
          <w:tcPr>
            <w:tcW w:w="1201" w:type="dxa"/>
            <w:tcBorders>
              <w:top w:val="nil"/>
              <w:left w:val="nil"/>
              <w:bottom w:val="single" w:sz="4" w:space="0" w:color="auto"/>
              <w:right w:val="single" w:sz="4" w:space="0" w:color="auto"/>
            </w:tcBorders>
            <w:noWrap/>
            <w:hideMark/>
          </w:tcPr>
          <w:p w14:paraId="0C16A60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w:t>
            </w:r>
          </w:p>
        </w:tc>
        <w:tc>
          <w:tcPr>
            <w:tcW w:w="1079" w:type="dxa"/>
            <w:tcBorders>
              <w:top w:val="nil"/>
              <w:left w:val="nil"/>
              <w:bottom w:val="single" w:sz="4" w:space="0" w:color="auto"/>
              <w:right w:val="nil"/>
            </w:tcBorders>
            <w:hideMark/>
          </w:tcPr>
          <w:p w14:paraId="5BEC5DF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Ministria e Mjedisit;</w:t>
            </w:r>
            <w:r w:rsidRPr="00CB13F7">
              <w:rPr>
                <w:rFonts w:eastAsia="Times New Roman"/>
                <w:color w:val="000000"/>
                <w:sz w:val="16"/>
                <w:szCs w:val="16"/>
                <w:lang w:eastAsia="en-US"/>
              </w:rPr>
              <w:br/>
              <w:t>AKMC;</w:t>
            </w:r>
            <w:r w:rsidRPr="00CB13F7">
              <w:rPr>
                <w:rFonts w:eastAsia="Times New Roman"/>
                <w:color w:val="000000"/>
                <w:sz w:val="16"/>
                <w:szCs w:val="16"/>
                <w:lang w:eastAsia="en-US"/>
              </w:rPr>
              <w:br/>
              <w:t>MSHMS;</w:t>
            </w:r>
          </w:p>
        </w:tc>
        <w:tc>
          <w:tcPr>
            <w:tcW w:w="2495" w:type="dxa"/>
            <w:tcBorders>
              <w:top w:val="single" w:sz="4" w:space="0" w:color="auto"/>
              <w:left w:val="single" w:sz="4" w:space="0" w:color="auto"/>
              <w:bottom w:val="single" w:sz="4" w:space="0" w:color="auto"/>
              <w:right w:val="single" w:sz="4" w:space="0" w:color="auto"/>
            </w:tcBorders>
            <w:noWrap/>
            <w:hideMark/>
          </w:tcPr>
          <w:p w14:paraId="15DDBD8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bl>
    <w:p w14:paraId="25FF0C88" w14:textId="77777777" w:rsidR="00736097" w:rsidRPr="00CB13F7" w:rsidRDefault="00736097" w:rsidP="007D728E">
      <w:pPr>
        <w:rPr>
          <w:rFonts w:eastAsia="Times New Roman"/>
          <w:b/>
          <w:bCs/>
          <w:lang w:eastAsia="en-US"/>
        </w:rPr>
      </w:pPr>
    </w:p>
    <w:p w14:paraId="4C1CDD79" w14:textId="77777777" w:rsidR="0058320F" w:rsidRPr="00CB13F7" w:rsidRDefault="0058320F" w:rsidP="007D728E">
      <w:pPr>
        <w:rPr>
          <w:rFonts w:eastAsia="Times New Roman"/>
          <w:b/>
          <w:bCs/>
          <w:lang w:eastAsia="en-US"/>
        </w:rPr>
      </w:pPr>
    </w:p>
    <w:p w14:paraId="029B2222" w14:textId="77777777" w:rsidR="0058320F" w:rsidRPr="00CB13F7" w:rsidRDefault="0058320F" w:rsidP="007D728E">
      <w:pPr>
        <w:rPr>
          <w:rFonts w:eastAsia="Times New Roman"/>
          <w:b/>
          <w:bCs/>
          <w:lang w:eastAsia="en-US"/>
        </w:rPr>
      </w:pPr>
    </w:p>
    <w:p w14:paraId="15EEB20D" w14:textId="0A693ECE" w:rsidR="007D728E" w:rsidRPr="00CB13F7" w:rsidRDefault="007D728E" w:rsidP="007D728E">
      <w:pPr>
        <w:rPr>
          <w:rFonts w:eastAsia="Times New Roman"/>
          <w:b/>
          <w:bCs/>
          <w:lang w:eastAsia="en-US"/>
        </w:rPr>
      </w:pPr>
      <w:r w:rsidRPr="00CB13F7">
        <w:rPr>
          <w:rFonts w:eastAsia="Times New Roman"/>
          <w:b/>
          <w:bCs/>
          <w:lang w:eastAsia="en-US"/>
        </w:rPr>
        <w:t>6.6</w:t>
      </w:r>
      <w:r w:rsidR="00736097" w:rsidRPr="00CB13F7">
        <w:rPr>
          <w:rFonts w:eastAsia="Times New Roman"/>
          <w:b/>
          <w:bCs/>
          <w:lang w:eastAsia="en-US"/>
        </w:rPr>
        <w:t xml:space="preserve"> </w:t>
      </w:r>
      <w:r w:rsidRPr="00CB13F7">
        <w:rPr>
          <w:rFonts w:eastAsia="Times New Roman"/>
          <w:b/>
          <w:bCs/>
          <w:lang w:eastAsia="en-US"/>
        </w:rPr>
        <w:t>Shëndetësia</w:t>
      </w:r>
    </w:p>
    <w:p w14:paraId="01316A94" w14:textId="77777777" w:rsidR="007D728E" w:rsidRPr="00CB13F7" w:rsidRDefault="007D728E" w:rsidP="007D728E">
      <w:pPr>
        <w:rPr>
          <w:rFonts w:ascii="Cambria" w:eastAsia="MS Mincho" w:hAnsi="Cambria"/>
          <w:lang w:eastAsia="en-US"/>
        </w:rPr>
      </w:pPr>
    </w:p>
    <w:tbl>
      <w:tblPr>
        <w:tblW w:w="13560" w:type="dxa"/>
        <w:tblInd w:w="93" w:type="dxa"/>
        <w:tblLayout w:type="fixed"/>
        <w:tblLook w:val="04A0" w:firstRow="1" w:lastRow="0" w:firstColumn="1" w:lastColumn="0" w:noHBand="0" w:noVBand="1"/>
      </w:tblPr>
      <w:tblGrid>
        <w:gridCol w:w="1008"/>
        <w:gridCol w:w="2126"/>
        <w:gridCol w:w="2410"/>
        <w:gridCol w:w="992"/>
        <w:gridCol w:w="992"/>
        <w:gridCol w:w="992"/>
        <w:gridCol w:w="2080"/>
        <w:gridCol w:w="2960"/>
      </w:tblGrid>
      <w:tr w:rsidR="007D728E" w:rsidRPr="00CB13F7" w14:paraId="5F2E14C1" w14:textId="77777777" w:rsidTr="661F9D2E">
        <w:trPr>
          <w:trHeight w:val="545"/>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5FD258A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tcBorders>
              <w:top w:val="single" w:sz="4" w:space="0" w:color="000000" w:themeColor="text1"/>
              <w:left w:val="nil"/>
              <w:bottom w:val="single" w:sz="4" w:space="0" w:color="000000" w:themeColor="text1"/>
              <w:right w:val="nil"/>
            </w:tcBorders>
            <w:shd w:val="clear" w:color="auto" w:fill="C0E5F3"/>
            <w:hideMark/>
          </w:tcPr>
          <w:p w14:paraId="23A0C56F"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Objektivat</w:t>
            </w:r>
          </w:p>
        </w:tc>
        <w:tc>
          <w:tcPr>
            <w:tcW w:w="2410" w:type="dxa"/>
            <w:tcBorders>
              <w:top w:val="single" w:sz="4" w:space="0" w:color="000000" w:themeColor="text1"/>
              <w:left w:val="single" w:sz="4" w:space="0" w:color="000000" w:themeColor="text1"/>
              <w:bottom w:val="single" w:sz="4" w:space="0" w:color="000000" w:themeColor="text1"/>
              <w:right w:val="nil"/>
            </w:tcBorders>
            <w:shd w:val="clear" w:color="auto" w:fill="C0E5F3"/>
            <w:hideMark/>
          </w:tcPr>
          <w:p w14:paraId="69C2F76F"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Treguesi</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779B3B6E"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Vlera bazë</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1943F090"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2028</w:t>
            </w:r>
          </w:p>
        </w:tc>
        <w:tc>
          <w:tcPr>
            <w:tcW w:w="992" w:type="dxa"/>
            <w:tcBorders>
              <w:top w:val="single" w:sz="4" w:space="0" w:color="000000" w:themeColor="text1"/>
              <w:left w:val="nil"/>
              <w:bottom w:val="single" w:sz="4" w:space="0" w:color="000000" w:themeColor="text1"/>
              <w:right w:val="nil"/>
            </w:tcBorders>
            <w:shd w:val="clear" w:color="auto" w:fill="C0E5F3"/>
            <w:hideMark/>
          </w:tcPr>
          <w:p w14:paraId="5E7072B1"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2030</w:t>
            </w:r>
          </w:p>
        </w:tc>
        <w:tc>
          <w:tcPr>
            <w:tcW w:w="2080" w:type="dxa"/>
            <w:tcBorders>
              <w:top w:val="single" w:sz="4" w:space="0" w:color="000000" w:themeColor="text1"/>
              <w:left w:val="single" w:sz="4" w:space="0" w:color="000000" w:themeColor="text1"/>
              <w:bottom w:val="single" w:sz="4" w:space="0" w:color="000000" w:themeColor="text1"/>
              <w:right w:val="nil"/>
            </w:tcBorders>
            <w:shd w:val="clear" w:color="auto" w:fill="C0E5F3"/>
            <w:hideMark/>
          </w:tcPr>
          <w:p w14:paraId="1AECDAD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Burimet dhe mjetet e verifikimit</w:t>
            </w:r>
          </w:p>
        </w:tc>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0B949BE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7D728E" w:rsidRPr="00CB13F7" w14:paraId="741C233B" w14:textId="77777777" w:rsidTr="661F9D2E">
        <w:trPr>
          <w:trHeight w:val="1277"/>
        </w:trPr>
        <w:tc>
          <w:tcPr>
            <w:tcW w:w="1008" w:type="dxa"/>
            <w:tcBorders>
              <w:top w:val="nil"/>
              <w:left w:val="single" w:sz="4" w:space="0" w:color="000000" w:themeColor="text1"/>
              <w:bottom w:val="nil"/>
              <w:right w:val="single" w:sz="4" w:space="0" w:color="000000" w:themeColor="text1"/>
            </w:tcBorders>
            <w:shd w:val="clear" w:color="auto" w:fill="D8F1D0"/>
            <w:hideMark/>
          </w:tcPr>
          <w:p w14:paraId="05DF2B86"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 xml:space="preserve">Qëllimi i politikës </w:t>
            </w:r>
          </w:p>
        </w:tc>
        <w:tc>
          <w:tcPr>
            <w:tcW w:w="2126" w:type="dxa"/>
            <w:tcBorders>
              <w:top w:val="nil"/>
              <w:left w:val="nil"/>
              <w:bottom w:val="single" w:sz="4" w:space="0" w:color="auto"/>
              <w:right w:val="nil"/>
            </w:tcBorders>
            <w:shd w:val="clear" w:color="auto" w:fill="D8F1D0"/>
            <w:hideMark/>
          </w:tcPr>
          <w:p w14:paraId="5D956D5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Të sigurohet akses i barabartë, cilësor, gjithëpërfshirës dhe i qëndrueshëm në shërbimet shëndetësore për personat me aftësi të kufizuara, në përputhje me standardet ndërkombëtare.</w:t>
            </w:r>
          </w:p>
        </w:tc>
        <w:tc>
          <w:tcPr>
            <w:tcW w:w="2410" w:type="dxa"/>
            <w:tcBorders>
              <w:top w:val="nil"/>
              <w:left w:val="single" w:sz="4" w:space="0" w:color="000000" w:themeColor="text1"/>
              <w:bottom w:val="nil"/>
              <w:right w:val="nil"/>
            </w:tcBorders>
            <w:shd w:val="clear" w:color="auto" w:fill="D8F1D0"/>
            <w:hideMark/>
          </w:tcPr>
          <w:p w14:paraId="4891D07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personave me aftësi të kufizuara që kanë akses në shërbimet shëndetësore pa pengesa fizike, financiare apo komunikimi.</w:t>
            </w:r>
          </w:p>
        </w:tc>
        <w:tc>
          <w:tcPr>
            <w:tcW w:w="992" w:type="dxa"/>
            <w:tcBorders>
              <w:top w:val="nil"/>
              <w:left w:val="nil"/>
              <w:bottom w:val="nil"/>
              <w:right w:val="single" w:sz="4" w:space="0" w:color="000000" w:themeColor="text1"/>
            </w:tcBorders>
            <w:shd w:val="clear" w:color="auto" w:fill="D8F1D0"/>
            <w:hideMark/>
          </w:tcPr>
          <w:p w14:paraId="1CF7683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992" w:type="dxa"/>
            <w:tcBorders>
              <w:top w:val="nil"/>
              <w:left w:val="nil"/>
              <w:bottom w:val="nil"/>
              <w:right w:val="single" w:sz="4" w:space="0" w:color="000000" w:themeColor="text1"/>
            </w:tcBorders>
            <w:shd w:val="clear" w:color="auto" w:fill="D8F1D0"/>
            <w:hideMark/>
          </w:tcPr>
          <w:p w14:paraId="5A65803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40% </w:t>
            </w:r>
            <w:r w:rsidRPr="00CB13F7">
              <w:rPr>
                <w:rFonts w:eastAsia="Times New Roman"/>
                <w:color w:val="000000"/>
                <w:sz w:val="16"/>
                <w:szCs w:val="16"/>
                <w:lang w:eastAsia="en-US"/>
              </w:rPr>
              <w:br/>
              <w:t>%burra;</w:t>
            </w:r>
            <w:r w:rsidRPr="00CB13F7">
              <w:rPr>
                <w:rFonts w:eastAsia="Times New Roman"/>
                <w:color w:val="000000"/>
                <w:sz w:val="16"/>
                <w:szCs w:val="16"/>
                <w:lang w:eastAsia="en-US"/>
              </w:rPr>
              <w:br/>
              <w:t>%gra;</w:t>
            </w:r>
            <w:r w:rsidRPr="00CB13F7">
              <w:rPr>
                <w:rFonts w:eastAsia="Times New Roman"/>
                <w:color w:val="000000"/>
                <w:sz w:val="16"/>
                <w:szCs w:val="16"/>
                <w:lang w:eastAsia="en-US"/>
              </w:rPr>
              <w:br/>
              <w:t>%fëmijë</w:t>
            </w:r>
          </w:p>
        </w:tc>
        <w:tc>
          <w:tcPr>
            <w:tcW w:w="992" w:type="dxa"/>
            <w:tcBorders>
              <w:top w:val="nil"/>
              <w:left w:val="nil"/>
              <w:bottom w:val="nil"/>
              <w:right w:val="nil"/>
            </w:tcBorders>
            <w:shd w:val="clear" w:color="auto" w:fill="D8F1D0"/>
            <w:hideMark/>
          </w:tcPr>
          <w:p w14:paraId="02F471F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75 % </w:t>
            </w:r>
            <w:r w:rsidRPr="00CB13F7">
              <w:rPr>
                <w:rFonts w:eastAsia="Times New Roman"/>
                <w:color w:val="000000"/>
                <w:sz w:val="16"/>
                <w:szCs w:val="16"/>
                <w:lang w:eastAsia="en-US"/>
              </w:rPr>
              <w:br/>
              <w:t>%burra;</w:t>
            </w:r>
            <w:r w:rsidRPr="00CB13F7">
              <w:rPr>
                <w:rFonts w:eastAsia="Times New Roman"/>
                <w:color w:val="000000"/>
                <w:sz w:val="16"/>
                <w:szCs w:val="16"/>
                <w:lang w:eastAsia="en-US"/>
              </w:rPr>
              <w:br/>
              <w:t>%gra;</w:t>
            </w:r>
            <w:r w:rsidRPr="00CB13F7">
              <w:rPr>
                <w:rFonts w:eastAsia="Times New Roman"/>
                <w:color w:val="000000"/>
                <w:sz w:val="16"/>
                <w:szCs w:val="16"/>
                <w:lang w:eastAsia="en-US"/>
              </w:rPr>
              <w:br/>
              <w:t>%fëmijë</w:t>
            </w:r>
          </w:p>
        </w:tc>
        <w:tc>
          <w:tcPr>
            <w:tcW w:w="2080" w:type="dxa"/>
            <w:tcBorders>
              <w:top w:val="nil"/>
              <w:left w:val="single" w:sz="4" w:space="0" w:color="000000" w:themeColor="text1"/>
              <w:bottom w:val="single" w:sz="4" w:space="0" w:color="auto"/>
              <w:right w:val="nil"/>
            </w:tcBorders>
            <w:shd w:val="clear" w:color="auto" w:fill="D8F1D0"/>
            <w:hideMark/>
          </w:tcPr>
          <w:p w14:paraId="76C5864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 të dhëna administrative;</w:t>
            </w:r>
            <w:r w:rsidRPr="00CB13F7">
              <w:rPr>
                <w:rFonts w:eastAsia="Times New Roman"/>
                <w:sz w:val="16"/>
                <w:szCs w:val="16"/>
                <w:lang w:eastAsia="en-US"/>
              </w:rPr>
              <w:br/>
              <w:t>Raporte të monitorimit;</w:t>
            </w:r>
          </w:p>
        </w:tc>
        <w:tc>
          <w:tcPr>
            <w:tcW w:w="2960" w:type="dxa"/>
            <w:tcBorders>
              <w:top w:val="nil"/>
              <w:left w:val="single" w:sz="4" w:space="0" w:color="000000" w:themeColor="text1"/>
              <w:bottom w:val="nil"/>
              <w:right w:val="single" w:sz="4" w:space="0" w:color="000000" w:themeColor="text1"/>
            </w:tcBorders>
            <w:shd w:val="clear" w:color="auto" w:fill="D8F1D0"/>
            <w:hideMark/>
          </w:tcPr>
          <w:p w14:paraId="12BCE7FA" w14:textId="10AE1351" w:rsidR="007D728E" w:rsidRPr="00CB13F7" w:rsidRDefault="7CCBCF77" w:rsidP="007D728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3 (Shëndet i mirë dhe mirëqenie), </w:t>
            </w: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10 (Ulja e pabarazive) SKZHIE 2022</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Strategjia e BE-së për të Drejtat e Personave me Aftësi të Kufizuara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Strategjia Kombëtare e Shëndetësisë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2030;</w:t>
            </w:r>
          </w:p>
        </w:tc>
      </w:tr>
      <w:tr w:rsidR="007D728E" w:rsidRPr="00CB13F7" w14:paraId="67D17BA4" w14:textId="77777777" w:rsidTr="661F9D2E">
        <w:trPr>
          <w:trHeight w:val="780"/>
        </w:trPr>
        <w:tc>
          <w:tcPr>
            <w:tcW w:w="1008" w:type="dxa"/>
            <w:tcBorders>
              <w:top w:val="single" w:sz="4" w:space="0" w:color="000000" w:themeColor="text1"/>
              <w:left w:val="single" w:sz="4" w:space="0" w:color="000000" w:themeColor="text1"/>
              <w:bottom w:val="nil"/>
              <w:right w:val="nil"/>
            </w:tcBorders>
            <w:shd w:val="clear" w:color="auto" w:fill="CAEDFA"/>
            <w:hideMark/>
          </w:tcPr>
          <w:p w14:paraId="76807E3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vMerge w:val="restart"/>
            <w:tcBorders>
              <w:top w:val="nil"/>
              <w:left w:val="single" w:sz="4" w:space="0" w:color="auto"/>
              <w:bottom w:val="single" w:sz="4" w:space="0" w:color="000000" w:themeColor="text1"/>
              <w:right w:val="nil"/>
            </w:tcBorders>
            <w:shd w:val="clear" w:color="auto" w:fill="CAEDFA"/>
            <w:hideMark/>
          </w:tcPr>
          <w:p w14:paraId="3A77513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Objektivi Specifik 1. Ulja e numrit të rasteve të reja dhe e ashpërsisë së aftësisë së kufizuar të evitueshme, si </w:t>
            </w:r>
            <w:r w:rsidRPr="00CB13F7">
              <w:rPr>
                <w:rFonts w:eastAsia="Times New Roman"/>
                <w:sz w:val="16"/>
                <w:szCs w:val="16"/>
                <w:lang w:eastAsia="en-US"/>
              </w:rPr>
              <w:lastRenderedPageBreak/>
              <w:t>dhe garantimi i kujdesit shëndetësor gjithëpërfshirës për personat me aftësi të kufizuara gjatë gjithë ciklit të jetës</w:t>
            </w:r>
          </w:p>
        </w:tc>
        <w:tc>
          <w:tcPr>
            <w:tcW w:w="2410" w:type="dxa"/>
            <w:tcBorders>
              <w:top w:val="single" w:sz="4" w:space="0" w:color="auto"/>
              <w:left w:val="single" w:sz="4" w:space="0" w:color="auto"/>
              <w:bottom w:val="nil"/>
              <w:right w:val="nil"/>
            </w:tcBorders>
            <w:shd w:val="clear" w:color="auto" w:fill="CAEDFA"/>
            <w:hideMark/>
          </w:tcPr>
          <w:p w14:paraId="0E734BE1" w14:textId="691EB3D7" w:rsidR="007D728E" w:rsidRPr="00CB13F7" w:rsidRDefault="007D728E" w:rsidP="007D728E">
            <w:pPr>
              <w:rPr>
                <w:rFonts w:eastAsia="Times New Roman"/>
                <w:sz w:val="16"/>
                <w:szCs w:val="16"/>
                <w:lang w:eastAsia="en-US"/>
              </w:rPr>
            </w:pPr>
            <w:r w:rsidRPr="00CB13F7">
              <w:rPr>
                <w:rFonts w:eastAsia="Times New Roman"/>
                <w:sz w:val="16"/>
                <w:szCs w:val="16"/>
                <w:lang w:eastAsia="en-US"/>
              </w:rPr>
              <w:lastRenderedPageBreak/>
              <w:t>Përqindja e fëmijëve të moshës 0</w:t>
            </w:r>
            <w:r w:rsidR="00582B12" w:rsidRPr="00CB13F7">
              <w:rPr>
                <w:rFonts w:eastAsia="Times New Roman"/>
                <w:sz w:val="16"/>
                <w:szCs w:val="16"/>
                <w:lang w:eastAsia="en-US"/>
              </w:rPr>
              <w:t>-</w:t>
            </w:r>
            <w:r w:rsidRPr="00CB13F7">
              <w:rPr>
                <w:rFonts w:eastAsia="Times New Roman"/>
                <w:sz w:val="16"/>
                <w:szCs w:val="16"/>
                <w:lang w:eastAsia="en-US"/>
              </w:rPr>
              <w:t>6 vjeç që kryejnë kontrolle të zhvillimit sipas programit të kujdesit parësor shëndetësor.</w:t>
            </w:r>
          </w:p>
        </w:tc>
        <w:tc>
          <w:tcPr>
            <w:tcW w:w="992" w:type="dxa"/>
            <w:tcBorders>
              <w:top w:val="single" w:sz="4" w:space="0" w:color="auto"/>
              <w:left w:val="nil"/>
              <w:bottom w:val="nil"/>
              <w:right w:val="single" w:sz="4" w:space="0" w:color="auto"/>
            </w:tcBorders>
            <w:shd w:val="clear" w:color="auto" w:fill="CAEDFA"/>
            <w:hideMark/>
          </w:tcPr>
          <w:p w14:paraId="7832A03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single" w:sz="4" w:space="0" w:color="auto"/>
              <w:left w:val="nil"/>
              <w:bottom w:val="nil"/>
              <w:right w:val="single" w:sz="4" w:space="0" w:color="auto"/>
            </w:tcBorders>
            <w:shd w:val="clear" w:color="auto" w:fill="CAEDFA"/>
            <w:hideMark/>
          </w:tcPr>
          <w:p w14:paraId="493A82DA" w14:textId="77777777" w:rsidR="007D728E" w:rsidRPr="00CB13F7" w:rsidRDefault="007D728E" w:rsidP="007D728E">
            <w:pPr>
              <w:spacing w:after="240"/>
              <w:rPr>
                <w:rFonts w:eastAsia="Times New Roman"/>
                <w:sz w:val="16"/>
                <w:szCs w:val="16"/>
                <w:lang w:eastAsia="en-US"/>
              </w:rPr>
            </w:pPr>
            <w:r w:rsidRPr="00CB13F7">
              <w:rPr>
                <w:rFonts w:eastAsia="Times New Roman"/>
                <w:sz w:val="16"/>
                <w:szCs w:val="16"/>
                <w:lang w:eastAsia="en-US"/>
              </w:rPr>
              <w:t>20%</w:t>
            </w:r>
          </w:p>
        </w:tc>
        <w:tc>
          <w:tcPr>
            <w:tcW w:w="992" w:type="dxa"/>
            <w:tcBorders>
              <w:top w:val="single" w:sz="4" w:space="0" w:color="auto"/>
              <w:left w:val="nil"/>
              <w:bottom w:val="nil"/>
              <w:right w:val="nil"/>
            </w:tcBorders>
            <w:shd w:val="clear" w:color="auto" w:fill="CAEDFA"/>
            <w:hideMark/>
          </w:tcPr>
          <w:p w14:paraId="64BAC9AC" w14:textId="77777777" w:rsidR="007D728E" w:rsidRPr="00CB13F7" w:rsidRDefault="007D728E" w:rsidP="007D728E">
            <w:pPr>
              <w:spacing w:after="240"/>
              <w:rPr>
                <w:rFonts w:eastAsia="Times New Roman"/>
                <w:sz w:val="16"/>
                <w:szCs w:val="16"/>
                <w:lang w:eastAsia="en-US"/>
              </w:rPr>
            </w:pPr>
            <w:r w:rsidRPr="00CB13F7">
              <w:rPr>
                <w:rFonts w:eastAsia="Times New Roman"/>
                <w:sz w:val="16"/>
                <w:szCs w:val="16"/>
                <w:lang w:eastAsia="en-US"/>
              </w:rPr>
              <w:t>40%</w:t>
            </w:r>
            <w:r w:rsidRPr="00CB13F7">
              <w:rPr>
                <w:rFonts w:eastAsia="Times New Roman"/>
                <w:sz w:val="16"/>
                <w:szCs w:val="16"/>
                <w:lang w:eastAsia="en-US"/>
              </w:rPr>
              <w:br/>
            </w:r>
          </w:p>
        </w:tc>
        <w:tc>
          <w:tcPr>
            <w:tcW w:w="2080" w:type="dxa"/>
            <w:tcBorders>
              <w:top w:val="nil"/>
              <w:left w:val="single" w:sz="4" w:space="0" w:color="auto"/>
              <w:bottom w:val="nil"/>
              <w:right w:val="nil"/>
            </w:tcBorders>
            <w:shd w:val="clear" w:color="auto" w:fill="CAEDFA"/>
            <w:hideMark/>
          </w:tcPr>
          <w:p w14:paraId="6CD7BB9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Raportet administrative të qendrave shëndetësore;</w:t>
            </w:r>
            <w:r w:rsidRPr="00CB13F7">
              <w:rPr>
                <w:rFonts w:eastAsia="Times New Roman"/>
                <w:sz w:val="16"/>
                <w:szCs w:val="16"/>
                <w:lang w:eastAsia="en-US"/>
              </w:rPr>
              <w:br/>
              <w:t>MSHMS</w:t>
            </w:r>
          </w:p>
        </w:tc>
        <w:tc>
          <w:tcPr>
            <w:tcW w:w="2960" w:type="dxa"/>
            <w:vMerge w:val="restart"/>
            <w:tcBorders>
              <w:top w:val="single" w:sz="4" w:space="0" w:color="auto"/>
              <w:left w:val="nil"/>
              <w:bottom w:val="single" w:sz="4" w:space="0" w:color="auto"/>
              <w:right w:val="single" w:sz="4" w:space="0" w:color="auto"/>
            </w:tcBorders>
            <w:shd w:val="clear" w:color="auto" w:fill="B7DEE8"/>
            <w:hideMark/>
          </w:tcPr>
          <w:p w14:paraId="2B43EC6A" w14:textId="0127BF08" w:rsidR="007D728E" w:rsidRPr="00CB13F7" w:rsidRDefault="7CCBCF77" w:rsidP="007D728E">
            <w:pPr>
              <w:rPr>
                <w:rFonts w:eastAsia="Times New Roman"/>
                <w:sz w:val="16"/>
                <w:szCs w:val="16"/>
                <w:lang w:eastAsia="en-US"/>
              </w:rPr>
            </w:pPr>
            <w:r w:rsidRPr="00CB13F7">
              <w:rPr>
                <w:rFonts w:eastAsia="Times New Roman"/>
                <w:sz w:val="16"/>
                <w:szCs w:val="16"/>
                <w:lang w:eastAsia="en-US"/>
              </w:rPr>
              <w:t>OZHQ</w:t>
            </w:r>
            <w:r w:rsidR="0080D2BD" w:rsidRPr="00CB13F7">
              <w:rPr>
                <w:rFonts w:eastAsia="Times New Roman"/>
                <w:sz w:val="16"/>
                <w:szCs w:val="16"/>
                <w:lang w:eastAsia="en-US"/>
              </w:rPr>
              <w:t xml:space="preserve">3; Kapitulli 28; Direktiva (BE) 2019/882 </w:t>
            </w:r>
            <w:r w:rsidR="77B74F3F" w:rsidRPr="00CB13F7">
              <w:rPr>
                <w:rFonts w:eastAsia="Times New Roman"/>
                <w:sz w:val="16"/>
                <w:szCs w:val="16"/>
                <w:lang w:eastAsia="en-US"/>
              </w:rPr>
              <w:t>-</w:t>
            </w:r>
            <w:r w:rsidR="0080D2BD" w:rsidRPr="00CB13F7">
              <w:rPr>
                <w:rFonts w:eastAsia="Times New Roman"/>
                <w:sz w:val="16"/>
                <w:szCs w:val="16"/>
                <w:lang w:eastAsia="en-US"/>
              </w:rPr>
              <w:t xml:space="preserve"> European Accessibility Act;</w:t>
            </w:r>
            <w:r w:rsidR="007D728E" w:rsidRPr="00CB13F7">
              <w:br/>
            </w:r>
            <w:r w:rsidR="0080D2BD" w:rsidRPr="00CB13F7">
              <w:rPr>
                <w:rFonts w:eastAsia="Times New Roman"/>
                <w:sz w:val="16"/>
                <w:szCs w:val="16"/>
                <w:lang w:eastAsia="en-US"/>
              </w:rPr>
              <w:t>Strategjia Kombëtare e Shëndetësisë 2021</w:t>
            </w:r>
            <w:r w:rsidR="77B74F3F" w:rsidRPr="00CB13F7">
              <w:rPr>
                <w:rFonts w:eastAsia="Times New Roman"/>
                <w:sz w:val="16"/>
                <w:szCs w:val="16"/>
                <w:lang w:eastAsia="en-US"/>
              </w:rPr>
              <w:t>-</w:t>
            </w:r>
            <w:r w:rsidR="0080D2BD" w:rsidRPr="00CB13F7">
              <w:rPr>
                <w:rFonts w:eastAsia="Times New Roman"/>
                <w:sz w:val="16"/>
                <w:szCs w:val="16"/>
                <w:lang w:eastAsia="en-US"/>
              </w:rPr>
              <w:t xml:space="preserve">2030; </w:t>
            </w:r>
            <w:r w:rsidR="007D728E" w:rsidRPr="00CB13F7">
              <w:br/>
            </w:r>
            <w:r w:rsidR="0080D2BD" w:rsidRPr="00CB13F7">
              <w:rPr>
                <w:rFonts w:eastAsia="Times New Roman"/>
                <w:sz w:val="16"/>
                <w:szCs w:val="16"/>
                <w:lang w:eastAsia="en-US"/>
              </w:rPr>
              <w:lastRenderedPageBreak/>
              <w:t>Strategjia e BE-së për të Drejtat e Personave me Aftësi të Kufizuara 2021</w:t>
            </w:r>
            <w:r w:rsidR="77B74F3F" w:rsidRPr="00CB13F7">
              <w:rPr>
                <w:rFonts w:eastAsia="Times New Roman"/>
                <w:sz w:val="16"/>
                <w:szCs w:val="16"/>
                <w:lang w:eastAsia="en-US"/>
              </w:rPr>
              <w:t>-</w:t>
            </w:r>
            <w:r w:rsidR="0080D2BD" w:rsidRPr="00CB13F7">
              <w:rPr>
                <w:rFonts w:eastAsia="Times New Roman"/>
                <w:sz w:val="16"/>
                <w:szCs w:val="16"/>
                <w:lang w:eastAsia="en-US"/>
              </w:rPr>
              <w:t>2030;</w:t>
            </w:r>
          </w:p>
        </w:tc>
      </w:tr>
      <w:tr w:rsidR="007D728E" w:rsidRPr="00CB13F7" w14:paraId="2ED5EC6C" w14:textId="77777777" w:rsidTr="661F9D2E">
        <w:trPr>
          <w:trHeight w:val="990"/>
        </w:trPr>
        <w:tc>
          <w:tcPr>
            <w:tcW w:w="1008" w:type="dxa"/>
            <w:tcBorders>
              <w:top w:val="nil"/>
              <w:left w:val="single" w:sz="4" w:space="0" w:color="000000" w:themeColor="text1"/>
              <w:bottom w:val="nil"/>
              <w:right w:val="nil"/>
            </w:tcBorders>
            <w:shd w:val="clear" w:color="auto" w:fill="CAEDFA"/>
            <w:hideMark/>
          </w:tcPr>
          <w:p w14:paraId="6A813A5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26" w:type="dxa"/>
            <w:vMerge/>
            <w:hideMark/>
          </w:tcPr>
          <w:p w14:paraId="7AA6F2F0" w14:textId="77777777" w:rsidR="007D728E" w:rsidRPr="00CB13F7" w:rsidRDefault="007D728E" w:rsidP="007D728E">
            <w:pPr>
              <w:rPr>
                <w:rFonts w:eastAsia="Times New Roman"/>
                <w:sz w:val="16"/>
                <w:szCs w:val="16"/>
                <w:lang w:eastAsia="en-US"/>
              </w:rPr>
            </w:pPr>
          </w:p>
        </w:tc>
        <w:tc>
          <w:tcPr>
            <w:tcW w:w="2410" w:type="dxa"/>
            <w:tcBorders>
              <w:top w:val="nil"/>
              <w:left w:val="single" w:sz="4" w:space="0" w:color="auto"/>
              <w:bottom w:val="nil"/>
              <w:right w:val="nil"/>
            </w:tcBorders>
            <w:shd w:val="clear" w:color="auto" w:fill="CAEDFA"/>
            <w:hideMark/>
          </w:tcPr>
          <w:p w14:paraId="71C2E64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Përqindja e fëmijëve të diagnostikuar me rrezik ose aftësi të kufizuara që përfitojnë ndërhyrje të hershme rehabilituese brenda një viti nga identifikimi.</w:t>
            </w:r>
          </w:p>
        </w:tc>
        <w:tc>
          <w:tcPr>
            <w:tcW w:w="992" w:type="dxa"/>
            <w:tcBorders>
              <w:top w:val="nil"/>
              <w:left w:val="nil"/>
              <w:bottom w:val="nil"/>
              <w:right w:val="single" w:sz="4" w:space="0" w:color="auto"/>
            </w:tcBorders>
            <w:shd w:val="clear" w:color="auto" w:fill="CAEDFA"/>
            <w:hideMark/>
          </w:tcPr>
          <w:p w14:paraId="5D08629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992" w:type="dxa"/>
            <w:tcBorders>
              <w:top w:val="nil"/>
              <w:left w:val="nil"/>
              <w:bottom w:val="nil"/>
              <w:right w:val="single" w:sz="4" w:space="0" w:color="auto"/>
            </w:tcBorders>
            <w:shd w:val="clear" w:color="auto" w:fill="CAEDFA"/>
            <w:hideMark/>
          </w:tcPr>
          <w:p w14:paraId="25BB3B5C" w14:textId="77777777" w:rsidR="007D728E" w:rsidRPr="00CB13F7" w:rsidRDefault="007D728E" w:rsidP="007D728E">
            <w:pPr>
              <w:spacing w:after="240"/>
              <w:rPr>
                <w:rFonts w:eastAsia="Times New Roman"/>
                <w:color w:val="000000"/>
                <w:sz w:val="16"/>
                <w:szCs w:val="16"/>
                <w:lang w:eastAsia="en-US"/>
              </w:rPr>
            </w:pPr>
            <w:r w:rsidRPr="00CB13F7">
              <w:rPr>
                <w:rFonts w:eastAsia="Times New Roman"/>
                <w:color w:val="000000"/>
                <w:sz w:val="16"/>
                <w:szCs w:val="16"/>
                <w:lang w:eastAsia="en-US"/>
              </w:rPr>
              <w:t>20%</w:t>
            </w:r>
            <w:r w:rsidRPr="00CB13F7">
              <w:rPr>
                <w:rFonts w:eastAsia="Times New Roman"/>
                <w:color w:val="000000"/>
                <w:sz w:val="16"/>
                <w:szCs w:val="16"/>
                <w:lang w:eastAsia="en-US"/>
              </w:rPr>
              <w:br/>
            </w:r>
          </w:p>
        </w:tc>
        <w:tc>
          <w:tcPr>
            <w:tcW w:w="992" w:type="dxa"/>
            <w:tcBorders>
              <w:top w:val="nil"/>
              <w:left w:val="nil"/>
              <w:bottom w:val="nil"/>
              <w:right w:val="nil"/>
            </w:tcBorders>
            <w:shd w:val="clear" w:color="auto" w:fill="CAEDFA"/>
            <w:hideMark/>
          </w:tcPr>
          <w:p w14:paraId="1AE0FF9B" w14:textId="77777777" w:rsidR="007D728E" w:rsidRPr="00CB13F7" w:rsidRDefault="007D728E" w:rsidP="007D728E">
            <w:pPr>
              <w:spacing w:after="240"/>
              <w:rPr>
                <w:rFonts w:eastAsia="Times New Roman"/>
                <w:color w:val="000000"/>
                <w:sz w:val="16"/>
                <w:szCs w:val="16"/>
                <w:lang w:eastAsia="en-US"/>
              </w:rPr>
            </w:pPr>
            <w:r w:rsidRPr="00CB13F7">
              <w:rPr>
                <w:rFonts w:eastAsia="Times New Roman"/>
                <w:color w:val="000000"/>
                <w:sz w:val="16"/>
                <w:szCs w:val="16"/>
                <w:lang w:eastAsia="en-US"/>
              </w:rPr>
              <w:t>45%</w:t>
            </w:r>
            <w:r w:rsidRPr="00CB13F7">
              <w:rPr>
                <w:rFonts w:eastAsia="Times New Roman"/>
                <w:color w:val="000000"/>
                <w:sz w:val="16"/>
                <w:szCs w:val="16"/>
                <w:lang w:eastAsia="en-US"/>
              </w:rPr>
              <w:br/>
              <w:t xml:space="preserve"> </w:t>
            </w:r>
          </w:p>
        </w:tc>
        <w:tc>
          <w:tcPr>
            <w:tcW w:w="2080" w:type="dxa"/>
            <w:tcBorders>
              <w:top w:val="nil"/>
              <w:left w:val="single" w:sz="4" w:space="0" w:color="auto"/>
              <w:bottom w:val="nil"/>
              <w:right w:val="nil"/>
            </w:tcBorders>
            <w:shd w:val="clear" w:color="auto" w:fill="CAEDFA"/>
            <w:hideMark/>
          </w:tcPr>
          <w:p w14:paraId="44BAA63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QKSHM, qendrat shëndetësore, shërbimet rehabilituese;</w:t>
            </w:r>
            <w:r w:rsidRPr="00CB13F7">
              <w:rPr>
                <w:rFonts w:eastAsia="Times New Roman"/>
                <w:color w:val="000000"/>
                <w:sz w:val="16"/>
                <w:szCs w:val="16"/>
                <w:lang w:eastAsia="en-US"/>
              </w:rPr>
              <w:br/>
              <w:t xml:space="preserve">Raportet e vlerësimit </w:t>
            </w:r>
            <w:r w:rsidR="0089320C" w:rsidRPr="00CB13F7">
              <w:rPr>
                <w:rFonts w:eastAsia="Times New Roman"/>
                <w:color w:val="000000"/>
                <w:sz w:val="16"/>
                <w:szCs w:val="16"/>
                <w:lang w:eastAsia="en-US"/>
              </w:rPr>
              <w:t>bio-psiko-social</w:t>
            </w:r>
            <w:r w:rsidRPr="00CB13F7">
              <w:rPr>
                <w:rFonts w:eastAsia="Times New Roman"/>
                <w:color w:val="000000"/>
                <w:sz w:val="16"/>
                <w:szCs w:val="16"/>
                <w:lang w:eastAsia="en-US"/>
              </w:rPr>
              <w:t>, Raportet e MSHMS;</w:t>
            </w:r>
          </w:p>
        </w:tc>
        <w:tc>
          <w:tcPr>
            <w:tcW w:w="2960" w:type="dxa"/>
            <w:vMerge/>
            <w:hideMark/>
          </w:tcPr>
          <w:p w14:paraId="47875BB4" w14:textId="77777777" w:rsidR="007D728E" w:rsidRPr="00CB13F7" w:rsidRDefault="007D728E" w:rsidP="007D728E">
            <w:pPr>
              <w:rPr>
                <w:rFonts w:eastAsia="Times New Roman"/>
                <w:sz w:val="16"/>
                <w:szCs w:val="16"/>
                <w:lang w:eastAsia="en-US"/>
              </w:rPr>
            </w:pPr>
          </w:p>
        </w:tc>
      </w:tr>
      <w:tr w:rsidR="007D728E" w:rsidRPr="00CB13F7" w14:paraId="2129203A" w14:textId="77777777" w:rsidTr="661F9D2E">
        <w:trPr>
          <w:trHeight w:val="1023"/>
        </w:trPr>
        <w:tc>
          <w:tcPr>
            <w:tcW w:w="1008" w:type="dxa"/>
            <w:tcBorders>
              <w:top w:val="nil"/>
              <w:left w:val="single" w:sz="4" w:space="0" w:color="000000" w:themeColor="text1"/>
              <w:bottom w:val="nil"/>
              <w:right w:val="nil"/>
            </w:tcBorders>
            <w:shd w:val="clear" w:color="auto" w:fill="CAEDFA"/>
            <w:hideMark/>
          </w:tcPr>
          <w:p w14:paraId="5FDBB18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lastRenderedPageBreak/>
              <w:t> </w:t>
            </w:r>
          </w:p>
        </w:tc>
        <w:tc>
          <w:tcPr>
            <w:tcW w:w="2126" w:type="dxa"/>
            <w:vMerge/>
            <w:hideMark/>
          </w:tcPr>
          <w:p w14:paraId="0A35FD55" w14:textId="77777777" w:rsidR="007D728E" w:rsidRPr="00CB13F7" w:rsidRDefault="007D728E" w:rsidP="007D728E">
            <w:pPr>
              <w:rPr>
                <w:rFonts w:eastAsia="Times New Roman"/>
                <w:sz w:val="16"/>
                <w:szCs w:val="16"/>
                <w:lang w:eastAsia="en-US"/>
              </w:rPr>
            </w:pPr>
          </w:p>
        </w:tc>
        <w:tc>
          <w:tcPr>
            <w:tcW w:w="2410" w:type="dxa"/>
            <w:tcBorders>
              <w:top w:val="nil"/>
              <w:left w:val="single" w:sz="4" w:space="0" w:color="auto"/>
              <w:bottom w:val="nil"/>
              <w:right w:val="nil"/>
            </w:tcBorders>
            <w:shd w:val="clear" w:color="auto" w:fill="CAEDFA"/>
            <w:hideMark/>
          </w:tcPr>
          <w:p w14:paraId="54445A5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personave me aftësi të kufizuara që përfitojnë të paktën një shërbim shëndetësor gjatë vitit (vizitë në kujdesin parësor, specialist apo shërbim rehabilitimi).</w:t>
            </w:r>
          </w:p>
        </w:tc>
        <w:tc>
          <w:tcPr>
            <w:tcW w:w="992" w:type="dxa"/>
            <w:tcBorders>
              <w:top w:val="nil"/>
              <w:left w:val="nil"/>
              <w:bottom w:val="nil"/>
              <w:right w:val="single" w:sz="4" w:space="0" w:color="auto"/>
            </w:tcBorders>
            <w:shd w:val="clear" w:color="auto" w:fill="CAEDFA"/>
            <w:hideMark/>
          </w:tcPr>
          <w:p w14:paraId="5D4A280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992" w:type="dxa"/>
            <w:tcBorders>
              <w:top w:val="nil"/>
              <w:left w:val="nil"/>
              <w:bottom w:val="nil"/>
              <w:right w:val="single" w:sz="4" w:space="0" w:color="auto"/>
            </w:tcBorders>
            <w:shd w:val="clear" w:color="auto" w:fill="CAEDFA"/>
            <w:hideMark/>
          </w:tcPr>
          <w:p w14:paraId="00EF44E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60%</w:t>
            </w:r>
            <w:r w:rsidRPr="00CB13F7">
              <w:rPr>
                <w:rFonts w:eastAsia="Times New Roman"/>
                <w:color w:val="000000"/>
                <w:sz w:val="16"/>
                <w:szCs w:val="16"/>
                <w:lang w:eastAsia="en-US"/>
              </w:rPr>
              <w:br/>
              <w:t>%burra;</w:t>
            </w:r>
            <w:r w:rsidRPr="00CB13F7">
              <w:rPr>
                <w:rFonts w:eastAsia="Times New Roman"/>
                <w:color w:val="000000"/>
                <w:sz w:val="16"/>
                <w:szCs w:val="16"/>
                <w:lang w:eastAsia="en-US"/>
              </w:rPr>
              <w:br/>
              <w:t>%gra;</w:t>
            </w:r>
          </w:p>
        </w:tc>
        <w:tc>
          <w:tcPr>
            <w:tcW w:w="992" w:type="dxa"/>
            <w:tcBorders>
              <w:top w:val="nil"/>
              <w:left w:val="nil"/>
              <w:bottom w:val="nil"/>
              <w:right w:val="nil"/>
            </w:tcBorders>
            <w:shd w:val="clear" w:color="auto" w:fill="CAEDFA"/>
            <w:hideMark/>
          </w:tcPr>
          <w:p w14:paraId="7633250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w:t>
            </w:r>
            <w:r w:rsidRPr="00CB13F7">
              <w:rPr>
                <w:rFonts w:eastAsia="Times New Roman"/>
                <w:color w:val="000000"/>
                <w:sz w:val="16"/>
                <w:szCs w:val="16"/>
                <w:lang w:eastAsia="en-US"/>
              </w:rPr>
              <w:br/>
              <w:t>%burra;</w:t>
            </w:r>
            <w:r w:rsidRPr="00CB13F7">
              <w:rPr>
                <w:rFonts w:eastAsia="Times New Roman"/>
                <w:color w:val="000000"/>
                <w:sz w:val="16"/>
                <w:szCs w:val="16"/>
                <w:lang w:eastAsia="en-US"/>
              </w:rPr>
              <w:br/>
              <w:t>%gra;</w:t>
            </w:r>
          </w:p>
        </w:tc>
        <w:tc>
          <w:tcPr>
            <w:tcW w:w="2080" w:type="dxa"/>
            <w:tcBorders>
              <w:top w:val="nil"/>
              <w:left w:val="single" w:sz="4" w:space="0" w:color="auto"/>
              <w:bottom w:val="single" w:sz="4" w:space="0" w:color="auto"/>
              <w:right w:val="nil"/>
            </w:tcBorders>
            <w:shd w:val="clear" w:color="auto" w:fill="CAEDFA"/>
            <w:hideMark/>
          </w:tcPr>
          <w:p w14:paraId="231FCEC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Sistemi i kujdesit parësor, të specializuar;</w:t>
            </w:r>
          </w:p>
        </w:tc>
        <w:tc>
          <w:tcPr>
            <w:tcW w:w="2960" w:type="dxa"/>
            <w:vMerge/>
            <w:hideMark/>
          </w:tcPr>
          <w:p w14:paraId="164CF394" w14:textId="77777777" w:rsidR="007D728E" w:rsidRPr="00CB13F7" w:rsidRDefault="007D728E" w:rsidP="007D728E">
            <w:pPr>
              <w:rPr>
                <w:rFonts w:eastAsia="Times New Roman"/>
                <w:sz w:val="16"/>
                <w:szCs w:val="16"/>
                <w:lang w:eastAsia="en-US"/>
              </w:rPr>
            </w:pPr>
          </w:p>
        </w:tc>
      </w:tr>
      <w:tr w:rsidR="007D728E" w:rsidRPr="00CB13F7" w14:paraId="0EAA5D0E" w14:textId="77777777" w:rsidTr="661F9D2E">
        <w:trPr>
          <w:trHeight w:val="1200"/>
        </w:trPr>
        <w:tc>
          <w:tcPr>
            <w:tcW w:w="1008" w:type="dxa"/>
            <w:tcBorders>
              <w:top w:val="nil"/>
              <w:left w:val="single" w:sz="4" w:space="0" w:color="000000" w:themeColor="text1"/>
              <w:bottom w:val="nil"/>
              <w:right w:val="nil"/>
            </w:tcBorders>
            <w:shd w:val="clear" w:color="auto" w:fill="CAEDFA"/>
            <w:hideMark/>
          </w:tcPr>
          <w:p w14:paraId="41C6120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vMerge w:val="restart"/>
            <w:tcBorders>
              <w:top w:val="nil"/>
              <w:left w:val="single" w:sz="4" w:space="0" w:color="auto"/>
              <w:bottom w:val="single" w:sz="4" w:space="0" w:color="auto"/>
              <w:right w:val="single" w:sz="4" w:space="0" w:color="auto"/>
            </w:tcBorders>
            <w:shd w:val="clear" w:color="auto" w:fill="CAEDFA"/>
            <w:hideMark/>
          </w:tcPr>
          <w:p w14:paraId="66AEA94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Objektivi Specifik </w:t>
            </w:r>
            <w:r w:rsidR="0089320C" w:rsidRPr="00CB13F7">
              <w:rPr>
                <w:rFonts w:eastAsia="Times New Roman"/>
                <w:sz w:val="16"/>
                <w:szCs w:val="16"/>
                <w:lang w:eastAsia="en-US"/>
              </w:rPr>
              <w:t>2. Mundësimi</w:t>
            </w:r>
            <w:r w:rsidRPr="00CB13F7">
              <w:rPr>
                <w:rFonts w:eastAsia="Times New Roman"/>
                <w:sz w:val="16"/>
                <w:szCs w:val="16"/>
                <w:lang w:eastAsia="en-US"/>
              </w:rPr>
              <w:t xml:space="preserve"> i rehabilitimit cilësor, shërbimeve për persona me aftësi të kufizuara psiko sociale dhe aksesit në teknologji ndihmëse, të bazuara në komunitet dhe në nevojat individuale</w:t>
            </w:r>
          </w:p>
        </w:tc>
        <w:tc>
          <w:tcPr>
            <w:tcW w:w="2410" w:type="dxa"/>
            <w:tcBorders>
              <w:top w:val="single" w:sz="4" w:space="0" w:color="auto"/>
              <w:left w:val="nil"/>
              <w:bottom w:val="nil"/>
              <w:right w:val="nil"/>
            </w:tcBorders>
            <w:shd w:val="clear" w:color="auto" w:fill="CAEDFA"/>
            <w:hideMark/>
          </w:tcPr>
          <w:p w14:paraId="559FEF1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Përqindja e personave me aftësi të kufizuara që përfitojnë të paktën një shërbim rehabilitimi</w:t>
            </w:r>
          </w:p>
        </w:tc>
        <w:tc>
          <w:tcPr>
            <w:tcW w:w="992" w:type="dxa"/>
            <w:tcBorders>
              <w:top w:val="single" w:sz="4" w:space="0" w:color="auto"/>
              <w:left w:val="nil"/>
              <w:bottom w:val="nil"/>
              <w:right w:val="single" w:sz="4" w:space="0" w:color="auto"/>
            </w:tcBorders>
            <w:shd w:val="clear" w:color="auto" w:fill="CAEDFA"/>
            <w:hideMark/>
          </w:tcPr>
          <w:p w14:paraId="73A516D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single" w:sz="4" w:space="0" w:color="auto"/>
              <w:left w:val="nil"/>
              <w:bottom w:val="nil"/>
              <w:right w:val="single" w:sz="4" w:space="0" w:color="auto"/>
            </w:tcBorders>
            <w:shd w:val="clear" w:color="auto" w:fill="CAEDFA"/>
            <w:hideMark/>
          </w:tcPr>
          <w:p w14:paraId="1F69C76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20%</w:t>
            </w:r>
            <w:r w:rsidRPr="00CB13F7">
              <w:rPr>
                <w:rFonts w:eastAsia="Times New Roman"/>
                <w:sz w:val="16"/>
                <w:szCs w:val="16"/>
                <w:lang w:eastAsia="en-US"/>
              </w:rPr>
              <w:br/>
              <w:t>%burra;</w:t>
            </w:r>
            <w:r w:rsidRPr="00CB13F7">
              <w:rPr>
                <w:rFonts w:eastAsia="Times New Roman"/>
                <w:sz w:val="16"/>
                <w:szCs w:val="16"/>
                <w:lang w:eastAsia="en-US"/>
              </w:rPr>
              <w:br/>
              <w:t>%gra;</w:t>
            </w:r>
          </w:p>
          <w:p w14:paraId="381405D9" w14:textId="77777777" w:rsidR="007D728E" w:rsidRPr="00CB13F7" w:rsidRDefault="007D728E" w:rsidP="007D728E">
            <w:pPr>
              <w:rPr>
                <w:rFonts w:eastAsia="Times New Roman"/>
                <w:sz w:val="16"/>
                <w:szCs w:val="16"/>
                <w:lang w:eastAsia="en-US"/>
              </w:rPr>
            </w:pPr>
          </w:p>
          <w:p w14:paraId="73313596" w14:textId="77777777" w:rsidR="007D728E" w:rsidRPr="00CB13F7" w:rsidRDefault="007D728E" w:rsidP="007D728E">
            <w:pPr>
              <w:rPr>
                <w:rFonts w:eastAsia="Times New Roman"/>
                <w:sz w:val="16"/>
                <w:szCs w:val="16"/>
                <w:lang w:eastAsia="en-US"/>
              </w:rPr>
            </w:pPr>
          </w:p>
          <w:p w14:paraId="41E1C0F1" w14:textId="77777777" w:rsidR="007D728E" w:rsidRPr="00CB13F7" w:rsidRDefault="007D728E" w:rsidP="007D728E">
            <w:pPr>
              <w:rPr>
                <w:rFonts w:eastAsia="Times New Roman"/>
                <w:sz w:val="16"/>
                <w:szCs w:val="16"/>
                <w:lang w:eastAsia="en-US"/>
              </w:rPr>
            </w:pPr>
          </w:p>
        </w:tc>
        <w:tc>
          <w:tcPr>
            <w:tcW w:w="992" w:type="dxa"/>
            <w:tcBorders>
              <w:top w:val="single" w:sz="4" w:space="0" w:color="auto"/>
              <w:left w:val="nil"/>
              <w:bottom w:val="nil"/>
              <w:right w:val="nil"/>
            </w:tcBorders>
            <w:shd w:val="clear" w:color="auto" w:fill="CAEDFA"/>
            <w:hideMark/>
          </w:tcPr>
          <w:p w14:paraId="0CB3A45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40%</w:t>
            </w:r>
            <w:r w:rsidRPr="00CB13F7">
              <w:rPr>
                <w:rFonts w:eastAsia="Times New Roman"/>
                <w:sz w:val="16"/>
                <w:szCs w:val="16"/>
                <w:lang w:eastAsia="en-US"/>
              </w:rPr>
              <w:br/>
              <w:t>%burra;</w:t>
            </w:r>
            <w:r w:rsidRPr="00CB13F7">
              <w:rPr>
                <w:rFonts w:eastAsia="Times New Roman"/>
                <w:sz w:val="16"/>
                <w:szCs w:val="16"/>
                <w:lang w:eastAsia="en-US"/>
              </w:rPr>
              <w:br/>
              <w:t>%gra;</w:t>
            </w:r>
          </w:p>
        </w:tc>
        <w:tc>
          <w:tcPr>
            <w:tcW w:w="2080" w:type="dxa"/>
            <w:tcBorders>
              <w:top w:val="nil"/>
              <w:left w:val="single" w:sz="4" w:space="0" w:color="auto"/>
              <w:bottom w:val="nil"/>
              <w:right w:val="nil"/>
            </w:tcBorders>
            <w:shd w:val="clear" w:color="auto" w:fill="CAEDFA"/>
            <w:hideMark/>
          </w:tcPr>
          <w:p w14:paraId="62B529D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0089320C" w:rsidRPr="00CB13F7">
              <w:rPr>
                <w:rFonts w:eastAsia="Times New Roman"/>
                <w:sz w:val="16"/>
                <w:szCs w:val="16"/>
                <w:lang w:eastAsia="en-US"/>
              </w:rPr>
              <w:t>Raporte</w:t>
            </w:r>
            <w:r w:rsidRPr="00CB13F7">
              <w:rPr>
                <w:rFonts w:eastAsia="Times New Roman"/>
                <w:sz w:val="16"/>
                <w:szCs w:val="16"/>
                <w:lang w:eastAsia="en-US"/>
              </w:rPr>
              <w:t xml:space="preserve"> Monitorimi;</w:t>
            </w:r>
            <w:r w:rsidRPr="00CB13F7">
              <w:rPr>
                <w:rFonts w:eastAsia="Times New Roman"/>
                <w:sz w:val="16"/>
                <w:szCs w:val="16"/>
                <w:lang w:eastAsia="en-US"/>
              </w:rPr>
              <w:br/>
              <w:t>FSDKSH;</w:t>
            </w:r>
          </w:p>
        </w:tc>
        <w:tc>
          <w:tcPr>
            <w:tcW w:w="2960" w:type="dxa"/>
            <w:vMerge w:val="restart"/>
            <w:tcBorders>
              <w:top w:val="nil"/>
              <w:left w:val="nil"/>
              <w:bottom w:val="nil"/>
              <w:right w:val="single" w:sz="4" w:space="0" w:color="000000" w:themeColor="text1"/>
            </w:tcBorders>
            <w:shd w:val="clear" w:color="auto" w:fill="CAEDFA"/>
            <w:hideMark/>
          </w:tcPr>
          <w:p w14:paraId="5B134E29" w14:textId="3DB5669B" w:rsidR="007D728E" w:rsidRPr="00CB13F7" w:rsidRDefault="7CCBCF77" w:rsidP="007D728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4BFFCF71" w:rsidRPr="00CB13F7">
              <w:rPr>
                <w:rFonts w:eastAsia="Times New Roman"/>
                <w:color w:val="000000" w:themeColor="text1"/>
                <w:sz w:val="16"/>
                <w:szCs w:val="16"/>
                <w:lang w:eastAsia="en-US"/>
              </w:rPr>
              <w:t xml:space="preserve">3; </w:t>
            </w:r>
            <w:r w:rsidRPr="00CB13F7">
              <w:rPr>
                <w:rFonts w:eastAsia="Times New Roman"/>
                <w:color w:val="000000" w:themeColor="text1"/>
                <w:sz w:val="16"/>
                <w:szCs w:val="16"/>
                <w:lang w:eastAsia="en-US"/>
              </w:rPr>
              <w:t>OZHQ</w:t>
            </w:r>
            <w:r w:rsidR="4BFFCF71" w:rsidRPr="00CB13F7">
              <w:rPr>
                <w:rFonts w:eastAsia="Times New Roman"/>
                <w:color w:val="000000" w:themeColor="text1"/>
                <w:sz w:val="16"/>
                <w:szCs w:val="16"/>
                <w:lang w:eastAsia="en-US"/>
              </w:rPr>
              <w:t>10 Kapitulli 28 i aquis;</w:t>
            </w:r>
            <w:r w:rsidR="0089320C" w:rsidRPr="00CB13F7">
              <w:br/>
            </w:r>
            <w:r w:rsidR="4BFFCF71" w:rsidRPr="00CB13F7">
              <w:rPr>
                <w:rFonts w:eastAsia="Times New Roman"/>
                <w:color w:val="000000" w:themeColor="text1"/>
                <w:sz w:val="16"/>
                <w:szCs w:val="16"/>
                <w:lang w:eastAsia="en-US"/>
              </w:rPr>
              <w:t>Strategjia e BE-së për të Drejtat e Personave me Aftësi të Kufizuara 2021</w:t>
            </w:r>
            <w:r w:rsidR="77B74F3F" w:rsidRPr="00CB13F7">
              <w:rPr>
                <w:rFonts w:eastAsia="Times New Roman"/>
                <w:color w:val="000000" w:themeColor="text1"/>
                <w:sz w:val="16"/>
                <w:szCs w:val="16"/>
                <w:lang w:eastAsia="en-US"/>
              </w:rPr>
              <w:t>-</w:t>
            </w:r>
            <w:r w:rsidR="4BFFCF71" w:rsidRPr="00CB13F7">
              <w:rPr>
                <w:rFonts w:eastAsia="Times New Roman"/>
                <w:color w:val="000000" w:themeColor="text1"/>
                <w:sz w:val="16"/>
                <w:szCs w:val="16"/>
                <w:lang w:eastAsia="en-US"/>
              </w:rPr>
              <w:t xml:space="preserve">2030; </w:t>
            </w:r>
            <w:r w:rsidR="0089320C" w:rsidRPr="00CB13F7">
              <w:br/>
            </w:r>
            <w:r w:rsidR="4BFFCF71" w:rsidRPr="00CB13F7">
              <w:rPr>
                <w:rFonts w:eastAsia="Times New Roman"/>
                <w:color w:val="000000" w:themeColor="text1"/>
                <w:sz w:val="16"/>
                <w:szCs w:val="16"/>
                <w:lang w:eastAsia="en-US"/>
              </w:rPr>
              <w:t xml:space="preserve">Dokumenti i BE për Jetesën e Pavarur dhe Përfshirjen në Komunitet; </w:t>
            </w:r>
            <w:r w:rsidR="0089320C" w:rsidRPr="00CB13F7">
              <w:br/>
            </w:r>
            <w:r w:rsidR="4BFFCF71" w:rsidRPr="00CB13F7">
              <w:rPr>
                <w:rFonts w:eastAsia="Times New Roman"/>
                <w:color w:val="000000" w:themeColor="text1"/>
                <w:sz w:val="16"/>
                <w:szCs w:val="16"/>
                <w:lang w:eastAsia="en-US"/>
              </w:rPr>
              <w:t>Strategjia Kombëtare e Shëndetësisë 2021</w:t>
            </w:r>
            <w:r w:rsidR="77B74F3F" w:rsidRPr="00CB13F7">
              <w:rPr>
                <w:rFonts w:eastAsia="Times New Roman"/>
                <w:color w:val="000000" w:themeColor="text1"/>
                <w:sz w:val="16"/>
                <w:szCs w:val="16"/>
                <w:lang w:eastAsia="en-US"/>
              </w:rPr>
              <w:t>-</w:t>
            </w:r>
            <w:r w:rsidR="4BFFCF71" w:rsidRPr="00CB13F7">
              <w:rPr>
                <w:rFonts w:eastAsia="Times New Roman"/>
                <w:color w:val="000000" w:themeColor="text1"/>
                <w:sz w:val="16"/>
                <w:szCs w:val="16"/>
                <w:lang w:eastAsia="en-US"/>
              </w:rPr>
              <w:t xml:space="preserve">2030; </w:t>
            </w:r>
          </w:p>
        </w:tc>
      </w:tr>
      <w:tr w:rsidR="007D728E" w:rsidRPr="00CB13F7" w14:paraId="12FAFD3F" w14:textId="77777777" w:rsidTr="661F9D2E">
        <w:trPr>
          <w:trHeight w:val="1155"/>
        </w:trPr>
        <w:tc>
          <w:tcPr>
            <w:tcW w:w="1008" w:type="dxa"/>
            <w:tcBorders>
              <w:top w:val="nil"/>
              <w:left w:val="single" w:sz="4" w:space="0" w:color="000000" w:themeColor="text1"/>
              <w:bottom w:val="nil"/>
              <w:right w:val="nil"/>
            </w:tcBorders>
            <w:shd w:val="clear" w:color="auto" w:fill="CAEDFA"/>
            <w:hideMark/>
          </w:tcPr>
          <w:p w14:paraId="38C0939D"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Objektivi specifik</w:t>
            </w:r>
          </w:p>
        </w:tc>
        <w:tc>
          <w:tcPr>
            <w:tcW w:w="2126" w:type="dxa"/>
            <w:vMerge/>
            <w:hideMark/>
          </w:tcPr>
          <w:p w14:paraId="4EEBCA59" w14:textId="77777777" w:rsidR="007D728E" w:rsidRPr="00CB13F7" w:rsidRDefault="007D728E" w:rsidP="007D728E">
            <w:pPr>
              <w:rPr>
                <w:rFonts w:eastAsia="Times New Roman"/>
                <w:sz w:val="16"/>
                <w:szCs w:val="16"/>
                <w:lang w:eastAsia="en-US"/>
              </w:rPr>
            </w:pPr>
          </w:p>
        </w:tc>
        <w:tc>
          <w:tcPr>
            <w:tcW w:w="2410" w:type="dxa"/>
            <w:tcBorders>
              <w:top w:val="nil"/>
              <w:left w:val="nil"/>
              <w:bottom w:val="single" w:sz="4" w:space="0" w:color="auto"/>
              <w:right w:val="nil"/>
            </w:tcBorders>
            <w:shd w:val="clear" w:color="auto" w:fill="CAEDFA"/>
            <w:hideMark/>
          </w:tcPr>
          <w:p w14:paraId="46BE89C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personave me aftësi të kufizuara që përfitojnë pajisje ose teknologji ndihmëse .</w:t>
            </w:r>
          </w:p>
        </w:tc>
        <w:tc>
          <w:tcPr>
            <w:tcW w:w="992" w:type="dxa"/>
            <w:tcBorders>
              <w:top w:val="nil"/>
              <w:left w:val="nil"/>
              <w:bottom w:val="single" w:sz="4" w:space="0" w:color="auto"/>
              <w:right w:val="single" w:sz="4" w:space="0" w:color="auto"/>
            </w:tcBorders>
            <w:shd w:val="clear" w:color="auto" w:fill="CAEDFA"/>
            <w:hideMark/>
          </w:tcPr>
          <w:p w14:paraId="16B8822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992" w:type="dxa"/>
            <w:tcBorders>
              <w:top w:val="nil"/>
              <w:left w:val="nil"/>
              <w:bottom w:val="single" w:sz="4" w:space="0" w:color="auto"/>
              <w:right w:val="single" w:sz="4" w:space="0" w:color="auto"/>
            </w:tcBorders>
            <w:shd w:val="clear" w:color="auto" w:fill="CAEDFA"/>
            <w:hideMark/>
          </w:tcPr>
          <w:p w14:paraId="3F6579A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30% </w:t>
            </w:r>
            <w:r w:rsidRPr="00CB13F7">
              <w:rPr>
                <w:rFonts w:eastAsia="Times New Roman"/>
                <w:color w:val="000000"/>
                <w:sz w:val="16"/>
                <w:szCs w:val="16"/>
                <w:lang w:eastAsia="en-US"/>
              </w:rPr>
              <w:br/>
              <w:t>%burra;</w:t>
            </w:r>
            <w:r w:rsidRPr="00CB13F7">
              <w:rPr>
                <w:rFonts w:eastAsia="Times New Roman"/>
                <w:color w:val="000000"/>
                <w:sz w:val="16"/>
                <w:szCs w:val="16"/>
                <w:lang w:eastAsia="en-US"/>
              </w:rPr>
              <w:br/>
              <w:t>%gra;</w:t>
            </w:r>
            <w:r w:rsidRPr="00CB13F7">
              <w:rPr>
                <w:rFonts w:eastAsia="Times New Roman"/>
                <w:color w:val="000000"/>
                <w:sz w:val="16"/>
                <w:szCs w:val="16"/>
                <w:lang w:eastAsia="en-US"/>
              </w:rPr>
              <w:br/>
              <w:t>%fëmijë</w:t>
            </w:r>
          </w:p>
        </w:tc>
        <w:tc>
          <w:tcPr>
            <w:tcW w:w="992" w:type="dxa"/>
            <w:tcBorders>
              <w:top w:val="nil"/>
              <w:left w:val="nil"/>
              <w:bottom w:val="single" w:sz="4" w:space="0" w:color="auto"/>
              <w:right w:val="nil"/>
            </w:tcBorders>
            <w:shd w:val="clear" w:color="auto" w:fill="CAEDFA"/>
            <w:hideMark/>
          </w:tcPr>
          <w:p w14:paraId="32F95FC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w:t>
            </w:r>
            <w:r w:rsidRPr="00CB13F7">
              <w:rPr>
                <w:rFonts w:eastAsia="Times New Roman"/>
                <w:color w:val="000000"/>
                <w:sz w:val="16"/>
                <w:szCs w:val="16"/>
                <w:lang w:eastAsia="en-US"/>
              </w:rPr>
              <w:br/>
              <w:t>%burra;</w:t>
            </w:r>
            <w:r w:rsidRPr="00CB13F7">
              <w:rPr>
                <w:rFonts w:eastAsia="Times New Roman"/>
                <w:color w:val="000000"/>
                <w:sz w:val="16"/>
                <w:szCs w:val="16"/>
                <w:lang w:eastAsia="en-US"/>
              </w:rPr>
              <w:br/>
              <w:t>%gra;</w:t>
            </w:r>
            <w:r w:rsidRPr="00CB13F7">
              <w:rPr>
                <w:rFonts w:eastAsia="Times New Roman"/>
                <w:color w:val="000000"/>
                <w:sz w:val="16"/>
                <w:szCs w:val="16"/>
                <w:lang w:eastAsia="en-US"/>
              </w:rPr>
              <w:br/>
              <w:t>%fëmijë</w:t>
            </w:r>
          </w:p>
        </w:tc>
        <w:tc>
          <w:tcPr>
            <w:tcW w:w="2080" w:type="dxa"/>
            <w:tcBorders>
              <w:top w:val="nil"/>
              <w:left w:val="single" w:sz="4" w:space="0" w:color="auto"/>
              <w:bottom w:val="single" w:sz="4" w:space="0" w:color="auto"/>
              <w:right w:val="nil"/>
            </w:tcBorders>
            <w:shd w:val="clear" w:color="auto" w:fill="CAEDFA"/>
            <w:hideMark/>
          </w:tcPr>
          <w:p w14:paraId="23DB1F4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960" w:type="dxa"/>
            <w:vMerge/>
            <w:hideMark/>
          </w:tcPr>
          <w:p w14:paraId="284C5238" w14:textId="77777777" w:rsidR="007D728E" w:rsidRPr="00CB13F7" w:rsidRDefault="007D728E" w:rsidP="007D728E">
            <w:pPr>
              <w:rPr>
                <w:rFonts w:eastAsia="Times New Roman"/>
                <w:color w:val="000000"/>
                <w:sz w:val="16"/>
                <w:szCs w:val="16"/>
                <w:lang w:eastAsia="en-US"/>
              </w:rPr>
            </w:pPr>
          </w:p>
        </w:tc>
      </w:tr>
      <w:tr w:rsidR="007D728E" w:rsidRPr="00CB13F7" w14:paraId="6EC0E7F9" w14:textId="77777777" w:rsidTr="661F9D2E">
        <w:trPr>
          <w:trHeight w:val="270"/>
        </w:trPr>
        <w:tc>
          <w:tcPr>
            <w:tcW w:w="1008" w:type="dxa"/>
            <w:tcBorders>
              <w:top w:val="nil"/>
              <w:left w:val="single" w:sz="4" w:space="0" w:color="000000" w:themeColor="text1"/>
              <w:bottom w:val="nil"/>
              <w:right w:val="single" w:sz="4" w:space="0" w:color="000000" w:themeColor="text1"/>
            </w:tcBorders>
            <w:shd w:val="clear" w:color="auto" w:fill="CAEDFA"/>
            <w:hideMark/>
          </w:tcPr>
          <w:p w14:paraId="41D217A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vMerge w:val="restart"/>
            <w:tcBorders>
              <w:top w:val="nil"/>
              <w:left w:val="single" w:sz="4" w:space="0" w:color="000000" w:themeColor="text1"/>
              <w:bottom w:val="nil"/>
              <w:right w:val="nil"/>
            </w:tcBorders>
            <w:shd w:val="clear" w:color="auto" w:fill="CAEDFA"/>
            <w:hideMark/>
          </w:tcPr>
          <w:p w14:paraId="33E148B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Objektivi Specifik 3:Përmirësimi i cilësisë së shërbimeve përmes forcimit të burimeve njerëzore, aksesueshmërisë dhe mekanizmave të monitorimit dhe llogaridhënies</w:t>
            </w:r>
          </w:p>
        </w:tc>
        <w:tc>
          <w:tcPr>
            <w:tcW w:w="2410" w:type="dxa"/>
            <w:vMerge w:val="restart"/>
            <w:tcBorders>
              <w:top w:val="nil"/>
              <w:left w:val="single" w:sz="4" w:space="0" w:color="000000" w:themeColor="text1"/>
              <w:bottom w:val="nil"/>
              <w:right w:val="nil"/>
            </w:tcBorders>
            <w:shd w:val="clear" w:color="auto" w:fill="CAEDFA"/>
            <w:hideMark/>
          </w:tcPr>
          <w:p w14:paraId="64B05EE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Përqindja e institucioneve shëndetësore publike që zbatojnë standardet e aksesueshmërisë dhe ofrojnë shërbime shëndetësore pa diskriminim për personat me aftësi të kufizuara.</w:t>
            </w:r>
          </w:p>
        </w:tc>
        <w:tc>
          <w:tcPr>
            <w:tcW w:w="992" w:type="dxa"/>
            <w:tcBorders>
              <w:top w:val="nil"/>
              <w:left w:val="nil"/>
              <w:bottom w:val="nil"/>
              <w:right w:val="single" w:sz="4" w:space="0" w:color="000000" w:themeColor="text1"/>
            </w:tcBorders>
            <w:shd w:val="clear" w:color="auto" w:fill="CAEDFA"/>
            <w:hideMark/>
          </w:tcPr>
          <w:p w14:paraId="5D36123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vMerge w:val="restart"/>
            <w:tcBorders>
              <w:top w:val="nil"/>
              <w:left w:val="single" w:sz="4" w:space="0" w:color="000000" w:themeColor="text1"/>
              <w:bottom w:val="nil"/>
              <w:right w:val="single" w:sz="4" w:space="0" w:color="000000" w:themeColor="text1"/>
            </w:tcBorders>
            <w:shd w:val="clear" w:color="auto" w:fill="CAEDFA"/>
            <w:hideMark/>
          </w:tcPr>
          <w:p w14:paraId="7E64E42C" w14:textId="77777777" w:rsidR="007D728E" w:rsidRPr="00CB13F7" w:rsidRDefault="007D728E" w:rsidP="007D728E">
            <w:pPr>
              <w:spacing w:after="240"/>
              <w:rPr>
                <w:rFonts w:eastAsia="Times New Roman"/>
                <w:sz w:val="16"/>
                <w:szCs w:val="16"/>
                <w:lang w:eastAsia="en-US"/>
              </w:rPr>
            </w:pPr>
            <w:r w:rsidRPr="00CB13F7">
              <w:rPr>
                <w:rFonts w:eastAsia="Times New Roman"/>
                <w:sz w:val="16"/>
                <w:szCs w:val="16"/>
                <w:lang w:eastAsia="en-US"/>
              </w:rPr>
              <w:t>50%</w:t>
            </w:r>
          </w:p>
        </w:tc>
        <w:tc>
          <w:tcPr>
            <w:tcW w:w="992" w:type="dxa"/>
            <w:vMerge w:val="restart"/>
            <w:tcBorders>
              <w:top w:val="nil"/>
              <w:left w:val="single" w:sz="4" w:space="0" w:color="000000" w:themeColor="text1"/>
              <w:bottom w:val="nil"/>
              <w:right w:val="nil"/>
            </w:tcBorders>
            <w:shd w:val="clear" w:color="auto" w:fill="CAEDFA"/>
            <w:hideMark/>
          </w:tcPr>
          <w:p w14:paraId="7F926E48" w14:textId="77777777" w:rsidR="007D728E" w:rsidRPr="00CB13F7" w:rsidRDefault="007D728E" w:rsidP="007D728E">
            <w:pPr>
              <w:spacing w:after="240"/>
              <w:rPr>
                <w:rFonts w:eastAsia="Times New Roman"/>
                <w:sz w:val="16"/>
                <w:szCs w:val="16"/>
                <w:lang w:eastAsia="en-US"/>
              </w:rPr>
            </w:pPr>
            <w:r w:rsidRPr="00CB13F7">
              <w:rPr>
                <w:rFonts w:eastAsia="Times New Roman"/>
                <w:sz w:val="16"/>
                <w:szCs w:val="16"/>
                <w:lang w:eastAsia="en-US"/>
              </w:rPr>
              <w:t>75%</w:t>
            </w:r>
          </w:p>
        </w:tc>
        <w:tc>
          <w:tcPr>
            <w:tcW w:w="2080" w:type="dxa"/>
            <w:vMerge w:val="restart"/>
            <w:tcBorders>
              <w:top w:val="nil"/>
              <w:left w:val="single" w:sz="4" w:space="0" w:color="000000" w:themeColor="text1"/>
              <w:bottom w:val="nil"/>
              <w:right w:val="nil"/>
            </w:tcBorders>
            <w:shd w:val="clear" w:color="auto" w:fill="CAEDFA"/>
            <w:hideMark/>
          </w:tcPr>
          <w:p w14:paraId="2F9DBB9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Auditimet e aksesueshmërisë dhe raportet e monitorimit të MSHMS;</w:t>
            </w:r>
          </w:p>
        </w:tc>
        <w:tc>
          <w:tcPr>
            <w:tcW w:w="2960"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51316372" w14:textId="4CB593E8" w:rsidR="007D728E" w:rsidRPr="00CB13F7" w:rsidRDefault="7CCBCF77" w:rsidP="007D728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3; </w:t>
            </w: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16;</w:t>
            </w:r>
            <w:r w:rsidR="007D728E" w:rsidRPr="00CB13F7">
              <w:br/>
            </w:r>
            <w:r w:rsidR="0080D2BD" w:rsidRPr="00CB13F7">
              <w:rPr>
                <w:rFonts w:eastAsia="Times New Roman"/>
                <w:color w:val="000000" w:themeColor="text1"/>
                <w:sz w:val="16"/>
                <w:szCs w:val="16"/>
                <w:lang w:eastAsia="en-US"/>
              </w:rPr>
              <w:t>Strategjia e BE-së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Strategjia Kombëtare e Shëndetësisë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 xml:space="preserve">Direktiva/“European Accessibility Act” </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 Direktivë (BE) 2019/882; </w:t>
            </w:r>
          </w:p>
        </w:tc>
      </w:tr>
      <w:tr w:rsidR="007D728E" w:rsidRPr="00CB13F7" w14:paraId="5BE69EB9" w14:textId="77777777" w:rsidTr="661F9D2E">
        <w:trPr>
          <w:trHeight w:val="300"/>
        </w:trPr>
        <w:tc>
          <w:tcPr>
            <w:tcW w:w="1008" w:type="dxa"/>
            <w:tcBorders>
              <w:top w:val="nil"/>
              <w:left w:val="single" w:sz="4" w:space="0" w:color="000000" w:themeColor="text1"/>
              <w:bottom w:val="nil"/>
              <w:right w:val="single" w:sz="4" w:space="0" w:color="000000" w:themeColor="text1"/>
            </w:tcBorders>
            <w:shd w:val="clear" w:color="auto" w:fill="CAEDFA"/>
            <w:hideMark/>
          </w:tcPr>
          <w:p w14:paraId="79903A4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vMerge/>
            <w:hideMark/>
          </w:tcPr>
          <w:p w14:paraId="2D19D678" w14:textId="77777777" w:rsidR="007D728E" w:rsidRPr="00CB13F7" w:rsidRDefault="007D728E" w:rsidP="007D728E">
            <w:pPr>
              <w:rPr>
                <w:rFonts w:eastAsia="Times New Roman"/>
                <w:sz w:val="16"/>
                <w:szCs w:val="16"/>
                <w:lang w:eastAsia="en-US"/>
              </w:rPr>
            </w:pPr>
          </w:p>
        </w:tc>
        <w:tc>
          <w:tcPr>
            <w:tcW w:w="2410" w:type="dxa"/>
            <w:vMerge/>
            <w:hideMark/>
          </w:tcPr>
          <w:p w14:paraId="5345977A" w14:textId="77777777" w:rsidR="007D728E" w:rsidRPr="00CB13F7" w:rsidRDefault="007D728E" w:rsidP="007D728E">
            <w:pPr>
              <w:rPr>
                <w:rFonts w:eastAsia="Times New Roman"/>
                <w:sz w:val="16"/>
                <w:szCs w:val="16"/>
                <w:lang w:eastAsia="en-US"/>
              </w:rPr>
            </w:pPr>
          </w:p>
        </w:tc>
        <w:tc>
          <w:tcPr>
            <w:tcW w:w="992" w:type="dxa"/>
            <w:tcBorders>
              <w:top w:val="nil"/>
              <w:left w:val="nil"/>
              <w:bottom w:val="nil"/>
              <w:right w:val="single" w:sz="4" w:space="0" w:color="000000" w:themeColor="text1"/>
            </w:tcBorders>
            <w:shd w:val="clear" w:color="auto" w:fill="CAEDFA"/>
            <w:hideMark/>
          </w:tcPr>
          <w:p w14:paraId="2FD1140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992" w:type="dxa"/>
            <w:vMerge/>
            <w:hideMark/>
          </w:tcPr>
          <w:p w14:paraId="02F99820" w14:textId="77777777" w:rsidR="007D728E" w:rsidRPr="00CB13F7" w:rsidRDefault="007D728E" w:rsidP="007D728E">
            <w:pPr>
              <w:rPr>
                <w:rFonts w:eastAsia="Times New Roman"/>
                <w:sz w:val="16"/>
                <w:szCs w:val="16"/>
                <w:lang w:eastAsia="en-US"/>
              </w:rPr>
            </w:pPr>
          </w:p>
        </w:tc>
        <w:tc>
          <w:tcPr>
            <w:tcW w:w="992" w:type="dxa"/>
            <w:vMerge/>
            <w:hideMark/>
          </w:tcPr>
          <w:p w14:paraId="3C4DBFB8" w14:textId="77777777" w:rsidR="007D728E" w:rsidRPr="00CB13F7" w:rsidRDefault="007D728E" w:rsidP="007D728E">
            <w:pPr>
              <w:rPr>
                <w:rFonts w:eastAsia="Times New Roman"/>
                <w:sz w:val="16"/>
                <w:szCs w:val="16"/>
                <w:lang w:eastAsia="en-US"/>
              </w:rPr>
            </w:pPr>
          </w:p>
        </w:tc>
        <w:tc>
          <w:tcPr>
            <w:tcW w:w="2080" w:type="dxa"/>
            <w:vMerge/>
            <w:hideMark/>
          </w:tcPr>
          <w:p w14:paraId="0DC0C340" w14:textId="77777777" w:rsidR="007D728E" w:rsidRPr="00CB13F7" w:rsidRDefault="007D728E" w:rsidP="007D728E">
            <w:pPr>
              <w:rPr>
                <w:rFonts w:eastAsia="Times New Roman"/>
                <w:sz w:val="16"/>
                <w:szCs w:val="16"/>
                <w:lang w:eastAsia="en-US"/>
              </w:rPr>
            </w:pPr>
          </w:p>
        </w:tc>
        <w:tc>
          <w:tcPr>
            <w:tcW w:w="2960" w:type="dxa"/>
            <w:vMerge/>
            <w:hideMark/>
          </w:tcPr>
          <w:p w14:paraId="370F2AB8" w14:textId="77777777" w:rsidR="007D728E" w:rsidRPr="00CB13F7" w:rsidRDefault="007D728E" w:rsidP="007D728E">
            <w:pPr>
              <w:rPr>
                <w:rFonts w:eastAsia="Times New Roman"/>
                <w:color w:val="000000"/>
                <w:sz w:val="16"/>
                <w:szCs w:val="16"/>
                <w:lang w:eastAsia="en-US"/>
              </w:rPr>
            </w:pPr>
          </w:p>
        </w:tc>
      </w:tr>
      <w:tr w:rsidR="007D728E" w:rsidRPr="00CB13F7" w14:paraId="2B5D66DD" w14:textId="77777777" w:rsidTr="661F9D2E">
        <w:trPr>
          <w:trHeight w:val="240"/>
        </w:trPr>
        <w:tc>
          <w:tcPr>
            <w:tcW w:w="1008" w:type="dxa"/>
            <w:tcBorders>
              <w:top w:val="nil"/>
              <w:left w:val="single" w:sz="4" w:space="0" w:color="000000" w:themeColor="text1"/>
              <w:bottom w:val="nil"/>
              <w:right w:val="single" w:sz="4" w:space="0" w:color="000000" w:themeColor="text1"/>
            </w:tcBorders>
            <w:shd w:val="clear" w:color="auto" w:fill="CAEDFA"/>
            <w:hideMark/>
          </w:tcPr>
          <w:p w14:paraId="3963FCC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vMerge/>
            <w:hideMark/>
          </w:tcPr>
          <w:p w14:paraId="4BE5CC91" w14:textId="77777777" w:rsidR="007D728E" w:rsidRPr="00CB13F7" w:rsidRDefault="007D728E" w:rsidP="007D728E">
            <w:pPr>
              <w:rPr>
                <w:rFonts w:eastAsia="Times New Roman"/>
                <w:sz w:val="16"/>
                <w:szCs w:val="16"/>
                <w:lang w:eastAsia="en-US"/>
              </w:rPr>
            </w:pPr>
          </w:p>
        </w:tc>
        <w:tc>
          <w:tcPr>
            <w:tcW w:w="2410" w:type="dxa"/>
            <w:vMerge/>
            <w:hideMark/>
          </w:tcPr>
          <w:p w14:paraId="49E5A1D4" w14:textId="77777777" w:rsidR="007D728E" w:rsidRPr="00CB13F7" w:rsidRDefault="007D728E" w:rsidP="007D728E">
            <w:pPr>
              <w:rPr>
                <w:rFonts w:eastAsia="Times New Roman"/>
                <w:sz w:val="16"/>
                <w:szCs w:val="16"/>
                <w:lang w:eastAsia="en-US"/>
              </w:rPr>
            </w:pPr>
          </w:p>
        </w:tc>
        <w:tc>
          <w:tcPr>
            <w:tcW w:w="992" w:type="dxa"/>
            <w:tcBorders>
              <w:top w:val="nil"/>
              <w:left w:val="nil"/>
              <w:bottom w:val="nil"/>
              <w:right w:val="single" w:sz="4" w:space="0" w:color="000000" w:themeColor="text1"/>
            </w:tcBorders>
            <w:shd w:val="clear" w:color="auto" w:fill="CAEDFA"/>
            <w:hideMark/>
          </w:tcPr>
          <w:p w14:paraId="097E22F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992" w:type="dxa"/>
            <w:vMerge/>
            <w:hideMark/>
          </w:tcPr>
          <w:p w14:paraId="471085F2" w14:textId="77777777" w:rsidR="007D728E" w:rsidRPr="00CB13F7" w:rsidRDefault="007D728E" w:rsidP="007D728E">
            <w:pPr>
              <w:rPr>
                <w:rFonts w:eastAsia="Times New Roman"/>
                <w:sz w:val="16"/>
                <w:szCs w:val="16"/>
                <w:lang w:eastAsia="en-US"/>
              </w:rPr>
            </w:pPr>
          </w:p>
        </w:tc>
        <w:tc>
          <w:tcPr>
            <w:tcW w:w="992" w:type="dxa"/>
            <w:vMerge/>
            <w:hideMark/>
          </w:tcPr>
          <w:p w14:paraId="5FEF666F" w14:textId="77777777" w:rsidR="007D728E" w:rsidRPr="00CB13F7" w:rsidRDefault="007D728E" w:rsidP="007D728E">
            <w:pPr>
              <w:rPr>
                <w:rFonts w:eastAsia="Times New Roman"/>
                <w:sz w:val="16"/>
                <w:szCs w:val="16"/>
                <w:lang w:eastAsia="en-US"/>
              </w:rPr>
            </w:pPr>
          </w:p>
        </w:tc>
        <w:tc>
          <w:tcPr>
            <w:tcW w:w="2080" w:type="dxa"/>
            <w:vMerge/>
            <w:hideMark/>
          </w:tcPr>
          <w:p w14:paraId="7E39A223" w14:textId="77777777" w:rsidR="007D728E" w:rsidRPr="00CB13F7" w:rsidRDefault="007D728E" w:rsidP="007D728E">
            <w:pPr>
              <w:rPr>
                <w:rFonts w:eastAsia="Times New Roman"/>
                <w:sz w:val="16"/>
                <w:szCs w:val="16"/>
                <w:lang w:eastAsia="en-US"/>
              </w:rPr>
            </w:pPr>
          </w:p>
        </w:tc>
        <w:tc>
          <w:tcPr>
            <w:tcW w:w="2960" w:type="dxa"/>
            <w:vMerge/>
            <w:hideMark/>
          </w:tcPr>
          <w:p w14:paraId="040E158D" w14:textId="77777777" w:rsidR="007D728E" w:rsidRPr="00CB13F7" w:rsidRDefault="007D728E" w:rsidP="007D728E">
            <w:pPr>
              <w:rPr>
                <w:rFonts w:eastAsia="Times New Roman"/>
                <w:color w:val="000000"/>
                <w:sz w:val="16"/>
                <w:szCs w:val="16"/>
                <w:lang w:eastAsia="en-US"/>
              </w:rPr>
            </w:pPr>
          </w:p>
        </w:tc>
      </w:tr>
      <w:tr w:rsidR="007D728E" w:rsidRPr="00CB13F7" w14:paraId="4C93EEF2" w14:textId="77777777" w:rsidTr="661F9D2E">
        <w:trPr>
          <w:trHeight w:val="840"/>
        </w:trPr>
        <w:tc>
          <w:tcPr>
            <w:tcW w:w="1008" w:type="dxa"/>
            <w:tcBorders>
              <w:top w:val="nil"/>
              <w:left w:val="single" w:sz="4" w:space="0" w:color="000000" w:themeColor="text1"/>
              <w:bottom w:val="nil"/>
              <w:right w:val="single" w:sz="4" w:space="0" w:color="000000" w:themeColor="text1"/>
            </w:tcBorders>
            <w:shd w:val="clear" w:color="auto" w:fill="CAEDFA"/>
            <w:hideMark/>
          </w:tcPr>
          <w:p w14:paraId="393FFF4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126" w:type="dxa"/>
            <w:vMerge/>
            <w:hideMark/>
          </w:tcPr>
          <w:p w14:paraId="67323710" w14:textId="77777777" w:rsidR="007D728E" w:rsidRPr="00CB13F7" w:rsidRDefault="007D728E" w:rsidP="007D728E">
            <w:pPr>
              <w:rPr>
                <w:rFonts w:eastAsia="Times New Roman"/>
                <w:sz w:val="16"/>
                <w:szCs w:val="16"/>
                <w:lang w:eastAsia="en-US"/>
              </w:rPr>
            </w:pPr>
          </w:p>
        </w:tc>
        <w:tc>
          <w:tcPr>
            <w:tcW w:w="2410" w:type="dxa"/>
            <w:vMerge/>
            <w:hideMark/>
          </w:tcPr>
          <w:p w14:paraId="0C7757F4" w14:textId="77777777" w:rsidR="007D728E" w:rsidRPr="00CB13F7" w:rsidRDefault="007D728E" w:rsidP="007D728E">
            <w:pPr>
              <w:rPr>
                <w:rFonts w:eastAsia="Times New Roman"/>
                <w:sz w:val="16"/>
                <w:szCs w:val="16"/>
                <w:lang w:eastAsia="en-US"/>
              </w:rPr>
            </w:pPr>
          </w:p>
        </w:tc>
        <w:tc>
          <w:tcPr>
            <w:tcW w:w="992" w:type="dxa"/>
            <w:tcBorders>
              <w:top w:val="nil"/>
              <w:left w:val="nil"/>
              <w:bottom w:val="nil"/>
              <w:right w:val="single" w:sz="4" w:space="0" w:color="000000" w:themeColor="text1"/>
            </w:tcBorders>
            <w:shd w:val="clear" w:color="auto" w:fill="CAEDFA"/>
            <w:hideMark/>
          </w:tcPr>
          <w:p w14:paraId="5975D7C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992" w:type="dxa"/>
            <w:vMerge/>
            <w:hideMark/>
          </w:tcPr>
          <w:p w14:paraId="18E3A03F" w14:textId="77777777" w:rsidR="007D728E" w:rsidRPr="00CB13F7" w:rsidRDefault="007D728E" w:rsidP="007D728E">
            <w:pPr>
              <w:rPr>
                <w:rFonts w:eastAsia="Times New Roman"/>
                <w:sz w:val="16"/>
                <w:szCs w:val="16"/>
                <w:lang w:eastAsia="en-US"/>
              </w:rPr>
            </w:pPr>
          </w:p>
        </w:tc>
        <w:tc>
          <w:tcPr>
            <w:tcW w:w="992" w:type="dxa"/>
            <w:vMerge/>
            <w:hideMark/>
          </w:tcPr>
          <w:p w14:paraId="6F875824" w14:textId="77777777" w:rsidR="007D728E" w:rsidRPr="00CB13F7" w:rsidRDefault="007D728E" w:rsidP="007D728E">
            <w:pPr>
              <w:rPr>
                <w:rFonts w:eastAsia="Times New Roman"/>
                <w:sz w:val="16"/>
                <w:szCs w:val="16"/>
                <w:lang w:eastAsia="en-US"/>
              </w:rPr>
            </w:pPr>
          </w:p>
        </w:tc>
        <w:tc>
          <w:tcPr>
            <w:tcW w:w="2080" w:type="dxa"/>
            <w:vMerge/>
            <w:hideMark/>
          </w:tcPr>
          <w:p w14:paraId="364D5351" w14:textId="77777777" w:rsidR="007D728E" w:rsidRPr="00CB13F7" w:rsidRDefault="007D728E" w:rsidP="007D728E">
            <w:pPr>
              <w:rPr>
                <w:rFonts w:eastAsia="Times New Roman"/>
                <w:sz w:val="16"/>
                <w:szCs w:val="16"/>
                <w:lang w:eastAsia="en-US"/>
              </w:rPr>
            </w:pPr>
          </w:p>
        </w:tc>
        <w:tc>
          <w:tcPr>
            <w:tcW w:w="2960" w:type="dxa"/>
            <w:vMerge/>
            <w:hideMark/>
          </w:tcPr>
          <w:p w14:paraId="4F821607" w14:textId="77777777" w:rsidR="007D728E" w:rsidRPr="00CB13F7" w:rsidRDefault="007D728E" w:rsidP="007D728E">
            <w:pPr>
              <w:rPr>
                <w:rFonts w:eastAsia="Times New Roman"/>
                <w:color w:val="000000"/>
                <w:sz w:val="16"/>
                <w:szCs w:val="16"/>
                <w:lang w:eastAsia="en-US"/>
              </w:rPr>
            </w:pPr>
          </w:p>
        </w:tc>
      </w:tr>
      <w:tr w:rsidR="007D728E" w:rsidRPr="00CB13F7" w14:paraId="0DB4A791" w14:textId="77777777" w:rsidTr="661F9D2E">
        <w:trPr>
          <w:trHeight w:val="885"/>
        </w:trPr>
        <w:tc>
          <w:tcPr>
            <w:tcW w:w="1008" w:type="dxa"/>
            <w:vMerge w:val="restart"/>
            <w:tcBorders>
              <w:top w:val="single" w:sz="4" w:space="0" w:color="auto"/>
              <w:left w:val="single" w:sz="4" w:space="0" w:color="auto"/>
              <w:bottom w:val="single" w:sz="4" w:space="0" w:color="000000" w:themeColor="text1"/>
              <w:right w:val="single" w:sz="4" w:space="0" w:color="000000" w:themeColor="text1"/>
            </w:tcBorders>
            <w:hideMark/>
          </w:tcPr>
          <w:p w14:paraId="6242A309" w14:textId="77777777" w:rsidR="007D728E" w:rsidRPr="00CB13F7" w:rsidRDefault="007D728E" w:rsidP="007D728E">
            <w:pPr>
              <w:rPr>
                <w:rFonts w:eastAsia="Times New Roman"/>
                <w:b/>
                <w:bCs/>
                <w:color w:val="000000"/>
                <w:sz w:val="16"/>
                <w:szCs w:val="16"/>
                <w:lang w:eastAsia="en-US"/>
              </w:rPr>
            </w:pPr>
            <w:r w:rsidRPr="00CB13F7">
              <w:rPr>
                <w:rFonts w:eastAsia="Times New Roman"/>
                <w:b/>
                <w:bCs/>
                <w:color w:val="000000"/>
                <w:sz w:val="16"/>
                <w:szCs w:val="16"/>
                <w:lang w:eastAsia="en-US"/>
              </w:rPr>
              <w:t>Masat prioritare</w:t>
            </w:r>
          </w:p>
        </w:tc>
        <w:tc>
          <w:tcPr>
            <w:tcW w:w="2126" w:type="dxa"/>
            <w:vMerge w:val="restart"/>
            <w:tcBorders>
              <w:top w:val="single" w:sz="4" w:space="0" w:color="auto"/>
              <w:left w:val="single" w:sz="4" w:space="0" w:color="auto"/>
              <w:bottom w:val="single" w:sz="4" w:space="0" w:color="000000" w:themeColor="text1"/>
              <w:right w:val="nil"/>
            </w:tcBorders>
            <w:hideMark/>
          </w:tcPr>
          <w:p w14:paraId="31758A6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Masa Prioritare 1.1: Forcimi i parandalimit dhe diagnostikimit të hershëm </w:t>
            </w:r>
          </w:p>
        </w:tc>
        <w:tc>
          <w:tcPr>
            <w:tcW w:w="2410" w:type="dxa"/>
            <w:tcBorders>
              <w:top w:val="single" w:sz="4" w:space="0" w:color="auto"/>
              <w:left w:val="single" w:sz="4" w:space="0" w:color="auto"/>
              <w:bottom w:val="nil"/>
              <w:right w:val="nil"/>
            </w:tcBorders>
            <w:hideMark/>
          </w:tcPr>
          <w:p w14:paraId="054B6E1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Përqindja e qendrave shëndetësore që kryejnë kontrolle dhe identifikim të hershëm sipas protokollit standard.</w:t>
            </w:r>
          </w:p>
        </w:tc>
        <w:tc>
          <w:tcPr>
            <w:tcW w:w="992" w:type="dxa"/>
            <w:tcBorders>
              <w:top w:val="single" w:sz="4" w:space="0" w:color="auto"/>
              <w:left w:val="nil"/>
              <w:bottom w:val="nil"/>
              <w:right w:val="single" w:sz="4" w:space="0" w:color="auto"/>
            </w:tcBorders>
            <w:noWrap/>
            <w:hideMark/>
          </w:tcPr>
          <w:p w14:paraId="39CBCFB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992" w:type="dxa"/>
            <w:tcBorders>
              <w:top w:val="single" w:sz="4" w:space="0" w:color="auto"/>
              <w:left w:val="nil"/>
              <w:bottom w:val="nil"/>
              <w:right w:val="single" w:sz="4" w:space="0" w:color="auto"/>
            </w:tcBorders>
            <w:noWrap/>
            <w:hideMark/>
          </w:tcPr>
          <w:p w14:paraId="5AED358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30%</w:t>
            </w:r>
          </w:p>
        </w:tc>
        <w:tc>
          <w:tcPr>
            <w:tcW w:w="992" w:type="dxa"/>
            <w:tcBorders>
              <w:top w:val="single" w:sz="4" w:space="0" w:color="auto"/>
              <w:left w:val="nil"/>
              <w:bottom w:val="nil"/>
              <w:right w:val="nil"/>
            </w:tcBorders>
            <w:noWrap/>
            <w:hideMark/>
          </w:tcPr>
          <w:p w14:paraId="592BCB9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w:t>
            </w:r>
          </w:p>
        </w:tc>
        <w:tc>
          <w:tcPr>
            <w:tcW w:w="2080" w:type="dxa"/>
            <w:tcBorders>
              <w:top w:val="single" w:sz="4" w:space="0" w:color="auto"/>
              <w:left w:val="nil"/>
              <w:bottom w:val="nil"/>
              <w:right w:val="nil"/>
            </w:tcBorders>
            <w:hideMark/>
          </w:tcPr>
          <w:p w14:paraId="002E659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Raportet administrative të kujdesit parësor/MSHMS;</w:t>
            </w:r>
          </w:p>
        </w:tc>
        <w:tc>
          <w:tcPr>
            <w:tcW w:w="2960" w:type="dxa"/>
            <w:tcBorders>
              <w:top w:val="single" w:sz="4" w:space="0" w:color="auto"/>
              <w:left w:val="single" w:sz="4" w:space="0" w:color="auto"/>
              <w:bottom w:val="nil"/>
              <w:right w:val="single" w:sz="4" w:space="0" w:color="auto"/>
            </w:tcBorders>
            <w:hideMark/>
          </w:tcPr>
          <w:p w14:paraId="0EFCA78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4C2333C5" w14:textId="77777777" w:rsidTr="661F9D2E">
        <w:trPr>
          <w:trHeight w:val="825"/>
        </w:trPr>
        <w:tc>
          <w:tcPr>
            <w:tcW w:w="1008" w:type="dxa"/>
            <w:vMerge/>
            <w:hideMark/>
          </w:tcPr>
          <w:p w14:paraId="668D1143"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4CDC3473" w14:textId="77777777" w:rsidR="007D728E" w:rsidRPr="00CB13F7" w:rsidRDefault="007D728E" w:rsidP="007D728E">
            <w:pPr>
              <w:rPr>
                <w:rFonts w:eastAsia="Times New Roman"/>
                <w:sz w:val="16"/>
                <w:szCs w:val="16"/>
                <w:lang w:eastAsia="en-US"/>
              </w:rPr>
            </w:pPr>
          </w:p>
        </w:tc>
        <w:tc>
          <w:tcPr>
            <w:tcW w:w="2410" w:type="dxa"/>
            <w:tcBorders>
              <w:top w:val="nil"/>
              <w:left w:val="single" w:sz="4" w:space="0" w:color="auto"/>
              <w:bottom w:val="single" w:sz="4" w:space="0" w:color="auto"/>
              <w:right w:val="nil"/>
            </w:tcBorders>
            <w:hideMark/>
          </w:tcPr>
          <w:p w14:paraId="36D50E8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Përqindja e fëmijëve me aftësi të kufizuara të përfshirë në Programin Kombëtar të Vaksinimit sipas kalendarit të vaksinimit.</w:t>
            </w:r>
          </w:p>
        </w:tc>
        <w:tc>
          <w:tcPr>
            <w:tcW w:w="992" w:type="dxa"/>
            <w:tcBorders>
              <w:top w:val="nil"/>
              <w:left w:val="nil"/>
              <w:bottom w:val="single" w:sz="4" w:space="0" w:color="auto"/>
              <w:right w:val="single" w:sz="4" w:space="0" w:color="auto"/>
            </w:tcBorders>
            <w:noWrap/>
            <w:hideMark/>
          </w:tcPr>
          <w:p w14:paraId="269AEFF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p>
        </w:tc>
        <w:tc>
          <w:tcPr>
            <w:tcW w:w="992" w:type="dxa"/>
            <w:tcBorders>
              <w:top w:val="nil"/>
              <w:left w:val="nil"/>
              <w:bottom w:val="single" w:sz="4" w:space="0" w:color="auto"/>
              <w:right w:val="single" w:sz="4" w:space="0" w:color="auto"/>
            </w:tcBorders>
            <w:noWrap/>
            <w:hideMark/>
          </w:tcPr>
          <w:p w14:paraId="20F5976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60%</w:t>
            </w:r>
          </w:p>
        </w:tc>
        <w:tc>
          <w:tcPr>
            <w:tcW w:w="992" w:type="dxa"/>
            <w:tcBorders>
              <w:top w:val="nil"/>
              <w:left w:val="nil"/>
              <w:bottom w:val="single" w:sz="4" w:space="0" w:color="auto"/>
              <w:right w:val="nil"/>
            </w:tcBorders>
            <w:noWrap/>
            <w:hideMark/>
          </w:tcPr>
          <w:p w14:paraId="08BEF44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w:t>
            </w:r>
          </w:p>
        </w:tc>
        <w:tc>
          <w:tcPr>
            <w:tcW w:w="2080" w:type="dxa"/>
            <w:tcBorders>
              <w:top w:val="nil"/>
              <w:left w:val="nil"/>
              <w:bottom w:val="single" w:sz="4" w:space="0" w:color="auto"/>
              <w:right w:val="nil"/>
            </w:tcBorders>
            <w:hideMark/>
          </w:tcPr>
          <w:p w14:paraId="20AD62A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960" w:type="dxa"/>
            <w:tcBorders>
              <w:top w:val="nil"/>
              <w:left w:val="single" w:sz="4" w:space="0" w:color="auto"/>
              <w:bottom w:val="single" w:sz="4" w:space="0" w:color="auto"/>
              <w:right w:val="single" w:sz="4" w:space="0" w:color="auto"/>
            </w:tcBorders>
            <w:hideMark/>
          </w:tcPr>
          <w:p w14:paraId="36ADFF2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786A80D" w14:textId="77777777" w:rsidTr="661F9D2E">
        <w:trPr>
          <w:trHeight w:val="1590"/>
        </w:trPr>
        <w:tc>
          <w:tcPr>
            <w:tcW w:w="1008" w:type="dxa"/>
            <w:vMerge/>
            <w:hideMark/>
          </w:tcPr>
          <w:p w14:paraId="7D85DEE9" w14:textId="77777777" w:rsidR="007D728E" w:rsidRPr="00CB13F7" w:rsidRDefault="007D728E" w:rsidP="007D728E">
            <w:pPr>
              <w:rPr>
                <w:rFonts w:eastAsia="Times New Roman"/>
                <w:b/>
                <w:bCs/>
                <w:color w:val="000000"/>
                <w:sz w:val="16"/>
                <w:szCs w:val="16"/>
                <w:lang w:eastAsia="en-US"/>
              </w:rPr>
            </w:pPr>
          </w:p>
        </w:tc>
        <w:tc>
          <w:tcPr>
            <w:tcW w:w="2126" w:type="dxa"/>
            <w:vMerge w:val="restart"/>
            <w:tcBorders>
              <w:top w:val="nil"/>
              <w:left w:val="single" w:sz="4" w:space="0" w:color="auto"/>
              <w:bottom w:val="single" w:sz="4" w:space="0" w:color="000000" w:themeColor="text1"/>
              <w:right w:val="nil"/>
            </w:tcBorders>
            <w:hideMark/>
          </w:tcPr>
          <w:p w14:paraId="13C5826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Masa Prioritare 1.2: Zhvillimi i kujdesit shëndetësor gjithëpërfshirës dhe të orientuar drejt personave me aftësi të kufizuara</w:t>
            </w:r>
          </w:p>
        </w:tc>
        <w:tc>
          <w:tcPr>
            <w:tcW w:w="2410" w:type="dxa"/>
            <w:tcBorders>
              <w:top w:val="nil"/>
              <w:left w:val="single" w:sz="4" w:space="0" w:color="auto"/>
              <w:bottom w:val="nil"/>
              <w:right w:val="nil"/>
            </w:tcBorders>
            <w:hideMark/>
          </w:tcPr>
          <w:p w14:paraId="1B27DF7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njësive të kujdesit shëndetësor parësor që funksionojnë me ekipe socio-shëndetësore për identifikimin, informimin dhe referimin e personave me aftësi të kufizuara.</w:t>
            </w:r>
          </w:p>
        </w:tc>
        <w:tc>
          <w:tcPr>
            <w:tcW w:w="992" w:type="dxa"/>
            <w:tcBorders>
              <w:top w:val="nil"/>
              <w:left w:val="nil"/>
              <w:bottom w:val="nil"/>
              <w:right w:val="single" w:sz="4" w:space="0" w:color="auto"/>
            </w:tcBorders>
            <w:hideMark/>
          </w:tcPr>
          <w:p w14:paraId="63B4A75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103</w:t>
            </w:r>
          </w:p>
        </w:tc>
        <w:tc>
          <w:tcPr>
            <w:tcW w:w="992" w:type="dxa"/>
            <w:tcBorders>
              <w:top w:val="nil"/>
              <w:left w:val="nil"/>
              <w:bottom w:val="nil"/>
              <w:right w:val="single" w:sz="4" w:space="0" w:color="auto"/>
            </w:tcBorders>
            <w:noWrap/>
            <w:hideMark/>
          </w:tcPr>
          <w:p w14:paraId="248520B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120</w:t>
            </w:r>
          </w:p>
        </w:tc>
        <w:tc>
          <w:tcPr>
            <w:tcW w:w="992" w:type="dxa"/>
            <w:tcBorders>
              <w:top w:val="nil"/>
              <w:left w:val="nil"/>
              <w:bottom w:val="nil"/>
              <w:right w:val="nil"/>
            </w:tcBorders>
            <w:noWrap/>
            <w:hideMark/>
          </w:tcPr>
          <w:p w14:paraId="224480A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170</w:t>
            </w:r>
          </w:p>
        </w:tc>
        <w:tc>
          <w:tcPr>
            <w:tcW w:w="2080" w:type="dxa"/>
            <w:tcBorders>
              <w:top w:val="nil"/>
              <w:left w:val="single" w:sz="4" w:space="0" w:color="auto"/>
              <w:bottom w:val="nil"/>
              <w:right w:val="nil"/>
            </w:tcBorders>
            <w:hideMark/>
          </w:tcPr>
          <w:p w14:paraId="3907F8F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Pr="00CB13F7">
              <w:rPr>
                <w:rFonts w:eastAsia="Times New Roman"/>
                <w:sz w:val="16"/>
                <w:szCs w:val="16"/>
                <w:lang w:eastAsia="en-US"/>
              </w:rPr>
              <w:br/>
              <w:t>Raportet e kujdesit parësor;</w:t>
            </w:r>
            <w:r w:rsidRPr="00CB13F7">
              <w:rPr>
                <w:rFonts w:eastAsia="Times New Roman"/>
                <w:sz w:val="16"/>
                <w:szCs w:val="16"/>
                <w:lang w:eastAsia="en-US"/>
              </w:rPr>
              <w:br/>
              <w:t>Akte zyrtare të MSHMS; Raportet e monitorimit;</w:t>
            </w:r>
            <w:r w:rsidRPr="00CB13F7">
              <w:rPr>
                <w:rFonts w:eastAsia="Times New Roman"/>
                <w:sz w:val="16"/>
                <w:szCs w:val="16"/>
                <w:lang w:eastAsia="en-US"/>
              </w:rPr>
              <w:br/>
              <w:t>FSDKSH;</w:t>
            </w:r>
            <w:r w:rsidRPr="00CB13F7">
              <w:rPr>
                <w:rFonts w:eastAsia="Times New Roman"/>
                <w:sz w:val="16"/>
                <w:szCs w:val="16"/>
                <w:lang w:eastAsia="en-US"/>
              </w:rPr>
              <w:br/>
              <w:t>Qendrat shëndetësore / raportet e MSHMS</w:t>
            </w:r>
          </w:p>
        </w:tc>
        <w:tc>
          <w:tcPr>
            <w:tcW w:w="2960" w:type="dxa"/>
            <w:tcBorders>
              <w:top w:val="nil"/>
              <w:left w:val="nil"/>
              <w:bottom w:val="nil"/>
              <w:right w:val="single" w:sz="4" w:space="0" w:color="auto"/>
            </w:tcBorders>
            <w:hideMark/>
          </w:tcPr>
          <w:p w14:paraId="01E69FA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55A7166" w14:textId="77777777" w:rsidTr="661F9D2E">
        <w:trPr>
          <w:trHeight w:val="1200"/>
        </w:trPr>
        <w:tc>
          <w:tcPr>
            <w:tcW w:w="1008" w:type="dxa"/>
            <w:vMerge/>
            <w:hideMark/>
          </w:tcPr>
          <w:p w14:paraId="53E9B5EB"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47F4D5DF" w14:textId="77777777" w:rsidR="007D728E" w:rsidRPr="00CB13F7" w:rsidRDefault="007D728E" w:rsidP="007D728E">
            <w:pPr>
              <w:rPr>
                <w:rFonts w:eastAsia="Times New Roman"/>
                <w:color w:val="000000"/>
                <w:sz w:val="16"/>
                <w:szCs w:val="16"/>
                <w:lang w:eastAsia="en-US"/>
              </w:rPr>
            </w:pPr>
          </w:p>
        </w:tc>
        <w:tc>
          <w:tcPr>
            <w:tcW w:w="2410" w:type="dxa"/>
            <w:tcBorders>
              <w:top w:val="nil"/>
              <w:left w:val="single" w:sz="4" w:space="0" w:color="auto"/>
              <w:bottom w:val="nil"/>
              <w:right w:val="nil"/>
            </w:tcBorders>
            <w:hideMark/>
          </w:tcPr>
          <w:p w14:paraId="16BDB0F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Standardet dhe udhëzuesi kombëtar për ofrimin e shërbimeve shëndetësore gjithëpërfshirëse për personat me aftësi të kufizuara të miratuara dhe në zbatim nga ofruesit e shërbimeve shëndetësore.</w:t>
            </w:r>
          </w:p>
        </w:tc>
        <w:tc>
          <w:tcPr>
            <w:tcW w:w="992" w:type="dxa"/>
            <w:tcBorders>
              <w:top w:val="nil"/>
              <w:left w:val="nil"/>
              <w:bottom w:val="nil"/>
              <w:right w:val="single" w:sz="4" w:space="0" w:color="auto"/>
            </w:tcBorders>
            <w:hideMark/>
          </w:tcPr>
          <w:p w14:paraId="0639DAB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nil"/>
              <w:left w:val="nil"/>
              <w:bottom w:val="nil"/>
              <w:right w:val="single" w:sz="4" w:space="0" w:color="auto"/>
            </w:tcBorders>
            <w:noWrap/>
            <w:hideMark/>
          </w:tcPr>
          <w:p w14:paraId="7488EED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100%</w:t>
            </w:r>
          </w:p>
        </w:tc>
        <w:tc>
          <w:tcPr>
            <w:tcW w:w="992" w:type="dxa"/>
            <w:tcBorders>
              <w:top w:val="nil"/>
              <w:left w:val="nil"/>
              <w:bottom w:val="nil"/>
              <w:right w:val="nil"/>
            </w:tcBorders>
            <w:noWrap/>
            <w:hideMark/>
          </w:tcPr>
          <w:p w14:paraId="444026D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100%</w:t>
            </w:r>
          </w:p>
        </w:tc>
        <w:tc>
          <w:tcPr>
            <w:tcW w:w="2080" w:type="dxa"/>
            <w:tcBorders>
              <w:top w:val="nil"/>
              <w:left w:val="single" w:sz="4" w:space="0" w:color="auto"/>
              <w:bottom w:val="nil"/>
              <w:right w:val="nil"/>
            </w:tcBorders>
            <w:hideMark/>
          </w:tcPr>
          <w:p w14:paraId="6C1FEE4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960" w:type="dxa"/>
            <w:tcBorders>
              <w:top w:val="nil"/>
              <w:left w:val="nil"/>
              <w:bottom w:val="nil"/>
              <w:right w:val="single" w:sz="4" w:space="0" w:color="auto"/>
            </w:tcBorders>
            <w:hideMark/>
          </w:tcPr>
          <w:p w14:paraId="200545F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6CA1D82F" w14:textId="77777777" w:rsidTr="661F9D2E">
        <w:trPr>
          <w:trHeight w:val="1215"/>
        </w:trPr>
        <w:tc>
          <w:tcPr>
            <w:tcW w:w="1008" w:type="dxa"/>
            <w:vMerge/>
            <w:hideMark/>
          </w:tcPr>
          <w:p w14:paraId="79BD06E8"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63BEDC9A" w14:textId="77777777" w:rsidR="007D728E" w:rsidRPr="00CB13F7" w:rsidRDefault="007D728E" w:rsidP="007D728E">
            <w:pPr>
              <w:rPr>
                <w:rFonts w:eastAsia="Times New Roman"/>
                <w:color w:val="000000"/>
                <w:sz w:val="16"/>
                <w:szCs w:val="16"/>
                <w:lang w:eastAsia="en-US"/>
              </w:rPr>
            </w:pPr>
          </w:p>
        </w:tc>
        <w:tc>
          <w:tcPr>
            <w:tcW w:w="2410" w:type="dxa"/>
            <w:tcBorders>
              <w:top w:val="nil"/>
              <w:left w:val="single" w:sz="4" w:space="0" w:color="auto"/>
              <w:bottom w:val="single" w:sz="4" w:space="0" w:color="auto"/>
              <w:right w:val="nil"/>
            </w:tcBorders>
            <w:hideMark/>
          </w:tcPr>
          <w:p w14:paraId="2C21F68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personave me aftësi të kufizuara që marrin shërbime shëndetësore (vizita në kujdesin parësor, specializuara ose shërbime të shëndetit seksual dhe riprodhues) gjatë vitit.</w:t>
            </w:r>
          </w:p>
        </w:tc>
        <w:tc>
          <w:tcPr>
            <w:tcW w:w="992" w:type="dxa"/>
            <w:tcBorders>
              <w:top w:val="nil"/>
              <w:left w:val="nil"/>
              <w:bottom w:val="single" w:sz="4" w:space="0" w:color="auto"/>
              <w:right w:val="single" w:sz="4" w:space="0" w:color="auto"/>
            </w:tcBorders>
            <w:hideMark/>
          </w:tcPr>
          <w:p w14:paraId="2DFC940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nil"/>
              <w:left w:val="nil"/>
              <w:bottom w:val="single" w:sz="4" w:space="0" w:color="auto"/>
              <w:right w:val="single" w:sz="4" w:space="0" w:color="auto"/>
            </w:tcBorders>
            <w:noWrap/>
            <w:hideMark/>
          </w:tcPr>
          <w:p w14:paraId="4DC7C6B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60%</w:t>
            </w:r>
          </w:p>
        </w:tc>
        <w:tc>
          <w:tcPr>
            <w:tcW w:w="992" w:type="dxa"/>
            <w:tcBorders>
              <w:top w:val="nil"/>
              <w:left w:val="nil"/>
              <w:bottom w:val="single" w:sz="4" w:space="0" w:color="auto"/>
              <w:right w:val="nil"/>
            </w:tcBorders>
            <w:noWrap/>
            <w:hideMark/>
          </w:tcPr>
          <w:p w14:paraId="041ED26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w:t>
            </w:r>
          </w:p>
        </w:tc>
        <w:tc>
          <w:tcPr>
            <w:tcW w:w="2080" w:type="dxa"/>
            <w:tcBorders>
              <w:top w:val="nil"/>
              <w:left w:val="single" w:sz="4" w:space="0" w:color="auto"/>
              <w:bottom w:val="single" w:sz="4" w:space="0" w:color="auto"/>
              <w:right w:val="nil"/>
            </w:tcBorders>
            <w:hideMark/>
          </w:tcPr>
          <w:p w14:paraId="2D7A087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960" w:type="dxa"/>
            <w:tcBorders>
              <w:top w:val="nil"/>
              <w:left w:val="nil"/>
              <w:bottom w:val="single" w:sz="4" w:space="0" w:color="auto"/>
              <w:right w:val="single" w:sz="4" w:space="0" w:color="auto"/>
            </w:tcBorders>
            <w:hideMark/>
          </w:tcPr>
          <w:p w14:paraId="3DA48C2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EE89A4F" w14:textId="77777777" w:rsidTr="661F9D2E">
        <w:trPr>
          <w:trHeight w:val="960"/>
        </w:trPr>
        <w:tc>
          <w:tcPr>
            <w:tcW w:w="1008" w:type="dxa"/>
            <w:vMerge/>
            <w:hideMark/>
          </w:tcPr>
          <w:p w14:paraId="17EF745E" w14:textId="77777777" w:rsidR="007D728E" w:rsidRPr="00CB13F7" w:rsidRDefault="007D728E" w:rsidP="007D728E">
            <w:pPr>
              <w:rPr>
                <w:rFonts w:eastAsia="Times New Roman"/>
                <w:b/>
                <w:bCs/>
                <w:color w:val="000000"/>
                <w:sz w:val="16"/>
                <w:szCs w:val="16"/>
                <w:lang w:eastAsia="en-US"/>
              </w:rPr>
            </w:pPr>
          </w:p>
        </w:tc>
        <w:tc>
          <w:tcPr>
            <w:tcW w:w="2126" w:type="dxa"/>
            <w:vMerge w:val="restart"/>
            <w:tcBorders>
              <w:top w:val="nil"/>
              <w:left w:val="single" w:sz="4" w:space="0" w:color="auto"/>
              <w:bottom w:val="nil"/>
              <w:right w:val="nil"/>
            </w:tcBorders>
            <w:hideMark/>
          </w:tcPr>
          <w:p w14:paraId="5850063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2.1: Forcimi i shërbimeve të rehabilitimit të bazuara në komunitet.</w:t>
            </w:r>
          </w:p>
        </w:tc>
        <w:tc>
          <w:tcPr>
            <w:tcW w:w="2410" w:type="dxa"/>
            <w:tcBorders>
              <w:top w:val="nil"/>
              <w:left w:val="single" w:sz="4" w:space="0" w:color="auto"/>
              <w:bottom w:val="nil"/>
              <w:right w:val="nil"/>
            </w:tcBorders>
            <w:hideMark/>
          </w:tcPr>
          <w:p w14:paraId="110ABA6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Standardet kombëtare për ofrimin e shërbimeve të rehabilitimit të bazuara në komunitet të miratuara dhe të shpërndara tek ofruesit e shërbimeve shëndetësore.</w:t>
            </w:r>
          </w:p>
        </w:tc>
        <w:tc>
          <w:tcPr>
            <w:tcW w:w="992" w:type="dxa"/>
            <w:tcBorders>
              <w:top w:val="nil"/>
              <w:left w:val="nil"/>
              <w:bottom w:val="nil"/>
              <w:right w:val="single" w:sz="4" w:space="0" w:color="auto"/>
            </w:tcBorders>
            <w:hideMark/>
          </w:tcPr>
          <w:p w14:paraId="639CEBA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nil"/>
              <w:left w:val="nil"/>
              <w:bottom w:val="nil"/>
              <w:right w:val="single" w:sz="4" w:space="0" w:color="auto"/>
            </w:tcBorders>
            <w:hideMark/>
          </w:tcPr>
          <w:p w14:paraId="1608A23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100%</w:t>
            </w:r>
          </w:p>
        </w:tc>
        <w:tc>
          <w:tcPr>
            <w:tcW w:w="992" w:type="dxa"/>
            <w:tcBorders>
              <w:top w:val="nil"/>
              <w:left w:val="nil"/>
              <w:bottom w:val="nil"/>
              <w:right w:val="nil"/>
            </w:tcBorders>
            <w:hideMark/>
          </w:tcPr>
          <w:p w14:paraId="64449F5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100%</w:t>
            </w:r>
          </w:p>
        </w:tc>
        <w:tc>
          <w:tcPr>
            <w:tcW w:w="2080" w:type="dxa"/>
            <w:tcBorders>
              <w:top w:val="nil"/>
              <w:left w:val="nil"/>
              <w:bottom w:val="nil"/>
              <w:right w:val="nil"/>
            </w:tcBorders>
            <w:hideMark/>
          </w:tcPr>
          <w:p w14:paraId="37A22B7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Akte zyrtare të MSHMS; Raportet e monitorimit;</w:t>
            </w:r>
            <w:r w:rsidRPr="00CB13F7">
              <w:rPr>
                <w:rFonts w:eastAsia="Times New Roman"/>
                <w:sz w:val="16"/>
                <w:szCs w:val="16"/>
                <w:lang w:eastAsia="en-US"/>
              </w:rPr>
              <w:br/>
              <w:t>Raportet e kujdesit shëndetësor;</w:t>
            </w:r>
          </w:p>
        </w:tc>
        <w:tc>
          <w:tcPr>
            <w:tcW w:w="2960" w:type="dxa"/>
            <w:tcBorders>
              <w:top w:val="nil"/>
              <w:left w:val="single" w:sz="4" w:space="0" w:color="auto"/>
              <w:bottom w:val="nil"/>
              <w:right w:val="single" w:sz="4" w:space="0" w:color="auto"/>
            </w:tcBorders>
            <w:hideMark/>
          </w:tcPr>
          <w:p w14:paraId="63696F8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A51C9FA" w14:textId="77777777" w:rsidTr="661F9D2E">
        <w:trPr>
          <w:trHeight w:val="825"/>
        </w:trPr>
        <w:tc>
          <w:tcPr>
            <w:tcW w:w="1008" w:type="dxa"/>
            <w:vMerge/>
            <w:hideMark/>
          </w:tcPr>
          <w:p w14:paraId="1C74A3BD"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41BA57BC" w14:textId="77777777" w:rsidR="007D728E" w:rsidRPr="00CB13F7" w:rsidRDefault="007D728E" w:rsidP="007D728E">
            <w:pPr>
              <w:rPr>
                <w:rFonts w:eastAsia="Times New Roman"/>
                <w:sz w:val="16"/>
                <w:szCs w:val="16"/>
                <w:lang w:eastAsia="en-US"/>
              </w:rPr>
            </w:pPr>
          </w:p>
        </w:tc>
        <w:tc>
          <w:tcPr>
            <w:tcW w:w="2410" w:type="dxa"/>
            <w:tcBorders>
              <w:top w:val="nil"/>
              <w:left w:val="single" w:sz="4" w:space="0" w:color="auto"/>
              <w:bottom w:val="nil"/>
              <w:right w:val="nil"/>
            </w:tcBorders>
            <w:hideMark/>
          </w:tcPr>
          <w:p w14:paraId="24C4AB7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njësive të kujdesit shëndetësor që ofrojnë shërbime rehabilitimi të bazuara në komunitet sipas standardeve të miratuara.</w:t>
            </w:r>
          </w:p>
        </w:tc>
        <w:tc>
          <w:tcPr>
            <w:tcW w:w="992" w:type="dxa"/>
            <w:tcBorders>
              <w:top w:val="nil"/>
              <w:left w:val="nil"/>
              <w:bottom w:val="nil"/>
              <w:right w:val="single" w:sz="4" w:space="0" w:color="auto"/>
            </w:tcBorders>
            <w:hideMark/>
          </w:tcPr>
          <w:p w14:paraId="27F33B8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nil"/>
              <w:left w:val="nil"/>
              <w:bottom w:val="nil"/>
              <w:right w:val="single" w:sz="4" w:space="0" w:color="auto"/>
            </w:tcBorders>
            <w:hideMark/>
          </w:tcPr>
          <w:p w14:paraId="393FFD4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20%</w:t>
            </w:r>
          </w:p>
        </w:tc>
        <w:tc>
          <w:tcPr>
            <w:tcW w:w="992" w:type="dxa"/>
            <w:tcBorders>
              <w:top w:val="nil"/>
              <w:left w:val="nil"/>
              <w:bottom w:val="nil"/>
              <w:right w:val="nil"/>
            </w:tcBorders>
            <w:hideMark/>
          </w:tcPr>
          <w:p w14:paraId="66E3F54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50%</w:t>
            </w:r>
          </w:p>
        </w:tc>
        <w:tc>
          <w:tcPr>
            <w:tcW w:w="2080" w:type="dxa"/>
            <w:tcBorders>
              <w:top w:val="nil"/>
              <w:left w:val="nil"/>
              <w:bottom w:val="single" w:sz="4" w:space="0" w:color="auto"/>
              <w:right w:val="nil"/>
            </w:tcBorders>
            <w:hideMark/>
          </w:tcPr>
          <w:p w14:paraId="52450A31" w14:textId="77777777" w:rsidR="007D728E" w:rsidRPr="00CB13F7" w:rsidRDefault="007D728E" w:rsidP="007D728E">
            <w:pPr>
              <w:rPr>
                <w:rFonts w:eastAsia="Times New Roman"/>
                <w:sz w:val="16"/>
                <w:szCs w:val="16"/>
                <w:lang w:eastAsia="en-US"/>
              </w:rPr>
            </w:pPr>
          </w:p>
        </w:tc>
        <w:tc>
          <w:tcPr>
            <w:tcW w:w="2960" w:type="dxa"/>
            <w:tcBorders>
              <w:top w:val="nil"/>
              <w:left w:val="single" w:sz="4" w:space="0" w:color="auto"/>
              <w:bottom w:val="nil"/>
              <w:right w:val="single" w:sz="4" w:space="0" w:color="auto"/>
            </w:tcBorders>
            <w:hideMark/>
          </w:tcPr>
          <w:p w14:paraId="3DA4E77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3A9E7CF" w14:textId="77777777" w:rsidTr="661F9D2E">
        <w:trPr>
          <w:trHeight w:val="1785"/>
        </w:trPr>
        <w:tc>
          <w:tcPr>
            <w:tcW w:w="1008" w:type="dxa"/>
            <w:vMerge/>
            <w:hideMark/>
          </w:tcPr>
          <w:p w14:paraId="2EBE69AB" w14:textId="77777777" w:rsidR="007D728E" w:rsidRPr="00CB13F7" w:rsidRDefault="007D728E" w:rsidP="007D728E">
            <w:pPr>
              <w:rPr>
                <w:rFonts w:eastAsia="Times New Roman"/>
                <w:b/>
                <w:bCs/>
                <w:color w:val="000000"/>
                <w:sz w:val="16"/>
                <w:szCs w:val="16"/>
                <w:lang w:eastAsia="en-US"/>
              </w:rPr>
            </w:pPr>
          </w:p>
        </w:tc>
        <w:tc>
          <w:tcPr>
            <w:tcW w:w="2126" w:type="dxa"/>
            <w:vMerge w:val="restart"/>
            <w:tcBorders>
              <w:top w:val="single" w:sz="4" w:space="0" w:color="auto"/>
              <w:left w:val="single" w:sz="4" w:space="0" w:color="auto"/>
              <w:bottom w:val="nil"/>
              <w:right w:val="nil"/>
            </w:tcBorders>
            <w:hideMark/>
          </w:tcPr>
          <w:p w14:paraId="59E8838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Masa Prioritare 2.2: Përmirësimi i mirëqenies së personave me aftësi të kufizuara </w:t>
            </w:r>
            <w:r w:rsidR="00234FBC" w:rsidRPr="00CB13F7">
              <w:rPr>
                <w:rFonts w:eastAsia="Times New Roman"/>
                <w:color w:val="000000"/>
                <w:sz w:val="16"/>
                <w:szCs w:val="16"/>
                <w:lang w:eastAsia="en-US"/>
              </w:rPr>
              <w:t>psiko-sociale</w:t>
            </w:r>
            <w:r w:rsidRPr="00CB13F7">
              <w:rPr>
                <w:rFonts w:eastAsia="Times New Roman"/>
                <w:color w:val="000000"/>
                <w:sz w:val="16"/>
                <w:szCs w:val="16"/>
                <w:lang w:eastAsia="en-US"/>
              </w:rPr>
              <w:t>, duke zgjeruar dhe forcuar shërbimet në komunitet, si dhe duke përshpejtuar kalimin nga kujdesi institucional drejt mbështetjes gjithëpërfshirëse në komunitet.</w:t>
            </w:r>
          </w:p>
        </w:tc>
        <w:tc>
          <w:tcPr>
            <w:tcW w:w="2410" w:type="dxa"/>
            <w:tcBorders>
              <w:top w:val="single" w:sz="4" w:space="0" w:color="auto"/>
              <w:left w:val="single" w:sz="4" w:space="0" w:color="auto"/>
              <w:bottom w:val="nil"/>
              <w:right w:val="nil"/>
            </w:tcBorders>
            <w:hideMark/>
          </w:tcPr>
          <w:p w14:paraId="480B045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Kuadri ligjor dhe nënligjor për personat me </w:t>
            </w:r>
            <w:r w:rsidR="0089320C" w:rsidRPr="00CB13F7">
              <w:rPr>
                <w:rFonts w:eastAsia="Times New Roman"/>
                <w:sz w:val="16"/>
                <w:szCs w:val="16"/>
                <w:lang w:eastAsia="en-US"/>
              </w:rPr>
              <w:t>aftësi</w:t>
            </w:r>
            <w:r w:rsidRPr="00CB13F7">
              <w:rPr>
                <w:rFonts w:eastAsia="Times New Roman"/>
                <w:sz w:val="16"/>
                <w:szCs w:val="16"/>
                <w:lang w:eastAsia="en-US"/>
              </w:rPr>
              <w:t xml:space="preserve"> te kufizuara </w:t>
            </w:r>
            <w:r w:rsidR="00234FBC" w:rsidRPr="00CB13F7">
              <w:rPr>
                <w:rFonts w:eastAsia="Times New Roman"/>
                <w:sz w:val="16"/>
                <w:szCs w:val="16"/>
                <w:lang w:eastAsia="en-US"/>
              </w:rPr>
              <w:t>psiko-sociale</w:t>
            </w:r>
            <w:r w:rsidRPr="00CB13F7">
              <w:rPr>
                <w:rFonts w:eastAsia="Times New Roman"/>
                <w:sz w:val="16"/>
                <w:szCs w:val="16"/>
                <w:lang w:eastAsia="en-US"/>
              </w:rPr>
              <w:t xml:space="preserve"> i rishikuar në përputhje me Konventën për të Drejtat e Personave me Aftësi të Kufizuara, duke përfshirë mekanizmat e vendimmarrjes së mbështetur.</w:t>
            </w:r>
          </w:p>
        </w:tc>
        <w:tc>
          <w:tcPr>
            <w:tcW w:w="992" w:type="dxa"/>
            <w:tcBorders>
              <w:top w:val="single" w:sz="4" w:space="0" w:color="auto"/>
              <w:left w:val="nil"/>
              <w:bottom w:val="nil"/>
              <w:right w:val="single" w:sz="4" w:space="0" w:color="auto"/>
            </w:tcBorders>
            <w:hideMark/>
          </w:tcPr>
          <w:p w14:paraId="69B3960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single" w:sz="4" w:space="0" w:color="auto"/>
              <w:left w:val="nil"/>
              <w:bottom w:val="nil"/>
              <w:right w:val="single" w:sz="4" w:space="0" w:color="auto"/>
            </w:tcBorders>
            <w:hideMark/>
          </w:tcPr>
          <w:p w14:paraId="298FDC3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akte rregullatore të ndryshuar</w:t>
            </w:r>
          </w:p>
        </w:tc>
        <w:tc>
          <w:tcPr>
            <w:tcW w:w="992" w:type="dxa"/>
            <w:tcBorders>
              <w:top w:val="single" w:sz="4" w:space="0" w:color="auto"/>
              <w:left w:val="nil"/>
              <w:bottom w:val="nil"/>
              <w:right w:val="nil"/>
            </w:tcBorders>
            <w:hideMark/>
          </w:tcPr>
          <w:p w14:paraId="0EFF267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 akte rregullatore të ndryshuar</w:t>
            </w:r>
          </w:p>
        </w:tc>
        <w:tc>
          <w:tcPr>
            <w:tcW w:w="2080" w:type="dxa"/>
            <w:tcBorders>
              <w:top w:val="nil"/>
              <w:left w:val="single" w:sz="4" w:space="0" w:color="auto"/>
              <w:bottom w:val="nil"/>
              <w:right w:val="nil"/>
            </w:tcBorders>
            <w:hideMark/>
          </w:tcPr>
          <w:p w14:paraId="6D741EFD" w14:textId="77777777" w:rsidR="007D728E" w:rsidRPr="00CB13F7" w:rsidRDefault="0089320C" w:rsidP="007D728E">
            <w:pPr>
              <w:rPr>
                <w:rFonts w:eastAsia="Times New Roman"/>
                <w:sz w:val="16"/>
                <w:szCs w:val="16"/>
                <w:lang w:eastAsia="en-US"/>
              </w:rPr>
            </w:pPr>
            <w:r w:rsidRPr="00CB13F7">
              <w:rPr>
                <w:rFonts w:eastAsia="Times New Roman"/>
                <w:sz w:val="16"/>
                <w:szCs w:val="16"/>
                <w:lang w:eastAsia="en-US"/>
              </w:rPr>
              <w:t>Ligje dhe akte nënligjore të miratuara nga MSHMS; Shërbimet komunitare të shëndetit mendor;</w:t>
            </w:r>
            <w:r w:rsidRPr="00CB13F7">
              <w:rPr>
                <w:rFonts w:eastAsia="Times New Roman"/>
                <w:sz w:val="16"/>
                <w:szCs w:val="16"/>
                <w:lang w:eastAsia="en-US"/>
              </w:rPr>
              <w:br/>
              <w:t>Komisionet e Vlerësimit bio-psiko-social</w:t>
            </w:r>
            <w:r w:rsidRPr="00CB13F7">
              <w:rPr>
                <w:rFonts w:eastAsia="Times New Roman"/>
                <w:sz w:val="16"/>
                <w:szCs w:val="16"/>
                <w:lang w:eastAsia="en-US"/>
              </w:rPr>
              <w:br/>
              <w:t xml:space="preserve">SHSSH; </w:t>
            </w:r>
            <w:r w:rsidRPr="00CB13F7">
              <w:rPr>
                <w:rFonts w:eastAsia="Times New Roman"/>
                <w:sz w:val="16"/>
                <w:szCs w:val="16"/>
                <w:lang w:eastAsia="en-US"/>
              </w:rPr>
              <w:br/>
              <w:t>MSHMS.</w:t>
            </w:r>
          </w:p>
        </w:tc>
        <w:tc>
          <w:tcPr>
            <w:tcW w:w="2960" w:type="dxa"/>
            <w:tcBorders>
              <w:top w:val="single" w:sz="4" w:space="0" w:color="auto"/>
              <w:left w:val="nil"/>
              <w:bottom w:val="nil"/>
              <w:right w:val="single" w:sz="4" w:space="0" w:color="auto"/>
            </w:tcBorders>
            <w:hideMark/>
          </w:tcPr>
          <w:p w14:paraId="1AD5B5B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76F5833" w14:textId="77777777" w:rsidTr="661F9D2E">
        <w:trPr>
          <w:trHeight w:val="780"/>
        </w:trPr>
        <w:tc>
          <w:tcPr>
            <w:tcW w:w="1008" w:type="dxa"/>
            <w:vMerge/>
            <w:hideMark/>
          </w:tcPr>
          <w:p w14:paraId="782EA2FF"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303016AF" w14:textId="77777777" w:rsidR="007D728E" w:rsidRPr="00CB13F7" w:rsidRDefault="007D728E" w:rsidP="007D728E">
            <w:pPr>
              <w:rPr>
                <w:rFonts w:eastAsia="Times New Roman"/>
                <w:color w:val="000000"/>
                <w:sz w:val="16"/>
                <w:szCs w:val="16"/>
                <w:lang w:eastAsia="en-US"/>
              </w:rPr>
            </w:pPr>
          </w:p>
        </w:tc>
        <w:tc>
          <w:tcPr>
            <w:tcW w:w="2410" w:type="dxa"/>
            <w:tcBorders>
              <w:top w:val="nil"/>
              <w:left w:val="single" w:sz="4" w:space="0" w:color="auto"/>
              <w:bottom w:val="nil"/>
              <w:right w:val="nil"/>
            </w:tcBorders>
            <w:hideMark/>
          </w:tcPr>
          <w:p w14:paraId="3FE30FC4" w14:textId="28AC8C2D" w:rsidR="007D728E" w:rsidRPr="00CB13F7" w:rsidRDefault="0080D2BD" w:rsidP="661F9D2E">
            <w:pPr>
              <w:rPr>
                <w:rFonts w:eastAsia="Times New Roman"/>
                <w:sz w:val="16"/>
                <w:szCs w:val="16"/>
                <w:lang w:eastAsia="en-US"/>
              </w:rPr>
            </w:pPr>
            <w:r w:rsidRPr="00CB13F7">
              <w:rPr>
                <w:rFonts w:eastAsia="Times New Roman"/>
                <w:sz w:val="16"/>
                <w:szCs w:val="16"/>
                <w:lang w:eastAsia="en-US"/>
              </w:rPr>
              <w:t>Numri i personave me aftësi të kufizuar psiko-sociale që përfitojnë mbështetje përmes shërbimeve komunitare</w:t>
            </w:r>
            <w:r w:rsidR="62497C7F" w:rsidRPr="00CB13F7">
              <w:rPr>
                <w:rFonts w:eastAsia="Times New Roman"/>
                <w:sz w:val="16"/>
                <w:szCs w:val="16"/>
                <w:lang w:eastAsia="en-US"/>
              </w:rPr>
              <w:t xml:space="preserve"> të shëndetit mendor</w:t>
            </w:r>
            <w:r w:rsidRPr="00CB13F7">
              <w:rPr>
                <w:rFonts w:eastAsia="Times New Roman"/>
                <w:sz w:val="16"/>
                <w:szCs w:val="16"/>
                <w:lang w:eastAsia="en-US"/>
              </w:rPr>
              <w:t>.</w:t>
            </w:r>
          </w:p>
        </w:tc>
        <w:tc>
          <w:tcPr>
            <w:tcW w:w="992" w:type="dxa"/>
            <w:tcBorders>
              <w:top w:val="nil"/>
              <w:left w:val="nil"/>
              <w:bottom w:val="nil"/>
              <w:right w:val="single" w:sz="4" w:space="0" w:color="auto"/>
            </w:tcBorders>
            <w:hideMark/>
          </w:tcPr>
          <w:p w14:paraId="04E0A40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nil"/>
              <w:left w:val="nil"/>
              <w:bottom w:val="nil"/>
              <w:right w:val="single" w:sz="4" w:space="0" w:color="auto"/>
            </w:tcBorders>
            <w:hideMark/>
          </w:tcPr>
          <w:p w14:paraId="3901618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10%</w:t>
            </w:r>
          </w:p>
        </w:tc>
        <w:tc>
          <w:tcPr>
            <w:tcW w:w="992" w:type="dxa"/>
            <w:tcBorders>
              <w:top w:val="nil"/>
              <w:left w:val="nil"/>
              <w:bottom w:val="nil"/>
              <w:right w:val="nil"/>
            </w:tcBorders>
            <w:hideMark/>
          </w:tcPr>
          <w:p w14:paraId="05067E3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30%</w:t>
            </w:r>
          </w:p>
        </w:tc>
        <w:tc>
          <w:tcPr>
            <w:tcW w:w="2080" w:type="dxa"/>
            <w:tcBorders>
              <w:top w:val="nil"/>
              <w:left w:val="single" w:sz="4" w:space="0" w:color="auto"/>
              <w:bottom w:val="single" w:sz="4" w:space="0" w:color="auto"/>
              <w:right w:val="nil"/>
            </w:tcBorders>
            <w:hideMark/>
          </w:tcPr>
          <w:p w14:paraId="6524AA1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960" w:type="dxa"/>
            <w:tcBorders>
              <w:top w:val="nil"/>
              <w:left w:val="nil"/>
              <w:bottom w:val="nil"/>
              <w:right w:val="single" w:sz="4" w:space="0" w:color="auto"/>
            </w:tcBorders>
            <w:hideMark/>
          </w:tcPr>
          <w:p w14:paraId="4A9F2C3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73AABDD" w14:textId="77777777" w:rsidTr="661F9D2E">
        <w:trPr>
          <w:trHeight w:val="975"/>
        </w:trPr>
        <w:tc>
          <w:tcPr>
            <w:tcW w:w="1008" w:type="dxa"/>
            <w:vMerge/>
            <w:hideMark/>
          </w:tcPr>
          <w:p w14:paraId="659774CA" w14:textId="77777777" w:rsidR="007D728E" w:rsidRPr="00CB13F7" w:rsidRDefault="007D728E" w:rsidP="007D728E">
            <w:pPr>
              <w:rPr>
                <w:rFonts w:eastAsia="Times New Roman"/>
                <w:b/>
                <w:bCs/>
                <w:color w:val="000000"/>
                <w:sz w:val="16"/>
                <w:szCs w:val="16"/>
                <w:lang w:eastAsia="en-US"/>
              </w:rPr>
            </w:pPr>
          </w:p>
        </w:tc>
        <w:tc>
          <w:tcPr>
            <w:tcW w:w="2126" w:type="dxa"/>
            <w:vMerge w:val="restart"/>
            <w:tcBorders>
              <w:top w:val="single" w:sz="4" w:space="0" w:color="auto"/>
              <w:left w:val="single" w:sz="4" w:space="0" w:color="auto"/>
              <w:bottom w:val="single" w:sz="4" w:space="0" w:color="000000" w:themeColor="text1"/>
              <w:right w:val="nil"/>
            </w:tcBorders>
            <w:hideMark/>
          </w:tcPr>
          <w:p w14:paraId="7E68688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2.3: Përmirësimi i aksesit në teknologji dhe pajisje ndihmëse për personat me aftësi të kufizuara.</w:t>
            </w:r>
          </w:p>
        </w:tc>
        <w:tc>
          <w:tcPr>
            <w:tcW w:w="2410" w:type="dxa"/>
            <w:tcBorders>
              <w:top w:val="single" w:sz="4" w:space="0" w:color="auto"/>
              <w:left w:val="single" w:sz="4" w:space="0" w:color="auto"/>
              <w:bottom w:val="nil"/>
              <w:right w:val="nil"/>
            </w:tcBorders>
            <w:hideMark/>
          </w:tcPr>
          <w:p w14:paraId="067F32F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Lista Kombëtare e pajisjeve dhe teknologjive ndihmëse e miratuar dhe mekanizmi i rimbursimit financiar për pajisjet ndihmëse funksional</w:t>
            </w:r>
          </w:p>
        </w:tc>
        <w:tc>
          <w:tcPr>
            <w:tcW w:w="992" w:type="dxa"/>
            <w:tcBorders>
              <w:top w:val="single" w:sz="4" w:space="0" w:color="auto"/>
              <w:left w:val="nil"/>
              <w:bottom w:val="nil"/>
              <w:right w:val="single" w:sz="4" w:space="0" w:color="auto"/>
            </w:tcBorders>
            <w:hideMark/>
          </w:tcPr>
          <w:p w14:paraId="58D3672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single" w:sz="4" w:space="0" w:color="auto"/>
              <w:left w:val="nil"/>
              <w:bottom w:val="nil"/>
              <w:right w:val="single" w:sz="4" w:space="0" w:color="auto"/>
            </w:tcBorders>
            <w:noWrap/>
            <w:hideMark/>
          </w:tcPr>
          <w:p w14:paraId="412A18B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992" w:type="dxa"/>
            <w:tcBorders>
              <w:top w:val="single" w:sz="4" w:space="0" w:color="auto"/>
              <w:left w:val="nil"/>
              <w:bottom w:val="nil"/>
              <w:right w:val="nil"/>
            </w:tcBorders>
            <w:hideMark/>
          </w:tcPr>
          <w:p w14:paraId="070214F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Dokumenti i miratuar</w:t>
            </w:r>
          </w:p>
        </w:tc>
        <w:tc>
          <w:tcPr>
            <w:tcW w:w="2080" w:type="dxa"/>
            <w:tcBorders>
              <w:top w:val="nil"/>
              <w:left w:val="single" w:sz="4" w:space="0" w:color="auto"/>
              <w:bottom w:val="nil"/>
              <w:right w:val="nil"/>
            </w:tcBorders>
            <w:hideMark/>
          </w:tcPr>
          <w:p w14:paraId="75EC342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VKM dhe aktet nënligjore; Raporte të MSHMS;</w:t>
            </w:r>
            <w:r w:rsidRPr="00CB13F7">
              <w:rPr>
                <w:rFonts w:eastAsia="Times New Roman"/>
                <w:sz w:val="16"/>
                <w:szCs w:val="16"/>
                <w:lang w:eastAsia="en-US"/>
              </w:rPr>
              <w:br/>
              <w:t>FSDKSH</w:t>
            </w:r>
          </w:p>
        </w:tc>
        <w:tc>
          <w:tcPr>
            <w:tcW w:w="2960" w:type="dxa"/>
            <w:tcBorders>
              <w:top w:val="single" w:sz="4" w:space="0" w:color="auto"/>
              <w:left w:val="nil"/>
              <w:bottom w:val="nil"/>
              <w:right w:val="single" w:sz="4" w:space="0" w:color="auto"/>
            </w:tcBorders>
            <w:hideMark/>
          </w:tcPr>
          <w:p w14:paraId="019AB5B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961ECDD" w14:textId="77777777" w:rsidTr="661F9D2E">
        <w:trPr>
          <w:trHeight w:val="1020"/>
        </w:trPr>
        <w:tc>
          <w:tcPr>
            <w:tcW w:w="1008" w:type="dxa"/>
            <w:vMerge/>
            <w:hideMark/>
          </w:tcPr>
          <w:p w14:paraId="10E00A77"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7DFE39A7" w14:textId="77777777" w:rsidR="007D728E" w:rsidRPr="00CB13F7" w:rsidRDefault="007D728E" w:rsidP="007D728E">
            <w:pPr>
              <w:rPr>
                <w:rFonts w:eastAsia="Times New Roman"/>
                <w:sz w:val="16"/>
                <w:szCs w:val="16"/>
                <w:lang w:eastAsia="en-US"/>
              </w:rPr>
            </w:pPr>
          </w:p>
        </w:tc>
        <w:tc>
          <w:tcPr>
            <w:tcW w:w="2410" w:type="dxa"/>
            <w:tcBorders>
              <w:top w:val="nil"/>
              <w:left w:val="single" w:sz="4" w:space="0" w:color="auto"/>
              <w:bottom w:val="nil"/>
              <w:right w:val="nil"/>
            </w:tcBorders>
            <w:hideMark/>
          </w:tcPr>
          <w:p w14:paraId="1CF6A9A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personave me aftësi të kufizuara që përfitojnë pajisje ose teknologji ndihmëse të rimbursuara nga skema publike gjatë vitit.</w:t>
            </w:r>
          </w:p>
        </w:tc>
        <w:tc>
          <w:tcPr>
            <w:tcW w:w="992" w:type="dxa"/>
            <w:tcBorders>
              <w:top w:val="nil"/>
              <w:left w:val="nil"/>
              <w:bottom w:val="nil"/>
              <w:right w:val="single" w:sz="4" w:space="0" w:color="auto"/>
            </w:tcBorders>
            <w:hideMark/>
          </w:tcPr>
          <w:p w14:paraId="3DD63B3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850</w:t>
            </w:r>
          </w:p>
        </w:tc>
        <w:tc>
          <w:tcPr>
            <w:tcW w:w="992" w:type="dxa"/>
            <w:tcBorders>
              <w:top w:val="nil"/>
              <w:left w:val="nil"/>
              <w:bottom w:val="nil"/>
              <w:right w:val="single" w:sz="4" w:space="0" w:color="auto"/>
            </w:tcBorders>
            <w:hideMark/>
          </w:tcPr>
          <w:p w14:paraId="5EAA698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2500</w:t>
            </w:r>
          </w:p>
        </w:tc>
        <w:tc>
          <w:tcPr>
            <w:tcW w:w="992" w:type="dxa"/>
            <w:tcBorders>
              <w:top w:val="nil"/>
              <w:left w:val="nil"/>
              <w:bottom w:val="nil"/>
              <w:right w:val="nil"/>
            </w:tcBorders>
            <w:hideMark/>
          </w:tcPr>
          <w:p w14:paraId="4A9F0A8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8000</w:t>
            </w:r>
          </w:p>
        </w:tc>
        <w:tc>
          <w:tcPr>
            <w:tcW w:w="2080" w:type="dxa"/>
            <w:tcBorders>
              <w:top w:val="nil"/>
              <w:left w:val="single" w:sz="4" w:space="0" w:color="auto"/>
              <w:bottom w:val="single" w:sz="4" w:space="0" w:color="auto"/>
              <w:right w:val="nil"/>
            </w:tcBorders>
            <w:hideMark/>
          </w:tcPr>
          <w:p w14:paraId="5263B68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960" w:type="dxa"/>
            <w:tcBorders>
              <w:top w:val="nil"/>
              <w:left w:val="nil"/>
              <w:bottom w:val="single" w:sz="4" w:space="0" w:color="auto"/>
              <w:right w:val="single" w:sz="4" w:space="0" w:color="auto"/>
            </w:tcBorders>
            <w:hideMark/>
          </w:tcPr>
          <w:p w14:paraId="565D6E6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B2561A1" w14:textId="77777777" w:rsidTr="661F9D2E">
        <w:trPr>
          <w:trHeight w:val="1455"/>
        </w:trPr>
        <w:tc>
          <w:tcPr>
            <w:tcW w:w="1008" w:type="dxa"/>
            <w:vMerge/>
            <w:hideMark/>
          </w:tcPr>
          <w:p w14:paraId="1CC8CD01" w14:textId="77777777" w:rsidR="007D728E" w:rsidRPr="00CB13F7" w:rsidRDefault="007D728E" w:rsidP="007D728E">
            <w:pPr>
              <w:rPr>
                <w:rFonts w:eastAsia="Times New Roman"/>
                <w:b/>
                <w:bCs/>
                <w:color w:val="000000"/>
                <w:sz w:val="16"/>
                <w:szCs w:val="16"/>
                <w:lang w:eastAsia="en-US"/>
              </w:rPr>
            </w:pPr>
          </w:p>
        </w:tc>
        <w:tc>
          <w:tcPr>
            <w:tcW w:w="2126" w:type="dxa"/>
            <w:vMerge w:val="restart"/>
            <w:tcBorders>
              <w:top w:val="nil"/>
              <w:left w:val="nil"/>
              <w:bottom w:val="nil"/>
              <w:right w:val="nil"/>
            </w:tcBorders>
            <w:hideMark/>
          </w:tcPr>
          <w:p w14:paraId="5E6D565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Masa prioritare </w:t>
            </w:r>
            <w:r w:rsidR="0089320C" w:rsidRPr="00CB13F7">
              <w:rPr>
                <w:rFonts w:eastAsia="Times New Roman"/>
                <w:sz w:val="16"/>
                <w:szCs w:val="16"/>
                <w:lang w:eastAsia="en-US"/>
              </w:rPr>
              <w:t>3.1. Edukimi</w:t>
            </w:r>
            <w:r w:rsidRPr="00CB13F7">
              <w:rPr>
                <w:rFonts w:eastAsia="Times New Roman"/>
                <w:sz w:val="16"/>
                <w:szCs w:val="16"/>
                <w:lang w:eastAsia="en-US"/>
              </w:rPr>
              <w:t xml:space="preserve"> dhe forcimi i kapaciteteve të personelit shëndetësor</w:t>
            </w:r>
          </w:p>
        </w:tc>
        <w:tc>
          <w:tcPr>
            <w:tcW w:w="2410" w:type="dxa"/>
            <w:tcBorders>
              <w:top w:val="single" w:sz="4" w:space="0" w:color="auto"/>
              <w:left w:val="single" w:sz="4" w:space="0" w:color="auto"/>
              <w:bottom w:val="nil"/>
              <w:right w:val="nil"/>
            </w:tcBorders>
            <w:hideMark/>
          </w:tcPr>
          <w:p w14:paraId="2396EDB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Klasifikimi Ndërkombëtar i Funksionimit, Aftësisë së Kufizuar dhe Shëndetit (ICF) i integruar në kurrikulat e programeve të studimit në mjekësi, infermieri dhe në programet e formimit profesional të vazhdueshëm.</w:t>
            </w:r>
          </w:p>
        </w:tc>
        <w:tc>
          <w:tcPr>
            <w:tcW w:w="992" w:type="dxa"/>
            <w:tcBorders>
              <w:top w:val="single" w:sz="4" w:space="0" w:color="auto"/>
              <w:left w:val="nil"/>
              <w:bottom w:val="nil"/>
              <w:right w:val="single" w:sz="4" w:space="0" w:color="auto"/>
            </w:tcBorders>
            <w:hideMark/>
          </w:tcPr>
          <w:p w14:paraId="7029C38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single" w:sz="4" w:space="0" w:color="auto"/>
              <w:left w:val="nil"/>
              <w:bottom w:val="nil"/>
              <w:right w:val="single" w:sz="4" w:space="0" w:color="auto"/>
            </w:tcBorders>
            <w:noWrap/>
            <w:hideMark/>
          </w:tcPr>
          <w:p w14:paraId="0D3F8B5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992" w:type="dxa"/>
            <w:tcBorders>
              <w:top w:val="single" w:sz="4" w:space="0" w:color="auto"/>
              <w:left w:val="nil"/>
              <w:bottom w:val="nil"/>
              <w:right w:val="nil"/>
            </w:tcBorders>
            <w:noWrap/>
            <w:hideMark/>
          </w:tcPr>
          <w:p w14:paraId="59D0FBA4" w14:textId="4F7A1902"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Kurrikula</w:t>
            </w:r>
            <w:r w:rsidR="00BC2B69" w:rsidRPr="00CB13F7">
              <w:rPr>
                <w:rFonts w:eastAsia="Times New Roman"/>
                <w:color w:val="000000"/>
                <w:sz w:val="16"/>
                <w:szCs w:val="16"/>
                <w:lang w:eastAsia="en-US"/>
              </w:rPr>
              <w:t xml:space="preserve"> të rivlerësuara</w:t>
            </w:r>
          </w:p>
        </w:tc>
        <w:tc>
          <w:tcPr>
            <w:tcW w:w="2080" w:type="dxa"/>
            <w:tcBorders>
              <w:top w:val="nil"/>
              <w:left w:val="single" w:sz="4" w:space="0" w:color="auto"/>
              <w:bottom w:val="nil"/>
              <w:right w:val="nil"/>
            </w:tcBorders>
            <w:hideMark/>
          </w:tcPr>
          <w:p w14:paraId="4152B28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Universitetet publike /Urdhrat profesionalë; </w:t>
            </w:r>
            <w:r w:rsidRPr="00CB13F7">
              <w:rPr>
                <w:rFonts w:eastAsia="Times New Roman"/>
                <w:color w:val="000000"/>
                <w:sz w:val="16"/>
                <w:szCs w:val="16"/>
                <w:lang w:eastAsia="en-US"/>
              </w:rPr>
              <w:br/>
              <w:t>MSHMS;</w:t>
            </w:r>
            <w:r w:rsidRPr="00CB13F7">
              <w:rPr>
                <w:rFonts w:eastAsia="Times New Roman"/>
                <w:color w:val="000000"/>
                <w:sz w:val="16"/>
                <w:szCs w:val="16"/>
                <w:lang w:eastAsia="en-US"/>
              </w:rPr>
              <w:br/>
              <w:t>ISHP;</w:t>
            </w:r>
            <w:r w:rsidRPr="00CB13F7">
              <w:rPr>
                <w:rFonts w:eastAsia="Times New Roman"/>
                <w:color w:val="000000"/>
                <w:sz w:val="16"/>
                <w:szCs w:val="16"/>
                <w:lang w:eastAsia="en-US"/>
              </w:rPr>
              <w:br/>
              <w:t>Urdhri i Mjekut;</w:t>
            </w:r>
            <w:r w:rsidRPr="00CB13F7">
              <w:rPr>
                <w:rFonts w:eastAsia="Times New Roman"/>
                <w:color w:val="000000"/>
                <w:sz w:val="16"/>
                <w:szCs w:val="16"/>
                <w:lang w:eastAsia="en-US"/>
              </w:rPr>
              <w:br/>
              <w:t>Urdhri i Infermierit.</w:t>
            </w:r>
          </w:p>
        </w:tc>
        <w:tc>
          <w:tcPr>
            <w:tcW w:w="2960" w:type="dxa"/>
            <w:vMerge w:val="restart"/>
            <w:tcBorders>
              <w:top w:val="nil"/>
              <w:left w:val="nil"/>
              <w:bottom w:val="nil"/>
              <w:right w:val="single" w:sz="4" w:space="0" w:color="000000" w:themeColor="text1"/>
            </w:tcBorders>
            <w:hideMark/>
          </w:tcPr>
          <w:p w14:paraId="1C97806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4F5F8E8" w14:textId="77777777" w:rsidTr="661F9D2E">
        <w:trPr>
          <w:trHeight w:val="1485"/>
        </w:trPr>
        <w:tc>
          <w:tcPr>
            <w:tcW w:w="1008" w:type="dxa"/>
            <w:vMerge/>
            <w:hideMark/>
          </w:tcPr>
          <w:p w14:paraId="641F4D81"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1FED3CFC" w14:textId="77777777" w:rsidR="007D728E" w:rsidRPr="00CB13F7" w:rsidRDefault="007D728E" w:rsidP="007D728E">
            <w:pPr>
              <w:rPr>
                <w:rFonts w:eastAsia="Times New Roman"/>
                <w:sz w:val="16"/>
                <w:szCs w:val="16"/>
                <w:lang w:eastAsia="en-US"/>
              </w:rPr>
            </w:pPr>
          </w:p>
        </w:tc>
        <w:tc>
          <w:tcPr>
            <w:tcW w:w="2410" w:type="dxa"/>
            <w:tcBorders>
              <w:top w:val="nil"/>
              <w:left w:val="single" w:sz="4" w:space="0" w:color="auto"/>
              <w:bottom w:val="nil"/>
              <w:right w:val="nil"/>
            </w:tcBorders>
            <w:hideMark/>
          </w:tcPr>
          <w:p w14:paraId="6B495155" w14:textId="6CF8069E" w:rsidR="007D728E" w:rsidRPr="00CB13F7" w:rsidRDefault="0080D2BD" w:rsidP="007D728E">
            <w:pPr>
              <w:rPr>
                <w:rFonts w:eastAsia="Times New Roman"/>
                <w:sz w:val="16"/>
                <w:szCs w:val="16"/>
                <w:lang w:eastAsia="en-US"/>
              </w:rPr>
            </w:pPr>
            <w:r w:rsidRPr="00CB13F7">
              <w:rPr>
                <w:rFonts w:eastAsia="Times New Roman"/>
                <w:sz w:val="16"/>
                <w:szCs w:val="16"/>
                <w:lang w:eastAsia="en-US"/>
              </w:rPr>
              <w:t>Numri i profesionistëve shëndetësorë të trajnuar mbi qasjen e bazuar në të drejtat e njeriut, Konventën për të Drejtat e Personave me Aftësi të Kufizuara (</w:t>
            </w:r>
            <w:r w:rsidR="75941CC7" w:rsidRPr="00CB13F7">
              <w:rPr>
                <w:rFonts w:eastAsia="Times New Roman"/>
                <w:sz w:val="16"/>
                <w:szCs w:val="16"/>
                <w:lang w:eastAsia="en-US"/>
              </w:rPr>
              <w:t>KDPAK</w:t>
            </w:r>
            <w:r w:rsidRPr="00CB13F7">
              <w:rPr>
                <w:rFonts w:eastAsia="Times New Roman"/>
                <w:sz w:val="16"/>
                <w:szCs w:val="16"/>
                <w:lang w:eastAsia="en-US"/>
              </w:rPr>
              <w:t>) dhe komunikimin e aksesueshëm me personat me aftësi të kufizuara.</w:t>
            </w:r>
          </w:p>
        </w:tc>
        <w:tc>
          <w:tcPr>
            <w:tcW w:w="992" w:type="dxa"/>
            <w:tcBorders>
              <w:top w:val="nil"/>
              <w:left w:val="nil"/>
              <w:bottom w:val="nil"/>
              <w:right w:val="single" w:sz="4" w:space="0" w:color="auto"/>
            </w:tcBorders>
            <w:hideMark/>
          </w:tcPr>
          <w:p w14:paraId="76C2162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tcBorders>
              <w:top w:val="nil"/>
              <w:left w:val="nil"/>
              <w:bottom w:val="nil"/>
              <w:right w:val="single" w:sz="4" w:space="0" w:color="auto"/>
            </w:tcBorders>
            <w:hideMark/>
          </w:tcPr>
          <w:p w14:paraId="0ED89BC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400</w:t>
            </w:r>
          </w:p>
        </w:tc>
        <w:tc>
          <w:tcPr>
            <w:tcW w:w="992" w:type="dxa"/>
            <w:tcBorders>
              <w:top w:val="nil"/>
              <w:left w:val="nil"/>
              <w:bottom w:val="nil"/>
              <w:right w:val="nil"/>
            </w:tcBorders>
            <w:hideMark/>
          </w:tcPr>
          <w:p w14:paraId="26DCF16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1200</w:t>
            </w:r>
          </w:p>
        </w:tc>
        <w:tc>
          <w:tcPr>
            <w:tcW w:w="2080" w:type="dxa"/>
            <w:tcBorders>
              <w:top w:val="nil"/>
              <w:left w:val="single" w:sz="4" w:space="0" w:color="auto"/>
              <w:bottom w:val="single" w:sz="4" w:space="0" w:color="auto"/>
              <w:right w:val="nil"/>
            </w:tcBorders>
            <w:hideMark/>
          </w:tcPr>
          <w:p w14:paraId="052569D7" w14:textId="77777777" w:rsidR="007D728E" w:rsidRPr="00CB13F7" w:rsidRDefault="007D728E" w:rsidP="007D728E">
            <w:pPr>
              <w:rPr>
                <w:rFonts w:eastAsia="Times New Roman"/>
                <w:sz w:val="16"/>
                <w:szCs w:val="16"/>
                <w:lang w:eastAsia="en-US"/>
              </w:rPr>
            </w:pPr>
          </w:p>
        </w:tc>
        <w:tc>
          <w:tcPr>
            <w:tcW w:w="2960" w:type="dxa"/>
            <w:vMerge/>
            <w:hideMark/>
          </w:tcPr>
          <w:p w14:paraId="075A0EC9" w14:textId="77777777" w:rsidR="007D728E" w:rsidRPr="00CB13F7" w:rsidRDefault="007D728E" w:rsidP="007D728E">
            <w:pPr>
              <w:rPr>
                <w:rFonts w:eastAsia="Times New Roman"/>
                <w:color w:val="000000"/>
                <w:sz w:val="16"/>
                <w:szCs w:val="16"/>
                <w:lang w:eastAsia="en-US"/>
              </w:rPr>
            </w:pPr>
          </w:p>
        </w:tc>
      </w:tr>
      <w:tr w:rsidR="007D728E" w:rsidRPr="00CB13F7" w14:paraId="0CF92ECE" w14:textId="77777777" w:rsidTr="661F9D2E">
        <w:trPr>
          <w:trHeight w:val="1050"/>
        </w:trPr>
        <w:tc>
          <w:tcPr>
            <w:tcW w:w="1008" w:type="dxa"/>
            <w:vMerge/>
            <w:hideMark/>
          </w:tcPr>
          <w:p w14:paraId="0B5AA57D" w14:textId="77777777" w:rsidR="007D728E" w:rsidRPr="00CB13F7" w:rsidRDefault="007D728E" w:rsidP="007D728E">
            <w:pPr>
              <w:rPr>
                <w:rFonts w:eastAsia="Times New Roman"/>
                <w:b/>
                <w:bCs/>
                <w:color w:val="000000"/>
                <w:sz w:val="16"/>
                <w:szCs w:val="16"/>
                <w:lang w:eastAsia="en-US"/>
              </w:rPr>
            </w:pPr>
          </w:p>
        </w:tc>
        <w:tc>
          <w:tcPr>
            <w:tcW w:w="2126" w:type="dxa"/>
            <w:vMerge w:val="restart"/>
            <w:tcBorders>
              <w:top w:val="single" w:sz="4" w:space="0" w:color="auto"/>
              <w:left w:val="nil"/>
              <w:bottom w:val="single" w:sz="4" w:space="0" w:color="auto"/>
              <w:right w:val="single" w:sz="4" w:space="0" w:color="auto"/>
            </w:tcBorders>
            <w:hideMark/>
          </w:tcPr>
          <w:p w14:paraId="2F8B71A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3.2: Akses i barabartë në mjedise dhe informacion shëndetësor për të gjitha kategoritë e personave me aftësi të kufizuar</w:t>
            </w:r>
          </w:p>
        </w:tc>
        <w:tc>
          <w:tcPr>
            <w:tcW w:w="2410" w:type="dxa"/>
            <w:tcBorders>
              <w:top w:val="single" w:sz="4" w:space="0" w:color="auto"/>
              <w:left w:val="nil"/>
              <w:bottom w:val="nil"/>
              <w:right w:val="nil"/>
            </w:tcBorders>
            <w:hideMark/>
          </w:tcPr>
          <w:p w14:paraId="13939A7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Përqindja e institucioneve shëndetësore publike që plotësojnë standardet e aksesueshmërisë fizike për personat me aftësi të kufizuara.</w:t>
            </w:r>
          </w:p>
        </w:tc>
        <w:tc>
          <w:tcPr>
            <w:tcW w:w="992" w:type="dxa"/>
            <w:tcBorders>
              <w:top w:val="single" w:sz="4" w:space="0" w:color="auto"/>
              <w:left w:val="nil"/>
              <w:bottom w:val="nil"/>
              <w:right w:val="single" w:sz="4" w:space="0" w:color="auto"/>
            </w:tcBorders>
            <w:hideMark/>
          </w:tcPr>
          <w:p w14:paraId="209A753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w:t>
            </w:r>
          </w:p>
        </w:tc>
        <w:tc>
          <w:tcPr>
            <w:tcW w:w="992" w:type="dxa"/>
            <w:tcBorders>
              <w:top w:val="single" w:sz="4" w:space="0" w:color="auto"/>
              <w:left w:val="nil"/>
              <w:bottom w:val="nil"/>
              <w:right w:val="single" w:sz="4" w:space="0" w:color="auto"/>
            </w:tcBorders>
            <w:hideMark/>
          </w:tcPr>
          <w:p w14:paraId="608EB31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70%</w:t>
            </w:r>
          </w:p>
        </w:tc>
        <w:tc>
          <w:tcPr>
            <w:tcW w:w="992" w:type="dxa"/>
            <w:tcBorders>
              <w:top w:val="single" w:sz="4" w:space="0" w:color="auto"/>
              <w:left w:val="nil"/>
              <w:bottom w:val="nil"/>
              <w:right w:val="nil"/>
            </w:tcBorders>
            <w:hideMark/>
          </w:tcPr>
          <w:p w14:paraId="5D794E7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85%</w:t>
            </w:r>
          </w:p>
        </w:tc>
        <w:tc>
          <w:tcPr>
            <w:tcW w:w="2080" w:type="dxa"/>
            <w:tcBorders>
              <w:top w:val="nil"/>
              <w:left w:val="single" w:sz="4" w:space="0" w:color="auto"/>
              <w:bottom w:val="nil"/>
              <w:right w:val="nil"/>
            </w:tcBorders>
            <w:hideMark/>
          </w:tcPr>
          <w:p w14:paraId="11C45EF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Auditimet e aksesueshmërisë / MSHMS;</w:t>
            </w:r>
            <w:r w:rsidRPr="00CB13F7">
              <w:rPr>
                <w:rFonts w:eastAsia="Times New Roman"/>
                <w:color w:val="000000"/>
                <w:sz w:val="16"/>
                <w:szCs w:val="16"/>
                <w:lang w:eastAsia="en-US"/>
              </w:rPr>
              <w:br/>
              <w:t>Institucionet shëndetësore; Raportet e monitorimit;</w:t>
            </w:r>
          </w:p>
        </w:tc>
        <w:tc>
          <w:tcPr>
            <w:tcW w:w="2960" w:type="dxa"/>
            <w:tcBorders>
              <w:top w:val="single" w:sz="4" w:space="0" w:color="auto"/>
              <w:left w:val="single" w:sz="4" w:space="0" w:color="auto"/>
              <w:bottom w:val="nil"/>
              <w:right w:val="single" w:sz="4" w:space="0" w:color="auto"/>
            </w:tcBorders>
            <w:hideMark/>
          </w:tcPr>
          <w:p w14:paraId="357CBA0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DFBF1AC" w14:textId="77777777" w:rsidTr="661F9D2E">
        <w:trPr>
          <w:trHeight w:val="464"/>
        </w:trPr>
        <w:tc>
          <w:tcPr>
            <w:tcW w:w="1008" w:type="dxa"/>
            <w:vMerge/>
            <w:hideMark/>
          </w:tcPr>
          <w:p w14:paraId="4E855845"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6C983B2F" w14:textId="77777777" w:rsidR="007D728E" w:rsidRPr="00CB13F7" w:rsidRDefault="007D728E" w:rsidP="007D728E">
            <w:pPr>
              <w:rPr>
                <w:rFonts w:eastAsia="Times New Roman"/>
                <w:sz w:val="16"/>
                <w:szCs w:val="16"/>
                <w:lang w:eastAsia="en-US"/>
              </w:rPr>
            </w:pPr>
          </w:p>
        </w:tc>
        <w:tc>
          <w:tcPr>
            <w:tcW w:w="2410" w:type="dxa"/>
            <w:vMerge w:val="restart"/>
            <w:tcBorders>
              <w:top w:val="nil"/>
              <w:left w:val="single" w:sz="4" w:space="0" w:color="auto"/>
              <w:bottom w:val="single" w:sz="4" w:space="0" w:color="000000" w:themeColor="text1"/>
              <w:right w:val="nil"/>
            </w:tcBorders>
            <w:hideMark/>
          </w:tcPr>
          <w:p w14:paraId="27237E6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institucioneve shëndetësore që ofrojnë informacion dhe komunikim shëndetësor në formate të aksesueshme për personat me aftësi të kufizuara.</w:t>
            </w:r>
          </w:p>
        </w:tc>
        <w:tc>
          <w:tcPr>
            <w:tcW w:w="992" w:type="dxa"/>
            <w:vMerge w:val="restart"/>
            <w:tcBorders>
              <w:top w:val="nil"/>
              <w:left w:val="single" w:sz="4" w:space="0" w:color="auto"/>
              <w:bottom w:val="single" w:sz="4" w:space="0" w:color="000000" w:themeColor="text1"/>
              <w:right w:val="single" w:sz="4" w:space="0" w:color="auto"/>
            </w:tcBorders>
            <w:hideMark/>
          </w:tcPr>
          <w:p w14:paraId="17B4E05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992" w:type="dxa"/>
            <w:vMerge w:val="restart"/>
            <w:tcBorders>
              <w:top w:val="nil"/>
              <w:left w:val="single" w:sz="4" w:space="0" w:color="auto"/>
              <w:bottom w:val="single" w:sz="4" w:space="0" w:color="000000" w:themeColor="text1"/>
              <w:right w:val="single" w:sz="4" w:space="0" w:color="auto"/>
            </w:tcBorders>
            <w:noWrap/>
            <w:hideMark/>
          </w:tcPr>
          <w:p w14:paraId="110FB99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w:t>
            </w:r>
          </w:p>
        </w:tc>
        <w:tc>
          <w:tcPr>
            <w:tcW w:w="992" w:type="dxa"/>
            <w:vMerge w:val="restart"/>
            <w:tcBorders>
              <w:top w:val="nil"/>
              <w:left w:val="single" w:sz="4" w:space="0" w:color="auto"/>
              <w:bottom w:val="single" w:sz="4" w:space="0" w:color="000000" w:themeColor="text1"/>
              <w:right w:val="nil"/>
            </w:tcBorders>
            <w:hideMark/>
          </w:tcPr>
          <w:p w14:paraId="2350522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40%</w:t>
            </w:r>
          </w:p>
        </w:tc>
        <w:tc>
          <w:tcPr>
            <w:tcW w:w="2080" w:type="dxa"/>
            <w:vMerge w:val="restart"/>
            <w:tcBorders>
              <w:top w:val="nil"/>
              <w:left w:val="single" w:sz="4" w:space="0" w:color="auto"/>
              <w:bottom w:val="single" w:sz="4" w:space="0" w:color="000000" w:themeColor="text1"/>
              <w:right w:val="nil"/>
            </w:tcBorders>
            <w:hideMark/>
          </w:tcPr>
          <w:p w14:paraId="5B6BF8F5" w14:textId="77777777" w:rsidR="007D728E" w:rsidRPr="00CB13F7" w:rsidRDefault="007D728E" w:rsidP="007D728E">
            <w:pPr>
              <w:rPr>
                <w:rFonts w:eastAsia="Times New Roman"/>
                <w:sz w:val="16"/>
                <w:szCs w:val="16"/>
                <w:lang w:eastAsia="en-US"/>
              </w:rPr>
            </w:pPr>
          </w:p>
        </w:tc>
        <w:tc>
          <w:tcPr>
            <w:tcW w:w="2960" w:type="dxa"/>
            <w:vMerge w:val="restart"/>
            <w:tcBorders>
              <w:top w:val="nil"/>
              <w:left w:val="single" w:sz="4" w:space="0" w:color="auto"/>
              <w:bottom w:val="single" w:sz="4" w:space="0" w:color="000000" w:themeColor="text1"/>
              <w:right w:val="single" w:sz="4" w:space="0" w:color="auto"/>
            </w:tcBorders>
            <w:hideMark/>
          </w:tcPr>
          <w:p w14:paraId="583AAC9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B3EF5BE" w14:textId="77777777" w:rsidTr="661F9D2E">
        <w:trPr>
          <w:trHeight w:val="464"/>
        </w:trPr>
        <w:tc>
          <w:tcPr>
            <w:tcW w:w="1008" w:type="dxa"/>
            <w:vMerge/>
            <w:hideMark/>
          </w:tcPr>
          <w:p w14:paraId="25734501"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522AF1F5" w14:textId="77777777" w:rsidR="007D728E" w:rsidRPr="00CB13F7" w:rsidRDefault="007D728E" w:rsidP="007D728E">
            <w:pPr>
              <w:rPr>
                <w:rFonts w:eastAsia="Times New Roman"/>
                <w:sz w:val="16"/>
                <w:szCs w:val="16"/>
                <w:lang w:eastAsia="en-US"/>
              </w:rPr>
            </w:pPr>
          </w:p>
        </w:tc>
        <w:tc>
          <w:tcPr>
            <w:tcW w:w="2410" w:type="dxa"/>
            <w:vMerge/>
            <w:hideMark/>
          </w:tcPr>
          <w:p w14:paraId="54911F7E" w14:textId="77777777" w:rsidR="007D728E" w:rsidRPr="00CB13F7" w:rsidRDefault="007D728E" w:rsidP="007D728E">
            <w:pPr>
              <w:rPr>
                <w:rFonts w:eastAsia="Times New Roman"/>
                <w:sz w:val="16"/>
                <w:szCs w:val="16"/>
                <w:lang w:eastAsia="en-US"/>
              </w:rPr>
            </w:pPr>
          </w:p>
        </w:tc>
        <w:tc>
          <w:tcPr>
            <w:tcW w:w="992" w:type="dxa"/>
            <w:vMerge/>
            <w:hideMark/>
          </w:tcPr>
          <w:p w14:paraId="5E71F64B" w14:textId="77777777" w:rsidR="007D728E" w:rsidRPr="00CB13F7" w:rsidRDefault="007D728E" w:rsidP="007D728E">
            <w:pPr>
              <w:rPr>
                <w:rFonts w:eastAsia="Times New Roman"/>
                <w:sz w:val="16"/>
                <w:szCs w:val="16"/>
                <w:lang w:eastAsia="en-US"/>
              </w:rPr>
            </w:pPr>
          </w:p>
        </w:tc>
        <w:tc>
          <w:tcPr>
            <w:tcW w:w="992" w:type="dxa"/>
            <w:vMerge/>
            <w:hideMark/>
          </w:tcPr>
          <w:p w14:paraId="55028D10" w14:textId="77777777" w:rsidR="007D728E" w:rsidRPr="00CB13F7" w:rsidRDefault="007D728E" w:rsidP="007D728E">
            <w:pPr>
              <w:rPr>
                <w:rFonts w:eastAsia="Times New Roman"/>
                <w:color w:val="000000"/>
                <w:sz w:val="16"/>
                <w:szCs w:val="16"/>
                <w:lang w:eastAsia="en-US"/>
              </w:rPr>
            </w:pPr>
          </w:p>
        </w:tc>
        <w:tc>
          <w:tcPr>
            <w:tcW w:w="992" w:type="dxa"/>
            <w:vMerge/>
            <w:hideMark/>
          </w:tcPr>
          <w:p w14:paraId="5DEA7547" w14:textId="77777777" w:rsidR="007D728E" w:rsidRPr="00CB13F7" w:rsidRDefault="007D728E" w:rsidP="007D728E">
            <w:pPr>
              <w:rPr>
                <w:rFonts w:eastAsia="Times New Roman"/>
                <w:sz w:val="16"/>
                <w:szCs w:val="16"/>
                <w:lang w:eastAsia="en-US"/>
              </w:rPr>
            </w:pPr>
          </w:p>
        </w:tc>
        <w:tc>
          <w:tcPr>
            <w:tcW w:w="2080" w:type="dxa"/>
            <w:vMerge/>
            <w:hideMark/>
          </w:tcPr>
          <w:p w14:paraId="06A2162A" w14:textId="77777777" w:rsidR="007D728E" w:rsidRPr="00CB13F7" w:rsidRDefault="007D728E" w:rsidP="007D728E">
            <w:pPr>
              <w:rPr>
                <w:rFonts w:eastAsia="Times New Roman"/>
                <w:sz w:val="16"/>
                <w:szCs w:val="16"/>
                <w:lang w:eastAsia="en-US"/>
              </w:rPr>
            </w:pPr>
          </w:p>
        </w:tc>
        <w:tc>
          <w:tcPr>
            <w:tcW w:w="2960" w:type="dxa"/>
            <w:vMerge/>
            <w:hideMark/>
          </w:tcPr>
          <w:p w14:paraId="1338F5EB" w14:textId="77777777" w:rsidR="007D728E" w:rsidRPr="00CB13F7" w:rsidRDefault="007D728E" w:rsidP="007D728E">
            <w:pPr>
              <w:rPr>
                <w:rFonts w:eastAsia="Times New Roman"/>
                <w:color w:val="000000"/>
                <w:sz w:val="16"/>
                <w:szCs w:val="16"/>
                <w:lang w:eastAsia="en-US"/>
              </w:rPr>
            </w:pPr>
          </w:p>
        </w:tc>
      </w:tr>
      <w:tr w:rsidR="007D728E" w:rsidRPr="00CB13F7" w14:paraId="61E99BC1" w14:textId="77777777" w:rsidTr="661F9D2E">
        <w:trPr>
          <w:trHeight w:val="555"/>
        </w:trPr>
        <w:tc>
          <w:tcPr>
            <w:tcW w:w="1008" w:type="dxa"/>
            <w:vMerge/>
            <w:hideMark/>
          </w:tcPr>
          <w:p w14:paraId="09662470" w14:textId="77777777" w:rsidR="007D728E" w:rsidRPr="00CB13F7" w:rsidRDefault="007D728E" w:rsidP="007D728E">
            <w:pPr>
              <w:rPr>
                <w:rFonts w:eastAsia="Times New Roman"/>
                <w:b/>
                <w:bCs/>
                <w:color w:val="000000"/>
                <w:sz w:val="16"/>
                <w:szCs w:val="16"/>
                <w:lang w:eastAsia="en-US"/>
              </w:rPr>
            </w:pPr>
          </w:p>
        </w:tc>
        <w:tc>
          <w:tcPr>
            <w:tcW w:w="2126" w:type="dxa"/>
            <w:vMerge/>
            <w:hideMark/>
          </w:tcPr>
          <w:p w14:paraId="2E9088D2" w14:textId="77777777" w:rsidR="007D728E" w:rsidRPr="00CB13F7" w:rsidRDefault="007D728E" w:rsidP="007D728E">
            <w:pPr>
              <w:rPr>
                <w:rFonts w:eastAsia="Times New Roman"/>
                <w:sz w:val="16"/>
                <w:szCs w:val="16"/>
                <w:lang w:eastAsia="en-US"/>
              </w:rPr>
            </w:pPr>
          </w:p>
        </w:tc>
        <w:tc>
          <w:tcPr>
            <w:tcW w:w="2410" w:type="dxa"/>
            <w:vMerge/>
            <w:hideMark/>
          </w:tcPr>
          <w:p w14:paraId="79DDB99A" w14:textId="77777777" w:rsidR="007D728E" w:rsidRPr="00CB13F7" w:rsidRDefault="007D728E" w:rsidP="007D728E">
            <w:pPr>
              <w:rPr>
                <w:rFonts w:eastAsia="Times New Roman"/>
                <w:sz w:val="16"/>
                <w:szCs w:val="16"/>
                <w:lang w:eastAsia="en-US"/>
              </w:rPr>
            </w:pPr>
          </w:p>
        </w:tc>
        <w:tc>
          <w:tcPr>
            <w:tcW w:w="992" w:type="dxa"/>
            <w:vMerge/>
            <w:hideMark/>
          </w:tcPr>
          <w:p w14:paraId="4A263691" w14:textId="77777777" w:rsidR="007D728E" w:rsidRPr="00CB13F7" w:rsidRDefault="007D728E" w:rsidP="007D728E">
            <w:pPr>
              <w:rPr>
                <w:rFonts w:eastAsia="Times New Roman"/>
                <w:sz w:val="16"/>
                <w:szCs w:val="16"/>
                <w:lang w:eastAsia="en-US"/>
              </w:rPr>
            </w:pPr>
          </w:p>
        </w:tc>
        <w:tc>
          <w:tcPr>
            <w:tcW w:w="992" w:type="dxa"/>
            <w:vMerge/>
            <w:hideMark/>
          </w:tcPr>
          <w:p w14:paraId="370828A0" w14:textId="77777777" w:rsidR="007D728E" w:rsidRPr="00CB13F7" w:rsidRDefault="007D728E" w:rsidP="007D728E">
            <w:pPr>
              <w:rPr>
                <w:rFonts w:eastAsia="Times New Roman"/>
                <w:color w:val="000000"/>
                <w:sz w:val="16"/>
                <w:szCs w:val="16"/>
                <w:lang w:eastAsia="en-US"/>
              </w:rPr>
            </w:pPr>
          </w:p>
        </w:tc>
        <w:tc>
          <w:tcPr>
            <w:tcW w:w="992" w:type="dxa"/>
            <w:vMerge/>
            <w:hideMark/>
          </w:tcPr>
          <w:p w14:paraId="4F0B54B2" w14:textId="77777777" w:rsidR="007D728E" w:rsidRPr="00CB13F7" w:rsidRDefault="007D728E" w:rsidP="007D728E">
            <w:pPr>
              <w:rPr>
                <w:rFonts w:eastAsia="Times New Roman"/>
                <w:sz w:val="16"/>
                <w:szCs w:val="16"/>
                <w:lang w:eastAsia="en-US"/>
              </w:rPr>
            </w:pPr>
          </w:p>
        </w:tc>
        <w:tc>
          <w:tcPr>
            <w:tcW w:w="2080" w:type="dxa"/>
            <w:vMerge/>
            <w:hideMark/>
          </w:tcPr>
          <w:p w14:paraId="00BD10F3" w14:textId="77777777" w:rsidR="007D728E" w:rsidRPr="00CB13F7" w:rsidRDefault="007D728E" w:rsidP="007D728E">
            <w:pPr>
              <w:rPr>
                <w:rFonts w:eastAsia="Times New Roman"/>
                <w:sz w:val="16"/>
                <w:szCs w:val="16"/>
                <w:lang w:eastAsia="en-US"/>
              </w:rPr>
            </w:pPr>
          </w:p>
        </w:tc>
        <w:tc>
          <w:tcPr>
            <w:tcW w:w="2960" w:type="dxa"/>
            <w:vMerge/>
            <w:hideMark/>
          </w:tcPr>
          <w:p w14:paraId="703FFD69" w14:textId="77777777" w:rsidR="007D728E" w:rsidRPr="00CB13F7" w:rsidRDefault="007D728E" w:rsidP="007D728E">
            <w:pPr>
              <w:rPr>
                <w:rFonts w:eastAsia="Times New Roman"/>
                <w:color w:val="000000"/>
                <w:sz w:val="16"/>
                <w:szCs w:val="16"/>
                <w:lang w:eastAsia="en-US"/>
              </w:rPr>
            </w:pPr>
          </w:p>
        </w:tc>
      </w:tr>
    </w:tbl>
    <w:p w14:paraId="5A093505" w14:textId="77777777" w:rsidR="007D728E" w:rsidRPr="00CB13F7" w:rsidRDefault="007D728E" w:rsidP="007D728E">
      <w:pPr>
        <w:rPr>
          <w:rFonts w:ascii="Cambria" w:eastAsia="MS Mincho" w:hAnsi="Cambria"/>
          <w:lang w:eastAsia="en-US"/>
        </w:rPr>
      </w:pPr>
    </w:p>
    <w:p w14:paraId="2E43EEF6" w14:textId="77777777" w:rsidR="007D728E" w:rsidRPr="00CB13F7" w:rsidRDefault="007D728E" w:rsidP="007D728E">
      <w:pPr>
        <w:rPr>
          <w:rFonts w:ascii="Cambria" w:eastAsia="MS Mincho" w:hAnsi="Cambria"/>
          <w:lang w:eastAsia="en-US"/>
        </w:rPr>
      </w:pPr>
    </w:p>
    <w:p w14:paraId="7F332DA7" w14:textId="7124CC5D" w:rsidR="007D728E" w:rsidRPr="00CB13F7" w:rsidRDefault="007D728E" w:rsidP="007D728E">
      <w:pPr>
        <w:rPr>
          <w:rFonts w:eastAsia="Times New Roman"/>
          <w:b/>
          <w:bCs/>
          <w:lang w:eastAsia="en-US"/>
        </w:rPr>
      </w:pPr>
      <w:r w:rsidRPr="00CB13F7">
        <w:rPr>
          <w:rFonts w:eastAsia="Times New Roman"/>
          <w:b/>
          <w:bCs/>
          <w:lang w:eastAsia="en-US"/>
        </w:rPr>
        <w:t>6.7</w:t>
      </w:r>
      <w:r w:rsidR="00736097" w:rsidRPr="00CB13F7">
        <w:rPr>
          <w:rFonts w:eastAsia="Times New Roman"/>
          <w:b/>
          <w:bCs/>
          <w:lang w:eastAsia="en-US"/>
        </w:rPr>
        <w:t xml:space="preserve"> </w:t>
      </w:r>
      <w:r w:rsidRPr="00CB13F7">
        <w:rPr>
          <w:rFonts w:eastAsia="Times New Roman"/>
          <w:b/>
          <w:bCs/>
          <w:lang w:eastAsia="en-US"/>
        </w:rPr>
        <w:t>Pjesëmarrja</w:t>
      </w:r>
    </w:p>
    <w:p w14:paraId="696B5B26" w14:textId="77777777" w:rsidR="007D728E" w:rsidRPr="00CB13F7" w:rsidRDefault="007D728E" w:rsidP="007D728E">
      <w:pPr>
        <w:rPr>
          <w:rFonts w:ascii="Cambria" w:eastAsia="MS Mincho" w:hAnsi="Cambria"/>
          <w:lang w:eastAsia="en-US"/>
        </w:rPr>
      </w:pPr>
    </w:p>
    <w:tbl>
      <w:tblPr>
        <w:tblW w:w="13623" w:type="dxa"/>
        <w:tblInd w:w="93" w:type="dxa"/>
        <w:tblLayout w:type="fixed"/>
        <w:tblLook w:val="04A0" w:firstRow="1" w:lastRow="0" w:firstColumn="1" w:lastColumn="0" w:noHBand="0" w:noVBand="1"/>
      </w:tblPr>
      <w:tblGrid>
        <w:gridCol w:w="1260"/>
        <w:gridCol w:w="2080"/>
        <w:gridCol w:w="2629"/>
        <w:gridCol w:w="1134"/>
        <w:gridCol w:w="1097"/>
        <w:gridCol w:w="1460"/>
        <w:gridCol w:w="1440"/>
        <w:gridCol w:w="2523"/>
      </w:tblGrid>
      <w:tr w:rsidR="007D728E" w:rsidRPr="00CB13F7" w14:paraId="42391A7C" w14:textId="77777777" w:rsidTr="00592A13">
        <w:trPr>
          <w:trHeight w:val="545"/>
        </w:trPr>
        <w:tc>
          <w:tcPr>
            <w:tcW w:w="1260" w:type="dxa"/>
            <w:tcBorders>
              <w:top w:val="single" w:sz="4" w:space="0" w:color="000000"/>
              <w:left w:val="single" w:sz="4" w:space="0" w:color="000000"/>
              <w:bottom w:val="single" w:sz="4" w:space="0" w:color="000000"/>
              <w:right w:val="single" w:sz="4" w:space="0" w:color="000000"/>
            </w:tcBorders>
            <w:shd w:val="clear" w:color="000000" w:fill="C0E5F3"/>
            <w:vAlign w:val="center"/>
            <w:hideMark/>
          </w:tcPr>
          <w:p w14:paraId="5694A7D4"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tcBorders>
              <w:top w:val="single" w:sz="4" w:space="0" w:color="000000"/>
              <w:left w:val="nil"/>
              <w:bottom w:val="single" w:sz="4" w:space="0" w:color="000000"/>
              <w:right w:val="single" w:sz="4" w:space="0" w:color="000000"/>
            </w:tcBorders>
            <w:shd w:val="clear" w:color="000000" w:fill="C0E5F3"/>
            <w:hideMark/>
          </w:tcPr>
          <w:p w14:paraId="1FF766DB"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Objektivat</w:t>
            </w:r>
          </w:p>
        </w:tc>
        <w:tc>
          <w:tcPr>
            <w:tcW w:w="2629" w:type="dxa"/>
            <w:tcBorders>
              <w:top w:val="single" w:sz="4" w:space="0" w:color="000000"/>
              <w:left w:val="nil"/>
              <w:bottom w:val="single" w:sz="4" w:space="0" w:color="000000"/>
              <w:right w:val="nil"/>
            </w:tcBorders>
            <w:shd w:val="clear" w:color="000000" w:fill="C0E5F3"/>
            <w:hideMark/>
          </w:tcPr>
          <w:p w14:paraId="7131962E"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Treguesi</w:t>
            </w:r>
          </w:p>
        </w:tc>
        <w:tc>
          <w:tcPr>
            <w:tcW w:w="1134" w:type="dxa"/>
            <w:tcBorders>
              <w:top w:val="single" w:sz="4" w:space="0" w:color="000000"/>
              <w:left w:val="single" w:sz="4" w:space="0" w:color="000000"/>
              <w:bottom w:val="single" w:sz="4" w:space="0" w:color="000000"/>
              <w:right w:val="single" w:sz="4" w:space="0" w:color="000000"/>
            </w:tcBorders>
            <w:shd w:val="clear" w:color="000000" w:fill="C0E5F3"/>
            <w:hideMark/>
          </w:tcPr>
          <w:p w14:paraId="165B4C83"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Vlera bazë</w:t>
            </w:r>
          </w:p>
        </w:tc>
        <w:tc>
          <w:tcPr>
            <w:tcW w:w="1097" w:type="dxa"/>
            <w:tcBorders>
              <w:top w:val="single" w:sz="4" w:space="0" w:color="000000"/>
              <w:left w:val="nil"/>
              <w:bottom w:val="single" w:sz="4" w:space="0" w:color="000000"/>
              <w:right w:val="single" w:sz="4" w:space="0" w:color="000000"/>
            </w:tcBorders>
            <w:shd w:val="clear" w:color="000000" w:fill="C0E5F3"/>
            <w:hideMark/>
          </w:tcPr>
          <w:p w14:paraId="47930359"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2027</w:t>
            </w:r>
          </w:p>
        </w:tc>
        <w:tc>
          <w:tcPr>
            <w:tcW w:w="1460" w:type="dxa"/>
            <w:tcBorders>
              <w:top w:val="single" w:sz="4" w:space="0" w:color="000000"/>
              <w:left w:val="nil"/>
              <w:bottom w:val="single" w:sz="4" w:space="0" w:color="000000"/>
              <w:right w:val="nil"/>
            </w:tcBorders>
            <w:shd w:val="clear" w:color="000000" w:fill="C0E5F3"/>
            <w:hideMark/>
          </w:tcPr>
          <w:p w14:paraId="6DF44B4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2030</w:t>
            </w:r>
          </w:p>
        </w:tc>
        <w:tc>
          <w:tcPr>
            <w:tcW w:w="1440" w:type="dxa"/>
            <w:tcBorders>
              <w:top w:val="single" w:sz="4" w:space="0" w:color="000000"/>
              <w:left w:val="single" w:sz="4" w:space="0" w:color="000000"/>
              <w:bottom w:val="single" w:sz="4" w:space="0" w:color="000000"/>
              <w:right w:val="nil"/>
            </w:tcBorders>
            <w:shd w:val="clear" w:color="000000" w:fill="C0E5F3"/>
            <w:hideMark/>
          </w:tcPr>
          <w:p w14:paraId="4FF94D8B"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Burimet dhe mjetet e verifikimit</w:t>
            </w:r>
          </w:p>
        </w:tc>
        <w:tc>
          <w:tcPr>
            <w:tcW w:w="2523" w:type="dxa"/>
            <w:tcBorders>
              <w:top w:val="single" w:sz="4" w:space="0" w:color="000000"/>
              <w:left w:val="single" w:sz="4" w:space="0" w:color="000000"/>
              <w:bottom w:val="single" w:sz="4" w:space="0" w:color="000000"/>
              <w:right w:val="single" w:sz="4" w:space="0" w:color="auto"/>
            </w:tcBorders>
            <w:shd w:val="clear" w:color="000000" w:fill="C0E5F3"/>
            <w:hideMark/>
          </w:tcPr>
          <w:p w14:paraId="2A20AA7C"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7D728E" w:rsidRPr="00CB13F7" w14:paraId="665B295E" w14:textId="77777777" w:rsidTr="00592A13">
        <w:trPr>
          <w:trHeight w:val="1419"/>
        </w:trPr>
        <w:tc>
          <w:tcPr>
            <w:tcW w:w="1260" w:type="dxa"/>
            <w:tcBorders>
              <w:top w:val="nil"/>
              <w:left w:val="single" w:sz="4" w:space="0" w:color="000000"/>
              <w:bottom w:val="nil"/>
              <w:right w:val="single" w:sz="4" w:space="0" w:color="000000"/>
            </w:tcBorders>
            <w:shd w:val="clear" w:color="000000" w:fill="D8F1D0"/>
            <w:vAlign w:val="center"/>
            <w:hideMark/>
          </w:tcPr>
          <w:p w14:paraId="23B9CCCF"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lastRenderedPageBreak/>
              <w:t xml:space="preserve">Qëllimi i politikës </w:t>
            </w:r>
          </w:p>
        </w:tc>
        <w:tc>
          <w:tcPr>
            <w:tcW w:w="2080" w:type="dxa"/>
            <w:tcBorders>
              <w:top w:val="single" w:sz="4" w:space="0" w:color="000000"/>
              <w:left w:val="nil"/>
              <w:bottom w:val="nil"/>
              <w:right w:val="single" w:sz="4" w:space="0" w:color="000000"/>
            </w:tcBorders>
            <w:shd w:val="clear" w:color="000000" w:fill="D8F1D0"/>
            <w:hideMark/>
          </w:tcPr>
          <w:p w14:paraId="29F2D8C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Qëllimi i politikës: Garantimi i përfshirjes së plotë të personave me aftësi të kufizuara në jetën publike dhe politike në Shqipëri dhe mundësimi i mbrojtjes së interesave të tyre.</w:t>
            </w:r>
          </w:p>
        </w:tc>
        <w:tc>
          <w:tcPr>
            <w:tcW w:w="2629" w:type="dxa"/>
            <w:tcBorders>
              <w:top w:val="nil"/>
              <w:left w:val="nil"/>
              <w:bottom w:val="single" w:sz="4" w:space="0" w:color="000000"/>
              <w:right w:val="nil"/>
            </w:tcBorders>
            <w:shd w:val="clear" w:color="000000" w:fill="D8F1D0"/>
            <w:hideMark/>
          </w:tcPr>
          <w:p w14:paraId="6473DB6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Përqindja e personave me aftësi të kufizuara që marrin pjesë në </w:t>
            </w:r>
            <w:r w:rsidR="0089320C" w:rsidRPr="00CB13F7">
              <w:rPr>
                <w:rFonts w:eastAsia="Times New Roman"/>
                <w:color w:val="000000"/>
                <w:sz w:val="16"/>
                <w:szCs w:val="16"/>
                <w:lang w:eastAsia="en-US"/>
              </w:rPr>
              <w:t>proceset</w:t>
            </w:r>
            <w:r w:rsidRPr="00CB13F7">
              <w:rPr>
                <w:rFonts w:eastAsia="Times New Roman"/>
                <w:color w:val="000000"/>
                <w:sz w:val="16"/>
                <w:szCs w:val="16"/>
                <w:lang w:eastAsia="en-US"/>
              </w:rPr>
              <w:t xml:space="preserve"> vendimmarrëse publike dhe politike (si votues, kandidatë, anëtarë të këshillave apo forumeve publike).</w:t>
            </w:r>
          </w:p>
        </w:tc>
        <w:tc>
          <w:tcPr>
            <w:tcW w:w="1134" w:type="dxa"/>
            <w:tcBorders>
              <w:top w:val="nil"/>
              <w:left w:val="single" w:sz="4" w:space="0" w:color="000000"/>
              <w:bottom w:val="nil"/>
              <w:right w:val="single" w:sz="4" w:space="0" w:color="000000"/>
            </w:tcBorders>
            <w:shd w:val="clear" w:color="000000" w:fill="D8F1D0"/>
            <w:hideMark/>
          </w:tcPr>
          <w:p w14:paraId="4BB501B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097" w:type="dxa"/>
            <w:tcBorders>
              <w:top w:val="nil"/>
              <w:left w:val="nil"/>
              <w:bottom w:val="nil"/>
              <w:right w:val="single" w:sz="4" w:space="0" w:color="000000"/>
            </w:tcBorders>
            <w:shd w:val="clear" w:color="000000" w:fill="D8F1D0"/>
            <w:hideMark/>
          </w:tcPr>
          <w:p w14:paraId="7A0EC62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60" w:type="dxa"/>
            <w:tcBorders>
              <w:top w:val="nil"/>
              <w:left w:val="nil"/>
              <w:bottom w:val="nil"/>
              <w:right w:val="nil"/>
            </w:tcBorders>
            <w:shd w:val="clear" w:color="000000" w:fill="D8F1D0"/>
            <w:hideMark/>
          </w:tcPr>
          <w:p w14:paraId="23D3D03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40" w:type="dxa"/>
            <w:tcBorders>
              <w:top w:val="nil"/>
              <w:left w:val="single" w:sz="4" w:space="0" w:color="000000"/>
              <w:bottom w:val="nil"/>
              <w:right w:val="nil"/>
            </w:tcBorders>
            <w:shd w:val="clear" w:color="000000" w:fill="D8F1D0"/>
            <w:hideMark/>
          </w:tcPr>
          <w:p w14:paraId="0FE8450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 xml:space="preserve">KQZ; </w:t>
            </w:r>
            <w:r w:rsidRPr="00CB13F7">
              <w:rPr>
                <w:rFonts w:eastAsia="Times New Roman"/>
                <w:color w:val="000000"/>
                <w:sz w:val="16"/>
                <w:szCs w:val="16"/>
                <w:lang w:eastAsia="en-US"/>
              </w:rPr>
              <w:br/>
              <w:t>NJQV;</w:t>
            </w:r>
            <w:r w:rsidRPr="00CB13F7">
              <w:rPr>
                <w:rFonts w:eastAsia="Times New Roman"/>
                <w:color w:val="000000"/>
                <w:sz w:val="16"/>
                <w:szCs w:val="16"/>
                <w:lang w:eastAsia="en-US"/>
              </w:rPr>
              <w:br/>
              <w:t xml:space="preserve"> OJQ;</w:t>
            </w:r>
          </w:p>
        </w:tc>
        <w:tc>
          <w:tcPr>
            <w:tcW w:w="2523" w:type="dxa"/>
            <w:tcBorders>
              <w:top w:val="nil"/>
              <w:left w:val="single" w:sz="4" w:space="0" w:color="000000"/>
              <w:bottom w:val="nil"/>
              <w:right w:val="single" w:sz="4" w:space="0" w:color="auto"/>
            </w:tcBorders>
            <w:shd w:val="clear" w:color="000000" w:fill="D8F1D0"/>
            <w:hideMark/>
          </w:tcPr>
          <w:p w14:paraId="5CACA5A2" w14:textId="77777777" w:rsidR="007D728E" w:rsidRPr="00CB13F7" w:rsidRDefault="007D728E" w:rsidP="007D728E">
            <w:pPr>
              <w:rPr>
                <w:rFonts w:eastAsia="Times New Roman"/>
                <w:color w:val="000000"/>
                <w:sz w:val="16"/>
                <w:szCs w:val="16"/>
                <w:lang w:eastAsia="en-US"/>
              </w:rPr>
            </w:pPr>
            <w:r w:rsidRPr="00CB13F7">
              <w:rPr>
                <w:rFonts w:eastAsia="Times New Roman"/>
                <w:sz w:val="16"/>
                <w:szCs w:val="16"/>
                <w:lang w:eastAsia="en-US"/>
              </w:rPr>
              <w:t>Dokumenti i programit të BE-së EU për Përfshirjen Sociale;</w:t>
            </w:r>
            <w:r w:rsidRPr="00CB13F7">
              <w:rPr>
                <w:rFonts w:eastAsia="Times New Roman"/>
                <w:sz w:val="16"/>
                <w:szCs w:val="16"/>
                <w:lang w:eastAsia="en-US"/>
              </w:rPr>
              <w:br/>
            </w:r>
            <w:r w:rsidRPr="00CB13F7">
              <w:rPr>
                <w:rFonts w:eastAsia="Times New Roman"/>
                <w:color w:val="000000"/>
                <w:sz w:val="16"/>
                <w:szCs w:val="16"/>
                <w:lang w:eastAsia="en-US"/>
              </w:rPr>
              <w:t>Konventa për të Drejtat e Personave me Aftësi të Kufizuara;</w:t>
            </w:r>
          </w:p>
        </w:tc>
      </w:tr>
      <w:tr w:rsidR="007D728E" w:rsidRPr="00CB13F7" w14:paraId="75634DB3" w14:textId="77777777" w:rsidTr="00592A13">
        <w:trPr>
          <w:trHeight w:val="1245"/>
        </w:trPr>
        <w:tc>
          <w:tcPr>
            <w:tcW w:w="1260" w:type="dxa"/>
            <w:tcBorders>
              <w:top w:val="single" w:sz="4" w:space="0" w:color="000000"/>
              <w:left w:val="single" w:sz="4" w:space="0" w:color="000000"/>
              <w:bottom w:val="nil"/>
              <w:right w:val="single" w:sz="4" w:space="0" w:color="000000"/>
            </w:tcBorders>
            <w:shd w:val="clear" w:color="000000" w:fill="CAEDFA"/>
            <w:vAlign w:val="center"/>
            <w:hideMark/>
          </w:tcPr>
          <w:p w14:paraId="524EDC1B"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val="restart"/>
            <w:tcBorders>
              <w:top w:val="single" w:sz="4" w:space="0" w:color="000000"/>
              <w:left w:val="single" w:sz="4" w:space="0" w:color="000000"/>
              <w:bottom w:val="nil"/>
              <w:right w:val="single" w:sz="4" w:space="0" w:color="000000"/>
            </w:tcBorders>
            <w:shd w:val="clear" w:color="000000" w:fill="CAEDFA"/>
            <w:hideMark/>
          </w:tcPr>
          <w:p w14:paraId="365ED34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 Objektivi Specifik 1. Rritja e numrit të personave me aftësi të kufizuara në </w:t>
            </w:r>
            <w:r w:rsidR="0089320C" w:rsidRPr="00CB13F7">
              <w:rPr>
                <w:rFonts w:eastAsia="Times New Roman"/>
                <w:sz w:val="16"/>
                <w:szCs w:val="16"/>
                <w:lang w:eastAsia="en-US"/>
              </w:rPr>
              <w:t>procesin</w:t>
            </w:r>
            <w:r w:rsidRPr="00CB13F7">
              <w:rPr>
                <w:rFonts w:eastAsia="Times New Roman"/>
                <w:sz w:val="16"/>
                <w:szCs w:val="16"/>
                <w:lang w:eastAsia="en-US"/>
              </w:rPr>
              <w:t xml:space="preserve"> e votimit, dhënia e mundësisë për të mbrojtur interesat e tyre dhe për të marrë pjesë në vendimmarrje.</w:t>
            </w:r>
          </w:p>
        </w:tc>
        <w:tc>
          <w:tcPr>
            <w:tcW w:w="2629" w:type="dxa"/>
            <w:vMerge w:val="restart"/>
            <w:tcBorders>
              <w:top w:val="nil"/>
              <w:left w:val="single" w:sz="4" w:space="0" w:color="000000"/>
              <w:bottom w:val="nil"/>
              <w:right w:val="nil"/>
            </w:tcBorders>
            <w:shd w:val="clear" w:color="000000" w:fill="CAEDFA"/>
            <w:hideMark/>
          </w:tcPr>
          <w:p w14:paraId="6EDCDC2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Përqindja e personave me aftësi të kufizuara që marrin pjesë në votime;</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Përqindja e qendrave të votimit të aksesueshme sipas standardeve ligjore;</w:t>
            </w:r>
            <w:r w:rsidRPr="00CB13F7">
              <w:rPr>
                <w:rFonts w:eastAsia="Times New Roman"/>
                <w:sz w:val="16"/>
                <w:szCs w:val="16"/>
                <w:lang w:eastAsia="en-US"/>
              </w:rPr>
              <w:br/>
            </w:r>
            <w:r w:rsidRPr="00CB13F7">
              <w:rPr>
                <w:rFonts w:eastAsia="Times New Roman"/>
                <w:sz w:val="16"/>
                <w:szCs w:val="16"/>
                <w:lang w:eastAsia="en-US"/>
              </w:rPr>
              <w:br/>
              <w:t>Numri i personave me aftësi të kufizuara të përfshirë në organe vendimmarrëse ose struktura konsultative publike (qendrore dhe vendore);</w:t>
            </w:r>
          </w:p>
        </w:tc>
        <w:tc>
          <w:tcPr>
            <w:tcW w:w="1134" w:type="dxa"/>
            <w:vMerge w:val="restart"/>
            <w:tcBorders>
              <w:top w:val="single" w:sz="4" w:space="0" w:color="000000"/>
              <w:left w:val="single" w:sz="4" w:space="0" w:color="000000"/>
              <w:bottom w:val="nil"/>
              <w:right w:val="single" w:sz="4" w:space="0" w:color="000000"/>
            </w:tcBorders>
            <w:shd w:val="clear" w:color="000000" w:fill="CAEDFA"/>
            <w:hideMark/>
          </w:tcPr>
          <w:p w14:paraId="29F5CFC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p>
        </w:tc>
        <w:tc>
          <w:tcPr>
            <w:tcW w:w="1097" w:type="dxa"/>
            <w:tcBorders>
              <w:top w:val="single" w:sz="4" w:space="0" w:color="000000"/>
              <w:left w:val="nil"/>
              <w:bottom w:val="nil"/>
              <w:right w:val="single" w:sz="4" w:space="0" w:color="000000"/>
            </w:tcBorders>
            <w:shd w:val="clear" w:color="000000" w:fill="CAEDFA"/>
            <w:hideMark/>
          </w:tcPr>
          <w:p w14:paraId="5631E86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10 % nga vlerësimi bazë</w:t>
            </w:r>
          </w:p>
        </w:tc>
        <w:tc>
          <w:tcPr>
            <w:tcW w:w="1460" w:type="dxa"/>
            <w:tcBorders>
              <w:top w:val="single" w:sz="4" w:space="0" w:color="000000"/>
              <w:left w:val="nil"/>
              <w:bottom w:val="nil"/>
              <w:right w:val="nil"/>
            </w:tcBorders>
            <w:shd w:val="clear" w:color="000000" w:fill="CAEDFA"/>
            <w:hideMark/>
          </w:tcPr>
          <w:p w14:paraId="53ACA33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40 % nga vlerësimi bazë</w:t>
            </w:r>
          </w:p>
        </w:tc>
        <w:tc>
          <w:tcPr>
            <w:tcW w:w="1440" w:type="dxa"/>
            <w:tcBorders>
              <w:top w:val="single" w:sz="4" w:space="0" w:color="000000"/>
              <w:left w:val="single" w:sz="4" w:space="0" w:color="000000"/>
              <w:bottom w:val="nil"/>
              <w:right w:val="nil"/>
            </w:tcBorders>
            <w:shd w:val="clear" w:color="000000" w:fill="CAEDFA"/>
            <w:hideMark/>
          </w:tcPr>
          <w:p w14:paraId="20FE1D8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KQZ;</w:t>
            </w:r>
            <w:r w:rsidRPr="00CB13F7">
              <w:rPr>
                <w:rFonts w:eastAsia="Times New Roman"/>
                <w:sz w:val="16"/>
                <w:szCs w:val="16"/>
                <w:lang w:eastAsia="en-US"/>
              </w:rPr>
              <w:br/>
              <w:t>NJQV;</w:t>
            </w:r>
            <w:r w:rsidRPr="00CB13F7">
              <w:rPr>
                <w:rFonts w:eastAsia="Times New Roman"/>
                <w:sz w:val="16"/>
                <w:szCs w:val="16"/>
                <w:lang w:eastAsia="en-US"/>
              </w:rPr>
              <w:br/>
              <w:t>OJQ;</w:t>
            </w:r>
          </w:p>
        </w:tc>
        <w:tc>
          <w:tcPr>
            <w:tcW w:w="2523" w:type="dxa"/>
            <w:tcBorders>
              <w:top w:val="single" w:sz="4" w:space="0" w:color="000000"/>
              <w:left w:val="single" w:sz="4" w:space="0" w:color="000000"/>
              <w:bottom w:val="nil"/>
              <w:right w:val="single" w:sz="4" w:space="0" w:color="auto"/>
            </w:tcBorders>
            <w:shd w:val="clear" w:color="000000" w:fill="CAEDFA"/>
            <w:hideMark/>
          </w:tcPr>
          <w:p w14:paraId="4FBF350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Konventa për të Drejtat e Personave me Aftësi të Kufizuara; </w:t>
            </w:r>
            <w:r w:rsidRPr="00CB13F7">
              <w:rPr>
                <w:rFonts w:eastAsia="Times New Roman"/>
                <w:sz w:val="16"/>
                <w:szCs w:val="16"/>
                <w:lang w:eastAsia="en-US"/>
              </w:rPr>
              <w:br/>
              <w:t>Dokumenti i programit të BE-së</w:t>
            </w:r>
          </w:p>
        </w:tc>
      </w:tr>
      <w:tr w:rsidR="007D728E" w:rsidRPr="00CB13F7" w14:paraId="060E3B4D" w14:textId="77777777" w:rsidTr="00592A13">
        <w:trPr>
          <w:trHeight w:val="690"/>
        </w:trPr>
        <w:tc>
          <w:tcPr>
            <w:tcW w:w="1260" w:type="dxa"/>
            <w:tcBorders>
              <w:top w:val="nil"/>
              <w:left w:val="single" w:sz="4" w:space="0" w:color="000000"/>
              <w:bottom w:val="nil"/>
              <w:right w:val="single" w:sz="4" w:space="0" w:color="000000"/>
            </w:tcBorders>
            <w:shd w:val="clear" w:color="000000" w:fill="CAEDFA"/>
            <w:vAlign w:val="bottom"/>
            <w:hideMark/>
          </w:tcPr>
          <w:p w14:paraId="7DA8B047"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4B7F9558" w14:textId="77777777" w:rsidR="007D728E" w:rsidRPr="00CB13F7" w:rsidRDefault="007D728E" w:rsidP="007D728E">
            <w:pPr>
              <w:rPr>
                <w:rFonts w:eastAsia="Times New Roman"/>
                <w:sz w:val="16"/>
                <w:szCs w:val="16"/>
                <w:lang w:eastAsia="en-US"/>
              </w:rPr>
            </w:pPr>
          </w:p>
        </w:tc>
        <w:tc>
          <w:tcPr>
            <w:tcW w:w="2629" w:type="dxa"/>
            <w:vMerge/>
            <w:tcBorders>
              <w:top w:val="nil"/>
              <w:left w:val="single" w:sz="4" w:space="0" w:color="000000"/>
              <w:bottom w:val="nil"/>
              <w:right w:val="nil"/>
            </w:tcBorders>
            <w:vAlign w:val="center"/>
            <w:hideMark/>
          </w:tcPr>
          <w:p w14:paraId="78912D0D"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nil"/>
              <w:right w:val="single" w:sz="4" w:space="0" w:color="000000"/>
            </w:tcBorders>
            <w:vAlign w:val="center"/>
            <w:hideMark/>
          </w:tcPr>
          <w:p w14:paraId="747A54FD" w14:textId="77777777" w:rsidR="007D728E" w:rsidRPr="00CB13F7" w:rsidRDefault="007D728E" w:rsidP="007D728E">
            <w:pPr>
              <w:rPr>
                <w:rFonts w:eastAsia="Times New Roman"/>
                <w:sz w:val="16"/>
                <w:szCs w:val="16"/>
                <w:lang w:eastAsia="en-US"/>
              </w:rPr>
            </w:pPr>
          </w:p>
        </w:tc>
        <w:tc>
          <w:tcPr>
            <w:tcW w:w="1097" w:type="dxa"/>
            <w:tcBorders>
              <w:top w:val="nil"/>
              <w:left w:val="nil"/>
              <w:bottom w:val="nil"/>
              <w:right w:val="single" w:sz="4" w:space="0" w:color="000000"/>
            </w:tcBorders>
            <w:shd w:val="clear" w:color="000000" w:fill="CAEDFA"/>
            <w:vAlign w:val="center"/>
            <w:hideMark/>
          </w:tcPr>
          <w:p w14:paraId="141B652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20 % nga vlerësimi bazë</w:t>
            </w:r>
          </w:p>
        </w:tc>
        <w:tc>
          <w:tcPr>
            <w:tcW w:w="1460" w:type="dxa"/>
            <w:tcBorders>
              <w:top w:val="nil"/>
              <w:left w:val="nil"/>
              <w:bottom w:val="nil"/>
              <w:right w:val="nil"/>
            </w:tcBorders>
            <w:shd w:val="clear" w:color="000000" w:fill="CAEDFA"/>
            <w:vAlign w:val="center"/>
            <w:hideMark/>
          </w:tcPr>
          <w:p w14:paraId="7A032FC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50 % nga vlerësimi bazë</w:t>
            </w:r>
          </w:p>
        </w:tc>
        <w:tc>
          <w:tcPr>
            <w:tcW w:w="1440" w:type="dxa"/>
            <w:tcBorders>
              <w:top w:val="nil"/>
              <w:left w:val="single" w:sz="4" w:space="0" w:color="000000"/>
              <w:bottom w:val="nil"/>
              <w:right w:val="nil"/>
            </w:tcBorders>
            <w:shd w:val="clear" w:color="000000" w:fill="CAEDFA"/>
            <w:vAlign w:val="center"/>
            <w:hideMark/>
          </w:tcPr>
          <w:p w14:paraId="674DA7A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KQZ ;</w:t>
            </w:r>
            <w:r w:rsidRPr="00CB13F7">
              <w:rPr>
                <w:rFonts w:eastAsia="Times New Roman"/>
                <w:color w:val="000000"/>
                <w:sz w:val="16"/>
                <w:szCs w:val="16"/>
                <w:lang w:eastAsia="en-US"/>
              </w:rPr>
              <w:br/>
              <w:t>NJQV;</w:t>
            </w:r>
            <w:r w:rsidRPr="00CB13F7">
              <w:rPr>
                <w:rFonts w:eastAsia="Times New Roman"/>
                <w:color w:val="000000"/>
                <w:sz w:val="16"/>
                <w:szCs w:val="16"/>
                <w:lang w:eastAsia="en-US"/>
              </w:rPr>
              <w:br/>
              <w:t xml:space="preserve"> OJQ;</w:t>
            </w:r>
          </w:p>
        </w:tc>
        <w:tc>
          <w:tcPr>
            <w:tcW w:w="2523" w:type="dxa"/>
            <w:tcBorders>
              <w:top w:val="nil"/>
              <w:left w:val="single" w:sz="4" w:space="0" w:color="000000"/>
              <w:bottom w:val="nil"/>
              <w:right w:val="single" w:sz="4" w:space="0" w:color="auto"/>
            </w:tcBorders>
            <w:shd w:val="clear" w:color="000000" w:fill="CAEDFA"/>
            <w:hideMark/>
          </w:tcPr>
          <w:p w14:paraId="2924DBB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EU për Përfshirjen Sociale;</w:t>
            </w:r>
          </w:p>
        </w:tc>
      </w:tr>
      <w:tr w:rsidR="007D728E" w:rsidRPr="00CB13F7" w14:paraId="671840BF" w14:textId="77777777" w:rsidTr="00592A13">
        <w:trPr>
          <w:trHeight w:val="780"/>
        </w:trPr>
        <w:tc>
          <w:tcPr>
            <w:tcW w:w="1260" w:type="dxa"/>
            <w:tcBorders>
              <w:top w:val="nil"/>
              <w:left w:val="single" w:sz="4" w:space="0" w:color="000000"/>
              <w:bottom w:val="nil"/>
              <w:right w:val="single" w:sz="4" w:space="0" w:color="000000"/>
            </w:tcBorders>
            <w:shd w:val="clear" w:color="000000" w:fill="CAEDFA"/>
            <w:vAlign w:val="center"/>
            <w:hideMark/>
          </w:tcPr>
          <w:p w14:paraId="6B05AC72"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53B58973" w14:textId="77777777" w:rsidR="007D728E" w:rsidRPr="00CB13F7" w:rsidRDefault="007D728E" w:rsidP="007D728E">
            <w:pPr>
              <w:rPr>
                <w:rFonts w:eastAsia="Times New Roman"/>
                <w:sz w:val="16"/>
                <w:szCs w:val="16"/>
                <w:lang w:eastAsia="en-US"/>
              </w:rPr>
            </w:pPr>
          </w:p>
        </w:tc>
        <w:tc>
          <w:tcPr>
            <w:tcW w:w="2629" w:type="dxa"/>
            <w:vMerge/>
            <w:tcBorders>
              <w:top w:val="nil"/>
              <w:left w:val="single" w:sz="4" w:space="0" w:color="000000"/>
              <w:bottom w:val="nil"/>
              <w:right w:val="nil"/>
            </w:tcBorders>
            <w:vAlign w:val="center"/>
            <w:hideMark/>
          </w:tcPr>
          <w:p w14:paraId="7666DA2A"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nil"/>
              <w:right w:val="single" w:sz="4" w:space="0" w:color="000000"/>
            </w:tcBorders>
            <w:vAlign w:val="center"/>
            <w:hideMark/>
          </w:tcPr>
          <w:p w14:paraId="62CC71D8" w14:textId="77777777" w:rsidR="007D728E" w:rsidRPr="00CB13F7" w:rsidRDefault="007D728E" w:rsidP="007D728E">
            <w:pPr>
              <w:rPr>
                <w:rFonts w:eastAsia="Times New Roman"/>
                <w:sz w:val="16"/>
                <w:szCs w:val="16"/>
                <w:lang w:eastAsia="en-US"/>
              </w:rPr>
            </w:pPr>
          </w:p>
        </w:tc>
        <w:tc>
          <w:tcPr>
            <w:tcW w:w="1097" w:type="dxa"/>
            <w:tcBorders>
              <w:top w:val="nil"/>
              <w:left w:val="nil"/>
              <w:bottom w:val="nil"/>
              <w:right w:val="single" w:sz="4" w:space="0" w:color="000000"/>
            </w:tcBorders>
            <w:shd w:val="clear" w:color="000000" w:fill="CAEDFA"/>
            <w:hideMark/>
          </w:tcPr>
          <w:p w14:paraId="58385D9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br/>
              <w:t>5 % nga vlerësimi bazë</w:t>
            </w:r>
          </w:p>
        </w:tc>
        <w:tc>
          <w:tcPr>
            <w:tcW w:w="1460" w:type="dxa"/>
            <w:tcBorders>
              <w:top w:val="nil"/>
              <w:left w:val="nil"/>
              <w:bottom w:val="nil"/>
              <w:right w:val="nil"/>
            </w:tcBorders>
            <w:shd w:val="clear" w:color="000000" w:fill="CAEDFA"/>
            <w:hideMark/>
          </w:tcPr>
          <w:p w14:paraId="056B0F7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br/>
              <w:t>20 % nga vlerësimi bazë</w:t>
            </w:r>
          </w:p>
        </w:tc>
        <w:tc>
          <w:tcPr>
            <w:tcW w:w="1440" w:type="dxa"/>
            <w:tcBorders>
              <w:top w:val="nil"/>
              <w:left w:val="single" w:sz="4" w:space="0" w:color="000000"/>
              <w:bottom w:val="nil"/>
              <w:right w:val="nil"/>
            </w:tcBorders>
            <w:shd w:val="clear" w:color="000000" w:fill="CAEDFA"/>
            <w:vAlign w:val="center"/>
            <w:hideMark/>
          </w:tcPr>
          <w:p w14:paraId="773D4F7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523" w:type="dxa"/>
            <w:tcBorders>
              <w:top w:val="nil"/>
              <w:left w:val="single" w:sz="4" w:space="0" w:color="000000"/>
              <w:bottom w:val="nil"/>
              <w:right w:val="single" w:sz="4" w:space="0" w:color="auto"/>
            </w:tcBorders>
            <w:shd w:val="clear" w:color="000000" w:fill="CAEDFA"/>
            <w:hideMark/>
          </w:tcPr>
          <w:p w14:paraId="061ECFD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Kodi Zgjedhor Ligji </w:t>
            </w:r>
            <w:r w:rsidR="00234FBC" w:rsidRPr="00CB13F7">
              <w:rPr>
                <w:rFonts w:eastAsia="Times New Roman"/>
                <w:sz w:val="16"/>
                <w:szCs w:val="16"/>
                <w:lang w:eastAsia="en-US"/>
              </w:rPr>
              <w:t>për</w:t>
            </w:r>
            <w:r w:rsidRPr="00CB13F7">
              <w:rPr>
                <w:rFonts w:eastAsia="Times New Roman"/>
                <w:sz w:val="16"/>
                <w:szCs w:val="16"/>
                <w:lang w:eastAsia="en-US"/>
              </w:rPr>
              <w:t xml:space="preserve"> </w:t>
            </w:r>
            <w:r w:rsidR="0089320C" w:rsidRPr="00CB13F7">
              <w:rPr>
                <w:rFonts w:eastAsia="Times New Roman"/>
                <w:sz w:val="16"/>
                <w:szCs w:val="16"/>
                <w:lang w:eastAsia="en-US"/>
              </w:rPr>
              <w:t>Vetëqeverisjen</w:t>
            </w:r>
            <w:r w:rsidRPr="00CB13F7">
              <w:rPr>
                <w:rFonts w:eastAsia="Times New Roman"/>
                <w:sz w:val="16"/>
                <w:szCs w:val="16"/>
                <w:lang w:eastAsia="en-US"/>
              </w:rPr>
              <w:t xml:space="preserve"> Vendore;</w:t>
            </w:r>
          </w:p>
        </w:tc>
      </w:tr>
      <w:tr w:rsidR="007D728E" w:rsidRPr="00CB13F7" w14:paraId="23B8F438" w14:textId="77777777" w:rsidTr="00592A13">
        <w:trPr>
          <w:trHeight w:val="1050"/>
        </w:trPr>
        <w:tc>
          <w:tcPr>
            <w:tcW w:w="1260" w:type="dxa"/>
            <w:tcBorders>
              <w:top w:val="nil"/>
              <w:left w:val="single" w:sz="4" w:space="0" w:color="000000"/>
              <w:bottom w:val="nil"/>
              <w:right w:val="single" w:sz="4" w:space="0" w:color="000000"/>
            </w:tcBorders>
            <w:shd w:val="clear" w:color="000000" w:fill="CAEDFA"/>
            <w:hideMark/>
          </w:tcPr>
          <w:p w14:paraId="2878D0D4"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val="restart"/>
            <w:tcBorders>
              <w:top w:val="single" w:sz="4" w:space="0" w:color="000000"/>
              <w:left w:val="single" w:sz="4" w:space="0" w:color="000000"/>
              <w:bottom w:val="nil"/>
              <w:right w:val="single" w:sz="4" w:space="0" w:color="000000"/>
            </w:tcBorders>
            <w:shd w:val="clear" w:color="000000" w:fill="CAEDFA"/>
            <w:hideMark/>
          </w:tcPr>
          <w:p w14:paraId="3DF02F0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Objektivi </w:t>
            </w:r>
            <w:r w:rsidR="0089320C" w:rsidRPr="00CB13F7">
              <w:rPr>
                <w:rFonts w:eastAsia="Times New Roman"/>
                <w:sz w:val="16"/>
                <w:szCs w:val="16"/>
                <w:lang w:eastAsia="en-US"/>
              </w:rPr>
              <w:t>specifik</w:t>
            </w:r>
            <w:r w:rsidRPr="00CB13F7">
              <w:rPr>
                <w:rFonts w:eastAsia="Times New Roman"/>
                <w:sz w:val="16"/>
                <w:szCs w:val="16"/>
                <w:lang w:eastAsia="en-US"/>
              </w:rPr>
              <w:t xml:space="preserve"> 2: Promovimi i punës së artistëve dhe sportisteve me aftësi të kufizuara dhe përfshirja e personave me aftësi të kufizuara në jetën artistike si edhe për të marrë pjesë në aktivitete dhe evenimente sportive kombëtare dhe ndërkombëtare</w:t>
            </w:r>
          </w:p>
        </w:tc>
        <w:tc>
          <w:tcPr>
            <w:tcW w:w="2629" w:type="dxa"/>
            <w:vMerge w:val="restart"/>
            <w:tcBorders>
              <w:top w:val="single" w:sz="4" w:space="0" w:color="000000"/>
              <w:left w:val="single" w:sz="4" w:space="0" w:color="000000"/>
              <w:bottom w:val="single" w:sz="4" w:space="0" w:color="000000"/>
              <w:right w:val="nil"/>
            </w:tcBorders>
            <w:shd w:val="clear" w:color="000000" w:fill="CAEDFA"/>
            <w:hideMark/>
          </w:tcPr>
          <w:p w14:paraId="424818F9" w14:textId="77777777" w:rsidR="007D728E" w:rsidRPr="00CB13F7" w:rsidRDefault="0089320C" w:rsidP="007D728E">
            <w:pPr>
              <w:rPr>
                <w:rFonts w:eastAsia="Times New Roman"/>
                <w:sz w:val="16"/>
                <w:szCs w:val="16"/>
                <w:lang w:eastAsia="en-US"/>
              </w:rPr>
            </w:pPr>
            <w:r w:rsidRPr="00CB13F7">
              <w:rPr>
                <w:rFonts w:eastAsia="Times New Roman"/>
                <w:sz w:val="16"/>
                <w:szCs w:val="16"/>
                <w:lang w:eastAsia="en-US"/>
              </w:rPr>
              <w:t>% e Numri i artistëve dhe sportistëve me aftësi të kufizuara që përfitojnë mbështetje publike (financiare, logjistike ose promovuese) në vit. Numri i artistëve dhe sportistëve me aftësi të kufizuara që përfitojnë mbështetje publike (financiare, logjistike ose promovuese) në vit.</w:t>
            </w:r>
            <w:r w:rsidRPr="00CB13F7">
              <w:rPr>
                <w:rFonts w:eastAsia="Times New Roman"/>
                <w:sz w:val="16"/>
                <w:szCs w:val="16"/>
                <w:lang w:eastAsia="en-US"/>
              </w:rPr>
              <w:br/>
            </w:r>
            <w:r w:rsidR="007D728E" w:rsidRPr="00CB13F7">
              <w:rPr>
                <w:rFonts w:eastAsia="Times New Roman"/>
                <w:sz w:val="16"/>
                <w:szCs w:val="16"/>
                <w:lang w:eastAsia="en-US"/>
              </w:rPr>
              <w:br/>
              <w:t>% e Numri i aktiviteteve kulturore dhe sportive kombëtare që përfshijnë pjesëmarrje aktive të personave me aftësi të kufizuara.</w:t>
            </w:r>
            <w:r w:rsidR="007D728E" w:rsidRPr="00CB13F7">
              <w:rPr>
                <w:rFonts w:eastAsia="Times New Roman"/>
                <w:sz w:val="16"/>
                <w:szCs w:val="16"/>
                <w:lang w:eastAsia="en-US"/>
              </w:rPr>
              <w:br/>
            </w:r>
            <w:r w:rsidR="007D728E" w:rsidRPr="00CB13F7">
              <w:rPr>
                <w:rFonts w:eastAsia="Times New Roman"/>
                <w:sz w:val="16"/>
                <w:szCs w:val="16"/>
                <w:lang w:eastAsia="en-US"/>
              </w:rPr>
              <w:br/>
              <w:t>% e Numri i artistëve dhe sportistëve me aftësi të kufizuara që përfaqësojnë Shqipërinë në aktivitete dhe evenimente ndërkombëtare.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CAEDFA"/>
            <w:hideMark/>
          </w:tcPr>
          <w:p w14:paraId="62F2D99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 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p>
        </w:tc>
        <w:tc>
          <w:tcPr>
            <w:tcW w:w="1097" w:type="dxa"/>
            <w:vMerge w:val="restart"/>
            <w:tcBorders>
              <w:top w:val="single" w:sz="4" w:space="0" w:color="000000"/>
              <w:left w:val="single" w:sz="4" w:space="0" w:color="000000"/>
              <w:bottom w:val="single" w:sz="4" w:space="0" w:color="000000"/>
              <w:right w:val="single" w:sz="4" w:space="0" w:color="000000"/>
            </w:tcBorders>
            <w:shd w:val="clear" w:color="000000" w:fill="CAEDFA"/>
            <w:hideMark/>
          </w:tcPr>
          <w:p w14:paraId="1992DE49" w14:textId="77777777" w:rsidR="007D728E" w:rsidRPr="00CB13F7" w:rsidRDefault="007D728E" w:rsidP="007D728E">
            <w:pPr>
              <w:jc w:val="center"/>
              <w:rPr>
                <w:rFonts w:eastAsia="Times New Roman"/>
                <w:sz w:val="16"/>
                <w:szCs w:val="16"/>
                <w:lang w:eastAsia="en-US"/>
              </w:rPr>
            </w:pPr>
            <w:r w:rsidRPr="00CB13F7">
              <w:rPr>
                <w:rFonts w:eastAsia="Times New Roman"/>
                <w:sz w:val="16"/>
                <w:szCs w:val="16"/>
                <w:lang w:eastAsia="en-US"/>
              </w:rPr>
              <w:t>10% nga vlerësimi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20% nga vlerësimi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10% nga vlerësimi bazë</w:t>
            </w:r>
          </w:p>
        </w:tc>
        <w:tc>
          <w:tcPr>
            <w:tcW w:w="1460" w:type="dxa"/>
            <w:vMerge w:val="restart"/>
            <w:tcBorders>
              <w:top w:val="single" w:sz="4" w:space="0" w:color="000000"/>
              <w:left w:val="single" w:sz="4" w:space="0" w:color="000000"/>
              <w:bottom w:val="single" w:sz="4" w:space="0" w:color="000000"/>
              <w:right w:val="nil"/>
            </w:tcBorders>
            <w:shd w:val="clear" w:color="000000" w:fill="CAEDFA"/>
            <w:hideMark/>
          </w:tcPr>
          <w:p w14:paraId="32665B3B" w14:textId="77777777" w:rsidR="007D728E" w:rsidRPr="00CB13F7" w:rsidRDefault="007D728E" w:rsidP="007D728E">
            <w:pPr>
              <w:jc w:val="center"/>
              <w:rPr>
                <w:rFonts w:eastAsia="Times New Roman"/>
                <w:sz w:val="16"/>
                <w:szCs w:val="16"/>
                <w:lang w:eastAsia="en-US"/>
              </w:rPr>
            </w:pPr>
            <w:r w:rsidRPr="00CB13F7">
              <w:rPr>
                <w:rFonts w:eastAsia="Times New Roman"/>
                <w:sz w:val="16"/>
                <w:szCs w:val="16"/>
                <w:lang w:eastAsia="en-US"/>
              </w:rPr>
              <w:t>20% nga vlerësimi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30% nga vlerësimi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30% nga vlerësimi bazë</w:t>
            </w:r>
          </w:p>
        </w:tc>
        <w:tc>
          <w:tcPr>
            <w:tcW w:w="1440" w:type="dxa"/>
            <w:tcBorders>
              <w:top w:val="single" w:sz="4" w:space="0" w:color="000000"/>
              <w:left w:val="single" w:sz="4" w:space="0" w:color="000000"/>
              <w:bottom w:val="nil"/>
              <w:right w:val="nil"/>
            </w:tcBorders>
            <w:shd w:val="clear" w:color="000000" w:fill="CAEDFA"/>
            <w:hideMark/>
          </w:tcPr>
          <w:p w14:paraId="1BC6AF9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MTKS;</w:t>
            </w:r>
            <w:r w:rsidRPr="00CB13F7">
              <w:rPr>
                <w:rFonts w:eastAsia="Times New Roman"/>
                <w:sz w:val="16"/>
                <w:szCs w:val="16"/>
                <w:lang w:eastAsia="en-US"/>
              </w:rPr>
              <w:br/>
              <w:t>MSHMS;</w:t>
            </w:r>
            <w:r w:rsidRPr="00CB13F7">
              <w:rPr>
                <w:rFonts w:eastAsia="Times New Roman"/>
                <w:sz w:val="16"/>
                <w:szCs w:val="16"/>
                <w:lang w:eastAsia="en-US"/>
              </w:rPr>
              <w:br/>
              <w:t>OJQ;</w:t>
            </w:r>
          </w:p>
        </w:tc>
        <w:tc>
          <w:tcPr>
            <w:tcW w:w="2523" w:type="dxa"/>
            <w:vMerge w:val="restart"/>
            <w:tcBorders>
              <w:top w:val="single" w:sz="4" w:space="0" w:color="000000"/>
              <w:left w:val="single" w:sz="4" w:space="0" w:color="000000"/>
              <w:bottom w:val="single" w:sz="4" w:space="0" w:color="000000"/>
              <w:right w:val="single" w:sz="4" w:space="0" w:color="auto"/>
            </w:tcBorders>
            <w:shd w:val="clear" w:color="000000" w:fill="CAEDFA"/>
            <w:hideMark/>
          </w:tcPr>
          <w:p w14:paraId="304A0BF1" w14:textId="2D0470E2"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Strategjia Kombëtare për Kulturën 2021</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2025;</w:t>
            </w:r>
            <w:r w:rsidRPr="00CB13F7">
              <w:rPr>
                <w:rFonts w:eastAsia="Times New Roman"/>
                <w:color w:val="000000"/>
                <w:sz w:val="16"/>
                <w:szCs w:val="16"/>
                <w:lang w:eastAsia="en-US"/>
              </w:rPr>
              <w:br/>
              <w:t>Plani Kombëtar për Trashëgimi Kulturore dhe Arsim Artistike;</w:t>
            </w:r>
            <w:r w:rsidRPr="00CB13F7">
              <w:rPr>
                <w:rFonts w:eastAsia="Times New Roman"/>
                <w:color w:val="000000"/>
                <w:sz w:val="16"/>
                <w:szCs w:val="16"/>
                <w:lang w:eastAsia="en-US"/>
              </w:rPr>
              <w:br/>
              <w:t>Strategjia Kombëtare e Sportit 2021</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2025;</w:t>
            </w:r>
            <w:r w:rsidRPr="00CB13F7">
              <w:rPr>
                <w:rFonts w:eastAsia="Times New Roman"/>
                <w:color w:val="000000"/>
                <w:sz w:val="16"/>
                <w:szCs w:val="16"/>
                <w:lang w:eastAsia="en-US"/>
              </w:rPr>
              <w:br/>
              <w:t>Strategjia Kombëtare për të Drejtat e Personave me Aftësi të Kufizuara 2021</w:t>
            </w:r>
            <w:r w:rsidR="00582B12" w:rsidRPr="00CB13F7">
              <w:rPr>
                <w:rFonts w:eastAsia="Times New Roman"/>
                <w:color w:val="000000"/>
                <w:sz w:val="16"/>
                <w:szCs w:val="16"/>
                <w:lang w:eastAsia="en-US"/>
              </w:rPr>
              <w:t>-</w:t>
            </w:r>
            <w:r w:rsidRPr="00CB13F7">
              <w:rPr>
                <w:rFonts w:eastAsia="Times New Roman"/>
                <w:color w:val="000000"/>
                <w:sz w:val="16"/>
                <w:szCs w:val="16"/>
                <w:lang w:eastAsia="en-US"/>
              </w:rPr>
              <w:t>2025;</w:t>
            </w:r>
          </w:p>
        </w:tc>
      </w:tr>
      <w:tr w:rsidR="007D728E" w:rsidRPr="00CB13F7" w14:paraId="071FD9B9" w14:textId="77777777" w:rsidTr="00592A13">
        <w:trPr>
          <w:trHeight w:val="295"/>
        </w:trPr>
        <w:tc>
          <w:tcPr>
            <w:tcW w:w="1260" w:type="dxa"/>
            <w:tcBorders>
              <w:top w:val="nil"/>
              <w:left w:val="single" w:sz="4" w:space="0" w:color="000000"/>
              <w:bottom w:val="nil"/>
              <w:right w:val="single" w:sz="4" w:space="0" w:color="000000"/>
            </w:tcBorders>
            <w:shd w:val="clear" w:color="000000" w:fill="CAEDFA"/>
            <w:vAlign w:val="bottom"/>
            <w:hideMark/>
          </w:tcPr>
          <w:p w14:paraId="097DCFC1"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3A97D690"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6E0F15AC"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3BF4CA3"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6CEBEB4B"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31AE9388"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hideMark/>
          </w:tcPr>
          <w:p w14:paraId="115EA8D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7780112D" w14:textId="77777777" w:rsidR="007D728E" w:rsidRPr="00CB13F7" w:rsidRDefault="007D728E" w:rsidP="007D728E">
            <w:pPr>
              <w:rPr>
                <w:rFonts w:eastAsia="Times New Roman"/>
                <w:color w:val="000000"/>
                <w:sz w:val="16"/>
                <w:szCs w:val="16"/>
                <w:lang w:eastAsia="en-US"/>
              </w:rPr>
            </w:pPr>
          </w:p>
        </w:tc>
      </w:tr>
      <w:tr w:rsidR="007D728E" w:rsidRPr="00CB13F7" w14:paraId="54CA2014" w14:textId="77777777" w:rsidTr="00592A13">
        <w:trPr>
          <w:trHeight w:val="295"/>
        </w:trPr>
        <w:tc>
          <w:tcPr>
            <w:tcW w:w="1260" w:type="dxa"/>
            <w:tcBorders>
              <w:top w:val="nil"/>
              <w:left w:val="single" w:sz="4" w:space="0" w:color="000000"/>
              <w:bottom w:val="nil"/>
              <w:right w:val="single" w:sz="4" w:space="0" w:color="000000"/>
            </w:tcBorders>
            <w:shd w:val="clear" w:color="000000" w:fill="CAEDFA"/>
            <w:hideMark/>
          </w:tcPr>
          <w:p w14:paraId="6BF030BF"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Objektivi</w:t>
            </w:r>
          </w:p>
        </w:tc>
        <w:tc>
          <w:tcPr>
            <w:tcW w:w="2080" w:type="dxa"/>
            <w:vMerge/>
            <w:tcBorders>
              <w:top w:val="nil"/>
              <w:left w:val="single" w:sz="4" w:space="0" w:color="000000"/>
              <w:bottom w:val="nil"/>
              <w:right w:val="single" w:sz="4" w:space="0" w:color="000000"/>
            </w:tcBorders>
            <w:vAlign w:val="center"/>
            <w:hideMark/>
          </w:tcPr>
          <w:p w14:paraId="788B0578"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085DD6FD"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30D6E45"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054C160D"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52F6A10D"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vAlign w:val="bottom"/>
            <w:hideMark/>
          </w:tcPr>
          <w:p w14:paraId="5A8D4FA1"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7A34C081" w14:textId="77777777" w:rsidR="007D728E" w:rsidRPr="00CB13F7" w:rsidRDefault="007D728E" w:rsidP="007D728E">
            <w:pPr>
              <w:rPr>
                <w:rFonts w:eastAsia="Times New Roman"/>
                <w:color w:val="000000"/>
                <w:sz w:val="16"/>
                <w:szCs w:val="16"/>
                <w:lang w:eastAsia="en-US"/>
              </w:rPr>
            </w:pPr>
          </w:p>
        </w:tc>
      </w:tr>
      <w:tr w:rsidR="007D728E" w:rsidRPr="00CB13F7" w14:paraId="75053A22" w14:textId="77777777" w:rsidTr="00592A13">
        <w:trPr>
          <w:trHeight w:val="225"/>
        </w:trPr>
        <w:tc>
          <w:tcPr>
            <w:tcW w:w="1260" w:type="dxa"/>
            <w:tcBorders>
              <w:top w:val="nil"/>
              <w:left w:val="single" w:sz="4" w:space="0" w:color="000000"/>
              <w:bottom w:val="nil"/>
              <w:right w:val="single" w:sz="4" w:space="0" w:color="000000"/>
            </w:tcBorders>
            <w:shd w:val="clear" w:color="000000" w:fill="CAEDFA"/>
            <w:hideMark/>
          </w:tcPr>
          <w:p w14:paraId="693D8BD6"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specifik/</w:t>
            </w:r>
          </w:p>
        </w:tc>
        <w:tc>
          <w:tcPr>
            <w:tcW w:w="2080" w:type="dxa"/>
            <w:vMerge/>
            <w:tcBorders>
              <w:top w:val="nil"/>
              <w:left w:val="single" w:sz="4" w:space="0" w:color="000000"/>
              <w:bottom w:val="nil"/>
              <w:right w:val="single" w:sz="4" w:space="0" w:color="000000"/>
            </w:tcBorders>
            <w:vAlign w:val="center"/>
            <w:hideMark/>
          </w:tcPr>
          <w:p w14:paraId="792A7225"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6C69FABD"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8C503E5"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79333CEF"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3DB5875F"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vAlign w:val="bottom"/>
            <w:hideMark/>
          </w:tcPr>
          <w:p w14:paraId="78172C96"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2C1677F8" w14:textId="77777777" w:rsidR="007D728E" w:rsidRPr="00CB13F7" w:rsidRDefault="007D728E" w:rsidP="007D728E">
            <w:pPr>
              <w:rPr>
                <w:rFonts w:eastAsia="Times New Roman"/>
                <w:color w:val="000000"/>
                <w:sz w:val="16"/>
                <w:szCs w:val="16"/>
                <w:lang w:eastAsia="en-US"/>
              </w:rPr>
            </w:pPr>
          </w:p>
        </w:tc>
      </w:tr>
      <w:tr w:rsidR="007D728E" w:rsidRPr="00CB13F7" w14:paraId="1D3EB052" w14:textId="77777777" w:rsidTr="00592A13">
        <w:trPr>
          <w:trHeight w:val="225"/>
        </w:trPr>
        <w:tc>
          <w:tcPr>
            <w:tcW w:w="1260" w:type="dxa"/>
            <w:tcBorders>
              <w:top w:val="nil"/>
              <w:left w:val="single" w:sz="4" w:space="0" w:color="000000"/>
              <w:bottom w:val="nil"/>
              <w:right w:val="single" w:sz="4" w:space="0" w:color="000000"/>
            </w:tcBorders>
            <w:shd w:val="clear" w:color="000000" w:fill="CAEDFA"/>
            <w:hideMark/>
          </w:tcPr>
          <w:p w14:paraId="649430C5"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strategjik</w:t>
            </w:r>
          </w:p>
        </w:tc>
        <w:tc>
          <w:tcPr>
            <w:tcW w:w="2080" w:type="dxa"/>
            <w:vMerge/>
            <w:tcBorders>
              <w:top w:val="nil"/>
              <w:left w:val="single" w:sz="4" w:space="0" w:color="000000"/>
              <w:bottom w:val="nil"/>
              <w:right w:val="single" w:sz="4" w:space="0" w:color="000000"/>
            </w:tcBorders>
            <w:vAlign w:val="center"/>
            <w:hideMark/>
          </w:tcPr>
          <w:p w14:paraId="241FF087"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785B214A"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B190134"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69500254"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3D763392"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hideMark/>
          </w:tcPr>
          <w:p w14:paraId="7AA546D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319ADDE0" w14:textId="77777777" w:rsidR="007D728E" w:rsidRPr="00CB13F7" w:rsidRDefault="007D728E" w:rsidP="007D728E">
            <w:pPr>
              <w:rPr>
                <w:rFonts w:eastAsia="Times New Roman"/>
                <w:color w:val="000000"/>
                <w:sz w:val="16"/>
                <w:szCs w:val="16"/>
                <w:lang w:eastAsia="en-US"/>
              </w:rPr>
            </w:pPr>
          </w:p>
        </w:tc>
      </w:tr>
      <w:tr w:rsidR="007D728E" w:rsidRPr="00CB13F7" w14:paraId="0EB472D0" w14:textId="77777777" w:rsidTr="00592A13">
        <w:trPr>
          <w:trHeight w:val="225"/>
        </w:trPr>
        <w:tc>
          <w:tcPr>
            <w:tcW w:w="1260" w:type="dxa"/>
            <w:tcBorders>
              <w:top w:val="nil"/>
              <w:left w:val="single" w:sz="4" w:space="0" w:color="000000"/>
              <w:bottom w:val="nil"/>
              <w:right w:val="single" w:sz="4" w:space="0" w:color="000000"/>
            </w:tcBorders>
            <w:shd w:val="clear" w:color="000000" w:fill="CAEDFA"/>
            <w:vAlign w:val="bottom"/>
            <w:hideMark/>
          </w:tcPr>
          <w:p w14:paraId="08FEFA62"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38D824BE"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57066E21"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CBBD16A"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3C5D98CA"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6DBB4995"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hideMark/>
          </w:tcPr>
          <w:p w14:paraId="4502CEE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17C8D588" w14:textId="77777777" w:rsidR="007D728E" w:rsidRPr="00CB13F7" w:rsidRDefault="007D728E" w:rsidP="007D728E">
            <w:pPr>
              <w:rPr>
                <w:rFonts w:eastAsia="Times New Roman"/>
                <w:color w:val="000000"/>
                <w:sz w:val="16"/>
                <w:szCs w:val="16"/>
                <w:lang w:eastAsia="en-US"/>
              </w:rPr>
            </w:pPr>
          </w:p>
        </w:tc>
      </w:tr>
      <w:tr w:rsidR="007D728E" w:rsidRPr="00CB13F7" w14:paraId="103C548A" w14:textId="77777777" w:rsidTr="00592A13">
        <w:trPr>
          <w:trHeight w:val="450"/>
        </w:trPr>
        <w:tc>
          <w:tcPr>
            <w:tcW w:w="1260" w:type="dxa"/>
            <w:tcBorders>
              <w:top w:val="nil"/>
              <w:left w:val="single" w:sz="4" w:space="0" w:color="000000"/>
              <w:bottom w:val="nil"/>
              <w:right w:val="single" w:sz="4" w:space="0" w:color="000000"/>
            </w:tcBorders>
            <w:shd w:val="clear" w:color="000000" w:fill="CAEDFA"/>
            <w:vAlign w:val="center"/>
            <w:hideMark/>
          </w:tcPr>
          <w:p w14:paraId="3BA55614"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50E3FFCD"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55D940B3"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93FC15"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6A3A5811"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5B5164FB"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hideMark/>
          </w:tcPr>
          <w:p w14:paraId="5C9BE519"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63B0C9D8" w14:textId="77777777" w:rsidR="007D728E" w:rsidRPr="00CB13F7" w:rsidRDefault="007D728E" w:rsidP="007D728E">
            <w:pPr>
              <w:rPr>
                <w:rFonts w:eastAsia="Times New Roman"/>
                <w:color w:val="000000"/>
                <w:sz w:val="16"/>
                <w:szCs w:val="16"/>
                <w:lang w:eastAsia="en-US"/>
              </w:rPr>
            </w:pPr>
          </w:p>
        </w:tc>
      </w:tr>
      <w:tr w:rsidR="007D728E" w:rsidRPr="00CB13F7" w14:paraId="7BD287C7" w14:textId="77777777" w:rsidTr="00592A13">
        <w:trPr>
          <w:trHeight w:val="430"/>
        </w:trPr>
        <w:tc>
          <w:tcPr>
            <w:tcW w:w="1260" w:type="dxa"/>
            <w:tcBorders>
              <w:top w:val="nil"/>
              <w:left w:val="single" w:sz="4" w:space="0" w:color="000000"/>
              <w:bottom w:val="nil"/>
              <w:right w:val="single" w:sz="4" w:space="0" w:color="000000"/>
            </w:tcBorders>
            <w:shd w:val="clear" w:color="000000" w:fill="CAEDFA"/>
            <w:vAlign w:val="center"/>
            <w:hideMark/>
          </w:tcPr>
          <w:p w14:paraId="7583E947"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60993D01"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71C64513"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E54D174"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76F42A07"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0FFD350C"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hideMark/>
          </w:tcPr>
          <w:p w14:paraId="7FE8D36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22038358" w14:textId="77777777" w:rsidR="007D728E" w:rsidRPr="00CB13F7" w:rsidRDefault="007D728E" w:rsidP="007D728E">
            <w:pPr>
              <w:rPr>
                <w:rFonts w:eastAsia="Times New Roman"/>
                <w:color w:val="000000"/>
                <w:sz w:val="16"/>
                <w:szCs w:val="16"/>
                <w:lang w:eastAsia="en-US"/>
              </w:rPr>
            </w:pPr>
          </w:p>
        </w:tc>
      </w:tr>
      <w:tr w:rsidR="007D728E" w:rsidRPr="00CB13F7" w14:paraId="05D1FAF8" w14:textId="77777777" w:rsidTr="00592A13">
        <w:trPr>
          <w:trHeight w:val="280"/>
        </w:trPr>
        <w:tc>
          <w:tcPr>
            <w:tcW w:w="1260" w:type="dxa"/>
            <w:tcBorders>
              <w:top w:val="nil"/>
              <w:left w:val="single" w:sz="4" w:space="0" w:color="000000"/>
              <w:bottom w:val="nil"/>
              <w:right w:val="single" w:sz="4" w:space="0" w:color="000000"/>
            </w:tcBorders>
            <w:shd w:val="clear" w:color="000000" w:fill="CAEDFA"/>
            <w:vAlign w:val="bottom"/>
            <w:hideMark/>
          </w:tcPr>
          <w:p w14:paraId="56AFE211"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080" w:type="dxa"/>
            <w:vMerge/>
            <w:tcBorders>
              <w:top w:val="nil"/>
              <w:left w:val="single" w:sz="4" w:space="0" w:color="000000"/>
              <w:bottom w:val="nil"/>
              <w:right w:val="single" w:sz="4" w:space="0" w:color="000000"/>
            </w:tcBorders>
            <w:vAlign w:val="center"/>
            <w:hideMark/>
          </w:tcPr>
          <w:p w14:paraId="34807AEC" w14:textId="77777777" w:rsidR="007D728E" w:rsidRPr="00CB13F7" w:rsidRDefault="007D728E" w:rsidP="007D728E">
            <w:pPr>
              <w:rPr>
                <w:rFonts w:eastAsia="Times New Roman"/>
                <w:sz w:val="16"/>
                <w:szCs w:val="16"/>
                <w:lang w:eastAsia="en-US"/>
              </w:rPr>
            </w:pPr>
          </w:p>
        </w:tc>
        <w:tc>
          <w:tcPr>
            <w:tcW w:w="2629" w:type="dxa"/>
            <w:vMerge/>
            <w:tcBorders>
              <w:top w:val="single" w:sz="4" w:space="0" w:color="000000"/>
              <w:left w:val="single" w:sz="4" w:space="0" w:color="000000"/>
              <w:bottom w:val="single" w:sz="4" w:space="0" w:color="000000"/>
              <w:right w:val="nil"/>
            </w:tcBorders>
            <w:vAlign w:val="center"/>
            <w:hideMark/>
          </w:tcPr>
          <w:p w14:paraId="3FF873EB" w14:textId="77777777" w:rsidR="007D728E" w:rsidRPr="00CB13F7" w:rsidRDefault="007D728E" w:rsidP="007D728E">
            <w:pPr>
              <w:rPr>
                <w:rFonts w:eastAsia="Times New Roman"/>
                <w:sz w:val="16"/>
                <w:szCs w:val="16"/>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983E373" w14:textId="77777777" w:rsidR="007D728E" w:rsidRPr="00CB13F7" w:rsidRDefault="007D728E" w:rsidP="007D728E">
            <w:pPr>
              <w:rPr>
                <w:rFonts w:eastAsia="Times New Roman"/>
                <w:sz w:val="16"/>
                <w:szCs w:val="16"/>
                <w:lang w:eastAsia="en-US"/>
              </w:rPr>
            </w:pPr>
          </w:p>
        </w:tc>
        <w:tc>
          <w:tcPr>
            <w:tcW w:w="1097" w:type="dxa"/>
            <w:vMerge/>
            <w:tcBorders>
              <w:top w:val="single" w:sz="4" w:space="0" w:color="000000"/>
              <w:left w:val="single" w:sz="4" w:space="0" w:color="000000"/>
              <w:bottom w:val="single" w:sz="4" w:space="0" w:color="000000"/>
              <w:right w:val="single" w:sz="4" w:space="0" w:color="000000"/>
            </w:tcBorders>
            <w:vAlign w:val="center"/>
            <w:hideMark/>
          </w:tcPr>
          <w:p w14:paraId="13B98DE5" w14:textId="77777777" w:rsidR="007D728E" w:rsidRPr="00CB13F7" w:rsidRDefault="007D728E" w:rsidP="007D728E">
            <w:pPr>
              <w:rPr>
                <w:rFonts w:eastAsia="Times New Roman"/>
                <w:sz w:val="16"/>
                <w:szCs w:val="16"/>
                <w:lang w:eastAsia="en-US"/>
              </w:rPr>
            </w:pPr>
          </w:p>
        </w:tc>
        <w:tc>
          <w:tcPr>
            <w:tcW w:w="1460" w:type="dxa"/>
            <w:vMerge/>
            <w:tcBorders>
              <w:top w:val="single" w:sz="4" w:space="0" w:color="000000"/>
              <w:left w:val="single" w:sz="4" w:space="0" w:color="000000"/>
              <w:bottom w:val="single" w:sz="4" w:space="0" w:color="000000"/>
              <w:right w:val="nil"/>
            </w:tcBorders>
            <w:vAlign w:val="center"/>
            <w:hideMark/>
          </w:tcPr>
          <w:p w14:paraId="508538DF" w14:textId="77777777" w:rsidR="007D728E" w:rsidRPr="00CB13F7" w:rsidRDefault="007D728E" w:rsidP="007D728E">
            <w:pPr>
              <w:rPr>
                <w:rFonts w:eastAsia="Times New Roman"/>
                <w:sz w:val="16"/>
                <w:szCs w:val="16"/>
                <w:lang w:eastAsia="en-US"/>
              </w:rPr>
            </w:pPr>
          </w:p>
        </w:tc>
        <w:tc>
          <w:tcPr>
            <w:tcW w:w="1440" w:type="dxa"/>
            <w:tcBorders>
              <w:top w:val="nil"/>
              <w:left w:val="single" w:sz="4" w:space="0" w:color="000000"/>
              <w:bottom w:val="nil"/>
              <w:right w:val="nil"/>
            </w:tcBorders>
            <w:shd w:val="clear" w:color="000000" w:fill="CAEDFA"/>
            <w:vAlign w:val="bottom"/>
            <w:hideMark/>
          </w:tcPr>
          <w:p w14:paraId="21E3A312"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523" w:type="dxa"/>
            <w:vMerge/>
            <w:tcBorders>
              <w:top w:val="single" w:sz="4" w:space="0" w:color="000000"/>
              <w:left w:val="single" w:sz="4" w:space="0" w:color="000000"/>
              <w:bottom w:val="single" w:sz="4" w:space="0" w:color="000000"/>
              <w:right w:val="single" w:sz="4" w:space="0" w:color="auto"/>
            </w:tcBorders>
            <w:vAlign w:val="center"/>
            <w:hideMark/>
          </w:tcPr>
          <w:p w14:paraId="34F3BE22" w14:textId="77777777" w:rsidR="007D728E" w:rsidRPr="00CB13F7" w:rsidRDefault="007D728E" w:rsidP="007D728E">
            <w:pPr>
              <w:rPr>
                <w:rFonts w:eastAsia="Times New Roman"/>
                <w:color w:val="000000"/>
                <w:sz w:val="16"/>
                <w:szCs w:val="16"/>
                <w:lang w:eastAsia="en-US"/>
              </w:rPr>
            </w:pPr>
          </w:p>
        </w:tc>
      </w:tr>
      <w:tr w:rsidR="007D728E" w:rsidRPr="00CB13F7" w14:paraId="60076D2C" w14:textId="77777777" w:rsidTr="00592A13">
        <w:trPr>
          <w:trHeight w:val="3180"/>
        </w:trPr>
        <w:tc>
          <w:tcPr>
            <w:tcW w:w="1260" w:type="dxa"/>
            <w:vMerge w:val="restart"/>
            <w:tcBorders>
              <w:top w:val="single" w:sz="4" w:space="0" w:color="auto"/>
              <w:left w:val="nil"/>
              <w:bottom w:val="single" w:sz="4" w:space="0" w:color="000000"/>
              <w:right w:val="single" w:sz="4" w:space="0" w:color="auto"/>
            </w:tcBorders>
            <w:vAlign w:val="center"/>
            <w:hideMark/>
          </w:tcPr>
          <w:p w14:paraId="63959CB0"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lastRenderedPageBreak/>
              <w:t>Masat prioritare</w:t>
            </w:r>
          </w:p>
        </w:tc>
        <w:tc>
          <w:tcPr>
            <w:tcW w:w="2080" w:type="dxa"/>
            <w:tcBorders>
              <w:top w:val="single" w:sz="4" w:space="0" w:color="auto"/>
              <w:left w:val="nil"/>
              <w:bottom w:val="single" w:sz="4" w:space="0" w:color="auto"/>
              <w:right w:val="single" w:sz="4" w:space="0" w:color="auto"/>
            </w:tcBorders>
            <w:hideMark/>
          </w:tcPr>
          <w:p w14:paraId="7DA8E64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1.1. Përmirësime ligjore për të mundësuar pjesëmarrjen në votime të të gjithë votuesve me aftësi të kufizuara.</w:t>
            </w:r>
          </w:p>
        </w:tc>
        <w:tc>
          <w:tcPr>
            <w:tcW w:w="2629" w:type="dxa"/>
            <w:tcBorders>
              <w:top w:val="nil"/>
              <w:left w:val="nil"/>
              <w:bottom w:val="single" w:sz="4" w:space="0" w:color="auto"/>
              <w:right w:val="nil"/>
            </w:tcBorders>
            <w:hideMark/>
          </w:tcPr>
          <w:p w14:paraId="5397F40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Raport vlerësimi të Kodit Zgjedhor dhe ligjit" Për </w:t>
            </w:r>
            <w:r w:rsidR="0089320C" w:rsidRPr="00CB13F7">
              <w:rPr>
                <w:rFonts w:eastAsia="Times New Roman"/>
                <w:sz w:val="16"/>
                <w:szCs w:val="16"/>
                <w:lang w:eastAsia="en-US"/>
              </w:rPr>
              <w:t>vetëqeverisjen</w:t>
            </w:r>
            <w:r w:rsidRPr="00CB13F7">
              <w:rPr>
                <w:rFonts w:eastAsia="Times New Roman"/>
                <w:sz w:val="16"/>
                <w:szCs w:val="16"/>
                <w:lang w:eastAsia="en-US"/>
              </w:rPr>
              <w:t xml:space="preserve"> vendore" me rekomandime </w:t>
            </w:r>
            <w:r w:rsidR="00234FBC" w:rsidRPr="00CB13F7">
              <w:rPr>
                <w:rFonts w:eastAsia="Times New Roman"/>
                <w:sz w:val="16"/>
                <w:szCs w:val="16"/>
                <w:lang w:eastAsia="en-US"/>
              </w:rPr>
              <w:t>për</w:t>
            </w:r>
            <w:r w:rsidRPr="00CB13F7">
              <w:rPr>
                <w:rFonts w:eastAsia="Times New Roman"/>
                <w:sz w:val="16"/>
                <w:szCs w:val="16"/>
                <w:lang w:eastAsia="en-US"/>
              </w:rPr>
              <w:t xml:space="preserve"> detyrimin e NJQV-ve për të dërguar në KQZ të dhëna për zgjedhësit me AK.</w:t>
            </w:r>
            <w:r w:rsidRPr="00CB13F7">
              <w:rPr>
                <w:rFonts w:eastAsia="Times New Roman"/>
                <w:sz w:val="16"/>
                <w:szCs w:val="16"/>
                <w:lang w:eastAsia="en-US"/>
              </w:rPr>
              <w:br/>
            </w:r>
            <w:r w:rsidRPr="00CB13F7">
              <w:rPr>
                <w:rFonts w:eastAsia="Times New Roman"/>
                <w:sz w:val="16"/>
                <w:szCs w:val="16"/>
                <w:lang w:eastAsia="en-US"/>
              </w:rPr>
              <w:br/>
              <w:t xml:space="preserve">Ndryshimi ligjor për sigurimin e aksesit në </w:t>
            </w:r>
            <w:r w:rsidR="0089320C" w:rsidRPr="00CB13F7">
              <w:rPr>
                <w:rFonts w:eastAsia="Times New Roman"/>
                <w:sz w:val="16"/>
                <w:szCs w:val="16"/>
                <w:lang w:eastAsia="en-US"/>
              </w:rPr>
              <w:t>procesin</w:t>
            </w:r>
            <w:r w:rsidRPr="00CB13F7">
              <w:rPr>
                <w:rFonts w:eastAsia="Times New Roman"/>
                <w:sz w:val="16"/>
                <w:szCs w:val="16"/>
                <w:lang w:eastAsia="en-US"/>
              </w:rPr>
              <w:t xml:space="preserve"> e votimit për personat me aftësi të kufizuara që nuk mund të largohen nga rezidenca e tyre.</w:t>
            </w:r>
            <w:r w:rsidRPr="00CB13F7">
              <w:rPr>
                <w:rFonts w:eastAsia="Times New Roman"/>
                <w:sz w:val="16"/>
                <w:szCs w:val="16"/>
                <w:lang w:eastAsia="en-US"/>
              </w:rPr>
              <w:br/>
            </w:r>
            <w:r w:rsidRPr="00CB13F7">
              <w:rPr>
                <w:rFonts w:eastAsia="Times New Roman"/>
                <w:sz w:val="16"/>
                <w:szCs w:val="16"/>
                <w:lang w:eastAsia="en-US"/>
              </w:rPr>
              <w:br/>
            </w:r>
            <w:r w:rsidR="00234FBC" w:rsidRPr="00CB13F7">
              <w:rPr>
                <w:rFonts w:eastAsia="Times New Roman"/>
                <w:sz w:val="16"/>
                <w:szCs w:val="16"/>
                <w:lang w:eastAsia="en-US"/>
              </w:rPr>
              <w:t>Udhëzime</w:t>
            </w:r>
            <w:r w:rsidRPr="00CB13F7">
              <w:rPr>
                <w:rFonts w:eastAsia="Times New Roman"/>
                <w:sz w:val="16"/>
                <w:szCs w:val="16"/>
                <w:lang w:eastAsia="en-US"/>
              </w:rPr>
              <w:t xml:space="preserve"> nga KQZ </w:t>
            </w:r>
            <w:r w:rsidR="00234FBC" w:rsidRPr="00CB13F7">
              <w:rPr>
                <w:rFonts w:eastAsia="Times New Roman"/>
                <w:sz w:val="16"/>
                <w:szCs w:val="16"/>
                <w:lang w:eastAsia="en-US"/>
              </w:rPr>
              <w:t>për</w:t>
            </w:r>
            <w:r w:rsidRPr="00CB13F7">
              <w:rPr>
                <w:rFonts w:eastAsia="Times New Roman"/>
                <w:sz w:val="16"/>
                <w:szCs w:val="16"/>
                <w:lang w:eastAsia="en-US"/>
              </w:rPr>
              <w:t xml:space="preserve"> akses </w:t>
            </w:r>
            <w:r w:rsidR="00234FBC" w:rsidRPr="00CB13F7">
              <w:rPr>
                <w:rFonts w:eastAsia="Times New Roman"/>
                <w:sz w:val="16"/>
                <w:szCs w:val="16"/>
                <w:lang w:eastAsia="en-US"/>
              </w:rPr>
              <w:t>për</w:t>
            </w:r>
            <w:r w:rsidRPr="00CB13F7">
              <w:rPr>
                <w:rFonts w:eastAsia="Times New Roman"/>
                <w:sz w:val="16"/>
                <w:szCs w:val="16"/>
                <w:lang w:eastAsia="en-US"/>
              </w:rPr>
              <w:t xml:space="preserve"> votuesit me probleme te zhvillimit intelektual dhe psiko social </w:t>
            </w:r>
          </w:p>
        </w:tc>
        <w:tc>
          <w:tcPr>
            <w:tcW w:w="1134" w:type="dxa"/>
            <w:tcBorders>
              <w:top w:val="nil"/>
              <w:left w:val="single" w:sz="4" w:space="0" w:color="auto"/>
              <w:bottom w:val="single" w:sz="4" w:space="0" w:color="auto"/>
              <w:right w:val="single" w:sz="4" w:space="0" w:color="auto"/>
            </w:tcBorders>
            <w:hideMark/>
          </w:tcPr>
          <w:p w14:paraId="077AC66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N/A</w:t>
            </w:r>
          </w:p>
        </w:tc>
        <w:tc>
          <w:tcPr>
            <w:tcW w:w="1097" w:type="dxa"/>
            <w:tcBorders>
              <w:top w:val="nil"/>
              <w:left w:val="nil"/>
              <w:bottom w:val="single" w:sz="4" w:space="0" w:color="auto"/>
              <w:right w:val="single" w:sz="4" w:space="0" w:color="auto"/>
            </w:tcBorders>
            <w:hideMark/>
          </w:tcPr>
          <w:p w14:paraId="0C1B41C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raport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Kodi zgjedhor i ndryshuar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 udhëzim nga KQZ</w:t>
            </w:r>
          </w:p>
        </w:tc>
        <w:tc>
          <w:tcPr>
            <w:tcW w:w="1460" w:type="dxa"/>
            <w:tcBorders>
              <w:top w:val="nil"/>
              <w:left w:val="nil"/>
              <w:bottom w:val="single" w:sz="4" w:space="0" w:color="auto"/>
              <w:right w:val="single" w:sz="4" w:space="0" w:color="auto"/>
            </w:tcBorders>
            <w:noWrap/>
            <w:hideMark/>
          </w:tcPr>
          <w:p w14:paraId="0CB744A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440" w:type="dxa"/>
            <w:tcBorders>
              <w:top w:val="single" w:sz="4" w:space="0" w:color="auto"/>
              <w:left w:val="nil"/>
              <w:bottom w:val="single" w:sz="4" w:space="0" w:color="auto"/>
              <w:right w:val="single" w:sz="4" w:space="0" w:color="auto"/>
            </w:tcBorders>
            <w:hideMark/>
          </w:tcPr>
          <w:p w14:paraId="6DD0F6C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KQZ;</w:t>
            </w:r>
            <w:r w:rsidRPr="00CB13F7">
              <w:rPr>
                <w:rFonts w:eastAsia="Times New Roman"/>
                <w:sz w:val="16"/>
                <w:szCs w:val="16"/>
                <w:lang w:eastAsia="en-US"/>
              </w:rPr>
              <w:br/>
              <w:t xml:space="preserve">MD; </w:t>
            </w:r>
            <w:r w:rsidRPr="00CB13F7">
              <w:rPr>
                <w:rFonts w:eastAsia="Times New Roman"/>
                <w:sz w:val="16"/>
                <w:szCs w:val="16"/>
                <w:lang w:eastAsia="en-US"/>
              </w:rPr>
              <w:br/>
              <w:t>Parlamenti;</w:t>
            </w:r>
          </w:p>
        </w:tc>
        <w:tc>
          <w:tcPr>
            <w:tcW w:w="2523" w:type="dxa"/>
            <w:tcBorders>
              <w:top w:val="nil"/>
              <w:left w:val="nil"/>
              <w:bottom w:val="single" w:sz="4" w:space="0" w:color="auto"/>
              <w:right w:val="single" w:sz="4" w:space="0" w:color="auto"/>
            </w:tcBorders>
            <w:hideMark/>
          </w:tcPr>
          <w:p w14:paraId="0498412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6BE2B7C3" w14:textId="77777777" w:rsidTr="00592A13">
        <w:trPr>
          <w:trHeight w:val="1320"/>
        </w:trPr>
        <w:tc>
          <w:tcPr>
            <w:tcW w:w="1260" w:type="dxa"/>
            <w:vMerge/>
            <w:tcBorders>
              <w:top w:val="single" w:sz="4" w:space="0" w:color="auto"/>
              <w:left w:val="nil"/>
              <w:bottom w:val="single" w:sz="4" w:space="0" w:color="000000"/>
              <w:right w:val="single" w:sz="4" w:space="0" w:color="auto"/>
            </w:tcBorders>
            <w:vAlign w:val="center"/>
            <w:hideMark/>
          </w:tcPr>
          <w:p w14:paraId="17F41730" w14:textId="77777777" w:rsidR="007D728E" w:rsidRPr="00CB13F7" w:rsidRDefault="007D728E" w:rsidP="007D728E">
            <w:pPr>
              <w:rPr>
                <w:rFonts w:eastAsia="Times New Roman"/>
                <w:b/>
                <w:bCs/>
                <w:sz w:val="16"/>
                <w:szCs w:val="16"/>
                <w:lang w:eastAsia="en-US"/>
              </w:rPr>
            </w:pPr>
          </w:p>
        </w:tc>
        <w:tc>
          <w:tcPr>
            <w:tcW w:w="2080" w:type="dxa"/>
            <w:tcBorders>
              <w:top w:val="single" w:sz="4" w:space="0" w:color="auto"/>
              <w:left w:val="nil"/>
              <w:bottom w:val="single" w:sz="4" w:space="0" w:color="auto"/>
              <w:right w:val="single" w:sz="4" w:space="0" w:color="auto"/>
            </w:tcBorders>
            <w:hideMark/>
          </w:tcPr>
          <w:p w14:paraId="0A2A5CF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Masa Prioritare 1.2. Rritje e ndërgjegjësimit për pjesëmarrjen e personave me aftësi të kufizuara në proceset zgjedhore, jo vetëm si votues.</w:t>
            </w:r>
          </w:p>
        </w:tc>
        <w:tc>
          <w:tcPr>
            <w:tcW w:w="2629" w:type="dxa"/>
            <w:tcBorders>
              <w:top w:val="nil"/>
              <w:left w:val="nil"/>
              <w:bottom w:val="single" w:sz="4" w:space="0" w:color="auto"/>
              <w:right w:val="nil"/>
            </w:tcBorders>
            <w:hideMark/>
          </w:tcPr>
          <w:p w14:paraId="163E138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 e rritjes se numrit të personave me AK që janë pjesë e komisioneve zgjedhore. </w:t>
            </w:r>
            <w:r w:rsidRPr="00CB13F7">
              <w:rPr>
                <w:rFonts w:eastAsia="Times New Roman"/>
                <w:sz w:val="16"/>
                <w:szCs w:val="16"/>
                <w:lang w:eastAsia="en-US"/>
              </w:rPr>
              <w:br/>
            </w:r>
            <w:r w:rsidRPr="00CB13F7">
              <w:rPr>
                <w:rFonts w:eastAsia="Times New Roman"/>
                <w:sz w:val="16"/>
                <w:szCs w:val="16"/>
                <w:lang w:eastAsia="en-US"/>
              </w:rPr>
              <w:br/>
              <w:t xml:space="preserve">% e rritjes se numrit te personave me AK qe </w:t>
            </w:r>
            <w:r w:rsidR="00234FBC" w:rsidRPr="00CB13F7">
              <w:rPr>
                <w:rFonts w:eastAsia="Times New Roman"/>
                <w:sz w:val="16"/>
                <w:szCs w:val="16"/>
                <w:lang w:eastAsia="en-US"/>
              </w:rPr>
              <w:t>janë</w:t>
            </w:r>
            <w:r w:rsidRPr="00CB13F7">
              <w:rPr>
                <w:rFonts w:eastAsia="Times New Roman"/>
                <w:sz w:val="16"/>
                <w:szCs w:val="16"/>
                <w:lang w:eastAsia="en-US"/>
              </w:rPr>
              <w:t xml:space="preserve"> </w:t>
            </w:r>
            <w:r w:rsidR="0089320C" w:rsidRPr="00CB13F7">
              <w:rPr>
                <w:rFonts w:eastAsia="Times New Roman"/>
                <w:sz w:val="16"/>
                <w:szCs w:val="16"/>
                <w:lang w:eastAsia="en-US"/>
              </w:rPr>
              <w:t>vëzhgues</w:t>
            </w:r>
            <w:r w:rsidRPr="00CB13F7">
              <w:rPr>
                <w:rFonts w:eastAsia="Times New Roman"/>
                <w:sz w:val="16"/>
                <w:szCs w:val="16"/>
                <w:lang w:eastAsia="en-US"/>
              </w:rPr>
              <w:t xml:space="preserve"> zgjedhorë. </w:t>
            </w:r>
          </w:p>
        </w:tc>
        <w:tc>
          <w:tcPr>
            <w:tcW w:w="1134" w:type="dxa"/>
            <w:tcBorders>
              <w:top w:val="nil"/>
              <w:left w:val="single" w:sz="4" w:space="0" w:color="auto"/>
              <w:bottom w:val="single" w:sz="4" w:space="0" w:color="auto"/>
              <w:right w:val="single" w:sz="4" w:space="0" w:color="auto"/>
            </w:tcBorders>
            <w:hideMark/>
          </w:tcPr>
          <w:p w14:paraId="667EFB2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p>
        </w:tc>
        <w:tc>
          <w:tcPr>
            <w:tcW w:w="1097" w:type="dxa"/>
            <w:tcBorders>
              <w:top w:val="nil"/>
              <w:left w:val="nil"/>
              <w:bottom w:val="single" w:sz="4" w:space="0" w:color="auto"/>
              <w:right w:val="single" w:sz="4" w:space="0" w:color="auto"/>
            </w:tcBorders>
            <w:hideMark/>
          </w:tcPr>
          <w:p w14:paraId="3076D9D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10 % nga vlerësimi bazë </w:t>
            </w:r>
            <w:r w:rsidRPr="00CB13F7">
              <w:rPr>
                <w:rFonts w:eastAsia="Times New Roman"/>
                <w:color w:val="000000"/>
                <w:sz w:val="16"/>
                <w:szCs w:val="16"/>
                <w:lang w:eastAsia="en-US"/>
              </w:rPr>
              <w:br/>
            </w:r>
            <w:r w:rsidRPr="00CB13F7">
              <w:rPr>
                <w:rFonts w:eastAsia="Times New Roman"/>
                <w:color w:val="000000"/>
                <w:sz w:val="16"/>
                <w:szCs w:val="16"/>
                <w:lang w:eastAsia="en-US"/>
              </w:rPr>
              <w:br/>
              <w:t>15 % nga vlerësimi bazë</w:t>
            </w:r>
          </w:p>
        </w:tc>
        <w:tc>
          <w:tcPr>
            <w:tcW w:w="1460" w:type="dxa"/>
            <w:tcBorders>
              <w:top w:val="nil"/>
              <w:left w:val="nil"/>
              <w:bottom w:val="single" w:sz="4" w:space="0" w:color="auto"/>
              <w:right w:val="single" w:sz="4" w:space="0" w:color="auto"/>
            </w:tcBorders>
            <w:hideMark/>
          </w:tcPr>
          <w:p w14:paraId="5A900DE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30 % nga vlerësimi bazë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25 % nga vlerësimi bazë</w:t>
            </w:r>
          </w:p>
        </w:tc>
        <w:tc>
          <w:tcPr>
            <w:tcW w:w="1440" w:type="dxa"/>
            <w:tcBorders>
              <w:top w:val="nil"/>
              <w:left w:val="nil"/>
              <w:bottom w:val="single" w:sz="4" w:space="0" w:color="auto"/>
              <w:right w:val="single" w:sz="4" w:space="0" w:color="auto"/>
            </w:tcBorders>
            <w:hideMark/>
          </w:tcPr>
          <w:p w14:paraId="6372605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KQZ;</w:t>
            </w:r>
            <w:r w:rsidRPr="00CB13F7">
              <w:rPr>
                <w:rFonts w:eastAsia="Times New Roman"/>
                <w:sz w:val="16"/>
                <w:szCs w:val="16"/>
                <w:lang w:eastAsia="en-US"/>
              </w:rPr>
              <w:br/>
              <w:t>NJQV;</w:t>
            </w:r>
            <w:r w:rsidRPr="00CB13F7">
              <w:rPr>
                <w:rFonts w:eastAsia="Times New Roman"/>
                <w:sz w:val="16"/>
                <w:szCs w:val="16"/>
                <w:lang w:eastAsia="en-US"/>
              </w:rPr>
              <w:br/>
              <w:t>OJQ;</w:t>
            </w:r>
          </w:p>
        </w:tc>
        <w:tc>
          <w:tcPr>
            <w:tcW w:w="2523" w:type="dxa"/>
            <w:tcBorders>
              <w:top w:val="nil"/>
              <w:left w:val="nil"/>
              <w:bottom w:val="single" w:sz="4" w:space="0" w:color="auto"/>
              <w:right w:val="single" w:sz="4" w:space="0" w:color="auto"/>
            </w:tcBorders>
            <w:hideMark/>
          </w:tcPr>
          <w:p w14:paraId="35E6A20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82E06F0" w14:textId="77777777" w:rsidTr="00592A13">
        <w:trPr>
          <w:trHeight w:val="2190"/>
        </w:trPr>
        <w:tc>
          <w:tcPr>
            <w:tcW w:w="1260" w:type="dxa"/>
            <w:vMerge/>
            <w:tcBorders>
              <w:top w:val="single" w:sz="4" w:space="0" w:color="auto"/>
              <w:left w:val="nil"/>
              <w:bottom w:val="single" w:sz="4" w:space="0" w:color="000000"/>
              <w:right w:val="single" w:sz="4" w:space="0" w:color="auto"/>
            </w:tcBorders>
            <w:vAlign w:val="center"/>
            <w:hideMark/>
          </w:tcPr>
          <w:p w14:paraId="73B0B025" w14:textId="77777777" w:rsidR="007D728E" w:rsidRPr="00CB13F7" w:rsidRDefault="007D728E" w:rsidP="007D728E">
            <w:pPr>
              <w:rPr>
                <w:rFonts w:eastAsia="Times New Roman"/>
                <w:b/>
                <w:bCs/>
                <w:sz w:val="16"/>
                <w:szCs w:val="16"/>
                <w:lang w:eastAsia="en-US"/>
              </w:rPr>
            </w:pPr>
          </w:p>
        </w:tc>
        <w:tc>
          <w:tcPr>
            <w:tcW w:w="2080" w:type="dxa"/>
            <w:tcBorders>
              <w:top w:val="single" w:sz="4" w:space="0" w:color="auto"/>
              <w:left w:val="nil"/>
              <w:bottom w:val="single" w:sz="4" w:space="0" w:color="auto"/>
              <w:right w:val="single" w:sz="4" w:space="0" w:color="auto"/>
            </w:tcBorders>
            <w:hideMark/>
          </w:tcPr>
          <w:p w14:paraId="5C62627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Masa prioritare 2.1: Rritje e aksesit për pjesëmarrje te Personave me </w:t>
            </w:r>
            <w:r w:rsidR="0089320C" w:rsidRPr="00CB13F7">
              <w:rPr>
                <w:rFonts w:eastAsia="Times New Roman"/>
                <w:sz w:val="16"/>
                <w:szCs w:val="16"/>
                <w:lang w:eastAsia="en-US"/>
              </w:rPr>
              <w:t>Aftësi</w:t>
            </w:r>
            <w:r w:rsidRPr="00CB13F7">
              <w:rPr>
                <w:rFonts w:eastAsia="Times New Roman"/>
                <w:sz w:val="16"/>
                <w:szCs w:val="16"/>
                <w:lang w:eastAsia="en-US"/>
              </w:rPr>
              <w:t xml:space="preserve"> te Kufizuara në aktivitete kulturore dhe sportive</w:t>
            </w:r>
          </w:p>
        </w:tc>
        <w:tc>
          <w:tcPr>
            <w:tcW w:w="2629" w:type="dxa"/>
            <w:tcBorders>
              <w:top w:val="nil"/>
              <w:left w:val="nil"/>
              <w:bottom w:val="single" w:sz="4" w:space="0" w:color="auto"/>
              <w:right w:val="nil"/>
            </w:tcBorders>
            <w:hideMark/>
          </w:tcPr>
          <w:p w14:paraId="4568662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Numri i institucioneve kulturore dhe sportive (teatro, muze, qendra kulturore, palestra) që plotësojnë standardet e aksesueshmërisë për personat me aftësi të kufizuara. Marrëveshje bashkëpunimi e MTKS me organizatat e personave me aftësi të kufizuara, për promovimin e pjesëmarrjes së artistëve dhe sportisteve me AK në aktivitetet kulturore/artistike dhe sportive.</w:t>
            </w:r>
          </w:p>
        </w:tc>
        <w:tc>
          <w:tcPr>
            <w:tcW w:w="1134" w:type="dxa"/>
            <w:tcBorders>
              <w:top w:val="nil"/>
              <w:left w:val="single" w:sz="4" w:space="0" w:color="auto"/>
              <w:bottom w:val="single" w:sz="4" w:space="0" w:color="auto"/>
              <w:right w:val="single" w:sz="4" w:space="0" w:color="auto"/>
            </w:tcBorders>
            <w:hideMark/>
          </w:tcPr>
          <w:p w14:paraId="5123570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Të dhënat tek </w:t>
            </w:r>
            <w:r w:rsidR="0089320C" w:rsidRPr="00CB13F7">
              <w:rPr>
                <w:rFonts w:eastAsia="Times New Roman"/>
                <w:sz w:val="16"/>
                <w:szCs w:val="16"/>
                <w:lang w:eastAsia="en-US"/>
              </w:rPr>
              <w:t>regjistri</w:t>
            </w:r>
            <w:r w:rsidRPr="00CB13F7">
              <w:rPr>
                <w:rFonts w:eastAsia="Times New Roman"/>
                <w:sz w:val="16"/>
                <w:szCs w:val="16"/>
                <w:lang w:eastAsia="en-US"/>
              </w:rPr>
              <w:t xml:space="preserve"> i MTKS </w:t>
            </w:r>
          </w:p>
        </w:tc>
        <w:tc>
          <w:tcPr>
            <w:tcW w:w="1097" w:type="dxa"/>
            <w:tcBorders>
              <w:top w:val="nil"/>
              <w:left w:val="nil"/>
              <w:bottom w:val="single" w:sz="4" w:space="0" w:color="auto"/>
              <w:right w:val="single" w:sz="4" w:space="0" w:color="auto"/>
            </w:tcBorders>
            <w:hideMark/>
          </w:tcPr>
          <w:p w14:paraId="53CEB39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10% nga vlerësimi baze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Marrëveshja e hartuar</w:t>
            </w:r>
          </w:p>
        </w:tc>
        <w:tc>
          <w:tcPr>
            <w:tcW w:w="1460" w:type="dxa"/>
            <w:tcBorders>
              <w:top w:val="nil"/>
              <w:left w:val="nil"/>
              <w:bottom w:val="single" w:sz="4" w:space="0" w:color="auto"/>
              <w:right w:val="single" w:sz="4" w:space="0" w:color="auto"/>
            </w:tcBorders>
            <w:hideMark/>
          </w:tcPr>
          <w:p w14:paraId="3BCC47A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30 % nga vlerësimi bazë </w:t>
            </w:r>
          </w:p>
        </w:tc>
        <w:tc>
          <w:tcPr>
            <w:tcW w:w="1440" w:type="dxa"/>
            <w:tcBorders>
              <w:top w:val="nil"/>
              <w:left w:val="nil"/>
              <w:bottom w:val="single" w:sz="4" w:space="0" w:color="auto"/>
              <w:right w:val="single" w:sz="4" w:space="0" w:color="auto"/>
            </w:tcBorders>
            <w:hideMark/>
          </w:tcPr>
          <w:p w14:paraId="26E49F9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MTKS;</w:t>
            </w:r>
            <w:r w:rsidRPr="00CB13F7">
              <w:rPr>
                <w:rFonts w:eastAsia="Times New Roman"/>
                <w:sz w:val="16"/>
                <w:szCs w:val="16"/>
                <w:lang w:eastAsia="en-US"/>
              </w:rPr>
              <w:br/>
              <w:t>MSHMS;</w:t>
            </w:r>
            <w:r w:rsidRPr="00CB13F7">
              <w:rPr>
                <w:rFonts w:eastAsia="Times New Roman"/>
                <w:sz w:val="16"/>
                <w:szCs w:val="16"/>
                <w:lang w:eastAsia="en-US"/>
              </w:rPr>
              <w:br/>
              <w:t>OJQ;</w:t>
            </w:r>
          </w:p>
        </w:tc>
        <w:tc>
          <w:tcPr>
            <w:tcW w:w="2523" w:type="dxa"/>
            <w:tcBorders>
              <w:top w:val="nil"/>
              <w:left w:val="nil"/>
              <w:bottom w:val="single" w:sz="4" w:space="0" w:color="auto"/>
              <w:right w:val="single" w:sz="4" w:space="0" w:color="auto"/>
            </w:tcBorders>
            <w:hideMark/>
          </w:tcPr>
          <w:p w14:paraId="2BCA3A5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1353A67B" w14:textId="77777777" w:rsidTr="00592A13">
        <w:trPr>
          <w:trHeight w:val="2025"/>
        </w:trPr>
        <w:tc>
          <w:tcPr>
            <w:tcW w:w="1260" w:type="dxa"/>
            <w:vMerge/>
            <w:tcBorders>
              <w:top w:val="single" w:sz="4" w:space="0" w:color="auto"/>
              <w:left w:val="nil"/>
              <w:bottom w:val="single" w:sz="4" w:space="0" w:color="000000"/>
              <w:right w:val="single" w:sz="4" w:space="0" w:color="auto"/>
            </w:tcBorders>
            <w:vAlign w:val="center"/>
            <w:hideMark/>
          </w:tcPr>
          <w:p w14:paraId="68CCD00B" w14:textId="77777777" w:rsidR="007D728E" w:rsidRPr="00CB13F7" w:rsidRDefault="007D728E" w:rsidP="007D728E">
            <w:pPr>
              <w:rPr>
                <w:rFonts w:eastAsia="Times New Roman"/>
                <w:b/>
                <w:bCs/>
                <w:sz w:val="16"/>
                <w:szCs w:val="16"/>
                <w:lang w:eastAsia="en-US"/>
              </w:rPr>
            </w:pPr>
          </w:p>
        </w:tc>
        <w:tc>
          <w:tcPr>
            <w:tcW w:w="2080" w:type="dxa"/>
            <w:tcBorders>
              <w:top w:val="single" w:sz="4" w:space="0" w:color="auto"/>
              <w:left w:val="nil"/>
              <w:bottom w:val="single" w:sz="4" w:space="0" w:color="auto"/>
              <w:right w:val="single" w:sz="4" w:space="0" w:color="auto"/>
            </w:tcBorders>
            <w:hideMark/>
          </w:tcPr>
          <w:p w14:paraId="1456324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Masa prioritare 2.2 Ngritja dhe fuqizimi i kapaciteteve </w:t>
            </w:r>
          </w:p>
        </w:tc>
        <w:tc>
          <w:tcPr>
            <w:tcW w:w="2629" w:type="dxa"/>
            <w:tcBorders>
              <w:top w:val="nil"/>
              <w:left w:val="nil"/>
              <w:bottom w:val="single" w:sz="4" w:space="0" w:color="auto"/>
              <w:right w:val="nil"/>
            </w:tcBorders>
            <w:hideMark/>
          </w:tcPr>
          <w:p w14:paraId="49D49AE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Trajnimi dhe specializimi i mësuesve të edukimit fizik për të punuar me fëmijë me aftësi të kufizuara, plan individual përgatitur nga </w:t>
            </w:r>
            <w:r w:rsidR="0089320C" w:rsidRPr="00CB13F7">
              <w:rPr>
                <w:rFonts w:eastAsia="Times New Roman"/>
                <w:sz w:val="16"/>
                <w:szCs w:val="16"/>
                <w:lang w:eastAsia="en-US"/>
              </w:rPr>
              <w:t>mësuesit</w:t>
            </w:r>
            <w:r w:rsidRPr="00CB13F7">
              <w:rPr>
                <w:rFonts w:eastAsia="Times New Roman"/>
                <w:sz w:val="16"/>
                <w:szCs w:val="16"/>
                <w:lang w:eastAsia="en-US"/>
              </w:rPr>
              <w:t xml:space="preserve">. </w:t>
            </w:r>
            <w:r w:rsidRPr="00CB13F7">
              <w:rPr>
                <w:rFonts w:eastAsia="Times New Roman"/>
                <w:sz w:val="16"/>
                <w:szCs w:val="16"/>
                <w:lang w:eastAsia="en-US"/>
              </w:rPr>
              <w:br/>
            </w:r>
            <w:r w:rsidRPr="00CB13F7">
              <w:rPr>
                <w:rFonts w:eastAsia="Times New Roman"/>
                <w:sz w:val="16"/>
                <w:szCs w:val="16"/>
                <w:lang w:eastAsia="en-US"/>
              </w:rPr>
              <w:br/>
              <w:t xml:space="preserve">Përfshirja në vijimësi e të paktën një </w:t>
            </w:r>
            <w:r w:rsidR="0089320C" w:rsidRPr="00CB13F7">
              <w:rPr>
                <w:rFonts w:eastAsia="Times New Roman"/>
                <w:sz w:val="16"/>
                <w:szCs w:val="16"/>
                <w:lang w:eastAsia="en-US"/>
              </w:rPr>
              <w:t>përfaqësuesi</w:t>
            </w:r>
            <w:r w:rsidRPr="00CB13F7">
              <w:rPr>
                <w:rFonts w:eastAsia="Times New Roman"/>
                <w:sz w:val="16"/>
                <w:szCs w:val="16"/>
                <w:lang w:eastAsia="en-US"/>
              </w:rPr>
              <w:t xml:space="preserve"> te personave me aftësi të kufizuara si anëtar i Komitetit Kombëtar të Sporteve. Bashkëpunimi me organizata te specializuara / Olimpiku Special </w:t>
            </w:r>
          </w:p>
        </w:tc>
        <w:tc>
          <w:tcPr>
            <w:tcW w:w="1134" w:type="dxa"/>
            <w:tcBorders>
              <w:top w:val="nil"/>
              <w:left w:val="single" w:sz="4" w:space="0" w:color="auto"/>
              <w:bottom w:val="single" w:sz="4" w:space="0" w:color="auto"/>
              <w:right w:val="single" w:sz="4" w:space="0" w:color="auto"/>
            </w:tcBorders>
            <w:hideMark/>
          </w:tcPr>
          <w:p w14:paraId="7C483F9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N/A</w:t>
            </w:r>
          </w:p>
        </w:tc>
        <w:tc>
          <w:tcPr>
            <w:tcW w:w="1097" w:type="dxa"/>
            <w:tcBorders>
              <w:top w:val="nil"/>
              <w:left w:val="nil"/>
              <w:bottom w:val="single" w:sz="4" w:space="0" w:color="auto"/>
              <w:right w:val="single" w:sz="4" w:space="0" w:color="auto"/>
            </w:tcBorders>
            <w:noWrap/>
            <w:hideMark/>
          </w:tcPr>
          <w:p w14:paraId="7ABCD80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50 % nga vlerësimi bazë</w:t>
            </w:r>
          </w:p>
        </w:tc>
        <w:tc>
          <w:tcPr>
            <w:tcW w:w="1460" w:type="dxa"/>
            <w:tcBorders>
              <w:top w:val="nil"/>
              <w:left w:val="nil"/>
              <w:bottom w:val="single" w:sz="4" w:space="0" w:color="auto"/>
              <w:right w:val="single" w:sz="4" w:space="0" w:color="auto"/>
            </w:tcBorders>
            <w:noWrap/>
            <w:hideMark/>
          </w:tcPr>
          <w:p w14:paraId="39B9542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80 % nga vlerësimi bazë</w:t>
            </w:r>
          </w:p>
        </w:tc>
        <w:tc>
          <w:tcPr>
            <w:tcW w:w="1440" w:type="dxa"/>
            <w:tcBorders>
              <w:top w:val="nil"/>
              <w:left w:val="nil"/>
              <w:bottom w:val="single" w:sz="4" w:space="0" w:color="auto"/>
              <w:right w:val="single" w:sz="4" w:space="0" w:color="auto"/>
            </w:tcBorders>
            <w:hideMark/>
          </w:tcPr>
          <w:p w14:paraId="15DDFF2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MTKS;</w:t>
            </w:r>
            <w:r w:rsidRPr="00CB13F7">
              <w:rPr>
                <w:rFonts w:eastAsia="Times New Roman"/>
                <w:sz w:val="16"/>
                <w:szCs w:val="16"/>
                <w:lang w:eastAsia="en-US"/>
              </w:rPr>
              <w:br/>
              <w:t xml:space="preserve">MSHMS; </w:t>
            </w:r>
            <w:r w:rsidRPr="00CB13F7">
              <w:rPr>
                <w:rFonts w:eastAsia="Times New Roman"/>
                <w:sz w:val="16"/>
                <w:szCs w:val="16"/>
                <w:lang w:eastAsia="en-US"/>
              </w:rPr>
              <w:br/>
              <w:t>OJQ;</w:t>
            </w:r>
          </w:p>
        </w:tc>
        <w:tc>
          <w:tcPr>
            <w:tcW w:w="2523" w:type="dxa"/>
            <w:tcBorders>
              <w:top w:val="nil"/>
              <w:left w:val="nil"/>
              <w:bottom w:val="single" w:sz="4" w:space="0" w:color="auto"/>
              <w:right w:val="single" w:sz="4" w:space="0" w:color="auto"/>
            </w:tcBorders>
            <w:hideMark/>
          </w:tcPr>
          <w:p w14:paraId="00929B1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bl>
    <w:p w14:paraId="5FD16DBA" w14:textId="77777777" w:rsidR="007D728E" w:rsidRPr="00CB13F7" w:rsidRDefault="007D728E" w:rsidP="007D728E">
      <w:pPr>
        <w:rPr>
          <w:rFonts w:eastAsia="Times New Roman"/>
          <w:lang w:eastAsia="en-US"/>
        </w:rPr>
      </w:pPr>
    </w:p>
    <w:p w14:paraId="006B597F" w14:textId="77777777" w:rsidR="007D728E" w:rsidRPr="00CB13F7" w:rsidRDefault="007D728E" w:rsidP="007D728E">
      <w:pPr>
        <w:rPr>
          <w:rFonts w:eastAsia="Times New Roman"/>
          <w:lang w:eastAsia="en-US"/>
        </w:rPr>
      </w:pPr>
    </w:p>
    <w:p w14:paraId="3154FBA2" w14:textId="1E6B68FE" w:rsidR="007D728E" w:rsidRPr="00CB13F7" w:rsidRDefault="007D728E" w:rsidP="007D728E">
      <w:pPr>
        <w:rPr>
          <w:rFonts w:eastAsia="Times New Roman"/>
          <w:b/>
          <w:bCs/>
          <w:lang w:eastAsia="en-US"/>
        </w:rPr>
      </w:pPr>
      <w:r w:rsidRPr="00CB13F7">
        <w:rPr>
          <w:rFonts w:eastAsia="Times New Roman"/>
          <w:b/>
          <w:bCs/>
          <w:lang w:eastAsia="en-US"/>
        </w:rPr>
        <w:lastRenderedPageBreak/>
        <w:t>6.8</w:t>
      </w:r>
      <w:r w:rsidR="00736097" w:rsidRPr="00CB13F7">
        <w:rPr>
          <w:rFonts w:eastAsia="Times New Roman"/>
          <w:b/>
          <w:bCs/>
          <w:lang w:eastAsia="en-US"/>
        </w:rPr>
        <w:t xml:space="preserve"> </w:t>
      </w:r>
      <w:r w:rsidRPr="00CB13F7">
        <w:rPr>
          <w:rFonts w:eastAsia="Times New Roman"/>
          <w:b/>
          <w:bCs/>
          <w:lang w:eastAsia="en-US"/>
        </w:rPr>
        <w:t>Bashkëpunimi</w:t>
      </w:r>
    </w:p>
    <w:p w14:paraId="24464CEC" w14:textId="77777777" w:rsidR="007D728E" w:rsidRPr="00CB13F7" w:rsidRDefault="007D728E" w:rsidP="007D728E">
      <w:pPr>
        <w:rPr>
          <w:rFonts w:ascii="Cambria" w:eastAsia="MS Mincho" w:hAnsi="Cambria"/>
          <w:lang w:eastAsia="en-US"/>
        </w:rPr>
      </w:pPr>
    </w:p>
    <w:tbl>
      <w:tblPr>
        <w:tblW w:w="13623" w:type="dxa"/>
        <w:tblInd w:w="93" w:type="dxa"/>
        <w:tblLayout w:type="fixed"/>
        <w:tblLook w:val="04A0" w:firstRow="1" w:lastRow="0" w:firstColumn="1" w:lastColumn="0" w:noHBand="0" w:noVBand="1"/>
      </w:tblPr>
      <w:tblGrid>
        <w:gridCol w:w="1159"/>
        <w:gridCol w:w="253"/>
        <w:gridCol w:w="1517"/>
        <w:gridCol w:w="2189"/>
        <w:gridCol w:w="1122"/>
        <w:gridCol w:w="2016"/>
        <w:gridCol w:w="1597"/>
        <w:gridCol w:w="1696"/>
        <w:gridCol w:w="2074"/>
      </w:tblGrid>
      <w:tr w:rsidR="007D728E" w:rsidRPr="00CB13F7" w14:paraId="6898F28E" w14:textId="77777777" w:rsidTr="661F9D2E">
        <w:trPr>
          <w:trHeight w:val="545"/>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vAlign w:val="center"/>
            <w:hideMark/>
          </w:tcPr>
          <w:p w14:paraId="3801BB43"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3579BA0B"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Objektivat</w:t>
            </w:r>
          </w:p>
        </w:tc>
        <w:tc>
          <w:tcPr>
            <w:tcW w:w="2189" w:type="dxa"/>
            <w:tcBorders>
              <w:top w:val="single" w:sz="4" w:space="0" w:color="000000" w:themeColor="text1"/>
              <w:left w:val="nil"/>
              <w:bottom w:val="single" w:sz="4" w:space="0" w:color="000000" w:themeColor="text1"/>
              <w:right w:val="nil"/>
            </w:tcBorders>
            <w:shd w:val="clear" w:color="auto" w:fill="C0E5F3"/>
            <w:hideMark/>
          </w:tcPr>
          <w:p w14:paraId="19E2F8D0"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Treguesi</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5F3"/>
            <w:hideMark/>
          </w:tcPr>
          <w:p w14:paraId="336FFB9C"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Vlera bazë</w:t>
            </w:r>
          </w:p>
        </w:tc>
        <w:tc>
          <w:tcPr>
            <w:tcW w:w="2016" w:type="dxa"/>
            <w:tcBorders>
              <w:top w:val="single" w:sz="4" w:space="0" w:color="000000" w:themeColor="text1"/>
              <w:left w:val="nil"/>
              <w:bottom w:val="single" w:sz="4" w:space="0" w:color="000000" w:themeColor="text1"/>
              <w:right w:val="single" w:sz="4" w:space="0" w:color="000000" w:themeColor="text1"/>
            </w:tcBorders>
            <w:shd w:val="clear" w:color="auto" w:fill="C0E5F3"/>
            <w:hideMark/>
          </w:tcPr>
          <w:p w14:paraId="6A14646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2027</w:t>
            </w:r>
          </w:p>
        </w:tc>
        <w:tc>
          <w:tcPr>
            <w:tcW w:w="1597" w:type="dxa"/>
            <w:tcBorders>
              <w:top w:val="single" w:sz="4" w:space="0" w:color="000000" w:themeColor="text1"/>
              <w:left w:val="nil"/>
              <w:bottom w:val="single" w:sz="4" w:space="0" w:color="000000" w:themeColor="text1"/>
              <w:right w:val="nil"/>
            </w:tcBorders>
            <w:shd w:val="clear" w:color="auto" w:fill="C0E5F3"/>
            <w:hideMark/>
          </w:tcPr>
          <w:p w14:paraId="2B5D210F"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Synimi 2030</w:t>
            </w:r>
          </w:p>
        </w:tc>
        <w:tc>
          <w:tcPr>
            <w:tcW w:w="1696" w:type="dxa"/>
            <w:tcBorders>
              <w:top w:val="single" w:sz="4" w:space="0" w:color="000000" w:themeColor="text1"/>
              <w:left w:val="single" w:sz="4" w:space="0" w:color="000000" w:themeColor="text1"/>
              <w:bottom w:val="single" w:sz="4" w:space="0" w:color="000000" w:themeColor="text1"/>
              <w:right w:val="nil"/>
            </w:tcBorders>
            <w:shd w:val="clear" w:color="auto" w:fill="C0E5F3"/>
            <w:hideMark/>
          </w:tcPr>
          <w:p w14:paraId="2EC9FB2A"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Burimet dhe mjetet e verifikimit</w:t>
            </w:r>
          </w:p>
        </w:tc>
        <w:tc>
          <w:tcPr>
            <w:tcW w:w="20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0E5F3"/>
            <w:hideMark/>
          </w:tcPr>
          <w:p w14:paraId="15B55560"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Referenca në dok. të tjera</w:t>
            </w:r>
          </w:p>
        </w:tc>
      </w:tr>
      <w:tr w:rsidR="007D728E" w:rsidRPr="00CB13F7" w14:paraId="5CC7CC3A" w14:textId="77777777" w:rsidTr="661F9D2E">
        <w:trPr>
          <w:trHeight w:val="2128"/>
        </w:trPr>
        <w:tc>
          <w:tcPr>
            <w:tcW w:w="1159" w:type="dxa"/>
            <w:tcBorders>
              <w:top w:val="nil"/>
              <w:left w:val="single" w:sz="4" w:space="0" w:color="000000" w:themeColor="text1"/>
              <w:bottom w:val="nil"/>
              <w:right w:val="single" w:sz="4" w:space="0" w:color="000000" w:themeColor="text1"/>
            </w:tcBorders>
            <w:shd w:val="clear" w:color="auto" w:fill="D8F1D0"/>
            <w:vAlign w:val="center"/>
            <w:hideMark/>
          </w:tcPr>
          <w:p w14:paraId="4E9E11A5" w14:textId="77777777" w:rsidR="007D728E" w:rsidRPr="00CB13F7" w:rsidRDefault="007D728E" w:rsidP="007D728E">
            <w:pPr>
              <w:rPr>
                <w:rFonts w:eastAsia="Times New Roman"/>
                <w:b/>
                <w:bCs/>
                <w:sz w:val="16"/>
                <w:szCs w:val="16"/>
                <w:lang w:eastAsia="en-US"/>
              </w:rPr>
            </w:pPr>
            <w:r w:rsidRPr="00CB13F7">
              <w:rPr>
                <w:rFonts w:eastAsia="Times New Roman"/>
                <w:b/>
                <w:bCs/>
                <w:sz w:val="16"/>
                <w:szCs w:val="16"/>
                <w:lang w:eastAsia="en-US"/>
              </w:rPr>
              <w:t xml:space="preserve">Qëllimi i politikës </w:t>
            </w:r>
          </w:p>
        </w:tc>
        <w:tc>
          <w:tcPr>
            <w:tcW w:w="1770" w:type="dxa"/>
            <w:gridSpan w:val="2"/>
            <w:tcBorders>
              <w:top w:val="single" w:sz="4" w:space="0" w:color="000000" w:themeColor="text1"/>
              <w:left w:val="nil"/>
              <w:bottom w:val="nil"/>
              <w:right w:val="single" w:sz="4" w:space="0" w:color="000000" w:themeColor="text1"/>
            </w:tcBorders>
            <w:shd w:val="clear" w:color="auto" w:fill="D8F1D0"/>
            <w:hideMark/>
          </w:tcPr>
          <w:p w14:paraId="2117BB8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Qëllimi i politikës: Krijimi i sinergjive ndërmjet institucioneve dhe sektorëve të ndryshëm për nxitjen dhe monitorimin e të drejtave të personave me aftësi të kufizuara në mënyrë të plotë, të vazhdueshme dhe të qëndrueshme. </w:t>
            </w:r>
          </w:p>
        </w:tc>
        <w:tc>
          <w:tcPr>
            <w:tcW w:w="2189" w:type="dxa"/>
            <w:tcBorders>
              <w:top w:val="nil"/>
              <w:left w:val="nil"/>
              <w:bottom w:val="nil"/>
              <w:right w:val="nil"/>
            </w:tcBorders>
            <w:shd w:val="clear" w:color="auto" w:fill="D8F1D0"/>
            <w:hideMark/>
          </w:tcPr>
          <w:p w14:paraId="2682536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Numri i marrëveshjeve formale të bashkëpunimit (MoU) ose mekanizmave të përbashkët funksionalë të krijuar ndërmjet institucioneve dhe sektorëve për nxitjen dhe monitorimin e të drejtave të personave me aftësi të kufizuara. Plane sociale të përgatitura nga bashkitë; Raporte për monitorimin e PKVPAK; Raporte për zbatimin e KDPAK;</w:t>
            </w:r>
          </w:p>
        </w:tc>
        <w:tc>
          <w:tcPr>
            <w:tcW w:w="1122" w:type="dxa"/>
            <w:tcBorders>
              <w:top w:val="nil"/>
              <w:left w:val="single" w:sz="4" w:space="0" w:color="000000" w:themeColor="text1"/>
              <w:bottom w:val="nil"/>
              <w:right w:val="single" w:sz="4" w:space="0" w:color="000000" w:themeColor="text1"/>
            </w:tcBorders>
            <w:shd w:val="clear" w:color="auto" w:fill="D8F1D0"/>
            <w:hideMark/>
          </w:tcPr>
          <w:p w14:paraId="70C59D8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N/A</w:t>
            </w:r>
            <w:r w:rsidRPr="00CB13F7">
              <w:rPr>
                <w:rFonts w:eastAsia="Times New Roman"/>
                <w:color w:val="000000"/>
                <w:sz w:val="16"/>
                <w:szCs w:val="16"/>
                <w:lang w:eastAsia="en-US"/>
              </w:rPr>
              <w:br/>
              <w:t>N/A</w:t>
            </w:r>
            <w:r w:rsidRPr="00CB13F7">
              <w:rPr>
                <w:rFonts w:eastAsia="Times New Roman"/>
                <w:color w:val="000000"/>
                <w:sz w:val="16"/>
                <w:szCs w:val="16"/>
                <w:lang w:eastAsia="en-US"/>
              </w:rPr>
              <w:br/>
              <w:t>N/A</w:t>
            </w:r>
            <w:r w:rsidRPr="00CB13F7">
              <w:rPr>
                <w:rFonts w:eastAsia="Times New Roman"/>
                <w:color w:val="000000"/>
                <w:sz w:val="16"/>
                <w:szCs w:val="16"/>
                <w:lang w:eastAsia="en-US"/>
              </w:rPr>
              <w:br/>
              <w:t>N/A</w:t>
            </w:r>
          </w:p>
        </w:tc>
        <w:tc>
          <w:tcPr>
            <w:tcW w:w="2016" w:type="dxa"/>
            <w:tcBorders>
              <w:top w:val="nil"/>
              <w:left w:val="nil"/>
              <w:bottom w:val="nil"/>
              <w:right w:val="single" w:sz="4" w:space="0" w:color="000000" w:themeColor="text1"/>
            </w:tcBorders>
            <w:shd w:val="clear" w:color="auto" w:fill="D8F1D0"/>
            <w:hideMark/>
          </w:tcPr>
          <w:p w14:paraId="683A515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15% </w:t>
            </w:r>
            <w:r w:rsidR="0089320C" w:rsidRPr="00CB13F7">
              <w:rPr>
                <w:rFonts w:eastAsia="Times New Roman"/>
                <w:color w:val="000000"/>
                <w:sz w:val="16"/>
                <w:szCs w:val="16"/>
                <w:lang w:eastAsia="en-US"/>
              </w:rPr>
              <w:t>Marrëveshje</w:t>
            </w:r>
            <w:r w:rsidRPr="00CB13F7">
              <w:rPr>
                <w:rFonts w:eastAsia="Times New Roman"/>
                <w:color w:val="000000"/>
                <w:sz w:val="16"/>
                <w:szCs w:val="16"/>
                <w:lang w:eastAsia="en-US"/>
              </w:rPr>
              <w:t xml:space="preserve"> </w:t>
            </w:r>
            <w:r w:rsidR="0089320C" w:rsidRPr="00CB13F7">
              <w:rPr>
                <w:rFonts w:eastAsia="Times New Roman"/>
                <w:color w:val="000000"/>
                <w:sz w:val="16"/>
                <w:szCs w:val="16"/>
                <w:lang w:eastAsia="en-US"/>
              </w:rPr>
              <w:t>bashkëpunimi</w:t>
            </w:r>
            <w:r w:rsidRPr="00CB13F7">
              <w:rPr>
                <w:rFonts w:eastAsia="Times New Roman"/>
                <w:color w:val="000000"/>
                <w:sz w:val="16"/>
                <w:szCs w:val="16"/>
                <w:lang w:eastAsia="en-US"/>
              </w:rPr>
              <w:t xml:space="preserve"> Bashki - OJQ nga vlerësimi bazë; 20% Plane sociale vendore në bashki nga vlerësimi bazë; 10% Raporte nga vlerësimi bazë;</w:t>
            </w:r>
            <w:r w:rsidRPr="00CB13F7">
              <w:rPr>
                <w:rFonts w:eastAsia="Times New Roman"/>
                <w:color w:val="000000"/>
                <w:sz w:val="16"/>
                <w:szCs w:val="16"/>
                <w:lang w:eastAsia="en-US"/>
              </w:rPr>
              <w:br/>
              <w:t>Guida metodologjike;</w:t>
            </w:r>
          </w:p>
        </w:tc>
        <w:tc>
          <w:tcPr>
            <w:tcW w:w="1597" w:type="dxa"/>
            <w:tcBorders>
              <w:top w:val="nil"/>
              <w:left w:val="nil"/>
              <w:bottom w:val="nil"/>
              <w:right w:val="nil"/>
            </w:tcBorders>
            <w:shd w:val="clear" w:color="auto" w:fill="D8F1D0"/>
            <w:hideMark/>
          </w:tcPr>
          <w:p w14:paraId="204E462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35% Marrëveshje bashkëpunimi Bashki - OJQ nga vlerësimi bazë; 40% Plane sociale vendore në bashki nga vlerësimi bazë; 30% Raporte nga vlerësimi bazë 1 Guidë; </w:t>
            </w:r>
          </w:p>
        </w:tc>
        <w:tc>
          <w:tcPr>
            <w:tcW w:w="1696" w:type="dxa"/>
            <w:tcBorders>
              <w:top w:val="nil"/>
              <w:left w:val="single" w:sz="4" w:space="0" w:color="000000" w:themeColor="text1"/>
              <w:bottom w:val="nil"/>
              <w:right w:val="nil"/>
            </w:tcBorders>
            <w:shd w:val="clear" w:color="auto" w:fill="D8F1D0"/>
            <w:hideMark/>
          </w:tcPr>
          <w:p w14:paraId="75E602B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NJQV;</w:t>
            </w:r>
            <w:r w:rsidRPr="00CB13F7">
              <w:rPr>
                <w:rFonts w:eastAsia="Times New Roman"/>
                <w:color w:val="000000"/>
                <w:sz w:val="16"/>
                <w:szCs w:val="16"/>
                <w:lang w:eastAsia="en-US"/>
              </w:rPr>
              <w:br/>
              <w:t xml:space="preserve">KKAK; </w:t>
            </w:r>
            <w:r w:rsidRPr="00CB13F7">
              <w:rPr>
                <w:rFonts w:eastAsia="Times New Roman"/>
                <w:color w:val="000000"/>
                <w:sz w:val="16"/>
                <w:szCs w:val="16"/>
                <w:lang w:eastAsia="en-US"/>
              </w:rPr>
              <w:br/>
              <w:t xml:space="preserve">Të gjitha Institucionet; </w:t>
            </w:r>
            <w:r w:rsidRPr="00CB13F7">
              <w:rPr>
                <w:rFonts w:eastAsia="Times New Roman"/>
                <w:color w:val="000000"/>
                <w:sz w:val="16"/>
                <w:szCs w:val="16"/>
                <w:lang w:eastAsia="en-US"/>
              </w:rPr>
              <w:br/>
              <w:t xml:space="preserve">KMD; </w:t>
            </w:r>
            <w:r w:rsidRPr="00CB13F7">
              <w:rPr>
                <w:rFonts w:eastAsia="Times New Roman"/>
                <w:color w:val="000000"/>
                <w:sz w:val="16"/>
                <w:szCs w:val="16"/>
                <w:lang w:eastAsia="en-US"/>
              </w:rPr>
              <w:br/>
              <w:t xml:space="preserve">OJQ; </w:t>
            </w:r>
            <w:r w:rsidRPr="00CB13F7">
              <w:rPr>
                <w:rFonts w:eastAsia="Times New Roman"/>
                <w:color w:val="000000"/>
                <w:sz w:val="16"/>
                <w:szCs w:val="16"/>
                <w:lang w:eastAsia="en-US"/>
              </w:rPr>
              <w:br/>
              <w:t>Raporte monitorimi;</w:t>
            </w:r>
          </w:p>
        </w:tc>
        <w:tc>
          <w:tcPr>
            <w:tcW w:w="2074" w:type="dxa"/>
            <w:tcBorders>
              <w:top w:val="nil"/>
              <w:left w:val="single" w:sz="4" w:space="0" w:color="000000" w:themeColor="text1"/>
              <w:bottom w:val="nil"/>
              <w:right w:val="single" w:sz="4" w:space="0" w:color="auto"/>
            </w:tcBorders>
            <w:shd w:val="clear" w:color="auto" w:fill="D8F1D0"/>
            <w:hideMark/>
          </w:tcPr>
          <w:p w14:paraId="1402D0F8" w14:textId="0222C55A" w:rsidR="007D728E" w:rsidRPr="00CB13F7" w:rsidRDefault="7CCBCF77" w:rsidP="007D728E">
            <w:pPr>
              <w:rPr>
                <w:rFonts w:eastAsia="Times New Roman"/>
                <w:sz w:val="16"/>
                <w:szCs w:val="16"/>
                <w:lang w:eastAsia="en-US"/>
              </w:rPr>
            </w:pPr>
            <w:r w:rsidRPr="00CB13F7">
              <w:rPr>
                <w:rFonts w:eastAsia="Times New Roman"/>
                <w:sz w:val="16"/>
                <w:szCs w:val="16"/>
                <w:lang w:eastAsia="en-US"/>
              </w:rPr>
              <w:t>OZHQ</w:t>
            </w:r>
            <w:r w:rsidR="0080D2BD" w:rsidRPr="00CB13F7">
              <w:rPr>
                <w:rFonts w:eastAsia="Times New Roman"/>
                <w:sz w:val="16"/>
                <w:szCs w:val="16"/>
                <w:lang w:eastAsia="en-US"/>
              </w:rPr>
              <w:t>;</w:t>
            </w:r>
            <w:r w:rsidR="007D728E" w:rsidRPr="00CB13F7">
              <w:br/>
            </w:r>
            <w:r w:rsidR="0080D2BD" w:rsidRPr="00CB13F7">
              <w:rPr>
                <w:rFonts w:eastAsia="Times New Roman"/>
                <w:sz w:val="16"/>
                <w:szCs w:val="16"/>
                <w:lang w:eastAsia="en-US"/>
              </w:rPr>
              <w:t>Dokumenti i programit të BE-së EU për Përfshirjen Sociale; Strategjia e BE-së për të Drejtat e Personave me Aftësi të Kufizuara 2021</w:t>
            </w:r>
            <w:r w:rsidR="77B74F3F" w:rsidRPr="00CB13F7">
              <w:rPr>
                <w:rFonts w:eastAsia="Times New Roman"/>
                <w:sz w:val="16"/>
                <w:szCs w:val="16"/>
                <w:lang w:eastAsia="en-US"/>
              </w:rPr>
              <w:t>-</w:t>
            </w:r>
            <w:r w:rsidR="0080D2BD" w:rsidRPr="00CB13F7">
              <w:rPr>
                <w:rFonts w:eastAsia="Times New Roman"/>
                <w:sz w:val="16"/>
                <w:szCs w:val="16"/>
                <w:lang w:eastAsia="en-US"/>
              </w:rPr>
              <w:t xml:space="preserve">2030; </w:t>
            </w:r>
            <w:r w:rsidR="007D728E" w:rsidRPr="00CB13F7">
              <w:br/>
            </w:r>
            <w:r w:rsidR="0080D2BD" w:rsidRPr="00CB13F7">
              <w:rPr>
                <w:rFonts w:eastAsia="Times New Roman"/>
                <w:sz w:val="16"/>
                <w:szCs w:val="16"/>
                <w:lang w:eastAsia="en-US"/>
              </w:rPr>
              <w:t xml:space="preserve">Strategjia Kombëtare për Zhvillim dhe Integrim Evropian (SKZHIE); </w:t>
            </w:r>
          </w:p>
          <w:p w14:paraId="4B176D4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Dokumenti i Politikave të Përfshirjes Sociale;</w:t>
            </w:r>
          </w:p>
        </w:tc>
      </w:tr>
      <w:tr w:rsidR="007D728E" w:rsidRPr="00CB13F7" w14:paraId="0170411E" w14:textId="77777777" w:rsidTr="661F9D2E">
        <w:trPr>
          <w:trHeight w:val="465"/>
        </w:trPr>
        <w:tc>
          <w:tcPr>
            <w:tcW w:w="1159" w:type="dxa"/>
            <w:tcBorders>
              <w:top w:val="single" w:sz="4" w:space="0" w:color="000000" w:themeColor="text1"/>
              <w:left w:val="single" w:sz="4" w:space="0" w:color="000000" w:themeColor="text1"/>
              <w:bottom w:val="nil"/>
              <w:right w:val="single" w:sz="4" w:space="0" w:color="000000" w:themeColor="text1"/>
            </w:tcBorders>
            <w:shd w:val="clear" w:color="auto" w:fill="CAEDFA"/>
            <w:vAlign w:val="center"/>
            <w:hideMark/>
          </w:tcPr>
          <w:p w14:paraId="77F2B6F1"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vMerge w:val="restart"/>
            <w:tcBorders>
              <w:top w:val="single" w:sz="4" w:space="0" w:color="000000" w:themeColor="text1"/>
              <w:left w:val="single" w:sz="4" w:space="0" w:color="000000" w:themeColor="text1"/>
              <w:bottom w:val="nil"/>
              <w:right w:val="nil"/>
            </w:tcBorders>
            <w:shd w:val="clear" w:color="auto" w:fill="CAEDFA"/>
            <w:hideMark/>
          </w:tcPr>
          <w:p w14:paraId="35612EA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Objektivi Specifik 1. Forcimi i bashkëpunimit institucional ndërmjet strukturave qendrore dhe pushtetit vendor dhe ndërveprimi me OPAK në të gjitha nivelet.</w:t>
            </w:r>
          </w:p>
        </w:tc>
        <w:tc>
          <w:tcPr>
            <w:tcW w:w="2189" w:type="dxa"/>
            <w:vMerge w:val="restart"/>
            <w:tcBorders>
              <w:top w:val="single" w:sz="4" w:space="0" w:color="auto"/>
              <w:left w:val="single" w:sz="4" w:space="0" w:color="auto"/>
              <w:bottom w:val="nil"/>
              <w:right w:val="nil"/>
            </w:tcBorders>
            <w:shd w:val="clear" w:color="auto" w:fill="CAEDFA"/>
            <w:hideMark/>
          </w:tcPr>
          <w:p w14:paraId="6C47236A" w14:textId="77777777" w:rsidR="007D728E" w:rsidRPr="00CB13F7" w:rsidRDefault="0089320C" w:rsidP="007D728E">
            <w:pPr>
              <w:rPr>
                <w:rFonts w:eastAsia="Times New Roman"/>
                <w:sz w:val="16"/>
                <w:szCs w:val="16"/>
                <w:lang w:eastAsia="en-US"/>
              </w:rPr>
            </w:pPr>
            <w:r w:rsidRPr="00CB13F7">
              <w:rPr>
                <w:rFonts w:eastAsia="Times New Roman"/>
                <w:sz w:val="16"/>
                <w:szCs w:val="16"/>
                <w:lang w:eastAsia="en-US"/>
              </w:rPr>
              <w:t>Bashki që kanë hartuar Plane sociale të aftësisë së kufizuar, në përputhje me Planin Kombëtar të Veprimit për Aftësinë e Kufizuar;</w:t>
            </w:r>
            <w:r w:rsidRPr="00CB13F7">
              <w:rPr>
                <w:rFonts w:eastAsia="Times New Roman"/>
                <w:sz w:val="16"/>
                <w:szCs w:val="16"/>
                <w:lang w:eastAsia="en-US"/>
              </w:rPr>
              <w:br/>
            </w:r>
            <w:r w:rsidRPr="00CB13F7">
              <w:rPr>
                <w:rFonts w:eastAsia="Times New Roman"/>
                <w:sz w:val="16"/>
                <w:szCs w:val="16"/>
                <w:lang w:eastAsia="en-US"/>
              </w:rPr>
              <w:br/>
              <w:t>Rritje progresive e fondit social në çdo vit, nga të ardhurat vetë bashkive + buxhet nga MF; Guida metodologjike për bashkitë për vlerësimin e nevojave të personave me aftësi të kufizuara; Marrëveshje Bashki - OJQ për bashkëpunim;</w:t>
            </w:r>
            <w:r w:rsidRPr="00CB13F7">
              <w:rPr>
                <w:rFonts w:eastAsia="Times New Roman"/>
                <w:sz w:val="16"/>
                <w:szCs w:val="16"/>
                <w:lang w:eastAsia="en-US"/>
              </w:rPr>
              <w:br/>
              <w:t>Konferenca çdo vit për monitorimin e zbatimit të PKVPAK;</w:t>
            </w:r>
          </w:p>
        </w:tc>
        <w:tc>
          <w:tcPr>
            <w:tcW w:w="1122" w:type="dxa"/>
            <w:vMerge w:val="restart"/>
            <w:tcBorders>
              <w:top w:val="single" w:sz="4" w:space="0" w:color="000000" w:themeColor="text1"/>
              <w:left w:val="single" w:sz="4" w:space="0" w:color="auto"/>
              <w:bottom w:val="nil"/>
              <w:right w:val="single" w:sz="4" w:space="0" w:color="000000" w:themeColor="text1"/>
            </w:tcBorders>
            <w:shd w:val="clear" w:color="auto" w:fill="CAEDFA"/>
            <w:hideMark/>
          </w:tcPr>
          <w:p w14:paraId="0026918C"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N/A </w:t>
            </w:r>
          </w:p>
        </w:tc>
        <w:tc>
          <w:tcPr>
            <w:tcW w:w="2016"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62AA5AE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20 % e bashkive nga vlerësimi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20 % e </w:t>
            </w:r>
            <w:r w:rsidR="0089320C" w:rsidRPr="00CB13F7">
              <w:rPr>
                <w:rFonts w:eastAsia="Times New Roman"/>
                <w:sz w:val="16"/>
                <w:szCs w:val="16"/>
                <w:lang w:eastAsia="en-US"/>
              </w:rPr>
              <w:t>përfituesve</w:t>
            </w:r>
            <w:r w:rsidRPr="00CB13F7">
              <w:rPr>
                <w:rFonts w:eastAsia="Times New Roman"/>
                <w:sz w:val="16"/>
                <w:szCs w:val="16"/>
                <w:lang w:eastAsia="en-US"/>
              </w:rPr>
              <w:t xml:space="preserve"> nga vlerësimi bazë përfitojnë shërbime nga rritje fondi; </w:t>
            </w:r>
          </w:p>
        </w:tc>
        <w:tc>
          <w:tcPr>
            <w:tcW w:w="1597" w:type="dxa"/>
            <w:vMerge w:val="restart"/>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3C6D84B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40 % e bashkive nga vlerësimi bazë;</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 xml:space="preserve">35 % e </w:t>
            </w:r>
            <w:r w:rsidR="0089320C" w:rsidRPr="00CB13F7">
              <w:rPr>
                <w:rFonts w:eastAsia="Times New Roman"/>
                <w:sz w:val="16"/>
                <w:szCs w:val="16"/>
                <w:lang w:eastAsia="en-US"/>
              </w:rPr>
              <w:t>përfituesve</w:t>
            </w:r>
            <w:r w:rsidRPr="00CB13F7">
              <w:rPr>
                <w:rFonts w:eastAsia="Times New Roman"/>
                <w:sz w:val="16"/>
                <w:szCs w:val="16"/>
                <w:lang w:eastAsia="en-US"/>
              </w:rPr>
              <w:t xml:space="preserve"> nga vlerësimi bazë përfitojnë shërbime nga rritje fondi;</w:t>
            </w:r>
          </w:p>
        </w:tc>
        <w:tc>
          <w:tcPr>
            <w:tcW w:w="1696" w:type="dxa"/>
            <w:vMerge w:val="restart"/>
            <w:tcBorders>
              <w:top w:val="single" w:sz="4" w:space="0" w:color="000000" w:themeColor="text1"/>
              <w:left w:val="single" w:sz="4" w:space="0" w:color="000000" w:themeColor="text1"/>
              <w:bottom w:val="nil"/>
              <w:right w:val="nil"/>
            </w:tcBorders>
            <w:shd w:val="clear" w:color="auto" w:fill="CAEDFA"/>
            <w:hideMark/>
          </w:tcPr>
          <w:p w14:paraId="5088547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MSHMS; </w:t>
            </w:r>
            <w:r w:rsidRPr="00CB13F7">
              <w:rPr>
                <w:rFonts w:eastAsia="Times New Roman"/>
                <w:color w:val="000000"/>
                <w:sz w:val="16"/>
                <w:szCs w:val="16"/>
                <w:lang w:eastAsia="en-US"/>
              </w:rPr>
              <w:br/>
              <w:t xml:space="preserve">NJQV; </w:t>
            </w:r>
            <w:r w:rsidRPr="00CB13F7">
              <w:rPr>
                <w:rFonts w:eastAsia="Times New Roman"/>
                <w:color w:val="000000"/>
                <w:sz w:val="16"/>
                <w:szCs w:val="16"/>
                <w:lang w:eastAsia="en-US"/>
              </w:rPr>
              <w:br/>
              <w:t xml:space="preserve">KKAK; </w:t>
            </w:r>
            <w:r w:rsidRPr="00CB13F7">
              <w:rPr>
                <w:rFonts w:eastAsia="Times New Roman"/>
                <w:color w:val="000000"/>
                <w:sz w:val="16"/>
                <w:szCs w:val="16"/>
                <w:lang w:eastAsia="en-US"/>
              </w:rPr>
              <w:br/>
              <w:t xml:space="preserve">Të gjitha Institucionet; </w:t>
            </w:r>
            <w:r w:rsidRPr="00CB13F7">
              <w:rPr>
                <w:rFonts w:eastAsia="Times New Roman"/>
                <w:color w:val="000000"/>
                <w:sz w:val="16"/>
                <w:szCs w:val="16"/>
                <w:lang w:eastAsia="en-US"/>
              </w:rPr>
              <w:br/>
              <w:t xml:space="preserve">OJQ; </w:t>
            </w:r>
            <w:r w:rsidRPr="00CB13F7">
              <w:rPr>
                <w:rFonts w:eastAsia="Times New Roman"/>
                <w:color w:val="000000"/>
                <w:sz w:val="16"/>
                <w:szCs w:val="16"/>
                <w:lang w:eastAsia="en-US"/>
              </w:rPr>
              <w:br/>
              <w:t>Raporte monitorimi;</w:t>
            </w:r>
          </w:p>
        </w:tc>
        <w:tc>
          <w:tcPr>
            <w:tcW w:w="2074" w:type="dxa"/>
            <w:vMerge w:val="restart"/>
            <w:tcBorders>
              <w:top w:val="single" w:sz="4" w:space="0" w:color="000000" w:themeColor="text1"/>
              <w:left w:val="single" w:sz="4" w:space="0" w:color="000000" w:themeColor="text1"/>
              <w:bottom w:val="nil"/>
              <w:right w:val="single" w:sz="4" w:space="0" w:color="auto"/>
            </w:tcBorders>
            <w:shd w:val="clear" w:color="auto" w:fill="CAEDFA"/>
            <w:hideMark/>
          </w:tcPr>
          <w:p w14:paraId="191C3A3C" w14:textId="0AF9BB2E" w:rsidR="007D728E" w:rsidRPr="00CB13F7" w:rsidRDefault="7CCBCF77" w:rsidP="007D728E">
            <w:pPr>
              <w:rPr>
                <w:rFonts w:eastAsia="Times New Roman"/>
                <w:sz w:val="16"/>
                <w:szCs w:val="16"/>
                <w:lang w:eastAsia="en-US"/>
              </w:rPr>
            </w:pPr>
            <w:r w:rsidRPr="00CB13F7">
              <w:rPr>
                <w:rFonts w:eastAsia="Times New Roman"/>
                <w:sz w:val="16"/>
                <w:szCs w:val="16"/>
                <w:lang w:eastAsia="en-US"/>
              </w:rPr>
              <w:t>OZHQ</w:t>
            </w:r>
            <w:r w:rsidR="0080D2BD" w:rsidRPr="00CB13F7">
              <w:rPr>
                <w:rFonts w:eastAsia="Times New Roman"/>
                <w:sz w:val="16"/>
                <w:szCs w:val="16"/>
                <w:lang w:eastAsia="en-US"/>
              </w:rPr>
              <w:t>; Konventa për të Drejtat e Personave me Aftësi të Kufizuara;</w:t>
            </w:r>
            <w:r w:rsidR="007D728E" w:rsidRPr="00CB13F7">
              <w:br/>
            </w:r>
            <w:r w:rsidR="0080D2BD" w:rsidRPr="00CB13F7">
              <w:rPr>
                <w:rFonts w:eastAsia="Times New Roman"/>
                <w:sz w:val="16"/>
                <w:szCs w:val="16"/>
                <w:lang w:eastAsia="en-US"/>
              </w:rPr>
              <w:t>Dokumenti i programi të BE-së EU për Përfshirjen Sociale; Strategjia e BE-së për të Drejtat e Personave me Aftësi të Kufizuara 2021</w:t>
            </w:r>
            <w:r w:rsidR="77B74F3F" w:rsidRPr="00CB13F7">
              <w:rPr>
                <w:rFonts w:eastAsia="Times New Roman"/>
                <w:sz w:val="16"/>
                <w:szCs w:val="16"/>
                <w:lang w:eastAsia="en-US"/>
              </w:rPr>
              <w:t>-</w:t>
            </w:r>
            <w:r w:rsidR="0080D2BD" w:rsidRPr="00CB13F7">
              <w:rPr>
                <w:rFonts w:eastAsia="Times New Roman"/>
                <w:sz w:val="16"/>
                <w:szCs w:val="16"/>
                <w:lang w:eastAsia="en-US"/>
              </w:rPr>
              <w:t xml:space="preserve">2030; </w:t>
            </w:r>
            <w:r w:rsidR="007D728E" w:rsidRPr="00CB13F7">
              <w:br/>
            </w:r>
            <w:r w:rsidR="0080D2BD" w:rsidRPr="00CB13F7">
              <w:rPr>
                <w:rFonts w:eastAsia="Times New Roman"/>
                <w:sz w:val="16"/>
                <w:szCs w:val="16"/>
                <w:lang w:eastAsia="en-US"/>
              </w:rPr>
              <w:t xml:space="preserve">Strategjia Kombëtare për Zhvillim dhe Integrim Evropian (SKZHIE); </w:t>
            </w:r>
          </w:p>
          <w:p w14:paraId="6AF2D8B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Dokumenti i Politikave te </w:t>
            </w:r>
            <w:r w:rsidR="0089320C" w:rsidRPr="00CB13F7">
              <w:rPr>
                <w:rFonts w:eastAsia="Times New Roman"/>
                <w:sz w:val="16"/>
                <w:szCs w:val="16"/>
                <w:lang w:eastAsia="en-US"/>
              </w:rPr>
              <w:t>Përfshirjes</w:t>
            </w:r>
            <w:r w:rsidRPr="00CB13F7">
              <w:rPr>
                <w:rFonts w:eastAsia="Times New Roman"/>
                <w:sz w:val="16"/>
                <w:szCs w:val="16"/>
                <w:lang w:eastAsia="en-US"/>
              </w:rPr>
              <w:t xml:space="preserve"> Sociale;</w:t>
            </w:r>
          </w:p>
        </w:tc>
      </w:tr>
      <w:tr w:rsidR="007D728E" w:rsidRPr="00CB13F7" w14:paraId="019CE827" w14:textId="77777777" w:rsidTr="661F9D2E">
        <w:trPr>
          <w:trHeight w:val="255"/>
        </w:trPr>
        <w:tc>
          <w:tcPr>
            <w:tcW w:w="1159" w:type="dxa"/>
            <w:tcBorders>
              <w:top w:val="nil"/>
              <w:left w:val="single" w:sz="4" w:space="0" w:color="000000" w:themeColor="text1"/>
              <w:bottom w:val="nil"/>
              <w:right w:val="single" w:sz="4" w:space="0" w:color="000000" w:themeColor="text1"/>
            </w:tcBorders>
            <w:shd w:val="clear" w:color="auto" w:fill="CAEDFA"/>
            <w:vAlign w:val="bottom"/>
            <w:hideMark/>
          </w:tcPr>
          <w:p w14:paraId="4A7ED990"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vMerge/>
            <w:vAlign w:val="center"/>
            <w:hideMark/>
          </w:tcPr>
          <w:p w14:paraId="7F6D55F5" w14:textId="77777777" w:rsidR="007D728E" w:rsidRPr="00CB13F7" w:rsidRDefault="007D728E" w:rsidP="007D728E">
            <w:pPr>
              <w:rPr>
                <w:rFonts w:eastAsia="Times New Roman"/>
                <w:sz w:val="16"/>
                <w:szCs w:val="16"/>
                <w:lang w:eastAsia="en-US"/>
              </w:rPr>
            </w:pPr>
          </w:p>
        </w:tc>
        <w:tc>
          <w:tcPr>
            <w:tcW w:w="2189" w:type="dxa"/>
            <w:vMerge/>
            <w:vAlign w:val="center"/>
            <w:hideMark/>
          </w:tcPr>
          <w:p w14:paraId="20878BD8" w14:textId="77777777" w:rsidR="007D728E" w:rsidRPr="00CB13F7" w:rsidRDefault="007D728E" w:rsidP="007D728E">
            <w:pPr>
              <w:rPr>
                <w:rFonts w:eastAsia="Times New Roman"/>
                <w:sz w:val="16"/>
                <w:szCs w:val="16"/>
                <w:lang w:eastAsia="en-US"/>
              </w:rPr>
            </w:pPr>
          </w:p>
        </w:tc>
        <w:tc>
          <w:tcPr>
            <w:tcW w:w="1122" w:type="dxa"/>
            <w:vMerge/>
            <w:vAlign w:val="center"/>
            <w:hideMark/>
          </w:tcPr>
          <w:p w14:paraId="0B0CB045" w14:textId="77777777" w:rsidR="007D728E" w:rsidRPr="00CB13F7" w:rsidRDefault="007D728E" w:rsidP="007D728E">
            <w:pPr>
              <w:rPr>
                <w:rFonts w:eastAsia="Times New Roman"/>
                <w:sz w:val="16"/>
                <w:szCs w:val="16"/>
                <w:lang w:eastAsia="en-US"/>
              </w:rPr>
            </w:pPr>
          </w:p>
        </w:tc>
        <w:tc>
          <w:tcPr>
            <w:tcW w:w="2016" w:type="dxa"/>
            <w:vMerge/>
            <w:vAlign w:val="center"/>
            <w:hideMark/>
          </w:tcPr>
          <w:p w14:paraId="00D2EF88" w14:textId="77777777" w:rsidR="007D728E" w:rsidRPr="00CB13F7" w:rsidRDefault="007D728E" w:rsidP="007D728E">
            <w:pPr>
              <w:rPr>
                <w:rFonts w:eastAsia="Times New Roman"/>
                <w:sz w:val="16"/>
                <w:szCs w:val="16"/>
                <w:lang w:eastAsia="en-US"/>
              </w:rPr>
            </w:pPr>
          </w:p>
        </w:tc>
        <w:tc>
          <w:tcPr>
            <w:tcW w:w="1597" w:type="dxa"/>
            <w:vMerge/>
            <w:vAlign w:val="center"/>
            <w:hideMark/>
          </w:tcPr>
          <w:p w14:paraId="373BEB2E" w14:textId="77777777" w:rsidR="007D728E" w:rsidRPr="00CB13F7" w:rsidRDefault="007D728E" w:rsidP="007D728E">
            <w:pPr>
              <w:rPr>
                <w:rFonts w:eastAsia="Times New Roman"/>
                <w:sz w:val="16"/>
                <w:szCs w:val="16"/>
                <w:lang w:eastAsia="en-US"/>
              </w:rPr>
            </w:pPr>
          </w:p>
        </w:tc>
        <w:tc>
          <w:tcPr>
            <w:tcW w:w="1696" w:type="dxa"/>
            <w:vMerge/>
            <w:vAlign w:val="center"/>
            <w:hideMark/>
          </w:tcPr>
          <w:p w14:paraId="10BA1516" w14:textId="77777777" w:rsidR="007D728E" w:rsidRPr="00CB13F7" w:rsidRDefault="007D728E" w:rsidP="007D728E">
            <w:pPr>
              <w:rPr>
                <w:rFonts w:eastAsia="Times New Roman"/>
                <w:color w:val="000000"/>
                <w:sz w:val="16"/>
                <w:szCs w:val="16"/>
                <w:lang w:eastAsia="en-US"/>
              </w:rPr>
            </w:pPr>
          </w:p>
        </w:tc>
        <w:tc>
          <w:tcPr>
            <w:tcW w:w="2074" w:type="dxa"/>
            <w:vMerge/>
            <w:vAlign w:val="center"/>
            <w:hideMark/>
          </w:tcPr>
          <w:p w14:paraId="4DC7B5F9" w14:textId="77777777" w:rsidR="007D728E" w:rsidRPr="00CB13F7" w:rsidRDefault="007D728E" w:rsidP="007D728E">
            <w:pPr>
              <w:rPr>
                <w:rFonts w:eastAsia="Times New Roman"/>
                <w:sz w:val="16"/>
                <w:szCs w:val="16"/>
                <w:lang w:eastAsia="en-US"/>
              </w:rPr>
            </w:pPr>
          </w:p>
        </w:tc>
      </w:tr>
      <w:tr w:rsidR="007D728E" w:rsidRPr="00CB13F7" w14:paraId="520DA473" w14:textId="77777777" w:rsidTr="661F9D2E">
        <w:trPr>
          <w:trHeight w:val="1380"/>
        </w:trPr>
        <w:tc>
          <w:tcPr>
            <w:tcW w:w="1159" w:type="dxa"/>
            <w:tcBorders>
              <w:top w:val="nil"/>
              <w:left w:val="single" w:sz="4" w:space="0" w:color="000000" w:themeColor="text1"/>
              <w:bottom w:val="nil"/>
              <w:right w:val="single" w:sz="4" w:space="0" w:color="000000" w:themeColor="text1"/>
            </w:tcBorders>
            <w:shd w:val="clear" w:color="auto" w:fill="CAEDFA"/>
            <w:vAlign w:val="center"/>
            <w:hideMark/>
          </w:tcPr>
          <w:p w14:paraId="7B82D9B6"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vMerge/>
            <w:vAlign w:val="center"/>
            <w:hideMark/>
          </w:tcPr>
          <w:p w14:paraId="65E70823" w14:textId="77777777" w:rsidR="007D728E" w:rsidRPr="00CB13F7" w:rsidRDefault="007D728E" w:rsidP="007D728E">
            <w:pPr>
              <w:rPr>
                <w:rFonts w:eastAsia="Times New Roman"/>
                <w:sz w:val="16"/>
                <w:szCs w:val="16"/>
                <w:lang w:eastAsia="en-US"/>
              </w:rPr>
            </w:pPr>
          </w:p>
        </w:tc>
        <w:tc>
          <w:tcPr>
            <w:tcW w:w="2189" w:type="dxa"/>
            <w:vMerge/>
            <w:vAlign w:val="center"/>
            <w:hideMark/>
          </w:tcPr>
          <w:p w14:paraId="6B301708" w14:textId="77777777" w:rsidR="007D728E" w:rsidRPr="00CB13F7" w:rsidRDefault="007D728E" w:rsidP="007D728E">
            <w:pPr>
              <w:rPr>
                <w:rFonts w:eastAsia="Times New Roman"/>
                <w:sz w:val="16"/>
                <w:szCs w:val="16"/>
                <w:lang w:eastAsia="en-US"/>
              </w:rPr>
            </w:pPr>
          </w:p>
        </w:tc>
        <w:tc>
          <w:tcPr>
            <w:tcW w:w="1122" w:type="dxa"/>
            <w:vMerge/>
            <w:vAlign w:val="center"/>
            <w:hideMark/>
          </w:tcPr>
          <w:p w14:paraId="2EF07276" w14:textId="77777777" w:rsidR="007D728E" w:rsidRPr="00CB13F7" w:rsidRDefault="007D728E" w:rsidP="007D728E">
            <w:pPr>
              <w:rPr>
                <w:rFonts w:eastAsia="Times New Roman"/>
                <w:sz w:val="16"/>
                <w:szCs w:val="16"/>
                <w:lang w:eastAsia="en-US"/>
              </w:rPr>
            </w:pPr>
          </w:p>
        </w:tc>
        <w:tc>
          <w:tcPr>
            <w:tcW w:w="2016" w:type="dxa"/>
            <w:vMerge/>
            <w:vAlign w:val="center"/>
            <w:hideMark/>
          </w:tcPr>
          <w:p w14:paraId="5963E990" w14:textId="77777777" w:rsidR="007D728E" w:rsidRPr="00CB13F7" w:rsidRDefault="007D728E" w:rsidP="007D728E">
            <w:pPr>
              <w:rPr>
                <w:rFonts w:eastAsia="Times New Roman"/>
                <w:sz w:val="16"/>
                <w:szCs w:val="16"/>
                <w:lang w:eastAsia="en-US"/>
              </w:rPr>
            </w:pPr>
          </w:p>
        </w:tc>
        <w:tc>
          <w:tcPr>
            <w:tcW w:w="1597" w:type="dxa"/>
            <w:vMerge/>
            <w:vAlign w:val="center"/>
            <w:hideMark/>
          </w:tcPr>
          <w:p w14:paraId="69042B34" w14:textId="77777777" w:rsidR="007D728E" w:rsidRPr="00CB13F7" w:rsidRDefault="007D728E" w:rsidP="007D728E">
            <w:pPr>
              <w:rPr>
                <w:rFonts w:eastAsia="Times New Roman"/>
                <w:sz w:val="16"/>
                <w:szCs w:val="16"/>
                <w:lang w:eastAsia="en-US"/>
              </w:rPr>
            </w:pPr>
          </w:p>
        </w:tc>
        <w:tc>
          <w:tcPr>
            <w:tcW w:w="1696" w:type="dxa"/>
            <w:vMerge/>
            <w:vAlign w:val="center"/>
            <w:hideMark/>
          </w:tcPr>
          <w:p w14:paraId="5FFA4753" w14:textId="77777777" w:rsidR="007D728E" w:rsidRPr="00CB13F7" w:rsidRDefault="007D728E" w:rsidP="007D728E">
            <w:pPr>
              <w:rPr>
                <w:rFonts w:eastAsia="Times New Roman"/>
                <w:color w:val="000000"/>
                <w:sz w:val="16"/>
                <w:szCs w:val="16"/>
                <w:lang w:eastAsia="en-US"/>
              </w:rPr>
            </w:pPr>
          </w:p>
        </w:tc>
        <w:tc>
          <w:tcPr>
            <w:tcW w:w="2074" w:type="dxa"/>
            <w:vMerge/>
            <w:vAlign w:val="center"/>
            <w:hideMark/>
          </w:tcPr>
          <w:p w14:paraId="1F8F2866" w14:textId="77777777" w:rsidR="007D728E" w:rsidRPr="00CB13F7" w:rsidRDefault="007D728E" w:rsidP="007D728E">
            <w:pPr>
              <w:rPr>
                <w:rFonts w:eastAsia="Times New Roman"/>
                <w:sz w:val="16"/>
                <w:szCs w:val="16"/>
                <w:lang w:eastAsia="en-US"/>
              </w:rPr>
            </w:pPr>
          </w:p>
        </w:tc>
      </w:tr>
      <w:tr w:rsidR="007D728E" w:rsidRPr="00CB13F7" w14:paraId="4C17CDC3" w14:textId="77777777" w:rsidTr="661F9D2E">
        <w:trPr>
          <w:trHeight w:val="765"/>
        </w:trPr>
        <w:tc>
          <w:tcPr>
            <w:tcW w:w="1159" w:type="dxa"/>
            <w:tcBorders>
              <w:top w:val="nil"/>
              <w:left w:val="single" w:sz="4" w:space="0" w:color="000000" w:themeColor="text1"/>
              <w:bottom w:val="nil"/>
              <w:right w:val="single" w:sz="4" w:space="0" w:color="000000" w:themeColor="text1"/>
            </w:tcBorders>
            <w:shd w:val="clear" w:color="auto" w:fill="CAEDFA"/>
            <w:hideMark/>
          </w:tcPr>
          <w:p w14:paraId="706AAFFC"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vMerge/>
            <w:vAlign w:val="center"/>
            <w:hideMark/>
          </w:tcPr>
          <w:p w14:paraId="47EE3914" w14:textId="77777777" w:rsidR="007D728E" w:rsidRPr="00CB13F7" w:rsidRDefault="007D728E" w:rsidP="007D728E">
            <w:pPr>
              <w:rPr>
                <w:rFonts w:eastAsia="Times New Roman"/>
                <w:sz w:val="16"/>
                <w:szCs w:val="16"/>
                <w:lang w:eastAsia="en-US"/>
              </w:rPr>
            </w:pPr>
          </w:p>
        </w:tc>
        <w:tc>
          <w:tcPr>
            <w:tcW w:w="2189" w:type="dxa"/>
            <w:vMerge/>
            <w:vAlign w:val="center"/>
            <w:hideMark/>
          </w:tcPr>
          <w:p w14:paraId="191088B6" w14:textId="77777777" w:rsidR="007D728E" w:rsidRPr="00CB13F7" w:rsidRDefault="007D728E" w:rsidP="007D728E">
            <w:pPr>
              <w:rPr>
                <w:rFonts w:eastAsia="Times New Roman"/>
                <w:sz w:val="16"/>
                <w:szCs w:val="16"/>
                <w:lang w:eastAsia="en-US"/>
              </w:rPr>
            </w:pPr>
          </w:p>
        </w:tc>
        <w:tc>
          <w:tcPr>
            <w:tcW w:w="1122" w:type="dxa"/>
            <w:vMerge/>
            <w:vAlign w:val="center"/>
            <w:hideMark/>
          </w:tcPr>
          <w:p w14:paraId="2A597CCB" w14:textId="77777777" w:rsidR="007D728E" w:rsidRPr="00CB13F7" w:rsidRDefault="007D728E" w:rsidP="007D728E">
            <w:pPr>
              <w:rPr>
                <w:rFonts w:eastAsia="Times New Roman"/>
                <w:sz w:val="16"/>
                <w:szCs w:val="16"/>
                <w:lang w:eastAsia="en-US"/>
              </w:rPr>
            </w:pPr>
          </w:p>
        </w:tc>
        <w:tc>
          <w:tcPr>
            <w:tcW w:w="2016" w:type="dxa"/>
            <w:vMerge/>
            <w:vAlign w:val="center"/>
            <w:hideMark/>
          </w:tcPr>
          <w:p w14:paraId="461546F2" w14:textId="77777777" w:rsidR="007D728E" w:rsidRPr="00CB13F7" w:rsidRDefault="007D728E" w:rsidP="007D728E">
            <w:pPr>
              <w:rPr>
                <w:rFonts w:eastAsia="Times New Roman"/>
                <w:sz w:val="16"/>
                <w:szCs w:val="16"/>
                <w:lang w:eastAsia="en-US"/>
              </w:rPr>
            </w:pPr>
          </w:p>
        </w:tc>
        <w:tc>
          <w:tcPr>
            <w:tcW w:w="1597" w:type="dxa"/>
            <w:vMerge/>
            <w:vAlign w:val="center"/>
            <w:hideMark/>
          </w:tcPr>
          <w:p w14:paraId="394F8B87" w14:textId="77777777" w:rsidR="007D728E" w:rsidRPr="00CB13F7" w:rsidRDefault="007D728E" w:rsidP="007D728E">
            <w:pPr>
              <w:rPr>
                <w:rFonts w:eastAsia="Times New Roman"/>
                <w:sz w:val="16"/>
                <w:szCs w:val="16"/>
                <w:lang w:eastAsia="en-US"/>
              </w:rPr>
            </w:pPr>
          </w:p>
        </w:tc>
        <w:tc>
          <w:tcPr>
            <w:tcW w:w="1696" w:type="dxa"/>
            <w:vMerge/>
            <w:vAlign w:val="center"/>
            <w:hideMark/>
          </w:tcPr>
          <w:p w14:paraId="3BA89D2C" w14:textId="77777777" w:rsidR="007D728E" w:rsidRPr="00CB13F7" w:rsidRDefault="007D728E" w:rsidP="007D728E">
            <w:pPr>
              <w:rPr>
                <w:rFonts w:eastAsia="Times New Roman"/>
                <w:color w:val="000000"/>
                <w:sz w:val="16"/>
                <w:szCs w:val="16"/>
                <w:lang w:eastAsia="en-US"/>
              </w:rPr>
            </w:pPr>
          </w:p>
        </w:tc>
        <w:tc>
          <w:tcPr>
            <w:tcW w:w="2074" w:type="dxa"/>
            <w:vMerge/>
            <w:vAlign w:val="center"/>
            <w:hideMark/>
          </w:tcPr>
          <w:p w14:paraId="4EA286BD" w14:textId="77777777" w:rsidR="007D728E" w:rsidRPr="00CB13F7" w:rsidRDefault="007D728E" w:rsidP="007D728E">
            <w:pPr>
              <w:rPr>
                <w:rFonts w:eastAsia="Times New Roman"/>
                <w:sz w:val="16"/>
                <w:szCs w:val="16"/>
                <w:lang w:eastAsia="en-US"/>
              </w:rPr>
            </w:pPr>
          </w:p>
        </w:tc>
      </w:tr>
      <w:tr w:rsidR="007D728E" w:rsidRPr="00CB13F7" w14:paraId="5F3E7C8A" w14:textId="77777777" w:rsidTr="661F9D2E">
        <w:trPr>
          <w:trHeight w:val="675"/>
        </w:trPr>
        <w:tc>
          <w:tcPr>
            <w:tcW w:w="1159" w:type="dxa"/>
            <w:tcBorders>
              <w:top w:val="nil"/>
              <w:left w:val="single" w:sz="4" w:space="0" w:color="000000" w:themeColor="text1"/>
              <w:bottom w:val="nil"/>
              <w:right w:val="single" w:sz="4" w:space="0" w:color="000000" w:themeColor="text1"/>
            </w:tcBorders>
            <w:shd w:val="clear" w:color="auto" w:fill="CAEDFA"/>
            <w:hideMark/>
          </w:tcPr>
          <w:p w14:paraId="483D8828"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A"/>
            <w:hideMark/>
          </w:tcPr>
          <w:p w14:paraId="7B9D49F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Objektivi specifik 2. Përmirësimi i funksionimit të KKAK lidhur me koordinimin e politikave publike në nivel horizontal dhe vertikal, të dedikuara për personat me aftësi të kufizuara.</w:t>
            </w:r>
          </w:p>
        </w:tc>
        <w:tc>
          <w:tcPr>
            <w:tcW w:w="2189" w:type="dxa"/>
            <w:tcBorders>
              <w:top w:val="single" w:sz="4" w:space="0" w:color="auto"/>
              <w:left w:val="nil"/>
              <w:bottom w:val="nil"/>
              <w:right w:val="nil"/>
            </w:tcBorders>
            <w:shd w:val="clear" w:color="auto" w:fill="CAEDFA"/>
            <w:hideMark/>
          </w:tcPr>
          <w:p w14:paraId="5C2B3DA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Depozitim informacioni nga Ministritë në KKAK për diskutim për çdo nisëm ligjore;</w:t>
            </w:r>
          </w:p>
        </w:tc>
        <w:tc>
          <w:tcPr>
            <w:tcW w:w="1122" w:type="dxa"/>
            <w:tcBorders>
              <w:top w:val="single" w:sz="4" w:space="0" w:color="000000" w:themeColor="text1"/>
              <w:left w:val="single" w:sz="4" w:space="0" w:color="000000" w:themeColor="text1"/>
              <w:bottom w:val="nil"/>
              <w:right w:val="single" w:sz="4" w:space="0" w:color="000000" w:themeColor="text1"/>
            </w:tcBorders>
            <w:shd w:val="clear" w:color="auto" w:fill="CAEDFA"/>
            <w:hideMark/>
          </w:tcPr>
          <w:p w14:paraId="01E82C7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Sipas rasteve</w:t>
            </w:r>
          </w:p>
        </w:tc>
        <w:tc>
          <w:tcPr>
            <w:tcW w:w="2016" w:type="dxa"/>
            <w:tcBorders>
              <w:top w:val="single" w:sz="4" w:space="0" w:color="000000" w:themeColor="text1"/>
              <w:left w:val="nil"/>
              <w:bottom w:val="nil"/>
              <w:right w:val="single" w:sz="4" w:space="0" w:color="000000" w:themeColor="text1"/>
            </w:tcBorders>
            <w:shd w:val="clear" w:color="auto" w:fill="CAEDFA"/>
            <w:hideMark/>
          </w:tcPr>
          <w:p w14:paraId="42FECF6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597" w:type="dxa"/>
            <w:tcBorders>
              <w:top w:val="single" w:sz="4" w:space="0" w:color="000000" w:themeColor="text1"/>
              <w:left w:val="nil"/>
              <w:bottom w:val="nil"/>
              <w:right w:val="nil"/>
            </w:tcBorders>
            <w:shd w:val="clear" w:color="auto" w:fill="CAEDFA"/>
            <w:hideMark/>
          </w:tcPr>
          <w:p w14:paraId="4467C47E"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696" w:type="dxa"/>
            <w:vMerge w:val="restart"/>
            <w:tcBorders>
              <w:top w:val="single" w:sz="4" w:space="0" w:color="000000" w:themeColor="text1"/>
              <w:left w:val="single" w:sz="4" w:space="0" w:color="000000" w:themeColor="text1"/>
              <w:bottom w:val="single" w:sz="4" w:space="0" w:color="000000" w:themeColor="text1"/>
              <w:right w:val="nil"/>
            </w:tcBorders>
            <w:shd w:val="clear" w:color="auto" w:fill="CAEDFA"/>
            <w:hideMark/>
          </w:tcPr>
          <w:p w14:paraId="5BE9DBF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MSHMS; </w:t>
            </w:r>
            <w:r w:rsidRPr="00CB13F7">
              <w:rPr>
                <w:rFonts w:eastAsia="Times New Roman"/>
                <w:sz w:val="16"/>
                <w:szCs w:val="16"/>
                <w:lang w:eastAsia="en-US"/>
              </w:rPr>
              <w:br/>
              <w:t xml:space="preserve">NJQV; </w:t>
            </w:r>
            <w:r w:rsidRPr="00CB13F7">
              <w:rPr>
                <w:rFonts w:eastAsia="Times New Roman"/>
                <w:sz w:val="16"/>
                <w:szCs w:val="16"/>
                <w:lang w:eastAsia="en-US"/>
              </w:rPr>
              <w:br/>
              <w:t xml:space="preserve">KKAK; </w:t>
            </w:r>
            <w:r w:rsidRPr="00CB13F7">
              <w:rPr>
                <w:rFonts w:eastAsia="Times New Roman"/>
                <w:sz w:val="16"/>
                <w:szCs w:val="16"/>
                <w:lang w:eastAsia="en-US"/>
              </w:rPr>
              <w:br/>
              <w:t>GDMAK;</w:t>
            </w:r>
            <w:r w:rsidRPr="00CB13F7">
              <w:rPr>
                <w:rFonts w:eastAsia="Times New Roman"/>
                <w:sz w:val="16"/>
                <w:szCs w:val="16"/>
                <w:lang w:eastAsia="en-US"/>
              </w:rPr>
              <w:br/>
              <w:t>Të gjitha Institucionet;</w:t>
            </w:r>
            <w:r w:rsidRPr="00CB13F7">
              <w:rPr>
                <w:rFonts w:eastAsia="Times New Roman"/>
                <w:sz w:val="16"/>
                <w:szCs w:val="16"/>
                <w:lang w:eastAsia="en-US"/>
              </w:rPr>
              <w:br/>
              <w:t>OJQ;</w:t>
            </w:r>
            <w:r w:rsidRPr="00CB13F7">
              <w:rPr>
                <w:rFonts w:eastAsia="Times New Roman"/>
                <w:sz w:val="16"/>
                <w:szCs w:val="16"/>
                <w:lang w:eastAsia="en-US"/>
              </w:rPr>
              <w:br/>
              <w:t>Raporte monitorimi;</w:t>
            </w:r>
          </w:p>
        </w:tc>
        <w:tc>
          <w:tcPr>
            <w:tcW w:w="2074"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CAEDFA"/>
            <w:hideMark/>
          </w:tcPr>
          <w:p w14:paraId="35A90D97" w14:textId="298E9102" w:rsidR="007D728E" w:rsidRPr="00CB13F7" w:rsidRDefault="7CCBCF77" w:rsidP="007D728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 xml:space="preserve">; </w:t>
            </w:r>
            <w:r w:rsidR="007D728E" w:rsidRPr="00CB13F7">
              <w:br/>
            </w:r>
            <w:r w:rsidR="0080D2BD" w:rsidRPr="00CB13F7">
              <w:rPr>
                <w:rFonts w:eastAsia="Times New Roman"/>
                <w:color w:val="000000" w:themeColor="text1"/>
                <w:sz w:val="16"/>
                <w:szCs w:val="16"/>
                <w:lang w:eastAsia="en-US"/>
              </w:rPr>
              <w:t>Konventa për të Drejtat e Personave me Aftësi të Kufizuara;</w:t>
            </w:r>
            <w:r w:rsidR="007D728E" w:rsidRPr="00CB13F7">
              <w:br/>
            </w:r>
            <w:r w:rsidR="0080D2BD" w:rsidRPr="00CB13F7">
              <w:rPr>
                <w:rFonts w:eastAsia="Times New Roman"/>
                <w:color w:val="000000" w:themeColor="text1"/>
                <w:sz w:val="16"/>
                <w:szCs w:val="16"/>
                <w:lang w:eastAsia="en-US"/>
              </w:rPr>
              <w:t>Dokumenti i programit të BE-së EU për Përfshirjen Sociale; Strategjia e BE-së për të Drejtat e Personave me Aftësi të Kufizuara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 xml:space="preserve">Strategjia Kombëtare për </w:t>
            </w:r>
            <w:r w:rsidR="0080D2BD" w:rsidRPr="00CB13F7">
              <w:rPr>
                <w:rFonts w:eastAsia="Times New Roman"/>
                <w:color w:val="000000" w:themeColor="text1"/>
                <w:sz w:val="16"/>
                <w:szCs w:val="16"/>
                <w:lang w:eastAsia="en-US"/>
              </w:rPr>
              <w:lastRenderedPageBreak/>
              <w:t xml:space="preserve">Zhvillim dhe Integrim </w:t>
            </w:r>
            <w:r w:rsidR="0080D2BD" w:rsidRPr="00CB13F7">
              <w:rPr>
                <w:rFonts w:eastAsia="Times New Roman"/>
                <w:sz w:val="16"/>
                <w:szCs w:val="16"/>
                <w:lang w:eastAsia="en-US"/>
              </w:rPr>
              <w:t>Evropian</w:t>
            </w:r>
            <w:r w:rsidR="0080D2BD" w:rsidRPr="00CB13F7">
              <w:rPr>
                <w:rFonts w:eastAsia="Times New Roman"/>
                <w:color w:val="000000" w:themeColor="text1"/>
                <w:sz w:val="16"/>
                <w:szCs w:val="16"/>
                <w:lang w:eastAsia="en-US"/>
              </w:rPr>
              <w:t xml:space="preserve"> (SKZHIE);</w:t>
            </w:r>
          </w:p>
          <w:p w14:paraId="317B38C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 Dokumenti i Politikave të Përfshirjes Sociale;</w:t>
            </w:r>
          </w:p>
        </w:tc>
      </w:tr>
      <w:tr w:rsidR="007D728E" w:rsidRPr="00CB13F7" w14:paraId="73911942" w14:textId="77777777" w:rsidTr="661F9D2E">
        <w:trPr>
          <w:trHeight w:val="750"/>
        </w:trPr>
        <w:tc>
          <w:tcPr>
            <w:tcW w:w="1159" w:type="dxa"/>
            <w:tcBorders>
              <w:top w:val="nil"/>
              <w:left w:val="single" w:sz="4" w:space="0" w:color="000000" w:themeColor="text1"/>
              <w:bottom w:val="nil"/>
              <w:right w:val="single" w:sz="4" w:space="0" w:color="000000" w:themeColor="text1"/>
            </w:tcBorders>
            <w:shd w:val="clear" w:color="auto" w:fill="CAEDFA"/>
            <w:hideMark/>
          </w:tcPr>
          <w:p w14:paraId="7B3CAE32"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Objektivi</w:t>
            </w:r>
          </w:p>
        </w:tc>
        <w:tc>
          <w:tcPr>
            <w:tcW w:w="1770" w:type="dxa"/>
            <w:gridSpan w:val="2"/>
            <w:vMerge/>
            <w:vAlign w:val="center"/>
            <w:hideMark/>
          </w:tcPr>
          <w:p w14:paraId="61F39BDD" w14:textId="77777777" w:rsidR="007D728E" w:rsidRPr="00CB13F7" w:rsidRDefault="007D728E" w:rsidP="007D728E">
            <w:pPr>
              <w:rPr>
                <w:rFonts w:eastAsia="Times New Roman"/>
                <w:sz w:val="16"/>
                <w:szCs w:val="16"/>
                <w:lang w:eastAsia="en-US"/>
              </w:rPr>
            </w:pPr>
          </w:p>
        </w:tc>
        <w:tc>
          <w:tcPr>
            <w:tcW w:w="2189" w:type="dxa"/>
            <w:tcBorders>
              <w:top w:val="nil"/>
              <w:left w:val="nil"/>
              <w:bottom w:val="nil"/>
              <w:right w:val="nil"/>
            </w:tcBorders>
            <w:shd w:val="clear" w:color="auto" w:fill="CAEDFA"/>
            <w:hideMark/>
          </w:tcPr>
          <w:p w14:paraId="59AF561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Pjesëmarrje të përfaqësuesve të OJQ-ve në mbledhjet e komisioneve parlamentare;</w:t>
            </w:r>
          </w:p>
        </w:tc>
        <w:tc>
          <w:tcPr>
            <w:tcW w:w="1122" w:type="dxa"/>
            <w:tcBorders>
              <w:top w:val="nil"/>
              <w:left w:val="single" w:sz="4" w:space="0" w:color="000000" w:themeColor="text1"/>
              <w:bottom w:val="nil"/>
              <w:right w:val="single" w:sz="4" w:space="0" w:color="000000" w:themeColor="text1"/>
            </w:tcBorders>
            <w:shd w:val="clear" w:color="auto" w:fill="CAEDFA"/>
            <w:hideMark/>
          </w:tcPr>
          <w:p w14:paraId="36874E6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Në rastet kur ftohen</w:t>
            </w:r>
          </w:p>
        </w:tc>
        <w:tc>
          <w:tcPr>
            <w:tcW w:w="2016" w:type="dxa"/>
            <w:tcBorders>
              <w:top w:val="nil"/>
              <w:left w:val="nil"/>
              <w:bottom w:val="nil"/>
              <w:right w:val="single" w:sz="4" w:space="0" w:color="000000" w:themeColor="text1"/>
            </w:tcBorders>
            <w:shd w:val="clear" w:color="auto" w:fill="CAEDFA"/>
            <w:hideMark/>
          </w:tcPr>
          <w:p w14:paraId="7FD8BF2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Në rastet kur ftohen</w:t>
            </w:r>
          </w:p>
        </w:tc>
        <w:tc>
          <w:tcPr>
            <w:tcW w:w="1597" w:type="dxa"/>
            <w:tcBorders>
              <w:top w:val="nil"/>
              <w:left w:val="nil"/>
              <w:bottom w:val="nil"/>
              <w:right w:val="nil"/>
            </w:tcBorders>
            <w:shd w:val="clear" w:color="auto" w:fill="CAEDFA"/>
            <w:hideMark/>
          </w:tcPr>
          <w:p w14:paraId="392947C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Në rastet kur ftohen</w:t>
            </w:r>
          </w:p>
        </w:tc>
        <w:tc>
          <w:tcPr>
            <w:tcW w:w="1696" w:type="dxa"/>
            <w:vMerge/>
            <w:vAlign w:val="center"/>
            <w:hideMark/>
          </w:tcPr>
          <w:p w14:paraId="7FB3819E" w14:textId="77777777" w:rsidR="007D728E" w:rsidRPr="00CB13F7" w:rsidRDefault="007D728E" w:rsidP="007D728E">
            <w:pPr>
              <w:rPr>
                <w:rFonts w:eastAsia="Times New Roman"/>
                <w:sz w:val="16"/>
                <w:szCs w:val="16"/>
                <w:lang w:eastAsia="en-US"/>
              </w:rPr>
            </w:pPr>
          </w:p>
        </w:tc>
        <w:tc>
          <w:tcPr>
            <w:tcW w:w="2074" w:type="dxa"/>
            <w:vMerge/>
            <w:vAlign w:val="center"/>
            <w:hideMark/>
          </w:tcPr>
          <w:p w14:paraId="248092EB" w14:textId="77777777" w:rsidR="007D728E" w:rsidRPr="00CB13F7" w:rsidRDefault="007D728E" w:rsidP="007D728E">
            <w:pPr>
              <w:rPr>
                <w:rFonts w:eastAsia="Times New Roman"/>
                <w:color w:val="000000"/>
                <w:sz w:val="16"/>
                <w:szCs w:val="16"/>
                <w:lang w:eastAsia="en-US"/>
              </w:rPr>
            </w:pPr>
          </w:p>
        </w:tc>
      </w:tr>
      <w:tr w:rsidR="007D728E" w:rsidRPr="00CB13F7" w14:paraId="399FE9AF" w14:textId="77777777" w:rsidTr="661F9D2E">
        <w:trPr>
          <w:trHeight w:val="585"/>
        </w:trPr>
        <w:tc>
          <w:tcPr>
            <w:tcW w:w="1159" w:type="dxa"/>
            <w:tcBorders>
              <w:top w:val="nil"/>
              <w:left w:val="single" w:sz="4" w:space="0" w:color="000000" w:themeColor="text1"/>
              <w:bottom w:val="nil"/>
              <w:right w:val="single" w:sz="4" w:space="0" w:color="000000" w:themeColor="text1"/>
            </w:tcBorders>
            <w:shd w:val="clear" w:color="auto" w:fill="CAEDFA"/>
            <w:hideMark/>
          </w:tcPr>
          <w:p w14:paraId="2082FBA7" w14:textId="77777777" w:rsidR="007D728E" w:rsidRPr="00CB13F7" w:rsidRDefault="007D728E" w:rsidP="007D728E">
            <w:pPr>
              <w:jc w:val="center"/>
              <w:rPr>
                <w:rFonts w:eastAsia="Times New Roman"/>
                <w:b/>
                <w:bCs/>
                <w:sz w:val="16"/>
                <w:szCs w:val="16"/>
                <w:lang w:eastAsia="en-US"/>
              </w:rPr>
            </w:pPr>
            <w:r w:rsidRPr="00CB13F7">
              <w:rPr>
                <w:rFonts w:eastAsia="Times New Roman"/>
                <w:b/>
                <w:bCs/>
                <w:sz w:val="16"/>
                <w:szCs w:val="16"/>
                <w:lang w:eastAsia="en-US"/>
              </w:rPr>
              <w:t>strategjik</w:t>
            </w:r>
          </w:p>
        </w:tc>
        <w:tc>
          <w:tcPr>
            <w:tcW w:w="1770" w:type="dxa"/>
            <w:gridSpan w:val="2"/>
            <w:vMerge/>
            <w:vAlign w:val="center"/>
            <w:hideMark/>
          </w:tcPr>
          <w:p w14:paraId="5BFD071D" w14:textId="77777777" w:rsidR="007D728E" w:rsidRPr="00CB13F7" w:rsidRDefault="007D728E" w:rsidP="007D728E">
            <w:pPr>
              <w:rPr>
                <w:rFonts w:eastAsia="Times New Roman"/>
                <w:sz w:val="16"/>
                <w:szCs w:val="16"/>
                <w:lang w:eastAsia="en-US"/>
              </w:rPr>
            </w:pPr>
          </w:p>
        </w:tc>
        <w:tc>
          <w:tcPr>
            <w:tcW w:w="2189" w:type="dxa"/>
            <w:tcBorders>
              <w:top w:val="nil"/>
              <w:left w:val="nil"/>
              <w:bottom w:val="nil"/>
              <w:right w:val="nil"/>
            </w:tcBorders>
            <w:shd w:val="clear" w:color="auto" w:fill="CAEDFA"/>
            <w:hideMark/>
          </w:tcPr>
          <w:p w14:paraId="1506CE63"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Raport i përgatitur nga Sekretariati mbi aktivitetin vjetor të KKAK;</w:t>
            </w:r>
          </w:p>
        </w:tc>
        <w:tc>
          <w:tcPr>
            <w:tcW w:w="1122" w:type="dxa"/>
            <w:tcBorders>
              <w:top w:val="nil"/>
              <w:left w:val="single" w:sz="4" w:space="0" w:color="000000" w:themeColor="text1"/>
              <w:bottom w:val="nil"/>
              <w:right w:val="single" w:sz="4" w:space="0" w:color="000000" w:themeColor="text1"/>
            </w:tcBorders>
            <w:shd w:val="clear" w:color="auto" w:fill="CAEDFA"/>
            <w:hideMark/>
          </w:tcPr>
          <w:p w14:paraId="41286031"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016" w:type="dxa"/>
            <w:tcBorders>
              <w:top w:val="nil"/>
              <w:left w:val="nil"/>
              <w:bottom w:val="nil"/>
              <w:right w:val="single" w:sz="4" w:space="0" w:color="000000" w:themeColor="text1"/>
            </w:tcBorders>
            <w:shd w:val="clear" w:color="auto" w:fill="CAEDFA"/>
            <w:hideMark/>
          </w:tcPr>
          <w:p w14:paraId="44FF026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 në vit</w:t>
            </w:r>
          </w:p>
        </w:tc>
        <w:tc>
          <w:tcPr>
            <w:tcW w:w="1597" w:type="dxa"/>
            <w:tcBorders>
              <w:top w:val="nil"/>
              <w:left w:val="nil"/>
              <w:bottom w:val="nil"/>
              <w:right w:val="nil"/>
            </w:tcBorders>
            <w:shd w:val="clear" w:color="auto" w:fill="CAEDFA"/>
            <w:hideMark/>
          </w:tcPr>
          <w:p w14:paraId="060D0C8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696" w:type="dxa"/>
            <w:vMerge/>
            <w:vAlign w:val="center"/>
            <w:hideMark/>
          </w:tcPr>
          <w:p w14:paraId="3DA582D6" w14:textId="77777777" w:rsidR="007D728E" w:rsidRPr="00CB13F7" w:rsidRDefault="007D728E" w:rsidP="007D728E">
            <w:pPr>
              <w:rPr>
                <w:rFonts w:eastAsia="Times New Roman"/>
                <w:sz w:val="16"/>
                <w:szCs w:val="16"/>
                <w:lang w:eastAsia="en-US"/>
              </w:rPr>
            </w:pPr>
          </w:p>
        </w:tc>
        <w:tc>
          <w:tcPr>
            <w:tcW w:w="2074" w:type="dxa"/>
            <w:vMerge/>
            <w:vAlign w:val="center"/>
            <w:hideMark/>
          </w:tcPr>
          <w:p w14:paraId="11991AA5" w14:textId="77777777" w:rsidR="007D728E" w:rsidRPr="00CB13F7" w:rsidRDefault="007D728E" w:rsidP="007D728E">
            <w:pPr>
              <w:rPr>
                <w:rFonts w:eastAsia="Times New Roman"/>
                <w:color w:val="000000"/>
                <w:sz w:val="16"/>
                <w:szCs w:val="16"/>
                <w:lang w:eastAsia="en-US"/>
              </w:rPr>
            </w:pPr>
          </w:p>
        </w:tc>
      </w:tr>
      <w:tr w:rsidR="007D728E" w:rsidRPr="00CB13F7" w14:paraId="6B4F610D" w14:textId="77777777" w:rsidTr="661F9D2E">
        <w:trPr>
          <w:trHeight w:val="225"/>
        </w:trPr>
        <w:tc>
          <w:tcPr>
            <w:tcW w:w="1159" w:type="dxa"/>
            <w:tcBorders>
              <w:top w:val="nil"/>
              <w:left w:val="single" w:sz="4" w:space="0" w:color="000000" w:themeColor="text1"/>
              <w:bottom w:val="nil"/>
              <w:right w:val="single" w:sz="4" w:space="0" w:color="000000" w:themeColor="text1"/>
            </w:tcBorders>
            <w:shd w:val="clear" w:color="auto" w:fill="CAEDFA"/>
            <w:vAlign w:val="bottom"/>
            <w:hideMark/>
          </w:tcPr>
          <w:p w14:paraId="46D4ABD3"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vMerge/>
            <w:vAlign w:val="center"/>
            <w:hideMark/>
          </w:tcPr>
          <w:p w14:paraId="67D0A1E7" w14:textId="77777777" w:rsidR="007D728E" w:rsidRPr="00CB13F7" w:rsidRDefault="007D728E" w:rsidP="007D728E">
            <w:pPr>
              <w:rPr>
                <w:rFonts w:eastAsia="Times New Roman"/>
                <w:sz w:val="16"/>
                <w:szCs w:val="16"/>
                <w:lang w:eastAsia="en-US"/>
              </w:rPr>
            </w:pPr>
          </w:p>
        </w:tc>
        <w:tc>
          <w:tcPr>
            <w:tcW w:w="2189" w:type="dxa"/>
            <w:tcBorders>
              <w:top w:val="nil"/>
              <w:left w:val="nil"/>
              <w:bottom w:val="nil"/>
              <w:right w:val="nil"/>
            </w:tcBorders>
            <w:shd w:val="clear" w:color="auto" w:fill="CAEDFA"/>
            <w:hideMark/>
          </w:tcPr>
          <w:p w14:paraId="49E01C78"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122" w:type="dxa"/>
            <w:tcBorders>
              <w:top w:val="nil"/>
              <w:left w:val="single" w:sz="4" w:space="0" w:color="000000" w:themeColor="text1"/>
              <w:bottom w:val="nil"/>
              <w:right w:val="single" w:sz="4" w:space="0" w:color="000000" w:themeColor="text1"/>
            </w:tcBorders>
            <w:shd w:val="clear" w:color="auto" w:fill="CAEDFA"/>
            <w:hideMark/>
          </w:tcPr>
          <w:p w14:paraId="35B1039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016" w:type="dxa"/>
            <w:tcBorders>
              <w:top w:val="nil"/>
              <w:left w:val="nil"/>
              <w:bottom w:val="nil"/>
              <w:right w:val="single" w:sz="4" w:space="0" w:color="000000" w:themeColor="text1"/>
            </w:tcBorders>
            <w:shd w:val="clear" w:color="auto" w:fill="CAEDFA"/>
            <w:hideMark/>
          </w:tcPr>
          <w:p w14:paraId="62E42D3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597" w:type="dxa"/>
            <w:tcBorders>
              <w:top w:val="nil"/>
              <w:left w:val="nil"/>
              <w:bottom w:val="nil"/>
              <w:right w:val="nil"/>
            </w:tcBorders>
            <w:shd w:val="clear" w:color="auto" w:fill="CAEDFA"/>
            <w:hideMark/>
          </w:tcPr>
          <w:p w14:paraId="66A89ED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696" w:type="dxa"/>
            <w:vMerge/>
            <w:vAlign w:val="center"/>
            <w:hideMark/>
          </w:tcPr>
          <w:p w14:paraId="6DE310A5" w14:textId="77777777" w:rsidR="007D728E" w:rsidRPr="00CB13F7" w:rsidRDefault="007D728E" w:rsidP="007D728E">
            <w:pPr>
              <w:rPr>
                <w:rFonts w:eastAsia="Times New Roman"/>
                <w:sz w:val="16"/>
                <w:szCs w:val="16"/>
                <w:lang w:eastAsia="en-US"/>
              </w:rPr>
            </w:pPr>
          </w:p>
        </w:tc>
        <w:tc>
          <w:tcPr>
            <w:tcW w:w="2074" w:type="dxa"/>
            <w:vMerge/>
            <w:vAlign w:val="center"/>
            <w:hideMark/>
          </w:tcPr>
          <w:p w14:paraId="3B028905" w14:textId="77777777" w:rsidR="007D728E" w:rsidRPr="00CB13F7" w:rsidRDefault="007D728E" w:rsidP="007D728E">
            <w:pPr>
              <w:rPr>
                <w:rFonts w:eastAsia="Times New Roman"/>
                <w:color w:val="000000"/>
                <w:sz w:val="16"/>
                <w:szCs w:val="16"/>
                <w:lang w:eastAsia="en-US"/>
              </w:rPr>
            </w:pPr>
          </w:p>
        </w:tc>
      </w:tr>
      <w:tr w:rsidR="007D728E" w:rsidRPr="00CB13F7" w14:paraId="26C4DBEC" w14:textId="77777777" w:rsidTr="661F9D2E">
        <w:trPr>
          <w:trHeight w:val="450"/>
        </w:trPr>
        <w:tc>
          <w:tcPr>
            <w:tcW w:w="1159" w:type="dxa"/>
            <w:tcBorders>
              <w:top w:val="nil"/>
              <w:left w:val="single" w:sz="4" w:space="0" w:color="000000" w:themeColor="text1"/>
              <w:bottom w:val="nil"/>
              <w:right w:val="single" w:sz="4" w:space="0" w:color="000000" w:themeColor="text1"/>
            </w:tcBorders>
            <w:shd w:val="clear" w:color="auto" w:fill="CAEDFA"/>
            <w:vAlign w:val="center"/>
            <w:hideMark/>
          </w:tcPr>
          <w:p w14:paraId="5F4B2090"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lastRenderedPageBreak/>
              <w:t> </w:t>
            </w:r>
          </w:p>
        </w:tc>
        <w:tc>
          <w:tcPr>
            <w:tcW w:w="1770" w:type="dxa"/>
            <w:gridSpan w:val="2"/>
            <w:vMerge/>
            <w:vAlign w:val="center"/>
            <w:hideMark/>
          </w:tcPr>
          <w:p w14:paraId="602D2348" w14:textId="77777777" w:rsidR="007D728E" w:rsidRPr="00CB13F7" w:rsidRDefault="007D728E" w:rsidP="007D728E">
            <w:pPr>
              <w:rPr>
                <w:rFonts w:eastAsia="Times New Roman"/>
                <w:sz w:val="16"/>
                <w:szCs w:val="16"/>
                <w:lang w:eastAsia="en-US"/>
              </w:rPr>
            </w:pPr>
          </w:p>
        </w:tc>
        <w:tc>
          <w:tcPr>
            <w:tcW w:w="2189" w:type="dxa"/>
            <w:tcBorders>
              <w:top w:val="nil"/>
              <w:left w:val="nil"/>
              <w:bottom w:val="nil"/>
              <w:right w:val="nil"/>
            </w:tcBorders>
            <w:shd w:val="clear" w:color="auto" w:fill="CAEDFA"/>
            <w:hideMark/>
          </w:tcPr>
          <w:p w14:paraId="3EAF5B5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Takime me Grupin e Deputeteve Miq të Aftësisë së Kufizuar;</w:t>
            </w:r>
          </w:p>
        </w:tc>
        <w:tc>
          <w:tcPr>
            <w:tcW w:w="1122" w:type="dxa"/>
            <w:tcBorders>
              <w:top w:val="nil"/>
              <w:left w:val="single" w:sz="4" w:space="0" w:color="000000" w:themeColor="text1"/>
              <w:bottom w:val="nil"/>
              <w:right w:val="single" w:sz="4" w:space="0" w:color="000000" w:themeColor="text1"/>
            </w:tcBorders>
            <w:shd w:val="clear" w:color="auto" w:fill="CAEDFA"/>
            <w:hideMark/>
          </w:tcPr>
          <w:p w14:paraId="685119A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takime</w:t>
            </w:r>
          </w:p>
        </w:tc>
        <w:tc>
          <w:tcPr>
            <w:tcW w:w="2016" w:type="dxa"/>
            <w:tcBorders>
              <w:top w:val="nil"/>
              <w:left w:val="nil"/>
              <w:bottom w:val="nil"/>
              <w:right w:val="single" w:sz="4" w:space="0" w:color="000000" w:themeColor="text1"/>
            </w:tcBorders>
            <w:shd w:val="clear" w:color="auto" w:fill="CAEDFA"/>
            <w:noWrap/>
            <w:hideMark/>
          </w:tcPr>
          <w:p w14:paraId="0A52538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takime /çdo vit</w:t>
            </w:r>
          </w:p>
        </w:tc>
        <w:tc>
          <w:tcPr>
            <w:tcW w:w="1597" w:type="dxa"/>
            <w:tcBorders>
              <w:top w:val="nil"/>
              <w:left w:val="nil"/>
              <w:bottom w:val="nil"/>
              <w:right w:val="nil"/>
            </w:tcBorders>
            <w:shd w:val="clear" w:color="auto" w:fill="CAEDFA"/>
            <w:hideMark/>
          </w:tcPr>
          <w:p w14:paraId="135BCB99"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2 takime /çdo vit</w:t>
            </w:r>
          </w:p>
        </w:tc>
        <w:tc>
          <w:tcPr>
            <w:tcW w:w="1696" w:type="dxa"/>
            <w:vMerge/>
            <w:vAlign w:val="center"/>
            <w:hideMark/>
          </w:tcPr>
          <w:p w14:paraId="439E66BA" w14:textId="77777777" w:rsidR="007D728E" w:rsidRPr="00CB13F7" w:rsidRDefault="007D728E" w:rsidP="007D728E">
            <w:pPr>
              <w:rPr>
                <w:rFonts w:eastAsia="Times New Roman"/>
                <w:sz w:val="16"/>
                <w:szCs w:val="16"/>
                <w:lang w:eastAsia="en-US"/>
              </w:rPr>
            </w:pPr>
          </w:p>
        </w:tc>
        <w:tc>
          <w:tcPr>
            <w:tcW w:w="2074" w:type="dxa"/>
            <w:vMerge/>
            <w:vAlign w:val="center"/>
            <w:hideMark/>
          </w:tcPr>
          <w:p w14:paraId="2ED7C59D" w14:textId="77777777" w:rsidR="007D728E" w:rsidRPr="00CB13F7" w:rsidRDefault="007D728E" w:rsidP="007D728E">
            <w:pPr>
              <w:rPr>
                <w:rFonts w:eastAsia="Times New Roman"/>
                <w:color w:val="000000"/>
                <w:sz w:val="16"/>
                <w:szCs w:val="16"/>
                <w:lang w:eastAsia="en-US"/>
              </w:rPr>
            </w:pPr>
          </w:p>
        </w:tc>
      </w:tr>
      <w:tr w:rsidR="007D728E" w:rsidRPr="00CB13F7" w14:paraId="2DF467C2" w14:textId="77777777" w:rsidTr="661F9D2E">
        <w:trPr>
          <w:trHeight w:val="150"/>
        </w:trPr>
        <w:tc>
          <w:tcPr>
            <w:tcW w:w="1159" w:type="dxa"/>
            <w:tcBorders>
              <w:top w:val="nil"/>
              <w:left w:val="single" w:sz="4" w:space="0" w:color="000000" w:themeColor="text1"/>
              <w:bottom w:val="nil"/>
              <w:right w:val="single" w:sz="4" w:space="0" w:color="000000" w:themeColor="text1"/>
            </w:tcBorders>
            <w:shd w:val="clear" w:color="auto" w:fill="CAEDFA"/>
            <w:vAlign w:val="bottom"/>
            <w:hideMark/>
          </w:tcPr>
          <w:p w14:paraId="6935B5F0"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lastRenderedPageBreak/>
              <w:t> </w:t>
            </w:r>
          </w:p>
        </w:tc>
        <w:tc>
          <w:tcPr>
            <w:tcW w:w="1770" w:type="dxa"/>
            <w:gridSpan w:val="2"/>
            <w:vMerge/>
            <w:vAlign w:val="center"/>
            <w:hideMark/>
          </w:tcPr>
          <w:p w14:paraId="4C91A3C9" w14:textId="77777777" w:rsidR="007D728E" w:rsidRPr="00CB13F7" w:rsidRDefault="007D728E" w:rsidP="007D728E">
            <w:pPr>
              <w:rPr>
                <w:rFonts w:eastAsia="Times New Roman"/>
                <w:sz w:val="16"/>
                <w:szCs w:val="16"/>
                <w:lang w:eastAsia="en-US"/>
              </w:rPr>
            </w:pPr>
          </w:p>
        </w:tc>
        <w:tc>
          <w:tcPr>
            <w:tcW w:w="2189" w:type="dxa"/>
            <w:tcBorders>
              <w:top w:val="nil"/>
              <w:left w:val="nil"/>
              <w:bottom w:val="single" w:sz="4" w:space="0" w:color="000000" w:themeColor="text1"/>
              <w:right w:val="nil"/>
            </w:tcBorders>
            <w:shd w:val="clear" w:color="auto" w:fill="CAEDFA"/>
            <w:hideMark/>
          </w:tcPr>
          <w:p w14:paraId="0A45299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122" w:type="dxa"/>
            <w:tcBorders>
              <w:top w:val="nil"/>
              <w:left w:val="single" w:sz="4" w:space="0" w:color="000000" w:themeColor="text1"/>
              <w:bottom w:val="single" w:sz="4" w:space="0" w:color="000000" w:themeColor="text1"/>
              <w:right w:val="single" w:sz="4" w:space="0" w:color="000000" w:themeColor="text1"/>
            </w:tcBorders>
            <w:shd w:val="clear" w:color="auto" w:fill="CAEDFA"/>
            <w:hideMark/>
          </w:tcPr>
          <w:p w14:paraId="1A58677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016" w:type="dxa"/>
            <w:tcBorders>
              <w:top w:val="nil"/>
              <w:left w:val="nil"/>
              <w:bottom w:val="single" w:sz="4" w:space="0" w:color="000000" w:themeColor="text1"/>
              <w:right w:val="single" w:sz="4" w:space="0" w:color="000000" w:themeColor="text1"/>
            </w:tcBorders>
            <w:shd w:val="clear" w:color="auto" w:fill="CAEDFA"/>
            <w:hideMark/>
          </w:tcPr>
          <w:p w14:paraId="4C85CDC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597" w:type="dxa"/>
            <w:tcBorders>
              <w:top w:val="nil"/>
              <w:left w:val="nil"/>
              <w:bottom w:val="single" w:sz="4" w:space="0" w:color="000000" w:themeColor="text1"/>
              <w:right w:val="nil"/>
            </w:tcBorders>
            <w:shd w:val="clear" w:color="auto" w:fill="CAEDFA"/>
            <w:hideMark/>
          </w:tcPr>
          <w:p w14:paraId="4434B9D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696" w:type="dxa"/>
            <w:vMerge/>
            <w:vAlign w:val="center"/>
            <w:hideMark/>
          </w:tcPr>
          <w:p w14:paraId="35CB3A50" w14:textId="77777777" w:rsidR="007D728E" w:rsidRPr="00CB13F7" w:rsidRDefault="007D728E" w:rsidP="007D728E">
            <w:pPr>
              <w:rPr>
                <w:rFonts w:eastAsia="Times New Roman"/>
                <w:sz w:val="16"/>
                <w:szCs w:val="16"/>
                <w:lang w:eastAsia="en-US"/>
              </w:rPr>
            </w:pPr>
          </w:p>
        </w:tc>
        <w:tc>
          <w:tcPr>
            <w:tcW w:w="2074" w:type="dxa"/>
            <w:vMerge/>
            <w:vAlign w:val="center"/>
            <w:hideMark/>
          </w:tcPr>
          <w:p w14:paraId="5088DF89" w14:textId="77777777" w:rsidR="007D728E" w:rsidRPr="00CB13F7" w:rsidRDefault="007D728E" w:rsidP="007D728E">
            <w:pPr>
              <w:rPr>
                <w:rFonts w:eastAsia="Times New Roman"/>
                <w:color w:val="000000"/>
                <w:sz w:val="16"/>
                <w:szCs w:val="16"/>
                <w:lang w:eastAsia="en-US"/>
              </w:rPr>
            </w:pPr>
          </w:p>
        </w:tc>
      </w:tr>
      <w:tr w:rsidR="007D728E" w:rsidRPr="00CB13F7" w14:paraId="741BB787" w14:textId="77777777" w:rsidTr="661F9D2E">
        <w:trPr>
          <w:trHeight w:val="2280"/>
        </w:trPr>
        <w:tc>
          <w:tcPr>
            <w:tcW w:w="1159" w:type="dxa"/>
            <w:tcBorders>
              <w:top w:val="nil"/>
              <w:left w:val="single" w:sz="4" w:space="0" w:color="000000" w:themeColor="text1"/>
              <w:bottom w:val="nil"/>
              <w:right w:val="single" w:sz="4" w:space="0" w:color="000000" w:themeColor="text1"/>
            </w:tcBorders>
            <w:shd w:val="clear" w:color="auto" w:fill="CAEDFA"/>
            <w:vAlign w:val="bottom"/>
            <w:hideMark/>
          </w:tcPr>
          <w:p w14:paraId="143D40EA"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253" w:type="dxa"/>
            <w:tcBorders>
              <w:top w:val="nil"/>
              <w:left w:val="nil"/>
              <w:bottom w:val="nil"/>
              <w:right w:val="nil"/>
            </w:tcBorders>
            <w:shd w:val="clear" w:color="auto" w:fill="CAEDFA"/>
            <w:hideMark/>
          </w:tcPr>
          <w:p w14:paraId="0CF016C5"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w:t>
            </w:r>
          </w:p>
        </w:tc>
        <w:tc>
          <w:tcPr>
            <w:tcW w:w="1517" w:type="dxa"/>
            <w:tcBorders>
              <w:top w:val="nil"/>
              <w:left w:val="nil"/>
              <w:bottom w:val="nil"/>
              <w:right w:val="single" w:sz="4" w:space="0" w:color="000000" w:themeColor="text1"/>
            </w:tcBorders>
            <w:shd w:val="clear" w:color="auto" w:fill="CAEDFA"/>
            <w:hideMark/>
          </w:tcPr>
          <w:p w14:paraId="71A63B29" w14:textId="5D5DB429" w:rsidR="007D728E" w:rsidRPr="00CB13F7" w:rsidRDefault="0080D2BD" w:rsidP="007D728E">
            <w:pPr>
              <w:rPr>
                <w:rFonts w:eastAsia="Times New Roman"/>
                <w:sz w:val="16"/>
                <w:szCs w:val="16"/>
                <w:lang w:eastAsia="en-US"/>
              </w:rPr>
            </w:pPr>
            <w:r w:rsidRPr="00CB13F7">
              <w:rPr>
                <w:rFonts w:eastAsia="Times New Roman"/>
                <w:sz w:val="16"/>
                <w:szCs w:val="16"/>
                <w:lang w:eastAsia="en-US"/>
              </w:rPr>
              <w:t xml:space="preserve">Objektivi specifik 3. Ngritja e një sistemi statistikor të qëndrueshëm, për matjen e indikatorëve të monitorimit, në reference dhe përputhje me treguesit e </w:t>
            </w:r>
            <w:r w:rsidR="7CCBCF77" w:rsidRPr="00CB13F7">
              <w:rPr>
                <w:rFonts w:eastAsia="Times New Roman"/>
                <w:sz w:val="16"/>
                <w:szCs w:val="16"/>
                <w:lang w:eastAsia="en-US"/>
              </w:rPr>
              <w:t>OZHQ</w:t>
            </w:r>
            <w:r w:rsidRPr="00CB13F7">
              <w:rPr>
                <w:rFonts w:eastAsia="Times New Roman"/>
                <w:sz w:val="16"/>
                <w:szCs w:val="16"/>
                <w:lang w:eastAsia="en-US"/>
              </w:rPr>
              <w:t xml:space="preserve"> për aftësinë e kufizuar.</w:t>
            </w:r>
          </w:p>
        </w:tc>
        <w:tc>
          <w:tcPr>
            <w:tcW w:w="2189" w:type="dxa"/>
            <w:tcBorders>
              <w:top w:val="nil"/>
              <w:left w:val="nil"/>
              <w:bottom w:val="single" w:sz="4" w:space="0" w:color="auto"/>
              <w:right w:val="nil"/>
            </w:tcBorders>
            <w:shd w:val="clear" w:color="auto" w:fill="CAEDFA"/>
            <w:hideMark/>
          </w:tcPr>
          <w:p w14:paraId="11388B8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VKM e rishikuar për mbledhje të </w:t>
            </w:r>
            <w:r w:rsidR="0089320C" w:rsidRPr="00CB13F7">
              <w:rPr>
                <w:rFonts w:eastAsia="Times New Roman"/>
                <w:sz w:val="16"/>
                <w:szCs w:val="16"/>
                <w:lang w:eastAsia="en-US"/>
              </w:rPr>
              <w:t>dhënash</w:t>
            </w:r>
            <w:r w:rsidRPr="00CB13F7">
              <w:rPr>
                <w:rFonts w:eastAsia="Times New Roman"/>
                <w:sz w:val="16"/>
                <w:szCs w:val="16"/>
                <w:lang w:eastAsia="en-US"/>
              </w:rPr>
              <w:t xml:space="preserve">; </w:t>
            </w:r>
            <w:r w:rsidRPr="00CB13F7">
              <w:rPr>
                <w:rFonts w:eastAsia="Times New Roman"/>
                <w:sz w:val="16"/>
                <w:szCs w:val="16"/>
                <w:lang w:eastAsia="en-US"/>
              </w:rPr>
              <w:br/>
            </w:r>
            <w:r w:rsidRPr="00CB13F7">
              <w:rPr>
                <w:rFonts w:eastAsia="Times New Roman"/>
                <w:sz w:val="16"/>
                <w:szCs w:val="16"/>
                <w:lang w:eastAsia="en-US"/>
              </w:rPr>
              <w:br/>
              <w:t xml:space="preserve">Përfshirje e të dhënave për aftësinë e kufizuar në anketimet e INSTAT, rekomandime për </w:t>
            </w:r>
            <w:r w:rsidR="0089320C" w:rsidRPr="00CB13F7">
              <w:rPr>
                <w:rFonts w:eastAsia="Times New Roman"/>
                <w:sz w:val="16"/>
                <w:szCs w:val="16"/>
                <w:lang w:eastAsia="en-US"/>
              </w:rPr>
              <w:t>përmirësime</w:t>
            </w:r>
            <w:r w:rsidRPr="00CB13F7">
              <w:rPr>
                <w:rFonts w:eastAsia="Times New Roman"/>
                <w:sz w:val="16"/>
                <w:szCs w:val="16"/>
                <w:lang w:eastAsia="en-US"/>
              </w:rPr>
              <w:t>;</w:t>
            </w:r>
            <w:r w:rsidRPr="00CB13F7">
              <w:rPr>
                <w:rFonts w:eastAsia="Times New Roman"/>
                <w:sz w:val="16"/>
                <w:szCs w:val="16"/>
                <w:lang w:eastAsia="en-US"/>
              </w:rPr>
              <w:br/>
              <w:t xml:space="preserve"> Ngritja dhe funksionimi i GNSPS;</w:t>
            </w:r>
          </w:p>
        </w:tc>
        <w:tc>
          <w:tcPr>
            <w:tcW w:w="1122" w:type="dxa"/>
            <w:tcBorders>
              <w:top w:val="nil"/>
              <w:left w:val="single" w:sz="4" w:space="0" w:color="000000" w:themeColor="text1"/>
              <w:bottom w:val="nil"/>
              <w:right w:val="single" w:sz="4" w:space="0" w:color="000000" w:themeColor="text1"/>
            </w:tcBorders>
            <w:shd w:val="clear" w:color="auto" w:fill="CAEDFA"/>
            <w:hideMark/>
          </w:tcPr>
          <w:p w14:paraId="414EA39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t>N/A</w:t>
            </w:r>
          </w:p>
        </w:tc>
        <w:tc>
          <w:tcPr>
            <w:tcW w:w="2016" w:type="dxa"/>
            <w:tcBorders>
              <w:top w:val="nil"/>
              <w:left w:val="nil"/>
              <w:bottom w:val="nil"/>
              <w:right w:val="single" w:sz="4" w:space="0" w:color="000000" w:themeColor="text1"/>
            </w:tcBorders>
            <w:shd w:val="clear" w:color="auto" w:fill="CAEDFA"/>
            <w:hideMark/>
          </w:tcPr>
          <w:p w14:paraId="00E601D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VKM </w:t>
            </w:r>
            <w:r w:rsidRPr="00CB13F7">
              <w:rPr>
                <w:rFonts w:eastAsia="Times New Roman"/>
                <w:color w:val="000000"/>
                <w:sz w:val="16"/>
                <w:szCs w:val="16"/>
                <w:lang w:eastAsia="en-US"/>
              </w:rPr>
              <w:br/>
            </w:r>
            <w:r w:rsidRPr="00CB13F7">
              <w:rPr>
                <w:rFonts w:eastAsia="Times New Roman"/>
                <w:color w:val="000000"/>
                <w:sz w:val="16"/>
                <w:szCs w:val="16"/>
                <w:lang w:eastAsia="en-US"/>
              </w:rPr>
              <w:br/>
              <w:t>Sipas rekomandimeve</w:t>
            </w:r>
          </w:p>
        </w:tc>
        <w:tc>
          <w:tcPr>
            <w:tcW w:w="1597" w:type="dxa"/>
            <w:tcBorders>
              <w:top w:val="nil"/>
              <w:left w:val="nil"/>
              <w:bottom w:val="nil"/>
              <w:right w:val="nil"/>
            </w:tcBorders>
            <w:shd w:val="clear" w:color="auto" w:fill="CAEDFA"/>
            <w:hideMark/>
          </w:tcPr>
          <w:p w14:paraId="12E15AD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Sipas rekomandimeve</w:t>
            </w:r>
          </w:p>
        </w:tc>
        <w:tc>
          <w:tcPr>
            <w:tcW w:w="1696" w:type="dxa"/>
            <w:tcBorders>
              <w:top w:val="nil"/>
              <w:left w:val="single" w:sz="4" w:space="0" w:color="000000" w:themeColor="text1"/>
              <w:bottom w:val="nil"/>
              <w:right w:val="nil"/>
            </w:tcBorders>
            <w:shd w:val="clear" w:color="auto" w:fill="CAEDFA"/>
            <w:hideMark/>
          </w:tcPr>
          <w:p w14:paraId="6A67AE3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MSHMS; </w:t>
            </w:r>
            <w:r w:rsidRPr="00CB13F7">
              <w:rPr>
                <w:rFonts w:eastAsia="Times New Roman"/>
                <w:color w:val="000000"/>
                <w:sz w:val="16"/>
                <w:szCs w:val="16"/>
                <w:lang w:eastAsia="en-US"/>
              </w:rPr>
              <w:br/>
              <w:t>INSTAT;</w:t>
            </w:r>
            <w:r w:rsidRPr="00CB13F7">
              <w:rPr>
                <w:rFonts w:eastAsia="Times New Roman"/>
                <w:color w:val="000000"/>
                <w:sz w:val="16"/>
                <w:szCs w:val="16"/>
                <w:lang w:eastAsia="en-US"/>
              </w:rPr>
              <w:br/>
              <w:t>NJQV;</w:t>
            </w:r>
            <w:r w:rsidRPr="00CB13F7">
              <w:rPr>
                <w:rFonts w:eastAsia="Times New Roman"/>
                <w:color w:val="000000"/>
                <w:sz w:val="16"/>
                <w:szCs w:val="16"/>
                <w:lang w:eastAsia="en-US"/>
              </w:rPr>
              <w:br/>
              <w:t>KKAK;</w:t>
            </w:r>
            <w:r w:rsidRPr="00CB13F7">
              <w:rPr>
                <w:rFonts w:eastAsia="Times New Roman"/>
                <w:color w:val="000000"/>
                <w:sz w:val="16"/>
                <w:szCs w:val="16"/>
                <w:lang w:eastAsia="en-US"/>
              </w:rPr>
              <w:br/>
              <w:t>Të gjitha Institucionet;</w:t>
            </w:r>
            <w:r w:rsidRPr="00CB13F7">
              <w:rPr>
                <w:rFonts w:eastAsia="Times New Roman"/>
                <w:color w:val="000000"/>
                <w:sz w:val="16"/>
                <w:szCs w:val="16"/>
                <w:lang w:eastAsia="en-US"/>
              </w:rPr>
              <w:br/>
              <w:t>OJQ;</w:t>
            </w:r>
            <w:r w:rsidRPr="00CB13F7">
              <w:rPr>
                <w:rFonts w:eastAsia="Times New Roman"/>
                <w:color w:val="000000"/>
                <w:sz w:val="16"/>
                <w:szCs w:val="16"/>
                <w:lang w:eastAsia="en-US"/>
              </w:rPr>
              <w:br/>
              <w:t>Raporte monitorimi;</w:t>
            </w:r>
          </w:p>
        </w:tc>
        <w:tc>
          <w:tcPr>
            <w:tcW w:w="2074" w:type="dxa"/>
            <w:tcBorders>
              <w:top w:val="nil"/>
              <w:left w:val="single" w:sz="4" w:space="0" w:color="000000" w:themeColor="text1"/>
              <w:bottom w:val="nil"/>
              <w:right w:val="single" w:sz="4" w:space="0" w:color="auto"/>
            </w:tcBorders>
            <w:shd w:val="clear" w:color="auto" w:fill="CAEDFA"/>
            <w:hideMark/>
          </w:tcPr>
          <w:p w14:paraId="269483B0" w14:textId="6ED56D8F" w:rsidR="007D728E" w:rsidRPr="00CB13F7" w:rsidRDefault="7CCBCF77" w:rsidP="007D728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w:t>
            </w:r>
            <w:r w:rsidR="007D728E" w:rsidRPr="00CB13F7">
              <w:br/>
            </w:r>
            <w:r w:rsidR="0080D2BD" w:rsidRPr="00CB13F7">
              <w:rPr>
                <w:rFonts w:eastAsia="Times New Roman"/>
                <w:color w:val="000000" w:themeColor="text1"/>
                <w:sz w:val="16"/>
                <w:szCs w:val="16"/>
                <w:lang w:eastAsia="en-US"/>
              </w:rPr>
              <w:t xml:space="preserve">Dokumenti i </w:t>
            </w:r>
            <w:r w:rsidR="4BFFCF71" w:rsidRPr="00CB13F7">
              <w:rPr>
                <w:rFonts w:eastAsia="Times New Roman"/>
                <w:color w:val="000000" w:themeColor="text1"/>
                <w:sz w:val="16"/>
                <w:szCs w:val="16"/>
                <w:lang w:eastAsia="en-US"/>
              </w:rPr>
              <w:t>programit të</w:t>
            </w:r>
            <w:r w:rsidR="0080D2BD" w:rsidRPr="00CB13F7">
              <w:rPr>
                <w:rFonts w:eastAsia="Times New Roman"/>
                <w:color w:val="000000" w:themeColor="text1"/>
                <w:sz w:val="16"/>
                <w:szCs w:val="16"/>
                <w:lang w:eastAsia="en-US"/>
              </w:rPr>
              <w:t xml:space="preserve"> BE-së EU për Përfshirjen Sociale; Strategjia e BE-së për të Drejtat e Personave me Aftësi të Kufizuara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 xml:space="preserve">Strategjia Kombëtare për Zhvillim dhe Integrim </w:t>
            </w:r>
            <w:r w:rsidR="0080D2BD" w:rsidRPr="00CB13F7">
              <w:rPr>
                <w:rFonts w:eastAsia="Times New Roman"/>
                <w:sz w:val="16"/>
                <w:szCs w:val="16"/>
                <w:lang w:eastAsia="en-US"/>
              </w:rPr>
              <w:t>Evropian</w:t>
            </w:r>
            <w:r w:rsidR="0080D2BD" w:rsidRPr="00CB13F7">
              <w:rPr>
                <w:rFonts w:eastAsia="Times New Roman"/>
                <w:color w:val="000000" w:themeColor="text1"/>
                <w:sz w:val="16"/>
                <w:szCs w:val="16"/>
                <w:lang w:eastAsia="en-US"/>
              </w:rPr>
              <w:t xml:space="preserve"> (SKZHIE); </w:t>
            </w:r>
          </w:p>
          <w:p w14:paraId="2A8CBC2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Dokumenti i Politikave të Përfshirjes Sociale;</w:t>
            </w:r>
          </w:p>
        </w:tc>
      </w:tr>
      <w:tr w:rsidR="007D728E" w:rsidRPr="00CB13F7" w14:paraId="7EA251DD" w14:textId="77777777" w:rsidTr="661F9D2E">
        <w:trPr>
          <w:trHeight w:val="2295"/>
        </w:trPr>
        <w:tc>
          <w:tcPr>
            <w:tcW w:w="1159" w:type="dxa"/>
            <w:tcBorders>
              <w:top w:val="nil"/>
              <w:left w:val="single" w:sz="4" w:space="0" w:color="000000" w:themeColor="text1"/>
              <w:bottom w:val="nil"/>
              <w:right w:val="nil"/>
            </w:tcBorders>
            <w:shd w:val="clear" w:color="auto" w:fill="CAEDFA"/>
            <w:vAlign w:val="bottom"/>
            <w:hideMark/>
          </w:tcPr>
          <w:p w14:paraId="665CA42F" w14:textId="77777777" w:rsidR="007D728E" w:rsidRPr="00CB13F7" w:rsidRDefault="007D728E" w:rsidP="007D728E">
            <w:pPr>
              <w:rPr>
                <w:rFonts w:eastAsia="Times New Roman"/>
                <w:color w:val="000000"/>
                <w:sz w:val="20"/>
                <w:szCs w:val="20"/>
                <w:lang w:eastAsia="en-US"/>
              </w:rPr>
            </w:pPr>
            <w:r w:rsidRPr="00CB13F7">
              <w:rPr>
                <w:rFonts w:eastAsia="Times New Roman"/>
                <w:color w:val="000000"/>
                <w:sz w:val="20"/>
                <w:szCs w:val="20"/>
                <w:lang w:eastAsia="en-US"/>
              </w:rPr>
              <w:t> </w:t>
            </w:r>
          </w:p>
        </w:tc>
        <w:tc>
          <w:tcPr>
            <w:tcW w:w="1770" w:type="dxa"/>
            <w:gridSpan w:val="2"/>
            <w:tcBorders>
              <w:top w:val="single" w:sz="4" w:space="0" w:color="auto"/>
              <w:left w:val="single" w:sz="4" w:space="0" w:color="auto"/>
              <w:bottom w:val="single" w:sz="4" w:space="0" w:color="auto"/>
              <w:right w:val="single" w:sz="4" w:space="0" w:color="000000" w:themeColor="text1"/>
            </w:tcBorders>
            <w:shd w:val="clear" w:color="auto" w:fill="CAEDFA"/>
            <w:hideMark/>
          </w:tcPr>
          <w:p w14:paraId="0B139FB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Objektivi specifik 4: Nxitja e bashkëpunimit rajonal për zbatimin e KDPAK.</w:t>
            </w:r>
          </w:p>
        </w:tc>
        <w:tc>
          <w:tcPr>
            <w:tcW w:w="2189" w:type="dxa"/>
            <w:tcBorders>
              <w:top w:val="nil"/>
              <w:left w:val="nil"/>
              <w:bottom w:val="single" w:sz="4" w:space="0" w:color="auto"/>
              <w:right w:val="nil"/>
            </w:tcBorders>
            <w:shd w:val="clear" w:color="auto" w:fill="CAEDFA"/>
            <w:hideMark/>
          </w:tcPr>
          <w:p w14:paraId="0AE377B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Organizimi i një konference rajonale; Organizimi i një vizite studimore në vendet </w:t>
            </w:r>
            <w:r w:rsidR="00234FBC" w:rsidRPr="00CB13F7">
              <w:rPr>
                <w:rFonts w:eastAsia="Times New Roman"/>
                <w:sz w:val="16"/>
                <w:szCs w:val="16"/>
                <w:lang w:eastAsia="en-US"/>
              </w:rPr>
              <w:t>Evropiane</w:t>
            </w:r>
            <w:r w:rsidRPr="00CB13F7">
              <w:rPr>
                <w:rFonts w:eastAsia="Times New Roman"/>
                <w:sz w:val="16"/>
                <w:szCs w:val="16"/>
                <w:lang w:eastAsia="en-US"/>
              </w:rPr>
              <w:t xml:space="preserve"> dhe të Ballkanit;</w:t>
            </w:r>
          </w:p>
        </w:tc>
        <w:tc>
          <w:tcPr>
            <w:tcW w:w="1122" w:type="dxa"/>
            <w:tcBorders>
              <w:top w:val="single" w:sz="4" w:space="0" w:color="auto"/>
              <w:left w:val="single" w:sz="4" w:space="0" w:color="auto"/>
              <w:bottom w:val="single" w:sz="4" w:space="0" w:color="auto"/>
              <w:right w:val="single" w:sz="4" w:space="0" w:color="auto"/>
            </w:tcBorders>
            <w:shd w:val="clear" w:color="auto" w:fill="CAEDFA"/>
            <w:hideMark/>
          </w:tcPr>
          <w:p w14:paraId="537381F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016" w:type="dxa"/>
            <w:tcBorders>
              <w:top w:val="single" w:sz="4" w:space="0" w:color="auto"/>
              <w:left w:val="nil"/>
              <w:bottom w:val="single" w:sz="4" w:space="0" w:color="auto"/>
              <w:right w:val="single" w:sz="4" w:space="0" w:color="auto"/>
            </w:tcBorders>
            <w:shd w:val="clear" w:color="auto" w:fill="CAEDFA"/>
            <w:hideMark/>
          </w:tcPr>
          <w:p w14:paraId="114DB13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konferencë</w:t>
            </w:r>
          </w:p>
        </w:tc>
        <w:tc>
          <w:tcPr>
            <w:tcW w:w="1597" w:type="dxa"/>
            <w:tcBorders>
              <w:top w:val="single" w:sz="4" w:space="0" w:color="auto"/>
              <w:left w:val="nil"/>
              <w:bottom w:val="single" w:sz="4" w:space="0" w:color="auto"/>
              <w:right w:val="single" w:sz="4" w:space="0" w:color="auto"/>
            </w:tcBorders>
            <w:shd w:val="clear" w:color="auto" w:fill="CAEDFA"/>
            <w:hideMark/>
          </w:tcPr>
          <w:p w14:paraId="6C93F4E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vizitë studimore</w:t>
            </w:r>
          </w:p>
        </w:tc>
        <w:tc>
          <w:tcPr>
            <w:tcW w:w="1696" w:type="dxa"/>
            <w:tcBorders>
              <w:top w:val="single" w:sz="4" w:space="0" w:color="auto"/>
              <w:left w:val="nil"/>
              <w:bottom w:val="single" w:sz="4" w:space="0" w:color="auto"/>
              <w:right w:val="nil"/>
            </w:tcBorders>
            <w:shd w:val="clear" w:color="auto" w:fill="CAEDFA"/>
            <w:hideMark/>
          </w:tcPr>
          <w:p w14:paraId="03261F2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NJQV</w:t>
            </w:r>
            <w:r w:rsidRPr="00CB13F7">
              <w:rPr>
                <w:rFonts w:eastAsia="Times New Roman"/>
                <w:color w:val="000000"/>
                <w:sz w:val="16"/>
                <w:szCs w:val="16"/>
                <w:lang w:eastAsia="en-US"/>
              </w:rPr>
              <w:br/>
              <w:t>KKAK</w:t>
            </w:r>
            <w:r w:rsidRPr="00CB13F7">
              <w:rPr>
                <w:rFonts w:eastAsia="Times New Roman"/>
                <w:color w:val="000000"/>
                <w:sz w:val="16"/>
                <w:szCs w:val="16"/>
                <w:lang w:eastAsia="en-US"/>
              </w:rPr>
              <w:br/>
              <w:t xml:space="preserve">Të gjitha Institucionet </w:t>
            </w:r>
            <w:r w:rsidRPr="00CB13F7">
              <w:rPr>
                <w:rFonts w:eastAsia="Times New Roman"/>
                <w:color w:val="000000"/>
                <w:sz w:val="16"/>
                <w:szCs w:val="16"/>
                <w:lang w:eastAsia="en-US"/>
              </w:rPr>
              <w:br/>
              <w:t>OJQ</w:t>
            </w:r>
            <w:r w:rsidRPr="00CB13F7">
              <w:rPr>
                <w:rFonts w:eastAsia="Times New Roman"/>
                <w:color w:val="000000"/>
                <w:sz w:val="16"/>
                <w:szCs w:val="16"/>
                <w:lang w:eastAsia="en-US"/>
              </w:rPr>
              <w:br/>
              <w:t>Raporte monitorimi</w:t>
            </w:r>
          </w:p>
        </w:tc>
        <w:tc>
          <w:tcPr>
            <w:tcW w:w="2074" w:type="dxa"/>
            <w:tcBorders>
              <w:top w:val="single" w:sz="4" w:space="0" w:color="auto"/>
              <w:left w:val="single" w:sz="4" w:space="0" w:color="auto"/>
              <w:bottom w:val="single" w:sz="4" w:space="0" w:color="auto"/>
              <w:right w:val="single" w:sz="4" w:space="0" w:color="auto"/>
            </w:tcBorders>
            <w:shd w:val="clear" w:color="auto" w:fill="B7DEE8"/>
            <w:hideMark/>
          </w:tcPr>
          <w:p w14:paraId="6886C71B" w14:textId="0CD8F53F" w:rsidR="007D728E" w:rsidRPr="00CB13F7" w:rsidRDefault="7CCBCF77" w:rsidP="007D728E">
            <w:pPr>
              <w:rPr>
                <w:rFonts w:eastAsia="Times New Roman"/>
                <w:color w:val="000000"/>
                <w:sz w:val="16"/>
                <w:szCs w:val="16"/>
                <w:lang w:eastAsia="en-US"/>
              </w:rPr>
            </w:pPr>
            <w:r w:rsidRPr="00CB13F7">
              <w:rPr>
                <w:rFonts w:eastAsia="Times New Roman"/>
                <w:color w:val="000000" w:themeColor="text1"/>
                <w:sz w:val="16"/>
                <w:szCs w:val="16"/>
                <w:lang w:eastAsia="en-US"/>
              </w:rPr>
              <w:t>OZHQ</w:t>
            </w:r>
            <w:r w:rsidR="0080D2BD" w:rsidRPr="00CB13F7">
              <w:rPr>
                <w:rFonts w:eastAsia="Times New Roman"/>
                <w:color w:val="000000" w:themeColor="text1"/>
                <w:sz w:val="16"/>
                <w:szCs w:val="16"/>
                <w:lang w:eastAsia="en-US"/>
              </w:rPr>
              <w:t>;</w:t>
            </w:r>
            <w:r w:rsidR="007D728E" w:rsidRPr="00CB13F7">
              <w:br/>
            </w:r>
            <w:r w:rsidR="0080D2BD" w:rsidRPr="00CB13F7">
              <w:rPr>
                <w:rFonts w:eastAsia="Times New Roman"/>
                <w:color w:val="000000" w:themeColor="text1"/>
                <w:sz w:val="16"/>
                <w:szCs w:val="16"/>
                <w:lang w:eastAsia="en-US"/>
              </w:rPr>
              <w:t>Dokumenti i programit të BE-së EU për Përfshirjen Sociale; Strategjia e BE-së për të Drejtat e Personave me Aftësi të Kufizuara 2021</w:t>
            </w:r>
            <w:r w:rsidR="77B74F3F" w:rsidRPr="00CB13F7">
              <w:rPr>
                <w:rFonts w:eastAsia="Times New Roman"/>
                <w:color w:val="000000" w:themeColor="text1"/>
                <w:sz w:val="16"/>
                <w:szCs w:val="16"/>
                <w:lang w:eastAsia="en-US"/>
              </w:rPr>
              <w:t>-</w:t>
            </w:r>
            <w:r w:rsidR="0080D2BD" w:rsidRPr="00CB13F7">
              <w:rPr>
                <w:rFonts w:eastAsia="Times New Roman"/>
                <w:color w:val="000000" w:themeColor="text1"/>
                <w:sz w:val="16"/>
                <w:szCs w:val="16"/>
                <w:lang w:eastAsia="en-US"/>
              </w:rPr>
              <w:t xml:space="preserve">2030 </w:t>
            </w:r>
            <w:r w:rsidR="007D728E" w:rsidRPr="00CB13F7">
              <w:br/>
            </w:r>
            <w:r w:rsidR="0080D2BD" w:rsidRPr="00CB13F7">
              <w:rPr>
                <w:rFonts w:eastAsia="Times New Roman"/>
                <w:color w:val="000000" w:themeColor="text1"/>
                <w:sz w:val="16"/>
                <w:szCs w:val="16"/>
                <w:lang w:eastAsia="en-US"/>
              </w:rPr>
              <w:t xml:space="preserve">Strategjia Kombëtare për Zhvillim dhe Integrim </w:t>
            </w:r>
            <w:r w:rsidR="0080D2BD" w:rsidRPr="00CB13F7">
              <w:rPr>
                <w:rFonts w:eastAsia="Times New Roman"/>
                <w:sz w:val="16"/>
                <w:szCs w:val="16"/>
                <w:lang w:eastAsia="en-US"/>
              </w:rPr>
              <w:t>Evropian</w:t>
            </w:r>
            <w:r w:rsidR="0080D2BD" w:rsidRPr="00CB13F7">
              <w:rPr>
                <w:rFonts w:eastAsia="Times New Roman"/>
                <w:color w:val="000000" w:themeColor="text1"/>
                <w:sz w:val="16"/>
                <w:szCs w:val="16"/>
                <w:lang w:eastAsia="en-US"/>
              </w:rPr>
              <w:t xml:space="preserve"> (SKZHIE);</w:t>
            </w:r>
          </w:p>
          <w:p w14:paraId="159134C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Dokumenti i Politikave të Përfshirjes Sociale</w:t>
            </w:r>
          </w:p>
        </w:tc>
      </w:tr>
      <w:tr w:rsidR="007D728E" w:rsidRPr="00CB13F7" w14:paraId="513CAA81" w14:textId="77777777" w:rsidTr="661F9D2E">
        <w:trPr>
          <w:trHeight w:val="1980"/>
        </w:trPr>
        <w:tc>
          <w:tcPr>
            <w:tcW w:w="1159" w:type="dxa"/>
            <w:vMerge w:val="restart"/>
            <w:tcBorders>
              <w:top w:val="single" w:sz="4" w:space="0" w:color="000000" w:themeColor="text1"/>
              <w:left w:val="nil"/>
              <w:bottom w:val="single" w:sz="4" w:space="0" w:color="000000" w:themeColor="text1"/>
              <w:right w:val="nil"/>
            </w:tcBorders>
            <w:vAlign w:val="center"/>
            <w:hideMark/>
          </w:tcPr>
          <w:p w14:paraId="342B857F" w14:textId="77777777" w:rsidR="007D728E" w:rsidRPr="00CB13F7" w:rsidRDefault="007D728E" w:rsidP="007D728E">
            <w:pPr>
              <w:jc w:val="center"/>
              <w:rPr>
                <w:rFonts w:eastAsia="Times New Roman"/>
                <w:b/>
                <w:bCs/>
                <w:color w:val="000000"/>
                <w:sz w:val="20"/>
                <w:szCs w:val="20"/>
                <w:lang w:eastAsia="en-US"/>
              </w:rPr>
            </w:pPr>
            <w:r w:rsidRPr="00CB13F7">
              <w:rPr>
                <w:rFonts w:eastAsia="Times New Roman"/>
                <w:b/>
                <w:bCs/>
                <w:color w:val="000000"/>
                <w:sz w:val="20"/>
                <w:szCs w:val="20"/>
                <w:lang w:eastAsia="en-US"/>
              </w:rPr>
              <w:t>Masat prioritare</w:t>
            </w:r>
          </w:p>
        </w:tc>
        <w:tc>
          <w:tcPr>
            <w:tcW w:w="1770" w:type="dxa"/>
            <w:gridSpan w:val="2"/>
            <w:tcBorders>
              <w:top w:val="nil"/>
              <w:left w:val="single" w:sz="4" w:space="0" w:color="000000" w:themeColor="text1"/>
              <w:bottom w:val="nil"/>
              <w:right w:val="single" w:sz="4" w:space="0" w:color="000000" w:themeColor="text1"/>
            </w:tcBorders>
            <w:hideMark/>
          </w:tcPr>
          <w:p w14:paraId="04AD168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Masa </w:t>
            </w:r>
            <w:r w:rsidR="0089320C" w:rsidRPr="00CB13F7">
              <w:rPr>
                <w:rFonts w:eastAsia="Times New Roman"/>
                <w:sz w:val="16"/>
                <w:szCs w:val="16"/>
                <w:lang w:eastAsia="en-US"/>
              </w:rPr>
              <w:t>prioritare 1.1</w:t>
            </w:r>
            <w:r w:rsidRPr="00CB13F7">
              <w:rPr>
                <w:rFonts w:eastAsia="Times New Roman"/>
                <w:sz w:val="16"/>
                <w:szCs w:val="16"/>
                <w:lang w:eastAsia="en-US"/>
              </w:rPr>
              <w:t xml:space="preserve"> Orientimi i bashkive për të fuqizuar bashkëpunimin me MSHMS.</w:t>
            </w:r>
          </w:p>
        </w:tc>
        <w:tc>
          <w:tcPr>
            <w:tcW w:w="2189" w:type="dxa"/>
            <w:tcBorders>
              <w:top w:val="nil"/>
              <w:left w:val="nil"/>
              <w:bottom w:val="nil"/>
              <w:right w:val="nil"/>
            </w:tcBorders>
            <w:hideMark/>
          </w:tcPr>
          <w:p w14:paraId="7F4523A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Bashkitë përfitojnë nga shtesa e </w:t>
            </w:r>
            <w:r w:rsidR="0089320C" w:rsidRPr="00CB13F7">
              <w:rPr>
                <w:rFonts w:eastAsia="Times New Roman"/>
                <w:sz w:val="16"/>
                <w:szCs w:val="16"/>
                <w:lang w:eastAsia="en-US"/>
              </w:rPr>
              <w:t>përvitshme</w:t>
            </w:r>
            <w:r w:rsidRPr="00CB13F7">
              <w:rPr>
                <w:rFonts w:eastAsia="Times New Roman"/>
                <w:sz w:val="16"/>
                <w:szCs w:val="16"/>
                <w:lang w:eastAsia="en-US"/>
              </w:rPr>
              <w:t xml:space="preserve"> e fondit për shërbime për personat me aftësi të kufizuara në bashkëpunim me MSHMS; Personat me aftësi të kufizuara përfitojnë nga shërbimet që shtohen në bashki;</w:t>
            </w:r>
          </w:p>
        </w:tc>
        <w:tc>
          <w:tcPr>
            <w:tcW w:w="1122" w:type="dxa"/>
            <w:tcBorders>
              <w:top w:val="nil"/>
              <w:left w:val="single" w:sz="4" w:space="0" w:color="000000" w:themeColor="text1"/>
              <w:bottom w:val="nil"/>
              <w:right w:val="single" w:sz="4" w:space="0" w:color="000000" w:themeColor="text1"/>
            </w:tcBorders>
            <w:hideMark/>
          </w:tcPr>
          <w:p w14:paraId="1A74F6B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N/A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N/A</w:t>
            </w:r>
          </w:p>
        </w:tc>
        <w:tc>
          <w:tcPr>
            <w:tcW w:w="2016" w:type="dxa"/>
            <w:tcBorders>
              <w:top w:val="nil"/>
              <w:left w:val="nil"/>
              <w:bottom w:val="nil"/>
              <w:right w:val="single" w:sz="4" w:space="0" w:color="000000" w:themeColor="text1"/>
            </w:tcBorders>
            <w:hideMark/>
          </w:tcPr>
          <w:p w14:paraId="14297D8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 20% e bashkive nga vlerësimi bazë;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 20% e </w:t>
            </w:r>
            <w:r w:rsidR="0089320C" w:rsidRPr="00CB13F7">
              <w:rPr>
                <w:rFonts w:eastAsia="Times New Roman"/>
                <w:color w:val="000000"/>
                <w:sz w:val="16"/>
                <w:szCs w:val="16"/>
                <w:lang w:eastAsia="en-US"/>
              </w:rPr>
              <w:t>përfituesve</w:t>
            </w:r>
            <w:r w:rsidRPr="00CB13F7">
              <w:rPr>
                <w:rFonts w:eastAsia="Times New Roman"/>
                <w:color w:val="000000"/>
                <w:sz w:val="16"/>
                <w:szCs w:val="16"/>
                <w:lang w:eastAsia="en-US"/>
              </w:rPr>
              <w:t xml:space="preserve"> nga vlerësimi bazë përfitojnë shërbime nga rritje fondi;</w:t>
            </w:r>
          </w:p>
        </w:tc>
        <w:tc>
          <w:tcPr>
            <w:tcW w:w="1597" w:type="dxa"/>
            <w:tcBorders>
              <w:top w:val="nil"/>
              <w:left w:val="nil"/>
              <w:bottom w:val="nil"/>
              <w:right w:val="nil"/>
            </w:tcBorders>
            <w:hideMark/>
          </w:tcPr>
          <w:p w14:paraId="16C0B27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40 % e bashkive nga vlerësimi bazë;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35 % e </w:t>
            </w:r>
            <w:r w:rsidR="0089320C" w:rsidRPr="00CB13F7">
              <w:rPr>
                <w:rFonts w:eastAsia="Times New Roman"/>
                <w:color w:val="000000"/>
                <w:sz w:val="16"/>
                <w:szCs w:val="16"/>
                <w:lang w:eastAsia="en-US"/>
              </w:rPr>
              <w:t>përfituesve</w:t>
            </w:r>
            <w:r w:rsidRPr="00CB13F7">
              <w:rPr>
                <w:rFonts w:eastAsia="Times New Roman"/>
                <w:color w:val="000000"/>
                <w:sz w:val="16"/>
                <w:szCs w:val="16"/>
                <w:lang w:eastAsia="en-US"/>
              </w:rPr>
              <w:t xml:space="preserve"> nga vlerësimi baze përfitojnë shërbime nga rritje fondi;</w:t>
            </w:r>
          </w:p>
        </w:tc>
        <w:tc>
          <w:tcPr>
            <w:tcW w:w="1696" w:type="dxa"/>
            <w:tcBorders>
              <w:top w:val="nil"/>
              <w:left w:val="single" w:sz="4" w:space="0" w:color="000000" w:themeColor="text1"/>
              <w:bottom w:val="nil"/>
              <w:right w:val="nil"/>
            </w:tcBorders>
            <w:hideMark/>
          </w:tcPr>
          <w:p w14:paraId="798AD7E4"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Pr="00CB13F7">
              <w:rPr>
                <w:rFonts w:eastAsia="Times New Roman"/>
                <w:sz w:val="16"/>
                <w:szCs w:val="16"/>
                <w:lang w:eastAsia="en-US"/>
              </w:rPr>
              <w:br/>
              <w:t>NJQV;</w:t>
            </w:r>
            <w:r w:rsidRPr="00CB13F7">
              <w:rPr>
                <w:rFonts w:eastAsia="Times New Roman"/>
                <w:sz w:val="16"/>
                <w:szCs w:val="16"/>
                <w:lang w:eastAsia="en-US"/>
              </w:rPr>
              <w:br/>
              <w:t>KKAK;</w:t>
            </w:r>
            <w:r w:rsidRPr="00CB13F7">
              <w:rPr>
                <w:rFonts w:eastAsia="Times New Roman"/>
                <w:sz w:val="16"/>
                <w:szCs w:val="16"/>
                <w:lang w:eastAsia="en-US"/>
              </w:rPr>
              <w:br/>
              <w:t>Të gjitha Institucionet;</w:t>
            </w:r>
            <w:r w:rsidRPr="00CB13F7">
              <w:rPr>
                <w:rFonts w:eastAsia="Times New Roman"/>
                <w:sz w:val="16"/>
                <w:szCs w:val="16"/>
                <w:lang w:eastAsia="en-US"/>
              </w:rPr>
              <w:br/>
              <w:t>OJQ;</w:t>
            </w:r>
            <w:r w:rsidRPr="00CB13F7">
              <w:rPr>
                <w:rFonts w:eastAsia="Times New Roman"/>
                <w:sz w:val="16"/>
                <w:szCs w:val="16"/>
                <w:lang w:eastAsia="en-US"/>
              </w:rPr>
              <w:br/>
              <w:t>SHSSH;</w:t>
            </w:r>
            <w:r w:rsidRPr="00CB13F7">
              <w:rPr>
                <w:rFonts w:eastAsia="Times New Roman"/>
                <w:sz w:val="16"/>
                <w:szCs w:val="16"/>
                <w:lang w:eastAsia="en-US"/>
              </w:rPr>
              <w:br/>
              <w:t>Raporte monitorimi;</w:t>
            </w:r>
          </w:p>
        </w:tc>
        <w:tc>
          <w:tcPr>
            <w:tcW w:w="2074" w:type="dxa"/>
            <w:tcBorders>
              <w:top w:val="nil"/>
              <w:left w:val="single" w:sz="4" w:space="0" w:color="auto"/>
              <w:bottom w:val="single" w:sz="4" w:space="0" w:color="auto"/>
              <w:right w:val="single" w:sz="4" w:space="0" w:color="auto"/>
            </w:tcBorders>
            <w:hideMark/>
          </w:tcPr>
          <w:p w14:paraId="5E89382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51249341" w14:textId="77777777" w:rsidTr="661F9D2E">
        <w:trPr>
          <w:trHeight w:val="1635"/>
        </w:trPr>
        <w:tc>
          <w:tcPr>
            <w:tcW w:w="1159" w:type="dxa"/>
            <w:vMerge/>
            <w:vAlign w:val="center"/>
            <w:hideMark/>
          </w:tcPr>
          <w:p w14:paraId="1F65EB62" w14:textId="77777777" w:rsidR="007D728E" w:rsidRPr="00CB13F7" w:rsidRDefault="007D728E" w:rsidP="007D728E">
            <w:pPr>
              <w:rPr>
                <w:rFonts w:eastAsia="Times New Roman"/>
                <w:b/>
                <w:bCs/>
                <w:color w:val="000000"/>
                <w:sz w:val="20"/>
                <w:szCs w:val="20"/>
                <w:lang w:eastAsia="en-US"/>
              </w:rPr>
            </w:pPr>
          </w:p>
        </w:tc>
        <w:tc>
          <w:tcPr>
            <w:tcW w:w="1770" w:type="dxa"/>
            <w:gridSpan w:val="2"/>
            <w:tcBorders>
              <w:top w:val="single" w:sz="4" w:space="0" w:color="auto"/>
              <w:left w:val="single" w:sz="4" w:space="0" w:color="auto"/>
              <w:bottom w:val="single" w:sz="4" w:space="0" w:color="auto"/>
              <w:right w:val="single" w:sz="4" w:space="0" w:color="auto"/>
            </w:tcBorders>
            <w:hideMark/>
          </w:tcPr>
          <w:p w14:paraId="2403E43F"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Masa prioritare 1.2 Fuqizimi i rolit të bashkive dhe promovimi i tyre në njohjen dhe përmbushjen e nevojave të PAK në territorin e tyre. </w:t>
            </w:r>
          </w:p>
        </w:tc>
        <w:tc>
          <w:tcPr>
            <w:tcW w:w="2189" w:type="dxa"/>
            <w:tcBorders>
              <w:top w:val="single" w:sz="4" w:space="0" w:color="auto"/>
              <w:left w:val="nil"/>
              <w:bottom w:val="single" w:sz="4" w:space="0" w:color="auto"/>
              <w:right w:val="single" w:sz="4" w:space="0" w:color="auto"/>
            </w:tcBorders>
            <w:hideMark/>
          </w:tcPr>
          <w:p w14:paraId="44580FF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Guida metodologjike për vlerësimi real të nevojave të personave me aftësi të kufizuara; Konferenca vjetore në përshpejtimin e hapave promovues për realizimin e të drejtave të personave me aftësi të kufizuara;</w:t>
            </w:r>
          </w:p>
        </w:tc>
        <w:tc>
          <w:tcPr>
            <w:tcW w:w="1122" w:type="dxa"/>
            <w:tcBorders>
              <w:top w:val="single" w:sz="4" w:space="0" w:color="auto"/>
              <w:left w:val="nil"/>
              <w:bottom w:val="single" w:sz="4" w:space="0" w:color="auto"/>
              <w:right w:val="single" w:sz="4" w:space="0" w:color="auto"/>
            </w:tcBorders>
            <w:hideMark/>
          </w:tcPr>
          <w:p w14:paraId="016950B9"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t>N/A</w:t>
            </w:r>
          </w:p>
        </w:tc>
        <w:tc>
          <w:tcPr>
            <w:tcW w:w="2016" w:type="dxa"/>
            <w:tcBorders>
              <w:top w:val="single" w:sz="4" w:space="0" w:color="auto"/>
              <w:left w:val="nil"/>
              <w:bottom w:val="single" w:sz="4" w:space="0" w:color="auto"/>
              <w:right w:val="single" w:sz="4" w:space="0" w:color="auto"/>
            </w:tcBorders>
            <w:hideMark/>
          </w:tcPr>
          <w:p w14:paraId="404A8274"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 / vit </w:t>
            </w:r>
          </w:p>
        </w:tc>
        <w:tc>
          <w:tcPr>
            <w:tcW w:w="1597" w:type="dxa"/>
            <w:tcBorders>
              <w:top w:val="single" w:sz="4" w:space="0" w:color="auto"/>
              <w:left w:val="nil"/>
              <w:bottom w:val="single" w:sz="4" w:space="0" w:color="auto"/>
              <w:right w:val="single" w:sz="4" w:space="0" w:color="auto"/>
            </w:tcBorders>
            <w:hideMark/>
          </w:tcPr>
          <w:p w14:paraId="057B6D4B"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 / vit </w:t>
            </w:r>
          </w:p>
        </w:tc>
        <w:tc>
          <w:tcPr>
            <w:tcW w:w="1696" w:type="dxa"/>
            <w:tcBorders>
              <w:top w:val="single" w:sz="4" w:space="0" w:color="auto"/>
              <w:left w:val="nil"/>
              <w:bottom w:val="single" w:sz="4" w:space="0" w:color="auto"/>
              <w:right w:val="single" w:sz="4" w:space="0" w:color="auto"/>
            </w:tcBorders>
            <w:hideMark/>
          </w:tcPr>
          <w:p w14:paraId="6B1C8A52"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Pr="00CB13F7">
              <w:rPr>
                <w:rFonts w:eastAsia="Times New Roman"/>
                <w:sz w:val="16"/>
                <w:szCs w:val="16"/>
                <w:lang w:eastAsia="en-US"/>
              </w:rPr>
              <w:br/>
              <w:t>NJQV;</w:t>
            </w:r>
            <w:r w:rsidRPr="00CB13F7">
              <w:rPr>
                <w:rFonts w:eastAsia="Times New Roman"/>
                <w:sz w:val="16"/>
                <w:szCs w:val="16"/>
                <w:lang w:eastAsia="en-US"/>
              </w:rPr>
              <w:br/>
              <w:t xml:space="preserve">KKAK; </w:t>
            </w:r>
            <w:r w:rsidRPr="00CB13F7">
              <w:rPr>
                <w:rFonts w:eastAsia="Times New Roman"/>
                <w:sz w:val="16"/>
                <w:szCs w:val="16"/>
                <w:lang w:eastAsia="en-US"/>
              </w:rPr>
              <w:br/>
              <w:t>Të gjitha Institucionet;</w:t>
            </w:r>
            <w:r w:rsidRPr="00CB13F7">
              <w:rPr>
                <w:rFonts w:eastAsia="Times New Roman"/>
                <w:sz w:val="16"/>
                <w:szCs w:val="16"/>
                <w:lang w:eastAsia="en-US"/>
              </w:rPr>
              <w:br/>
              <w:t>KMD;</w:t>
            </w:r>
            <w:r w:rsidRPr="00CB13F7">
              <w:rPr>
                <w:rFonts w:eastAsia="Times New Roman"/>
                <w:sz w:val="16"/>
                <w:szCs w:val="16"/>
                <w:lang w:eastAsia="en-US"/>
              </w:rPr>
              <w:br/>
              <w:t>OJQ;</w:t>
            </w:r>
            <w:r w:rsidRPr="00CB13F7">
              <w:rPr>
                <w:rFonts w:eastAsia="Times New Roman"/>
                <w:sz w:val="16"/>
                <w:szCs w:val="16"/>
                <w:lang w:eastAsia="en-US"/>
              </w:rPr>
              <w:br/>
              <w:t>Raporte monitorimi;</w:t>
            </w:r>
          </w:p>
        </w:tc>
        <w:tc>
          <w:tcPr>
            <w:tcW w:w="2074" w:type="dxa"/>
            <w:tcBorders>
              <w:top w:val="nil"/>
              <w:left w:val="nil"/>
              <w:bottom w:val="single" w:sz="4" w:space="0" w:color="auto"/>
              <w:right w:val="single" w:sz="4" w:space="0" w:color="auto"/>
            </w:tcBorders>
            <w:hideMark/>
          </w:tcPr>
          <w:p w14:paraId="40F34ED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0268ACE9" w14:textId="77777777" w:rsidTr="661F9D2E">
        <w:trPr>
          <w:trHeight w:val="1463"/>
        </w:trPr>
        <w:tc>
          <w:tcPr>
            <w:tcW w:w="1159" w:type="dxa"/>
            <w:vMerge/>
            <w:vAlign w:val="center"/>
            <w:hideMark/>
          </w:tcPr>
          <w:p w14:paraId="0331F5D7" w14:textId="77777777" w:rsidR="007D728E" w:rsidRPr="00CB13F7" w:rsidRDefault="007D728E" w:rsidP="007D728E">
            <w:pPr>
              <w:rPr>
                <w:rFonts w:eastAsia="Times New Roman"/>
                <w:b/>
                <w:bCs/>
                <w:color w:val="000000"/>
                <w:sz w:val="20"/>
                <w:szCs w:val="20"/>
                <w:lang w:eastAsia="en-US"/>
              </w:rPr>
            </w:pPr>
          </w:p>
        </w:tc>
        <w:tc>
          <w:tcPr>
            <w:tcW w:w="1770" w:type="dxa"/>
            <w:gridSpan w:val="2"/>
            <w:tcBorders>
              <w:top w:val="nil"/>
              <w:left w:val="single" w:sz="4" w:space="0" w:color="000000" w:themeColor="text1"/>
              <w:bottom w:val="nil"/>
              <w:right w:val="single" w:sz="4" w:space="0" w:color="000000" w:themeColor="text1"/>
            </w:tcBorders>
            <w:hideMark/>
          </w:tcPr>
          <w:p w14:paraId="2EB0E8B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2.1 Ndjekje dhe monitorim të situatës së ndryshimeve legjislative që lidhen me fushën e aftësisë së kufizuar.</w:t>
            </w:r>
          </w:p>
        </w:tc>
        <w:tc>
          <w:tcPr>
            <w:tcW w:w="2189" w:type="dxa"/>
            <w:tcBorders>
              <w:top w:val="nil"/>
              <w:left w:val="nil"/>
              <w:bottom w:val="nil"/>
              <w:right w:val="nil"/>
            </w:tcBorders>
            <w:hideMark/>
          </w:tcPr>
          <w:p w14:paraId="53DB688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Nisma ligjore nga institucione, që diskutohen në KKAK; Deputetët e GDMAK në takime direkte me PAK;</w:t>
            </w:r>
          </w:p>
        </w:tc>
        <w:tc>
          <w:tcPr>
            <w:tcW w:w="1122" w:type="dxa"/>
            <w:tcBorders>
              <w:top w:val="nil"/>
              <w:left w:val="single" w:sz="4" w:space="0" w:color="000000" w:themeColor="text1"/>
              <w:bottom w:val="nil"/>
              <w:right w:val="single" w:sz="4" w:space="0" w:color="000000" w:themeColor="text1"/>
            </w:tcBorders>
            <w:hideMark/>
          </w:tcPr>
          <w:p w14:paraId="2345E38D"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t xml:space="preserve"> 2 takime </w:t>
            </w:r>
          </w:p>
        </w:tc>
        <w:tc>
          <w:tcPr>
            <w:tcW w:w="2016" w:type="dxa"/>
            <w:tcBorders>
              <w:top w:val="nil"/>
              <w:left w:val="nil"/>
              <w:bottom w:val="nil"/>
              <w:right w:val="single" w:sz="4" w:space="0" w:color="000000" w:themeColor="text1"/>
            </w:tcBorders>
            <w:hideMark/>
          </w:tcPr>
          <w:p w14:paraId="4B377043"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Në varësi të nismave </w:t>
            </w:r>
            <w:r w:rsidRPr="00CB13F7">
              <w:rPr>
                <w:rFonts w:eastAsia="Times New Roman"/>
                <w:sz w:val="16"/>
                <w:szCs w:val="16"/>
                <w:lang w:eastAsia="en-US"/>
              </w:rPr>
              <w:br/>
            </w:r>
            <w:r w:rsidRPr="00CB13F7">
              <w:rPr>
                <w:rFonts w:eastAsia="Times New Roman"/>
                <w:sz w:val="16"/>
                <w:szCs w:val="16"/>
                <w:lang w:eastAsia="en-US"/>
              </w:rPr>
              <w:br/>
              <w:t xml:space="preserve">2 takime / vit </w:t>
            </w:r>
          </w:p>
        </w:tc>
        <w:tc>
          <w:tcPr>
            <w:tcW w:w="1597" w:type="dxa"/>
            <w:tcBorders>
              <w:top w:val="nil"/>
              <w:left w:val="nil"/>
              <w:bottom w:val="nil"/>
              <w:right w:val="nil"/>
            </w:tcBorders>
            <w:hideMark/>
          </w:tcPr>
          <w:p w14:paraId="28DAA497"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Në varësi të nismave </w:t>
            </w:r>
            <w:r w:rsidRPr="00CB13F7">
              <w:rPr>
                <w:rFonts w:eastAsia="Times New Roman"/>
                <w:sz w:val="16"/>
                <w:szCs w:val="16"/>
                <w:lang w:eastAsia="en-US"/>
              </w:rPr>
              <w:br/>
            </w:r>
            <w:r w:rsidRPr="00CB13F7">
              <w:rPr>
                <w:rFonts w:eastAsia="Times New Roman"/>
                <w:sz w:val="16"/>
                <w:szCs w:val="16"/>
                <w:lang w:eastAsia="en-US"/>
              </w:rPr>
              <w:br/>
              <w:t xml:space="preserve">2 takime / vit </w:t>
            </w:r>
          </w:p>
        </w:tc>
        <w:tc>
          <w:tcPr>
            <w:tcW w:w="1696" w:type="dxa"/>
            <w:tcBorders>
              <w:top w:val="nil"/>
              <w:left w:val="single" w:sz="4" w:space="0" w:color="000000" w:themeColor="text1"/>
              <w:bottom w:val="nil"/>
              <w:right w:val="nil"/>
            </w:tcBorders>
            <w:hideMark/>
          </w:tcPr>
          <w:p w14:paraId="66E8FE0F"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Pr="00CB13F7">
              <w:rPr>
                <w:rFonts w:eastAsia="Times New Roman"/>
                <w:sz w:val="16"/>
                <w:szCs w:val="16"/>
                <w:lang w:eastAsia="en-US"/>
              </w:rPr>
              <w:br/>
              <w:t>KM;</w:t>
            </w:r>
            <w:r w:rsidRPr="00CB13F7">
              <w:rPr>
                <w:rFonts w:eastAsia="Times New Roman"/>
                <w:sz w:val="16"/>
                <w:szCs w:val="16"/>
                <w:lang w:eastAsia="en-US"/>
              </w:rPr>
              <w:br/>
              <w:t>NJQV;</w:t>
            </w:r>
            <w:r w:rsidRPr="00CB13F7">
              <w:rPr>
                <w:rFonts w:eastAsia="Times New Roman"/>
                <w:sz w:val="16"/>
                <w:szCs w:val="16"/>
                <w:lang w:eastAsia="en-US"/>
              </w:rPr>
              <w:br/>
              <w:t>KKAK;</w:t>
            </w:r>
            <w:r w:rsidRPr="00CB13F7">
              <w:rPr>
                <w:rFonts w:eastAsia="Times New Roman"/>
                <w:sz w:val="16"/>
                <w:szCs w:val="16"/>
                <w:lang w:eastAsia="en-US"/>
              </w:rPr>
              <w:br/>
              <w:t>Të gjitha Institucionet;</w:t>
            </w:r>
            <w:r w:rsidRPr="00CB13F7">
              <w:rPr>
                <w:rFonts w:eastAsia="Times New Roman"/>
                <w:sz w:val="16"/>
                <w:szCs w:val="16"/>
                <w:lang w:eastAsia="en-US"/>
              </w:rPr>
              <w:br/>
              <w:t>OJQ;</w:t>
            </w:r>
            <w:r w:rsidRPr="00CB13F7">
              <w:rPr>
                <w:rFonts w:eastAsia="Times New Roman"/>
                <w:sz w:val="16"/>
                <w:szCs w:val="16"/>
                <w:lang w:eastAsia="en-US"/>
              </w:rPr>
              <w:br/>
              <w:t>Raporte monitorimi;</w:t>
            </w:r>
          </w:p>
        </w:tc>
        <w:tc>
          <w:tcPr>
            <w:tcW w:w="2074" w:type="dxa"/>
            <w:tcBorders>
              <w:top w:val="nil"/>
              <w:left w:val="single" w:sz="4" w:space="0" w:color="auto"/>
              <w:bottom w:val="single" w:sz="4" w:space="0" w:color="auto"/>
              <w:right w:val="single" w:sz="4" w:space="0" w:color="auto"/>
            </w:tcBorders>
            <w:hideMark/>
          </w:tcPr>
          <w:p w14:paraId="1367710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FFBEA2D" w14:textId="77777777" w:rsidTr="661F9D2E">
        <w:trPr>
          <w:trHeight w:val="1620"/>
        </w:trPr>
        <w:tc>
          <w:tcPr>
            <w:tcW w:w="1159" w:type="dxa"/>
            <w:vMerge/>
            <w:vAlign w:val="center"/>
            <w:hideMark/>
          </w:tcPr>
          <w:p w14:paraId="04BE0811" w14:textId="77777777" w:rsidR="007D728E" w:rsidRPr="00CB13F7" w:rsidRDefault="007D728E" w:rsidP="007D728E">
            <w:pPr>
              <w:rPr>
                <w:rFonts w:eastAsia="Times New Roman"/>
                <w:b/>
                <w:bCs/>
                <w:color w:val="000000"/>
                <w:sz w:val="20"/>
                <w:szCs w:val="20"/>
                <w:lang w:eastAsia="en-US"/>
              </w:rPr>
            </w:pPr>
          </w:p>
        </w:tc>
        <w:tc>
          <w:tcPr>
            <w:tcW w:w="1770" w:type="dxa"/>
            <w:gridSpan w:val="2"/>
            <w:tcBorders>
              <w:top w:val="single" w:sz="4" w:space="0" w:color="000000" w:themeColor="text1"/>
              <w:left w:val="single" w:sz="4" w:space="0" w:color="000000" w:themeColor="text1"/>
              <w:bottom w:val="nil"/>
              <w:right w:val="single" w:sz="4" w:space="0" w:color="000000" w:themeColor="text1"/>
            </w:tcBorders>
            <w:hideMark/>
          </w:tcPr>
          <w:p w14:paraId="0948281B"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2.2 Ndërtimi i një Plani Vjetor aktivitetesh të KKAK.</w:t>
            </w:r>
          </w:p>
        </w:tc>
        <w:tc>
          <w:tcPr>
            <w:tcW w:w="2189" w:type="dxa"/>
            <w:tcBorders>
              <w:top w:val="single" w:sz="4" w:space="0" w:color="000000" w:themeColor="text1"/>
              <w:left w:val="nil"/>
              <w:bottom w:val="nil"/>
              <w:right w:val="nil"/>
            </w:tcBorders>
            <w:hideMark/>
          </w:tcPr>
          <w:p w14:paraId="30375990"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Plani Vjetor i Punës e KKAK; </w:t>
            </w:r>
            <w:r w:rsidRPr="00CB13F7">
              <w:rPr>
                <w:rFonts w:eastAsia="Times New Roman"/>
                <w:sz w:val="16"/>
                <w:szCs w:val="16"/>
                <w:lang w:eastAsia="en-US"/>
              </w:rPr>
              <w:br/>
            </w:r>
            <w:r w:rsidRPr="00CB13F7">
              <w:rPr>
                <w:rFonts w:eastAsia="Times New Roman"/>
                <w:sz w:val="16"/>
                <w:szCs w:val="16"/>
                <w:lang w:eastAsia="en-US"/>
              </w:rPr>
              <w:br/>
              <w:t xml:space="preserve">Raport vjetor për aktivitetin e KKAK përgatitur nga Sekretariati i KKAK; </w:t>
            </w:r>
            <w:r w:rsidRPr="00CB13F7">
              <w:rPr>
                <w:rFonts w:eastAsia="Times New Roman"/>
                <w:sz w:val="16"/>
                <w:szCs w:val="16"/>
                <w:lang w:eastAsia="en-US"/>
              </w:rPr>
              <w:br/>
            </w:r>
            <w:r w:rsidRPr="00CB13F7">
              <w:rPr>
                <w:rFonts w:eastAsia="Times New Roman"/>
                <w:sz w:val="16"/>
                <w:szCs w:val="16"/>
                <w:lang w:eastAsia="en-US"/>
              </w:rPr>
              <w:br/>
              <w:t xml:space="preserve">Përgatitja e raportit të </w:t>
            </w:r>
            <w:r w:rsidR="0089320C" w:rsidRPr="00CB13F7">
              <w:rPr>
                <w:rFonts w:eastAsia="Times New Roman"/>
                <w:sz w:val="16"/>
                <w:szCs w:val="16"/>
                <w:lang w:eastAsia="en-US"/>
              </w:rPr>
              <w:t>radhës</w:t>
            </w:r>
            <w:r w:rsidRPr="00CB13F7">
              <w:rPr>
                <w:rFonts w:eastAsia="Times New Roman"/>
                <w:sz w:val="16"/>
                <w:szCs w:val="16"/>
                <w:lang w:eastAsia="en-US"/>
              </w:rPr>
              <w:t xml:space="preserve"> për zbatimin e </w:t>
            </w:r>
            <w:r w:rsidR="0089320C" w:rsidRPr="00CB13F7">
              <w:rPr>
                <w:rFonts w:eastAsia="Times New Roman"/>
                <w:sz w:val="16"/>
                <w:szCs w:val="16"/>
                <w:lang w:eastAsia="en-US"/>
              </w:rPr>
              <w:t>Konventës</w:t>
            </w:r>
            <w:r w:rsidRPr="00CB13F7">
              <w:rPr>
                <w:rFonts w:eastAsia="Times New Roman"/>
                <w:sz w:val="16"/>
                <w:szCs w:val="16"/>
                <w:lang w:eastAsia="en-US"/>
              </w:rPr>
              <w:t>;</w:t>
            </w:r>
          </w:p>
        </w:tc>
        <w:tc>
          <w:tcPr>
            <w:tcW w:w="1122" w:type="dxa"/>
            <w:tcBorders>
              <w:top w:val="single" w:sz="4" w:space="0" w:color="000000" w:themeColor="text1"/>
              <w:left w:val="single" w:sz="4" w:space="0" w:color="000000" w:themeColor="text1"/>
              <w:bottom w:val="nil"/>
              <w:right w:val="single" w:sz="4" w:space="0" w:color="000000" w:themeColor="text1"/>
            </w:tcBorders>
            <w:hideMark/>
          </w:tcPr>
          <w:p w14:paraId="5673BFA6"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 xml:space="preserve">N/A </w:t>
            </w:r>
            <w:r w:rsidRPr="00CB13F7">
              <w:rPr>
                <w:rFonts w:eastAsia="Times New Roman"/>
                <w:sz w:val="16"/>
                <w:szCs w:val="16"/>
                <w:lang w:eastAsia="en-US"/>
              </w:rPr>
              <w:br/>
            </w:r>
            <w:r w:rsidRPr="00CB13F7">
              <w:rPr>
                <w:rFonts w:eastAsia="Times New Roman"/>
                <w:sz w:val="16"/>
                <w:szCs w:val="16"/>
                <w:lang w:eastAsia="en-US"/>
              </w:rPr>
              <w:br/>
              <w:t xml:space="preserve">1/ vit </w:t>
            </w:r>
            <w:r w:rsidRPr="00CB13F7">
              <w:rPr>
                <w:rFonts w:eastAsia="Times New Roman"/>
                <w:sz w:val="16"/>
                <w:szCs w:val="16"/>
                <w:lang w:eastAsia="en-US"/>
              </w:rPr>
              <w:br/>
            </w:r>
            <w:r w:rsidRPr="00CB13F7">
              <w:rPr>
                <w:rFonts w:eastAsia="Times New Roman"/>
                <w:sz w:val="16"/>
                <w:szCs w:val="16"/>
                <w:lang w:eastAsia="en-US"/>
              </w:rPr>
              <w:br/>
            </w:r>
            <w:r w:rsidRPr="00CB13F7">
              <w:rPr>
                <w:rFonts w:eastAsia="Times New Roman"/>
                <w:sz w:val="16"/>
                <w:szCs w:val="16"/>
                <w:lang w:eastAsia="en-US"/>
              </w:rPr>
              <w:br/>
              <w:t>1</w:t>
            </w:r>
          </w:p>
        </w:tc>
        <w:tc>
          <w:tcPr>
            <w:tcW w:w="2016" w:type="dxa"/>
            <w:tcBorders>
              <w:top w:val="single" w:sz="4" w:space="0" w:color="000000" w:themeColor="text1"/>
              <w:left w:val="nil"/>
              <w:bottom w:val="nil"/>
              <w:right w:val="single" w:sz="4" w:space="0" w:color="000000" w:themeColor="text1"/>
            </w:tcBorders>
            <w:hideMark/>
          </w:tcPr>
          <w:p w14:paraId="318C1EE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 / vit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w:t>
            </w:r>
          </w:p>
        </w:tc>
        <w:tc>
          <w:tcPr>
            <w:tcW w:w="1597" w:type="dxa"/>
            <w:tcBorders>
              <w:top w:val="single" w:sz="4" w:space="0" w:color="000000" w:themeColor="text1"/>
              <w:left w:val="nil"/>
              <w:bottom w:val="nil"/>
              <w:right w:val="nil"/>
            </w:tcBorders>
            <w:hideMark/>
          </w:tcPr>
          <w:p w14:paraId="678A731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1 </w:t>
            </w:r>
            <w:r w:rsidRPr="00CB13F7">
              <w:rPr>
                <w:rFonts w:eastAsia="Times New Roman"/>
                <w:color w:val="000000"/>
                <w:sz w:val="16"/>
                <w:szCs w:val="16"/>
                <w:lang w:eastAsia="en-US"/>
              </w:rPr>
              <w:br/>
            </w:r>
            <w:r w:rsidRPr="00CB13F7">
              <w:rPr>
                <w:rFonts w:eastAsia="Times New Roman"/>
                <w:color w:val="000000"/>
                <w:sz w:val="16"/>
                <w:szCs w:val="16"/>
                <w:lang w:eastAsia="en-US"/>
              </w:rPr>
              <w:br/>
              <w:t xml:space="preserve">1 / vit </w:t>
            </w:r>
            <w:r w:rsidRPr="00CB13F7">
              <w:rPr>
                <w:rFonts w:eastAsia="Times New Roman"/>
                <w:color w:val="000000"/>
                <w:sz w:val="16"/>
                <w:szCs w:val="16"/>
                <w:lang w:eastAsia="en-US"/>
              </w:rPr>
              <w:br/>
            </w:r>
            <w:r w:rsidRPr="00CB13F7">
              <w:rPr>
                <w:rFonts w:eastAsia="Times New Roman"/>
                <w:color w:val="000000"/>
                <w:sz w:val="16"/>
                <w:szCs w:val="16"/>
                <w:lang w:eastAsia="en-US"/>
              </w:rPr>
              <w:br/>
            </w:r>
            <w:r w:rsidRPr="00CB13F7">
              <w:rPr>
                <w:rFonts w:eastAsia="Times New Roman"/>
                <w:color w:val="000000"/>
                <w:sz w:val="16"/>
                <w:szCs w:val="16"/>
                <w:lang w:eastAsia="en-US"/>
              </w:rPr>
              <w:br/>
              <w:t>1</w:t>
            </w:r>
          </w:p>
        </w:tc>
        <w:tc>
          <w:tcPr>
            <w:tcW w:w="1696" w:type="dxa"/>
            <w:tcBorders>
              <w:top w:val="single" w:sz="4" w:space="0" w:color="000000" w:themeColor="text1"/>
              <w:left w:val="single" w:sz="4" w:space="0" w:color="000000" w:themeColor="text1"/>
              <w:bottom w:val="nil"/>
              <w:right w:val="nil"/>
            </w:tcBorders>
            <w:hideMark/>
          </w:tcPr>
          <w:p w14:paraId="456EE84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MSHMS;</w:t>
            </w:r>
            <w:r w:rsidRPr="00CB13F7">
              <w:rPr>
                <w:rFonts w:eastAsia="Times New Roman"/>
                <w:sz w:val="16"/>
                <w:szCs w:val="16"/>
                <w:lang w:eastAsia="en-US"/>
              </w:rPr>
              <w:br/>
              <w:t>NJQV;</w:t>
            </w:r>
            <w:r w:rsidRPr="00CB13F7">
              <w:rPr>
                <w:rFonts w:eastAsia="Times New Roman"/>
                <w:sz w:val="16"/>
                <w:szCs w:val="16"/>
                <w:lang w:eastAsia="en-US"/>
              </w:rPr>
              <w:br/>
              <w:t>KKAK;</w:t>
            </w:r>
            <w:r w:rsidRPr="00CB13F7">
              <w:rPr>
                <w:rFonts w:eastAsia="Times New Roman"/>
                <w:sz w:val="16"/>
                <w:szCs w:val="16"/>
                <w:lang w:eastAsia="en-US"/>
              </w:rPr>
              <w:br/>
              <w:t xml:space="preserve">Të gjitha Institucionet; </w:t>
            </w:r>
            <w:r w:rsidRPr="00CB13F7">
              <w:rPr>
                <w:rFonts w:eastAsia="Times New Roman"/>
                <w:sz w:val="16"/>
                <w:szCs w:val="16"/>
                <w:lang w:eastAsia="en-US"/>
              </w:rPr>
              <w:br/>
              <w:t>OJQ;</w:t>
            </w:r>
            <w:r w:rsidRPr="00CB13F7">
              <w:rPr>
                <w:rFonts w:eastAsia="Times New Roman"/>
                <w:sz w:val="16"/>
                <w:szCs w:val="16"/>
                <w:lang w:eastAsia="en-US"/>
              </w:rPr>
              <w:br/>
              <w:t>Raporte monitorimi;</w:t>
            </w:r>
          </w:p>
        </w:tc>
        <w:tc>
          <w:tcPr>
            <w:tcW w:w="2074" w:type="dxa"/>
            <w:tcBorders>
              <w:top w:val="nil"/>
              <w:left w:val="single" w:sz="4" w:space="0" w:color="auto"/>
              <w:bottom w:val="single" w:sz="4" w:space="0" w:color="auto"/>
              <w:right w:val="single" w:sz="4" w:space="0" w:color="auto"/>
            </w:tcBorders>
            <w:hideMark/>
          </w:tcPr>
          <w:p w14:paraId="4AD24708"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769CFED6" w14:textId="77777777" w:rsidTr="661F9D2E">
        <w:trPr>
          <w:trHeight w:val="1620"/>
        </w:trPr>
        <w:tc>
          <w:tcPr>
            <w:tcW w:w="1159" w:type="dxa"/>
            <w:vMerge/>
            <w:vAlign w:val="center"/>
            <w:hideMark/>
          </w:tcPr>
          <w:p w14:paraId="7E53AC3E" w14:textId="77777777" w:rsidR="007D728E" w:rsidRPr="00CB13F7" w:rsidRDefault="007D728E" w:rsidP="007D728E">
            <w:pPr>
              <w:rPr>
                <w:rFonts w:eastAsia="Times New Roman"/>
                <w:b/>
                <w:bCs/>
                <w:color w:val="000000"/>
                <w:sz w:val="20"/>
                <w:szCs w:val="20"/>
                <w:lang w:eastAsia="en-US"/>
              </w:rPr>
            </w:pPr>
          </w:p>
        </w:tc>
        <w:tc>
          <w:tcPr>
            <w:tcW w:w="1770" w:type="dxa"/>
            <w:gridSpan w:val="2"/>
            <w:tcBorders>
              <w:top w:val="single" w:sz="4" w:space="0" w:color="000000" w:themeColor="text1"/>
              <w:left w:val="single" w:sz="4" w:space="0" w:color="000000" w:themeColor="text1"/>
              <w:bottom w:val="nil"/>
              <w:right w:val="single" w:sz="4" w:space="0" w:color="000000" w:themeColor="text1"/>
            </w:tcBorders>
            <w:hideMark/>
          </w:tcPr>
          <w:p w14:paraId="6B03B5F1"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3.1 Përmirësim i akteve ligjore e nënligjore.</w:t>
            </w:r>
          </w:p>
        </w:tc>
        <w:tc>
          <w:tcPr>
            <w:tcW w:w="2189" w:type="dxa"/>
            <w:tcBorders>
              <w:top w:val="single" w:sz="4" w:space="0" w:color="000000" w:themeColor="text1"/>
              <w:left w:val="nil"/>
              <w:bottom w:val="nil"/>
              <w:right w:val="nil"/>
            </w:tcBorders>
            <w:hideMark/>
          </w:tcPr>
          <w:p w14:paraId="0867BC4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VKM e rishikuar për mbledhjen e statistikave; Trajnim me pikat fokale të ministrive; Ngritja e grupit GNSPS;</w:t>
            </w:r>
          </w:p>
        </w:tc>
        <w:tc>
          <w:tcPr>
            <w:tcW w:w="1122" w:type="dxa"/>
            <w:tcBorders>
              <w:top w:val="single" w:sz="4" w:space="0" w:color="000000" w:themeColor="text1"/>
              <w:left w:val="single" w:sz="4" w:space="0" w:color="000000" w:themeColor="text1"/>
              <w:bottom w:val="nil"/>
              <w:right w:val="single" w:sz="4" w:space="0" w:color="000000" w:themeColor="text1"/>
            </w:tcBorders>
            <w:hideMark/>
          </w:tcPr>
          <w:p w14:paraId="0EAF1F5A"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N/A</w:t>
            </w:r>
          </w:p>
        </w:tc>
        <w:tc>
          <w:tcPr>
            <w:tcW w:w="2016" w:type="dxa"/>
            <w:tcBorders>
              <w:top w:val="single" w:sz="4" w:space="0" w:color="000000" w:themeColor="text1"/>
              <w:left w:val="nil"/>
              <w:bottom w:val="nil"/>
              <w:right w:val="single" w:sz="4" w:space="0" w:color="000000" w:themeColor="text1"/>
            </w:tcBorders>
            <w:hideMark/>
          </w:tcPr>
          <w:p w14:paraId="6F52899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VKM sipas rekomandimeve</w:t>
            </w:r>
          </w:p>
        </w:tc>
        <w:tc>
          <w:tcPr>
            <w:tcW w:w="1597" w:type="dxa"/>
            <w:tcBorders>
              <w:top w:val="single" w:sz="4" w:space="0" w:color="000000" w:themeColor="text1"/>
              <w:left w:val="nil"/>
              <w:bottom w:val="nil"/>
              <w:right w:val="single" w:sz="4" w:space="0" w:color="000000" w:themeColor="text1"/>
            </w:tcBorders>
            <w:noWrap/>
            <w:hideMark/>
          </w:tcPr>
          <w:p w14:paraId="4C74A9FD"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1696" w:type="dxa"/>
            <w:tcBorders>
              <w:top w:val="single" w:sz="4" w:space="0" w:color="000000" w:themeColor="text1"/>
              <w:left w:val="nil"/>
              <w:bottom w:val="nil"/>
              <w:right w:val="nil"/>
            </w:tcBorders>
            <w:hideMark/>
          </w:tcPr>
          <w:p w14:paraId="32AA23CE"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INSTAT;</w:t>
            </w:r>
            <w:r w:rsidRPr="00CB13F7">
              <w:rPr>
                <w:rFonts w:eastAsia="Times New Roman"/>
                <w:color w:val="000000"/>
                <w:sz w:val="16"/>
                <w:szCs w:val="16"/>
                <w:lang w:eastAsia="en-US"/>
              </w:rPr>
              <w:br/>
              <w:t>NJQV;</w:t>
            </w:r>
            <w:r w:rsidRPr="00CB13F7">
              <w:rPr>
                <w:rFonts w:eastAsia="Times New Roman"/>
                <w:color w:val="000000"/>
                <w:sz w:val="16"/>
                <w:szCs w:val="16"/>
                <w:lang w:eastAsia="en-US"/>
              </w:rPr>
              <w:br/>
              <w:t>KKAK;</w:t>
            </w:r>
            <w:r w:rsidRPr="00CB13F7">
              <w:rPr>
                <w:rFonts w:eastAsia="Times New Roman"/>
                <w:color w:val="000000"/>
                <w:sz w:val="16"/>
                <w:szCs w:val="16"/>
                <w:lang w:eastAsia="en-US"/>
              </w:rPr>
              <w:br/>
              <w:t>Të gjitha Institucionet;</w:t>
            </w:r>
            <w:r w:rsidRPr="00CB13F7">
              <w:rPr>
                <w:rFonts w:eastAsia="Times New Roman"/>
                <w:color w:val="000000"/>
                <w:sz w:val="16"/>
                <w:szCs w:val="16"/>
                <w:lang w:eastAsia="en-US"/>
              </w:rPr>
              <w:br/>
              <w:t>OJQ;</w:t>
            </w:r>
            <w:r w:rsidRPr="00CB13F7">
              <w:rPr>
                <w:rFonts w:eastAsia="Times New Roman"/>
                <w:color w:val="000000"/>
                <w:sz w:val="16"/>
                <w:szCs w:val="16"/>
                <w:lang w:eastAsia="en-US"/>
              </w:rPr>
              <w:br/>
              <w:t>Raporte monitorimi;</w:t>
            </w:r>
          </w:p>
        </w:tc>
        <w:tc>
          <w:tcPr>
            <w:tcW w:w="2074" w:type="dxa"/>
            <w:tcBorders>
              <w:top w:val="nil"/>
              <w:left w:val="single" w:sz="4" w:space="0" w:color="auto"/>
              <w:bottom w:val="nil"/>
              <w:right w:val="single" w:sz="4" w:space="0" w:color="auto"/>
            </w:tcBorders>
            <w:hideMark/>
          </w:tcPr>
          <w:p w14:paraId="442C67F5"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r w:rsidR="007D728E" w:rsidRPr="00CB13F7" w14:paraId="24866E91" w14:textId="77777777" w:rsidTr="661F9D2E">
        <w:trPr>
          <w:trHeight w:val="1440"/>
        </w:trPr>
        <w:tc>
          <w:tcPr>
            <w:tcW w:w="1159" w:type="dxa"/>
            <w:vMerge/>
            <w:vAlign w:val="center"/>
            <w:hideMark/>
          </w:tcPr>
          <w:p w14:paraId="7FE959F7" w14:textId="77777777" w:rsidR="007D728E" w:rsidRPr="00CB13F7" w:rsidRDefault="007D728E" w:rsidP="007D728E">
            <w:pPr>
              <w:rPr>
                <w:rFonts w:eastAsia="Times New Roman"/>
                <w:b/>
                <w:bCs/>
                <w:color w:val="000000"/>
                <w:sz w:val="20"/>
                <w:szCs w:val="20"/>
                <w:lang w:eastAsia="en-US"/>
              </w:rPr>
            </w:pPr>
          </w:p>
        </w:tc>
        <w:tc>
          <w:tcPr>
            <w:tcW w:w="1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D4D18" w14:textId="77777777" w:rsidR="007D728E" w:rsidRPr="00CB13F7" w:rsidRDefault="007D728E" w:rsidP="007D728E">
            <w:pPr>
              <w:rPr>
                <w:rFonts w:eastAsia="Times New Roman"/>
                <w:sz w:val="16"/>
                <w:szCs w:val="16"/>
                <w:lang w:eastAsia="en-US"/>
              </w:rPr>
            </w:pPr>
            <w:r w:rsidRPr="00CB13F7">
              <w:rPr>
                <w:rFonts w:eastAsia="Times New Roman"/>
                <w:sz w:val="16"/>
                <w:szCs w:val="16"/>
                <w:lang w:eastAsia="en-US"/>
              </w:rPr>
              <w:t>Masa prioritare 4.1 Organizim dhe pjesëmarrje në aktivitete ndërkombëtare.</w:t>
            </w:r>
          </w:p>
        </w:tc>
        <w:tc>
          <w:tcPr>
            <w:tcW w:w="2189" w:type="dxa"/>
            <w:tcBorders>
              <w:top w:val="single" w:sz="4" w:space="0" w:color="000000" w:themeColor="text1"/>
              <w:left w:val="nil"/>
              <w:bottom w:val="single" w:sz="4" w:space="0" w:color="000000" w:themeColor="text1"/>
              <w:right w:val="nil"/>
            </w:tcBorders>
            <w:hideMark/>
          </w:tcPr>
          <w:p w14:paraId="02F36F02"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xml:space="preserve">Konferenca rajonale për shkëmbim eksperiencash. Vizitë studimore në vendet </w:t>
            </w:r>
            <w:r w:rsidR="00234FBC" w:rsidRPr="00CB13F7">
              <w:rPr>
                <w:rFonts w:eastAsia="Times New Roman"/>
                <w:color w:val="000000"/>
                <w:sz w:val="16"/>
                <w:szCs w:val="16"/>
                <w:lang w:eastAsia="en-US"/>
              </w:rPr>
              <w:t>Evropiane</w:t>
            </w:r>
            <w:r w:rsidRPr="00CB13F7">
              <w:rPr>
                <w:rFonts w:eastAsia="Times New Roman"/>
                <w:color w:val="000000"/>
                <w:sz w:val="16"/>
                <w:szCs w:val="16"/>
                <w:lang w:eastAsia="en-US"/>
              </w:rPr>
              <w:t xml:space="preserve"> dhe të Ballkanit.</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658AC"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c>
          <w:tcPr>
            <w:tcW w:w="2016" w:type="dxa"/>
            <w:tcBorders>
              <w:top w:val="single" w:sz="4" w:space="0" w:color="000000" w:themeColor="text1"/>
              <w:left w:val="nil"/>
              <w:bottom w:val="single" w:sz="4" w:space="0" w:color="000000" w:themeColor="text1"/>
              <w:right w:val="single" w:sz="4" w:space="0" w:color="000000" w:themeColor="text1"/>
            </w:tcBorders>
            <w:hideMark/>
          </w:tcPr>
          <w:p w14:paraId="38B49A20"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konferencë</w:t>
            </w:r>
          </w:p>
        </w:tc>
        <w:tc>
          <w:tcPr>
            <w:tcW w:w="1597" w:type="dxa"/>
            <w:tcBorders>
              <w:top w:val="single" w:sz="4" w:space="0" w:color="000000" w:themeColor="text1"/>
              <w:left w:val="nil"/>
              <w:bottom w:val="single" w:sz="4" w:space="0" w:color="000000" w:themeColor="text1"/>
              <w:right w:val="nil"/>
            </w:tcBorders>
            <w:hideMark/>
          </w:tcPr>
          <w:p w14:paraId="03898DBA"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1 vizitë studimore</w:t>
            </w:r>
          </w:p>
        </w:tc>
        <w:tc>
          <w:tcPr>
            <w:tcW w:w="1696" w:type="dxa"/>
            <w:tcBorders>
              <w:top w:val="single" w:sz="4" w:space="0" w:color="000000" w:themeColor="text1"/>
              <w:left w:val="single" w:sz="4" w:space="0" w:color="000000" w:themeColor="text1"/>
              <w:bottom w:val="single" w:sz="4" w:space="0" w:color="000000" w:themeColor="text1"/>
              <w:right w:val="nil"/>
            </w:tcBorders>
            <w:hideMark/>
          </w:tcPr>
          <w:p w14:paraId="4F0ED2B7"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MSHMS;</w:t>
            </w:r>
            <w:r w:rsidRPr="00CB13F7">
              <w:rPr>
                <w:rFonts w:eastAsia="Times New Roman"/>
                <w:color w:val="000000"/>
                <w:sz w:val="16"/>
                <w:szCs w:val="16"/>
                <w:lang w:eastAsia="en-US"/>
              </w:rPr>
              <w:br/>
              <w:t>NJQV;</w:t>
            </w:r>
            <w:r w:rsidRPr="00CB13F7">
              <w:rPr>
                <w:rFonts w:eastAsia="Times New Roman"/>
                <w:color w:val="000000"/>
                <w:sz w:val="16"/>
                <w:szCs w:val="16"/>
                <w:lang w:eastAsia="en-US"/>
              </w:rPr>
              <w:br/>
              <w:t xml:space="preserve">KKAK; </w:t>
            </w:r>
            <w:r w:rsidRPr="00CB13F7">
              <w:rPr>
                <w:rFonts w:eastAsia="Times New Roman"/>
                <w:color w:val="000000"/>
                <w:sz w:val="16"/>
                <w:szCs w:val="16"/>
                <w:lang w:eastAsia="en-US"/>
              </w:rPr>
              <w:br/>
              <w:t>Të gjitha Institucionet;</w:t>
            </w:r>
            <w:r w:rsidRPr="00CB13F7">
              <w:rPr>
                <w:rFonts w:eastAsia="Times New Roman"/>
                <w:color w:val="000000"/>
                <w:sz w:val="16"/>
                <w:szCs w:val="16"/>
                <w:lang w:eastAsia="en-US"/>
              </w:rPr>
              <w:br/>
              <w:t>OJQ;</w:t>
            </w:r>
            <w:r w:rsidRPr="00CB13F7">
              <w:rPr>
                <w:rFonts w:eastAsia="Times New Roman"/>
                <w:color w:val="000000"/>
                <w:sz w:val="16"/>
                <w:szCs w:val="16"/>
                <w:lang w:eastAsia="en-US"/>
              </w:rPr>
              <w:br/>
              <w:t>Raporte monitorimi;</w:t>
            </w:r>
          </w:p>
        </w:tc>
        <w:tc>
          <w:tcPr>
            <w:tcW w:w="2074" w:type="dxa"/>
            <w:tcBorders>
              <w:top w:val="single" w:sz="4" w:space="0" w:color="auto"/>
              <w:left w:val="single" w:sz="4" w:space="0" w:color="auto"/>
              <w:bottom w:val="single" w:sz="4" w:space="0" w:color="auto"/>
              <w:right w:val="single" w:sz="4" w:space="0" w:color="auto"/>
            </w:tcBorders>
            <w:hideMark/>
          </w:tcPr>
          <w:p w14:paraId="06B68E86" w14:textId="77777777" w:rsidR="007D728E" w:rsidRPr="00CB13F7" w:rsidRDefault="007D728E" w:rsidP="007D728E">
            <w:pPr>
              <w:rPr>
                <w:rFonts w:eastAsia="Times New Roman"/>
                <w:color w:val="000000"/>
                <w:sz w:val="16"/>
                <w:szCs w:val="16"/>
                <w:lang w:eastAsia="en-US"/>
              </w:rPr>
            </w:pPr>
            <w:r w:rsidRPr="00CB13F7">
              <w:rPr>
                <w:rFonts w:eastAsia="Times New Roman"/>
                <w:color w:val="000000"/>
                <w:sz w:val="16"/>
                <w:szCs w:val="16"/>
                <w:lang w:eastAsia="en-US"/>
              </w:rPr>
              <w:t> </w:t>
            </w:r>
          </w:p>
        </w:tc>
      </w:tr>
    </w:tbl>
    <w:p w14:paraId="544C79E1" w14:textId="77777777" w:rsidR="00C37922" w:rsidRPr="00CB13F7" w:rsidRDefault="00C37922" w:rsidP="007D728E">
      <w:pPr>
        <w:spacing w:before="100" w:beforeAutospacing="1" w:after="100" w:afterAutospacing="1"/>
        <w:jc w:val="both"/>
        <w:rPr>
          <w:rFonts w:eastAsia="Times New Roman"/>
          <w:b/>
          <w:bCs/>
          <w:lang w:eastAsia="en-US"/>
        </w:rPr>
      </w:pPr>
    </w:p>
    <w:p w14:paraId="14EC9857" w14:textId="77777777" w:rsidR="007D728E" w:rsidRPr="00CB13F7" w:rsidRDefault="007D728E" w:rsidP="00F6420A">
      <w:pPr>
        <w:spacing w:before="100" w:beforeAutospacing="1" w:after="100" w:afterAutospacing="1"/>
        <w:jc w:val="both"/>
        <w:rPr>
          <w:rFonts w:eastAsia="Times New Roman"/>
          <w:b/>
          <w:bCs/>
          <w:lang w:eastAsia="en-US"/>
        </w:rPr>
      </w:pPr>
    </w:p>
    <w:p w14:paraId="539CEEC9" w14:textId="77777777" w:rsidR="00A22FE3" w:rsidRPr="00CB13F7" w:rsidRDefault="00A22FE3" w:rsidP="00F6420A">
      <w:pPr>
        <w:spacing w:before="100" w:beforeAutospacing="1" w:after="100" w:afterAutospacing="1"/>
        <w:jc w:val="both"/>
        <w:rPr>
          <w:rFonts w:eastAsia="Times New Roman"/>
          <w:b/>
          <w:bCs/>
          <w:lang w:eastAsia="en-US"/>
        </w:rPr>
        <w:sectPr w:rsidR="00A22FE3" w:rsidRPr="00CB13F7" w:rsidSect="007D728E">
          <w:pgSz w:w="15840" w:h="12240" w:orient="landscape"/>
          <w:pgMar w:top="1440" w:right="1440" w:bottom="1440" w:left="1440" w:header="720" w:footer="720" w:gutter="0"/>
          <w:cols w:space="720"/>
          <w:docGrid w:linePitch="360"/>
        </w:sectPr>
      </w:pPr>
    </w:p>
    <w:p w14:paraId="4681832A" w14:textId="080ABACD" w:rsidR="00307609" w:rsidRPr="00CB13F7" w:rsidRDefault="206093A9" w:rsidP="661F9D2E">
      <w:pPr>
        <w:spacing w:before="120" w:after="120" w:line="276" w:lineRule="auto"/>
        <w:jc w:val="both"/>
        <w:rPr>
          <w:rFonts w:eastAsia="Times New Roman"/>
          <w:b/>
          <w:bCs/>
          <w:lang w:eastAsia="en-US"/>
        </w:rPr>
      </w:pPr>
      <w:r w:rsidRPr="00CB13F7">
        <w:rPr>
          <w:rFonts w:eastAsia="Times New Roman"/>
          <w:b/>
          <w:bCs/>
          <w:lang w:eastAsia="en-US"/>
        </w:rPr>
        <w:lastRenderedPageBreak/>
        <w:t xml:space="preserve">7. </w:t>
      </w:r>
      <w:bookmarkStart w:id="7" w:name="_Toc88481599"/>
      <w:bookmarkStart w:id="8" w:name="_Toc96283402"/>
      <w:r w:rsidR="2B4FC900" w:rsidRPr="00CB13F7">
        <w:rPr>
          <w:rFonts w:eastAsia="SimSun"/>
          <w:b/>
          <w:bCs/>
          <w:lang w:eastAsia="en-US"/>
        </w:rPr>
        <w:t xml:space="preserve">VLERËSIMI DHE IMPAKTI EKONOMIK </w:t>
      </w:r>
      <w:r w:rsidR="4113F38A" w:rsidRPr="00CB13F7">
        <w:rPr>
          <w:rFonts w:eastAsia="SimSun"/>
          <w:b/>
          <w:bCs/>
          <w:lang w:eastAsia="en-US"/>
        </w:rPr>
        <w:t>DHE</w:t>
      </w:r>
      <w:r w:rsidR="2B4FC900" w:rsidRPr="00CB13F7">
        <w:rPr>
          <w:rFonts w:eastAsia="SimSun"/>
          <w:b/>
          <w:bCs/>
          <w:lang w:eastAsia="en-US"/>
        </w:rPr>
        <w:t xml:space="preserve"> FINANCIAR I </w:t>
      </w:r>
      <w:bookmarkEnd w:id="7"/>
      <w:bookmarkEnd w:id="8"/>
      <w:r w:rsidR="2B4FC900" w:rsidRPr="00CB13F7">
        <w:rPr>
          <w:rFonts w:eastAsia="SimSun"/>
          <w:b/>
          <w:bCs/>
          <w:lang w:eastAsia="en-US"/>
        </w:rPr>
        <w:t>PLANIT  KOMBËTAR</w:t>
      </w:r>
      <w:r w:rsidR="660DEC68" w:rsidRPr="00CB13F7">
        <w:rPr>
          <w:rFonts w:eastAsia="SimSun"/>
          <w:b/>
          <w:bCs/>
          <w:lang w:eastAsia="en-US"/>
        </w:rPr>
        <w:t xml:space="preserve"> TË VEPRIMIT</w:t>
      </w:r>
      <w:r w:rsidR="2B4FC900" w:rsidRPr="00CB13F7">
        <w:rPr>
          <w:rFonts w:eastAsia="SimSun"/>
          <w:b/>
          <w:bCs/>
          <w:lang w:eastAsia="en-US"/>
        </w:rPr>
        <w:t xml:space="preserve"> </w:t>
      </w:r>
      <w:r w:rsidR="5C1EC4C2" w:rsidRPr="00CB13F7">
        <w:rPr>
          <w:rFonts w:eastAsia="SimSun"/>
          <w:b/>
          <w:bCs/>
          <w:lang w:eastAsia="en-US"/>
        </w:rPr>
        <w:t>PËR</w:t>
      </w:r>
      <w:r w:rsidR="2B4FC900" w:rsidRPr="00CB13F7">
        <w:rPr>
          <w:rFonts w:eastAsia="SimSun"/>
          <w:b/>
          <w:bCs/>
          <w:lang w:eastAsia="en-US"/>
        </w:rPr>
        <w:t xml:space="preserve"> PERSONA</w:t>
      </w:r>
      <w:r w:rsidR="69648B9F" w:rsidRPr="00CB13F7">
        <w:rPr>
          <w:rFonts w:eastAsia="SimSun"/>
          <w:b/>
          <w:bCs/>
          <w:lang w:eastAsia="en-US"/>
        </w:rPr>
        <w:t>T</w:t>
      </w:r>
      <w:r w:rsidR="2B4FC900" w:rsidRPr="00CB13F7">
        <w:rPr>
          <w:rFonts w:eastAsia="SimSun"/>
          <w:b/>
          <w:bCs/>
          <w:lang w:eastAsia="en-US"/>
        </w:rPr>
        <w:t xml:space="preserve"> ME AFTËSI TË KUFIZUAR</w:t>
      </w:r>
      <w:r w:rsidR="00802B8E">
        <w:rPr>
          <w:rFonts w:eastAsia="SimSun"/>
          <w:b/>
          <w:bCs/>
          <w:lang w:eastAsia="en-US"/>
        </w:rPr>
        <w:t xml:space="preserve"> 2026-2030</w:t>
      </w:r>
    </w:p>
    <w:p w14:paraId="7191BC8B" w14:textId="560A1BC5" w:rsidR="00307609" w:rsidRPr="00CB13F7" w:rsidRDefault="2B4FC900" w:rsidP="0004614F">
      <w:pPr>
        <w:spacing w:before="120" w:after="120" w:line="276" w:lineRule="auto"/>
        <w:jc w:val="both"/>
        <w:rPr>
          <w:color w:val="000000"/>
          <w:lang w:eastAsia="en-US"/>
        </w:rPr>
      </w:pPr>
      <w:r w:rsidRPr="00CB13F7">
        <w:rPr>
          <w:color w:val="000000" w:themeColor="text1"/>
          <w:lang w:eastAsia="en-US"/>
        </w:rPr>
        <w:t>Ky kapitull paraqet shpërndarjen e kostove treguese dhe burimet financiare për financimin e aktiviteteve</w:t>
      </w:r>
      <w:bookmarkStart w:id="9" w:name="_Hlk89013352"/>
      <w:r w:rsidR="18ECC8B6" w:rsidRPr="00CB13F7">
        <w:rPr>
          <w:color w:val="000000" w:themeColor="text1"/>
          <w:lang w:eastAsia="en-US"/>
        </w:rPr>
        <w:t xml:space="preserve"> </w:t>
      </w:r>
      <w:r w:rsidRPr="00CB13F7">
        <w:rPr>
          <w:color w:val="000000" w:themeColor="text1"/>
          <w:lang w:eastAsia="en-US"/>
        </w:rPr>
        <w:t xml:space="preserve">për zbatimin </w:t>
      </w:r>
      <w:r w:rsidR="448E3453" w:rsidRPr="00CB13F7">
        <w:rPr>
          <w:color w:val="000000" w:themeColor="text1"/>
          <w:lang w:eastAsia="en-US"/>
        </w:rPr>
        <w:t xml:space="preserve">e </w:t>
      </w:r>
      <w:r w:rsidRPr="00CB13F7">
        <w:rPr>
          <w:color w:val="000000" w:themeColor="text1"/>
          <w:lang w:eastAsia="en-US"/>
        </w:rPr>
        <w:t>P</w:t>
      </w:r>
      <w:r w:rsidR="46555217" w:rsidRPr="00CB13F7">
        <w:rPr>
          <w:color w:val="000000" w:themeColor="text1"/>
          <w:lang w:eastAsia="en-US"/>
        </w:rPr>
        <w:t>KV</w:t>
      </w:r>
      <w:r w:rsidRPr="00CB13F7">
        <w:rPr>
          <w:color w:val="000000" w:themeColor="text1"/>
          <w:lang w:eastAsia="en-US"/>
        </w:rPr>
        <w:t>PAK 2026-2030</w:t>
      </w:r>
      <w:bookmarkEnd w:id="9"/>
      <w:r w:rsidRPr="00CB13F7">
        <w:rPr>
          <w:color w:val="000000" w:themeColor="text1"/>
          <w:lang w:eastAsia="en-US"/>
        </w:rPr>
        <w:t xml:space="preserve">. Kostimi i Planit është realizuar në bazë të metodologjive dhe praktikës së planifikimit buxhetor, me qëllim përcaktimin e kostove indikative mbështetur në objektivat dhe treguesit e përcaktuar për arritjen e tyre, si dhe në produktet e identifikuara për secilin aktivitet. </w:t>
      </w:r>
    </w:p>
    <w:p w14:paraId="7EFB1BF9" w14:textId="05BF66FC" w:rsidR="00307609" w:rsidRPr="00CB13F7" w:rsidRDefault="00307609" w:rsidP="0004614F">
      <w:pPr>
        <w:spacing w:before="120" w:after="120" w:line="276" w:lineRule="auto"/>
        <w:jc w:val="both"/>
        <w:rPr>
          <w:color w:val="000000"/>
          <w:lang w:eastAsia="en-US"/>
        </w:rPr>
      </w:pPr>
      <w:r w:rsidRPr="00CB13F7">
        <w:rPr>
          <w:color w:val="000000"/>
          <w:lang w:eastAsia="en-US"/>
        </w:rPr>
        <w:t>Përllogaritjet buxhetore janë bërë duke përdorur instrumentin e rekomanduar nga IPSIS, të përshtatur sipas udhëzimeve përkatëse.</w:t>
      </w:r>
    </w:p>
    <w:p w14:paraId="026D2CDA" w14:textId="75C5D455" w:rsidR="00307609" w:rsidRPr="00CB13F7" w:rsidRDefault="2B4FC900" w:rsidP="0004614F">
      <w:pPr>
        <w:spacing w:before="120" w:after="120" w:line="276" w:lineRule="auto"/>
        <w:jc w:val="both"/>
        <w:rPr>
          <w:color w:val="000000"/>
          <w:lang w:eastAsia="en-US"/>
        </w:rPr>
      </w:pPr>
      <w:r w:rsidRPr="00CB13F7">
        <w:rPr>
          <w:color w:val="000000" w:themeColor="text1"/>
          <w:lang w:eastAsia="en-US"/>
        </w:rPr>
        <w:t xml:space="preserve">Procesi i kostimit u </w:t>
      </w:r>
      <w:r w:rsidR="4BFFCF71" w:rsidRPr="00CB13F7">
        <w:rPr>
          <w:color w:val="000000" w:themeColor="text1"/>
          <w:lang w:eastAsia="en-US"/>
        </w:rPr>
        <w:t>mbështet</w:t>
      </w:r>
      <w:r w:rsidR="18ECC8B6" w:rsidRPr="00CB13F7">
        <w:rPr>
          <w:color w:val="000000" w:themeColor="text1"/>
          <w:lang w:eastAsia="en-US"/>
        </w:rPr>
        <w:t xml:space="preserve"> </w:t>
      </w:r>
      <w:r w:rsidRPr="00CB13F7">
        <w:rPr>
          <w:color w:val="000000" w:themeColor="text1"/>
          <w:lang w:eastAsia="en-US"/>
        </w:rPr>
        <w:t xml:space="preserve">në konsultimin me Programin Buxhetor Afatmesëm 2026-2028 (faza e II), të të gjitha </w:t>
      </w:r>
      <w:r w:rsidR="18ECC8B6" w:rsidRPr="00CB13F7">
        <w:rPr>
          <w:color w:val="000000" w:themeColor="text1"/>
          <w:lang w:eastAsia="en-US"/>
        </w:rPr>
        <w:t xml:space="preserve">ministrive </w:t>
      </w:r>
      <w:r w:rsidR="00764F0D">
        <w:rPr>
          <w:color w:val="000000" w:themeColor="text1"/>
          <w:lang w:eastAsia="en-US"/>
        </w:rPr>
        <w:t>që kanë masa në këtë plan</w:t>
      </w:r>
      <w:r w:rsidRPr="00CB13F7">
        <w:rPr>
          <w:color w:val="000000" w:themeColor="text1"/>
          <w:lang w:eastAsia="en-US"/>
        </w:rPr>
        <w:t xml:space="preserve">, dhe institucionet e varësisë që janë përfshirë në zbatimin e </w:t>
      </w:r>
      <w:r w:rsidR="18ECC8B6" w:rsidRPr="00CB13F7">
        <w:rPr>
          <w:color w:val="000000" w:themeColor="text1"/>
          <w:lang w:eastAsia="en-US"/>
        </w:rPr>
        <w:t xml:space="preserve">Planit </w:t>
      </w:r>
      <w:r w:rsidR="15E9BD77" w:rsidRPr="00CB13F7">
        <w:rPr>
          <w:color w:val="000000" w:themeColor="text1"/>
          <w:lang w:eastAsia="en-US"/>
        </w:rPr>
        <w:t xml:space="preserve">Kombëtar </w:t>
      </w:r>
      <w:r w:rsidRPr="00CB13F7">
        <w:rPr>
          <w:color w:val="000000" w:themeColor="text1"/>
          <w:lang w:eastAsia="en-US"/>
        </w:rPr>
        <w:t xml:space="preserve">të </w:t>
      </w:r>
      <w:r w:rsidR="18ECC8B6" w:rsidRPr="00CB13F7">
        <w:rPr>
          <w:color w:val="000000" w:themeColor="text1"/>
          <w:lang w:eastAsia="en-US"/>
        </w:rPr>
        <w:t xml:space="preserve">Veprimit </w:t>
      </w:r>
      <w:r w:rsidR="0CA99CFA" w:rsidRPr="00CB13F7">
        <w:rPr>
          <w:color w:val="000000" w:themeColor="text1"/>
          <w:lang w:eastAsia="en-US"/>
        </w:rPr>
        <w:t>për personat me aftësi të kufizuar</w:t>
      </w:r>
      <w:r w:rsidR="253E5C63" w:rsidRPr="00CB13F7">
        <w:rPr>
          <w:color w:val="000000" w:themeColor="text1"/>
          <w:lang w:eastAsia="en-US"/>
        </w:rPr>
        <w:t xml:space="preserve"> </w:t>
      </w:r>
      <w:r w:rsidRPr="00CB13F7">
        <w:rPr>
          <w:color w:val="000000" w:themeColor="text1"/>
          <w:lang w:eastAsia="en-US"/>
        </w:rPr>
        <w:t xml:space="preserve">në </w:t>
      </w:r>
      <w:r w:rsidRPr="00CB13F7">
        <w:rPr>
          <w:i/>
          <w:iCs/>
          <w:color w:val="000000" w:themeColor="text1"/>
          <w:lang w:eastAsia="en-US"/>
        </w:rPr>
        <w:t>tetë fushat</w:t>
      </w:r>
      <w:r w:rsidRPr="00CB13F7">
        <w:rPr>
          <w:color w:val="000000" w:themeColor="text1"/>
          <w:lang w:eastAsia="en-US"/>
        </w:rPr>
        <w:t xml:space="preserve"> e saj, si dhe në kostot historike nga zbatimi i strategjisë kombëtare </w:t>
      </w:r>
      <w:r w:rsidR="17B05CF2" w:rsidRPr="00CB13F7">
        <w:rPr>
          <w:color w:val="000000" w:themeColor="text1"/>
          <w:lang w:eastAsia="en-US"/>
        </w:rPr>
        <w:t>të</w:t>
      </w:r>
      <w:r w:rsidRPr="00CB13F7">
        <w:rPr>
          <w:color w:val="000000" w:themeColor="text1"/>
          <w:lang w:eastAsia="en-US"/>
        </w:rPr>
        <w:t xml:space="preserve"> mbrojtjes sociale 2024-2030 sipas </w:t>
      </w:r>
      <w:r w:rsidR="18ECC8B6" w:rsidRPr="00CB13F7">
        <w:rPr>
          <w:color w:val="000000" w:themeColor="text1"/>
          <w:lang w:eastAsia="en-US"/>
        </w:rPr>
        <w:t>VKM</w:t>
      </w:r>
      <w:r w:rsidRPr="00CB13F7">
        <w:rPr>
          <w:color w:val="000000" w:themeColor="text1"/>
          <w:lang w:eastAsia="en-US"/>
        </w:rPr>
        <w:t xml:space="preserve">-së </w:t>
      </w:r>
      <w:r w:rsidRPr="00CB13F7">
        <w:rPr>
          <w:rFonts w:eastAsia="SimSun"/>
          <w:lang w:eastAsia="en-US"/>
        </w:rPr>
        <w:t>nr. 152, datë 13.</w:t>
      </w:r>
      <w:r w:rsidR="18ECC8B6" w:rsidRPr="00CB13F7">
        <w:rPr>
          <w:rFonts w:eastAsia="SimSun"/>
          <w:lang w:eastAsia="en-US"/>
        </w:rPr>
        <w:t>0</w:t>
      </w:r>
      <w:r w:rsidRPr="00CB13F7">
        <w:rPr>
          <w:rFonts w:eastAsia="SimSun"/>
          <w:lang w:eastAsia="en-US"/>
        </w:rPr>
        <w:t>3.2024</w:t>
      </w:r>
      <w:r w:rsidRPr="00CB13F7">
        <w:rPr>
          <w:color w:val="000000" w:themeColor="text1"/>
          <w:lang w:eastAsia="en-US"/>
        </w:rPr>
        <w:t xml:space="preserve">, </w:t>
      </w:r>
      <w:r w:rsidR="4BFFCF71" w:rsidRPr="00CB13F7">
        <w:rPr>
          <w:color w:val="000000" w:themeColor="text1"/>
          <w:lang w:eastAsia="en-US"/>
        </w:rPr>
        <w:t>Strategjisë</w:t>
      </w:r>
      <w:r w:rsidRPr="00CB13F7">
        <w:rPr>
          <w:color w:val="000000" w:themeColor="text1"/>
          <w:lang w:eastAsia="en-US"/>
        </w:rPr>
        <w:t xml:space="preserve"> së Shëndetësisë dhe të tjera </w:t>
      </w:r>
      <w:r w:rsidR="4BFFCF71" w:rsidRPr="00CB13F7">
        <w:rPr>
          <w:color w:val="000000" w:themeColor="text1"/>
          <w:lang w:eastAsia="en-US"/>
        </w:rPr>
        <w:t>dokumenta</w:t>
      </w:r>
      <w:r w:rsidRPr="00CB13F7">
        <w:rPr>
          <w:color w:val="000000" w:themeColor="text1"/>
          <w:lang w:eastAsia="en-US"/>
        </w:rPr>
        <w:t xml:space="preserve"> si dhe kostot e produkteve të PBA-së</w:t>
      </w:r>
      <w:r w:rsidR="00753F52">
        <w:rPr>
          <w:color w:val="000000" w:themeColor="text1"/>
          <w:lang w:eastAsia="en-US"/>
        </w:rPr>
        <w:t>, pwr Ministritw, dhe Institucionet respektibe</w:t>
      </w:r>
      <w:r w:rsidRPr="00CB13F7">
        <w:rPr>
          <w:color w:val="000000" w:themeColor="text1"/>
          <w:lang w:eastAsia="en-US"/>
        </w:rPr>
        <w:t xml:space="preserve">. </w:t>
      </w:r>
    </w:p>
    <w:p w14:paraId="315E5162" w14:textId="2E7A61B7" w:rsidR="00307609" w:rsidRPr="00CB13F7" w:rsidRDefault="00307609" w:rsidP="0004614F">
      <w:pPr>
        <w:spacing w:before="120" w:after="120" w:line="276" w:lineRule="auto"/>
        <w:jc w:val="both"/>
        <w:rPr>
          <w:color w:val="000000"/>
          <w:lang w:eastAsia="en-US"/>
        </w:rPr>
      </w:pPr>
      <w:r w:rsidRPr="00CB13F7">
        <w:rPr>
          <w:color w:val="000000"/>
          <w:lang w:eastAsia="en-US"/>
        </w:rPr>
        <w:t xml:space="preserve">Plani i </w:t>
      </w:r>
      <w:r w:rsidR="007773C6" w:rsidRPr="00CB13F7">
        <w:rPr>
          <w:color w:val="000000"/>
          <w:lang w:eastAsia="en-US"/>
        </w:rPr>
        <w:t xml:space="preserve">Veprimit </w:t>
      </w:r>
      <w:r w:rsidRPr="00CB13F7">
        <w:rPr>
          <w:color w:val="000000"/>
          <w:lang w:eastAsia="en-US"/>
        </w:rPr>
        <w:t>për zbatimin e kësaj strategjie shoqërohet me një kostim analitik të secilës masë, i cili mbështetet nga detajimi i hollësishëm i shpenzimeve për çdo aktivitet.</w:t>
      </w:r>
    </w:p>
    <w:p w14:paraId="0A64DA33" w14:textId="77777777" w:rsidR="00307609" w:rsidRPr="00CB13F7" w:rsidRDefault="00307609" w:rsidP="0004614F">
      <w:pPr>
        <w:spacing w:before="120" w:after="120" w:line="276" w:lineRule="auto"/>
        <w:jc w:val="both"/>
        <w:rPr>
          <w:color w:val="000000"/>
          <w:lang w:eastAsia="en-US"/>
        </w:rPr>
      </w:pPr>
      <w:r w:rsidRPr="00CB13F7">
        <w:rPr>
          <w:color w:val="000000"/>
          <w:lang w:eastAsia="en-US"/>
        </w:rPr>
        <w:t>Gjatë procesit të kostimit janë identifikuar shpenzimet për secilin aktivitet të detajuar dhe ato janë klasifikuar sipas kategorive të paracaktuara të shpenzimeve.</w:t>
      </w:r>
    </w:p>
    <w:p w14:paraId="5A13867B" w14:textId="77777777" w:rsidR="00307609" w:rsidRPr="00CB13F7" w:rsidRDefault="00307609" w:rsidP="0004614F">
      <w:pPr>
        <w:spacing w:before="120" w:after="120" w:line="276" w:lineRule="auto"/>
        <w:jc w:val="both"/>
        <w:rPr>
          <w:rFonts w:eastAsia="SimSun"/>
          <w:lang w:eastAsia="en-US"/>
        </w:rPr>
      </w:pPr>
      <w:r w:rsidRPr="00CB13F7">
        <w:rPr>
          <w:color w:val="000000"/>
          <w:lang w:eastAsia="en-US"/>
        </w:rPr>
        <w:t>Metodologjia e përdorur për kostimin dhe ndarjen e tyre bazohet në një strukturë të qartë klasifikimi, e cila parashikon ndarjen e shpenzimeve në kategoritë e mëposhtme</w:t>
      </w:r>
      <w:r w:rsidRPr="00CB13F7">
        <w:rPr>
          <w:rFonts w:eastAsia="SimSun"/>
          <w:lang w:eastAsia="en-US"/>
        </w:rPr>
        <w:t>:</w:t>
      </w:r>
    </w:p>
    <w:p w14:paraId="3A1B001D" w14:textId="040636CC" w:rsidR="00307609" w:rsidRPr="00CB13F7" w:rsidRDefault="00307609" w:rsidP="0004614F">
      <w:pPr>
        <w:numPr>
          <w:ilvl w:val="0"/>
          <w:numId w:val="17"/>
        </w:numPr>
        <w:spacing w:before="120" w:after="120" w:line="276" w:lineRule="auto"/>
        <w:contextualSpacing/>
        <w:jc w:val="both"/>
        <w:rPr>
          <w:color w:val="000000"/>
          <w:lang w:eastAsia="en-US"/>
        </w:rPr>
      </w:pPr>
      <w:r w:rsidRPr="00CB13F7">
        <w:rPr>
          <w:rFonts w:eastAsia="SimSun"/>
          <w:lang w:eastAsia="en-US"/>
        </w:rPr>
        <w:t>Paga dhe sigurime shoqërore</w:t>
      </w:r>
      <w:r w:rsidR="007773C6" w:rsidRPr="00CB13F7">
        <w:rPr>
          <w:rFonts w:eastAsia="SimSun"/>
          <w:lang w:eastAsia="en-US"/>
        </w:rPr>
        <w:t>;</w:t>
      </w:r>
    </w:p>
    <w:p w14:paraId="38E033CC" w14:textId="413A8A9F" w:rsidR="00307609" w:rsidRPr="00CB13F7" w:rsidRDefault="00307609" w:rsidP="0004614F">
      <w:pPr>
        <w:numPr>
          <w:ilvl w:val="0"/>
          <w:numId w:val="17"/>
        </w:numPr>
        <w:spacing w:before="120" w:after="120" w:line="276" w:lineRule="auto"/>
        <w:contextualSpacing/>
        <w:jc w:val="both"/>
        <w:rPr>
          <w:color w:val="000000"/>
          <w:lang w:eastAsia="en-US"/>
        </w:rPr>
      </w:pPr>
      <w:r w:rsidRPr="00CB13F7">
        <w:rPr>
          <w:rFonts w:eastAsia="SimSun"/>
          <w:lang w:eastAsia="en-US"/>
        </w:rPr>
        <w:t xml:space="preserve">Shpenzime </w:t>
      </w:r>
      <w:r w:rsidR="006031EE" w:rsidRPr="00CB13F7">
        <w:rPr>
          <w:rFonts w:eastAsia="SimSun"/>
          <w:lang w:eastAsia="en-US"/>
        </w:rPr>
        <w:t>operative</w:t>
      </w:r>
      <w:r w:rsidR="007773C6" w:rsidRPr="00CB13F7">
        <w:rPr>
          <w:rFonts w:eastAsia="SimSun"/>
          <w:lang w:eastAsia="en-US"/>
        </w:rPr>
        <w:t>;</w:t>
      </w:r>
    </w:p>
    <w:p w14:paraId="0C2FFC18" w14:textId="7D33EA8C" w:rsidR="00307609" w:rsidRPr="00CB13F7" w:rsidRDefault="00307609" w:rsidP="0004614F">
      <w:pPr>
        <w:numPr>
          <w:ilvl w:val="0"/>
          <w:numId w:val="17"/>
        </w:numPr>
        <w:spacing w:before="120" w:after="120" w:line="276" w:lineRule="auto"/>
        <w:contextualSpacing/>
        <w:jc w:val="both"/>
        <w:rPr>
          <w:color w:val="000000"/>
          <w:lang w:eastAsia="en-US"/>
        </w:rPr>
      </w:pPr>
      <w:r w:rsidRPr="00CB13F7">
        <w:rPr>
          <w:rFonts w:eastAsia="SimSun"/>
          <w:lang w:eastAsia="en-US"/>
        </w:rPr>
        <w:t>Trajnime, studime, asistenca teknike</w:t>
      </w:r>
      <w:r w:rsidR="007773C6" w:rsidRPr="00CB13F7">
        <w:rPr>
          <w:rFonts w:eastAsia="SimSun"/>
          <w:lang w:eastAsia="en-US"/>
        </w:rPr>
        <w:t>,</w:t>
      </w:r>
      <w:r w:rsidRPr="00CB13F7">
        <w:rPr>
          <w:rFonts w:eastAsia="SimSun"/>
          <w:lang w:eastAsia="en-US"/>
        </w:rPr>
        <w:t xml:space="preserve"> etj</w:t>
      </w:r>
      <w:r w:rsidR="007773C6" w:rsidRPr="00CB13F7">
        <w:rPr>
          <w:rFonts w:eastAsia="SimSun"/>
          <w:lang w:eastAsia="en-US"/>
        </w:rPr>
        <w:t>.;</w:t>
      </w:r>
    </w:p>
    <w:p w14:paraId="27E6D62C" w14:textId="2F78E384" w:rsidR="00307609" w:rsidRPr="00CB13F7" w:rsidRDefault="00307609" w:rsidP="0004614F">
      <w:pPr>
        <w:numPr>
          <w:ilvl w:val="0"/>
          <w:numId w:val="17"/>
        </w:numPr>
        <w:spacing w:before="120" w:after="120" w:line="276" w:lineRule="auto"/>
        <w:contextualSpacing/>
        <w:jc w:val="both"/>
        <w:rPr>
          <w:color w:val="000000"/>
          <w:lang w:eastAsia="en-US"/>
        </w:rPr>
      </w:pPr>
      <w:r w:rsidRPr="00CB13F7">
        <w:rPr>
          <w:rFonts w:eastAsia="SimSun"/>
          <w:lang w:eastAsia="en-US"/>
        </w:rPr>
        <w:t>Investime</w:t>
      </w:r>
      <w:r w:rsidR="007773C6" w:rsidRPr="00CB13F7">
        <w:rPr>
          <w:rFonts w:eastAsia="SimSun"/>
          <w:lang w:eastAsia="en-US"/>
        </w:rPr>
        <w:t>.</w:t>
      </w:r>
    </w:p>
    <w:p w14:paraId="5DB32B54" w14:textId="77777777" w:rsidR="00307609" w:rsidRPr="00CB13F7" w:rsidRDefault="00307609" w:rsidP="0004614F">
      <w:pPr>
        <w:spacing w:before="120" w:after="120" w:line="276" w:lineRule="auto"/>
        <w:jc w:val="both"/>
        <w:rPr>
          <w:color w:val="000000"/>
          <w:lang w:eastAsia="en-US"/>
        </w:rPr>
      </w:pPr>
      <w:r w:rsidRPr="00CB13F7">
        <w:rPr>
          <w:rFonts w:eastAsia="SimSun"/>
          <w:lang w:eastAsia="en-US"/>
        </w:rPr>
        <w:t>Ky klasifikim mundëson një paraqitje të qartë dhe të strukturuar të kostove, duke lehtësuar analizën, planifikimin dhe monitorimin e tyre.</w:t>
      </w:r>
    </w:p>
    <w:p w14:paraId="3D920B16" w14:textId="27E90873" w:rsidR="00307609" w:rsidRPr="00CB13F7" w:rsidRDefault="00307609" w:rsidP="0004614F">
      <w:pPr>
        <w:spacing w:before="120" w:after="120" w:line="276" w:lineRule="auto"/>
        <w:jc w:val="both"/>
        <w:rPr>
          <w:rFonts w:eastAsia="Times New Roman"/>
          <w:lang w:eastAsia="en-GB"/>
        </w:rPr>
      </w:pPr>
      <w:r w:rsidRPr="00CB13F7">
        <w:rPr>
          <w:rFonts w:eastAsia="Times New Roman"/>
          <w:lang w:eastAsia="en-GB"/>
        </w:rPr>
        <w:t xml:space="preserve">Përllogaritjet janë realizuar sipas viteve financiare, duke paraqitur një shpërndarje të qartë të fondeve/për aktivitet/për objektiv/për qëllim, për </w:t>
      </w:r>
      <w:r w:rsidR="0089320C" w:rsidRPr="00CB13F7">
        <w:rPr>
          <w:rFonts w:eastAsia="Times New Roman"/>
          <w:lang w:eastAsia="en-GB"/>
        </w:rPr>
        <w:t>secilën</w:t>
      </w:r>
      <w:r w:rsidRPr="00CB13F7">
        <w:rPr>
          <w:rFonts w:eastAsia="Times New Roman"/>
          <w:lang w:eastAsia="en-GB"/>
        </w:rPr>
        <w:t xml:space="preserve"> </w:t>
      </w:r>
      <w:r w:rsidR="006031EE" w:rsidRPr="00CB13F7">
        <w:rPr>
          <w:rFonts w:eastAsia="Times New Roman"/>
          <w:lang w:eastAsia="en-GB"/>
        </w:rPr>
        <w:t xml:space="preserve">fushë </w:t>
      </w:r>
      <w:r w:rsidRPr="00CB13F7">
        <w:rPr>
          <w:rFonts w:eastAsia="Times New Roman"/>
          <w:lang w:eastAsia="en-GB"/>
        </w:rPr>
        <w:t>përkatëse</w:t>
      </w:r>
      <w:r w:rsidR="006031EE" w:rsidRPr="00CB13F7">
        <w:rPr>
          <w:rFonts w:eastAsia="Times New Roman"/>
          <w:lang w:eastAsia="en-GB"/>
        </w:rPr>
        <w:t>.</w:t>
      </w:r>
      <w:r w:rsidRPr="00CB13F7">
        <w:rPr>
          <w:rFonts w:eastAsia="Times New Roman"/>
          <w:lang w:eastAsia="en-GB"/>
        </w:rPr>
        <w:t xml:space="preserve"> </w:t>
      </w:r>
    </w:p>
    <w:p w14:paraId="3110368E" w14:textId="26D3433D" w:rsidR="00307609" w:rsidRPr="00CB13F7" w:rsidRDefault="00307609" w:rsidP="0004614F">
      <w:pPr>
        <w:spacing w:before="120" w:after="120" w:line="276" w:lineRule="auto"/>
        <w:jc w:val="both"/>
        <w:rPr>
          <w:rFonts w:eastAsia="Times New Roman"/>
          <w:bCs/>
          <w:lang w:eastAsia="en-GB"/>
        </w:rPr>
      </w:pPr>
      <w:r w:rsidRPr="00CB13F7">
        <w:rPr>
          <w:rFonts w:eastAsia="Times New Roman"/>
          <w:lang w:eastAsia="en-GB"/>
        </w:rPr>
        <w:t xml:space="preserve">Kostoja totale për zbatimin e Planit të Veprimit për periudhën </w:t>
      </w:r>
      <w:r w:rsidRPr="00CB13F7">
        <w:rPr>
          <w:rFonts w:eastAsia="Times New Roman"/>
          <w:bCs/>
          <w:lang w:eastAsia="en-GB"/>
        </w:rPr>
        <w:t>2026-2030</w:t>
      </w:r>
      <w:r w:rsidRPr="00CB13F7">
        <w:rPr>
          <w:rFonts w:eastAsia="Times New Roman"/>
          <w:lang w:eastAsia="en-GB"/>
        </w:rPr>
        <w:t xml:space="preserve"> është vlerësuar në</w:t>
      </w:r>
      <w:r w:rsidR="00753F52">
        <w:rPr>
          <w:rFonts w:eastAsia="Times New Roman"/>
          <w:lang w:eastAsia="en-GB"/>
        </w:rPr>
        <w:t xml:space="preserve"> nj</w:t>
      </w:r>
      <w:r w:rsidR="008A14FC">
        <w:rPr>
          <w:rFonts w:eastAsia="Times New Roman"/>
          <w:lang w:eastAsia="en-GB"/>
        </w:rPr>
        <w:t>ë</w:t>
      </w:r>
      <w:r w:rsidR="00753F52">
        <w:rPr>
          <w:rFonts w:eastAsia="Times New Roman"/>
          <w:lang w:eastAsia="en-GB"/>
        </w:rPr>
        <w:t xml:space="preserve"> vler</w:t>
      </w:r>
      <w:r w:rsidR="008A14FC">
        <w:rPr>
          <w:rFonts w:eastAsia="Times New Roman"/>
          <w:lang w:eastAsia="en-GB"/>
        </w:rPr>
        <w:t>ë</w:t>
      </w:r>
      <w:r w:rsidR="00753F52">
        <w:rPr>
          <w:rFonts w:eastAsia="Times New Roman"/>
          <w:lang w:eastAsia="en-GB"/>
        </w:rPr>
        <w:t xml:space="preserve"> prej </w:t>
      </w:r>
      <w:r w:rsidR="00753F52">
        <w:rPr>
          <w:rFonts w:eastAsia="Times New Roman"/>
          <w:b/>
          <w:bCs/>
          <w:lang w:eastAsia="en-GB"/>
        </w:rPr>
        <w:t>7</w:t>
      </w:r>
      <w:r w:rsidRPr="00CB13F7">
        <w:rPr>
          <w:rFonts w:eastAsia="Times New Roman"/>
          <w:b/>
          <w:bCs/>
          <w:lang w:eastAsia="en-GB"/>
        </w:rPr>
        <w:t xml:space="preserve"> </w:t>
      </w:r>
      <w:r w:rsidR="00753F52">
        <w:rPr>
          <w:rFonts w:eastAsia="Times New Roman"/>
          <w:b/>
          <w:bCs/>
          <w:lang w:eastAsia="en-GB"/>
        </w:rPr>
        <w:t>615</w:t>
      </w:r>
      <w:r w:rsidRPr="00CB13F7">
        <w:rPr>
          <w:rFonts w:eastAsia="Times New Roman"/>
          <w:b/>
          <w:bCs/>
          <w:lang w:eastAsia="en-GB"/>
        </w:rPr>
        <w:t xml:space="preserve"> </w:t>
      </w:r>
      <w:r w:rsidR="00753F52">
        <w:rPr>
          <w:rFonts w:eastAsia="Times New Roman"/>
          <w:b/>
          <w:bCs/>
          <w:lang w:eastAsia="en-GB"/>
        </w:rPr>
        <w:t>080 707</w:t>
      </w:r>
      <w:r w:rsidRPr="00CB13F7">
        <w:rPr>
          <w:rFonts w:eastAsia="Times New Roman"/>
          <w:b/>
          <w:bCs/>
          <w:lang w:eastAsia="en-GB"/>
        </w:rPr>
        <w:t xml:space="preserve"> </w:t>
      </w:r>
      <w:r w:rsidR="00E03913" w:rsidRPr="00CB13F7">
        <w:rPr>
          <w:rFonts w:eastAsia="SimSun"/>
          <w:lang w:eastAsia="en-US"/>
        </w:rPr>
        <w:t>(</w:t>
      </w:r>
      <w:r w:rsidR="00753F52" w:rsidRPr="00753F52">
        <w:rPr>
          <w:b/>
        </w:rPr>
        <w:t>Shtatë miliardë e gjashtëqind e pesëmbëdhjetë milionë e tetëdhjetë mijë e shtatëqind e shtatë</w:t>
      </w:r>
      <w:r w:rsidR="00753F52">
        <w:t>.</w:t>
      </w:r>
      <w:r w:rsidR="00E03913" w:rsidRPr="00CB13F7">
        <w:rPr>
          <w:rFonts w:eastAsia="SimSun"/>
          <w:lang w:eastAsia="en-US"/>
        </w:rPr>
        <w:t>)</w:t>
      </w:r>
      <w:r w:rsidR="00E03913" w:rsidRPr="00CB13F7">
        <w:rPr>
          <w:rFonts w:eastAsia="Times New Roman"/>
          <w:b/>
          <w:bCs/>
          <w:lang w:eastAsia="en-GB"/>
        </w:rPr>
        <w:t xml:space="preserve"> lekë.</w:t>
      </w:r>
      <w:r w:rsidRPr="00CB13F7">
        <w:rPr>
          <w:rFonts w:eastAsia="Times New Roman"/>
          <w:bCs/>
          <w:lang w:eastAsia="en-GB"/>
        </w:rPr>
        <w:t xml:space="preserve"> </w:t>
      </w:r>
    </w:p>
    <w:p w14:paraId="5609C4D2" w14:textId="4ABB7E1F" w:rsidR="00307609" w:rsidRPr="00CB13F7" w:rsidRDefault="00307609" w:rsidP="0004614F">
      <w:pPr>
        <w:spacing w:before="120" w:after="120" w:line="276" w:lineRule="auto"/>
        <w:jc w:val="both"/>
        <w:rPr>
          <w:rFonts w:eastAsia="SimSun"/>
          <w:lang w:eastAsia="en-US"/>
        </w:rPr>
      </w:pPr>
      <w:r w:rsidRPr="00CB13F7">
        <w:rPr>
          <w:rFonts w:eastAsia="SimSun"/>
          <w:bCs/>
          <w:lang w:eastAsia="en-US"/>
        </w:rPr>
        <w:t xml:space="preserve">E cila </w:t>
      </w:r>
      <w:r w:rsidRPr="00CB13F7">
        <w:rPr>
          <w:rFonts w:eastAsia="SimSun"/>
          <w:lang w:eastAsia="en-US"/>
        </w:rPr>
        <w:t>shpërndahe</w:t>
      </w:r>
      <w:r w:rsidR="00764F0D">
        <w:rPr>
          <w:rFonts w:eastAsia="SimSun"/>
          <w:lang w:eastAsia="en-US"/>
        </w:rPr>
        <w:t>t</w:t>
      </w:r>
      <w:r w:rsidRPr="00CB13F7">
        <w:rPr>
          <w:rFonts w:eastAsia="SimSun"/>
          <w:lang w:eastAsia="en-US"/>
        </w:rPr>
        <w:t xml:space="preserve"> si më poshtë:</w:t>
      </w:r>
    </w:p>
    <w:p w14:paraId="4FD080F5" w14:textId="207160B5" w:rsidR="00307609" w:rsidRPr="00CB13F7" w:rsidRDefault="00753F52" w:rsidP="0004614F">
      <w:pPr>
        <w:numPr>
          <w:ilvl w:val="0"/>
          <w:numId w:val="16"/>
        </w:numPr>
        <w:spacing w:before="120" w:after="120" w:line="276" w:lineRule="auto"/>
        <w:contextualSpacing/>
        <w:jc w:val="both"/>
        <w:rPr>
          <w:rFonts w:eastAsia="SimSun"/>
          <w:lang w:eastAsia="en-US"/>
        </w:rPr>
      </w:pPr>
      <w:r>
        <w:rPr>
          <w:rFonts w:eastAsia="SimSun"/>
          <w:b/>
          <w:bCs/>
          <w:lang w:eastAsia="en-US"/>
        </w:rPr>
        <w:t>6</w:t>
      </w:r>
      <w:r w:rsidR="00307609" w:rsidRPr="00CB13F7">
        <w:rPr>
          <w:rFonts w:eastAsia="SimSun"/>
          <w:b/>
          <w:bCs/>
          <w:lang w:eastAsia="en-US"/>
        </w:rPr>
        <w:t xml:space="preserve"> </w:t>
      </w:r>
      <w:r>
        <w:rPr>
          <w:rFonts w:eastAsia="SimSun"/>
          <w:b/>
          <w:bCs/>
          <w:lang w:eastAsia="en-US"/>
        </w:rPr>
        <w:t>045</w:t>
      </w:r>
      <w:r w:rsidR="00307609" w:rsidRPr="00CB13F7">
        <w:rPr>
          <w:rFonts w:eastAsia="SimSun"/>
          <w:b/>
          <w:bCs/>
          <w:lang w:eastAsia="en-US"/>
        </w:rPr>
        <w:t xml:space="preserve"> </w:t>
      </w:r>
      <w:r>
        <w:rPr>
          <w:rFonts w:eastAsia="SimSun"/>
          <w:b/>
          <w:bCs/>
          <w:lang w:eastAsia="en-US"/>
        </w:rPr>
        <w:t>319</w:t>
      </w:r>
      <w:r w:rsidR="00307609" w:rsidRPr="00CB13F7">
        <w:rPr>
          <w:rFonts w:eastAsia="SimSun"/>
          <w:b/>
          <w:bCs/>
          <w:lang w:eastAsia="en-US"/>
        </w:rPr>
        <w:t xml:space="preserve"> </w:t>
      </w:r>
      <w:r>
        <w:rPr>
          <w:rFonts w:eastAsia="SimSun"/>
          <w:b/>
          <w:bCs/>
          <w:lang w:eastAsia="en-US"/>
        </w:rPr>
        <w:t>386</w:t>
      </w:r>
      <w:r w:rsidR="00307609" w:rsidRPr="00CB13F7">
        <w:rPr>
          <w:rFonts w:eastAsia="SimSun"/>
          <w:b/>
          <w:bCs/>
          <w:lang w:eastAsia="en-US"/>
        </w:rPr>
        <w:t xml:space="preserve"> </w:t>
      </w:r>
      <w:r w:rsidR="00307609" w:rsidRPr="00CB13F7">
        <w:rPr>
          <w:rFonts w:eastAsia="SimSun"/>
          <w:lang w:eastAsia="en-US"/>
        </w:rPr>
        <w:t>(</w:t>
      </w:r>
      <w:r>
        <w:t>Gjashtë miliardë e dyzet e pesë milionë e treqind e nëntëmbëdhjetë mijë e treqind e tetëdhjetë e gjashtë.</w:t>
      </w:r>
      <w:r w:rsidR="00307609" w:rsidRPr="00CB13F7">
        <w:rPr>
          <w:rFonts w:eastAsia="SimSun"/>
          <w:lang w:eastAsia="en-US"/>
        </w:rPr>
        <w:t xml:space="preserve">) </w:t>
      </w:r>
      <w:r w:rsidR="00E03913" w:rsidRPr="00CB13F7">
        <w:rPr>
          <w:rFonts w:eastAsia="SimSun"/>
          <w:b/>
          <w:bCs/>
          <w:lang w:eastAsia="en-US"/>
        </w:rPr>
        <w:t>lekë</w:t>
      </w:r>
      <w:r w:rsidR="00E03913" w:rsidRPr="00CB13F7">
        <w:rPr>
          <w:rFonts w:eastAsia="SimSun"/>
          <w:lang w:eastAsia="en-US"/>
        </w:rPr>
        <w:t xml:space="preserve"> </w:t>
      </w:r>
      <w:r w:rsidR="00307609" w:rsidRPr="00CB13F7">
        <w:rPr>
          <w:rFonts w:eastAsia="SimSun"/>
          <w:lang w:eastAsia="en-US"/>
        </w:rPr>
        <w:t>të planifikuara nga Buxheti i Shtetit</w:t>
      </w:r>
      <w:r w:rsidR="00E03913" w:rsidRPr="00CB13F7">
        <w:rPr>
          <w:rFonts w:eastAsia="SimSun"/>
          <w:lang w:eastAsia="en-US"/>
        </w:rPr>
        <w:t>;</w:t>
      </w:r>
    </w:p>
    <w:p w14:paraId="0CF01A96" w14:textId="7AB21DDF" w:rsidR="00307609" w:rsidRPr="00CB13F7" w:rsidRDefault="00753F52" w:rsidP="0004614F">
      <w:pPr>
        <w:numPr>
          <w:ilvl w:val="0"/>
          <w:numId w:val="16"/>
        </w:numPr>
        <w:spacing w:before="120" w:after="120" w:line="276" w:lineRule="auto"/>
        <w:contextualSpacing/>
        <w:jc w:val="both"/>
        <w:rPr>
          <w:rFonts w:eastAsia="SimSun"/>
          <w:lang w:eastAsia="en-US"/>
        </w:rPr>
      </w:pPr>
      <w:r>
        <w:rPr>
          <w:rFonts w:eastAsia="SimSun"/>
          <w:b/>
          <w:bCs/>
          <w:lang w:eastAsia="en-US"/>
        </w:rPr>
        <w:lastRenderedPageBreak/>
        <w:t>153</w:t>
      </w:r>
      <w:r w:rsidR="00307609" w:rsidRPr="00CB13F7">
        <w:rPr>
          <w:rFonts w:eastAsia="SimSun"/>
          <w:b/>
          <w:bCs/>
          <w:lang w:eastAsia="en-US"/>
        </w:rPr>
        <w:t xml:space="preserve"> </w:t>
      </w:r>
      <w:r>
        <w:rPr>
          <w:rFonts w:eastAsia="SimSun"/>
          <w:b/>
          <w:bCs/>
          <w:lang w:eastAsia="en-US"/>
        </w:rPr>
        <w:t>542</w:t>
      </w:r>
      <w:r w:rsidR="00307609" w:rsidRPr="00CB13F7">
        <w:rPr>
          <w:rFonts w:eastAsia="SimSun"/>
          <w:b/>
          <w:bCs/>
          <w:lang w:eastAsia="en-US"/>
        </w:rPr>
        <w:t xml:space="preserve"> </w:t>
      </w:r>
      <w:r>
        <w:rPr>
          <w:rFonts w:eastAsia="SimSun"/>
          <w:b/>
          <w:bCs/>
          <w:lang w:eastAsia="en-US"/>
        </w:rPr>
        <w:t>909</w:t>
      </w:r>
      <w:r w:rsidR="00307609" w:rsidRPr="00CB13F7">
        <w:rPr>
          <w:rFonts w:eastAsia="SimSun"/>
          <w:b/>
          <w:bCs/>
          <w:lang w:eastAsia="en-US"/>
        </w:rPr>
        <w:t xml:space="preserve"> </w:t>
      </w:r>
      <w:r w:rsidR="00307609" w:rsidRPr="00CB13F7">
        <w:rPr>
          <w:rFonts w:eastAsia="SimSun"/>
          <w:lang w:eastAsia="en-US"/>
        </w:rPr>
        <w:t>(</w:t>
      </w:r>
      <w:r w:rsidRPr="00753F52">
        <w:rPr>
          <w:b/>
        </w:rPr>
        <w:t>Njëqind e pesëdhjetë e tre milionë e pesëqind e dyzet e dy mijë e nëntëqind e nëntë.</w:t>
      </w:r>
      <w:r w:rsidR="00307609" w:rsidRPr="00CB13F7">
        <w:rPr>
          <w:rFonts w:eastAsia="SimSun"/>
          <w:lang w:eastAsia="en-US"/>
        </w:rPr>
        <w:t>)</w:t>
      </w:r>
      <w:r w:rsidR="00307609" w:rsidRPr="00CB13F7">
        <w:rPr>
          <w:rFonts w:eastAsia="SimSun"/>
          <w:b/>
          <w:bCs/>
          <w:lang w:eastAsia="en-US"/>
        </w:rPr>
        <w:t xml:space="preserve"> lekë</w:t>
      </w:r>
      <w:r w:rsidR="00307609" w:rsidRPr="00CB13F7">
        <w:rPr>
          <w:rFonts w:eastAsia="SimSun"/>
          <w:lang w:eastAsia="en-US"/>
        </w:rPr>
        <w:t xml:space="preserve"> të parashikuar </w:t>
      </w:r>
      <w:r w:rsidR="00234FBC" w:rsidRPr="00CB13F7">
        <w:rPr>
          <w:rFonts w:eastAsia="SimSun"/>
          <w:lang w:eastAsia="en-US"/>
        </w:rPr>
        <w:t>për</w:t>
      </w:r>
      <w:r w:rsidR="00307609" w:rsidRPr="00CB13F7">
        <w:rPr>
          <w:rFonts w:eastAsia="SimSun"/>
          <w:lang w:eastAsia="en-US"/>
        </w:rPr>
        <w:t xml:space="preserve"> t’u siguruara nga donator/financim i huaj</w:t>
      </w:r>
      <w:r w:rsidR="00E03913" w:rsidRPr="00CB13F7">
        <w:rPr>
          <w:rFonts w:eastAsia="SimSun"/>
          <w:lang w:eastAsia="en-US"/>
        </w:rPr>
        <w:t>;</w:t>
      </w:r>
    </w:p>
    <w:p w14:paraId="7238AF53" w14:textId="54B398C1" w:rsidR="00307609" w:rsidRPr="00CB13F7" w:rsidRDefault="00753F52" w:rsidP="0004614F">
      <w:pPr>
        <w:numPr>
          <w:ilvl w:val="0"/>
          <w:numId w:val="16"/>
        </w:numPr>
        <w:spacing w:before="120" w:after="120" w:line="276" w:lineRule="auto"/>
        <w:contextualSpacing/>
        <w:jc w:val="both"/>
        <w:rPr>
          <w:rFonts w:eastAsia="SimSun"/>
          <w:lang w:eastAsia="en-US"/>
        </w:rPr>
      </w:pPr>
      <w:r>
        <w:rPr>
          <w:rFonts w:eastAsia="SimSun"/>
          <w:b/>
          <w:bCs/>
          <w:lang w:eastAsia="en-US"/>
        </w:rPr>
        <w:t>1 416</w:t>
      </w:r>
      <w:r w:rsidR="00307609" w:rsidRPr="00CB13F7">
        <w:rPr>
          <w:rFonts w:eastAsia="SimSun"/>
          <w:b/>
          <w:bCs/>
          <w:lang w:eastAsia="en-US"/>
        </w:rPr>
        <w:t xml:space="preserve"> </w:t>
      </w:r>
      <w:r>
        <w:rPr>
          <w:rFonts w:eastAsia="SimSun"/>
          <w:b/>
          <w:bCs/>
          <w:lang w:eastAsia="en-US"/>
        </w:rPr>
        <w:t>218 413</w:t>
      </w:r>
      <w:r w:rsidR="001771D3" w:rsidRPr="00CB13F7">
        <w:rPr>
          <w:rFonts w:eastAsia="SimSun"/>
          <w:b/>
          <w:bCs/>
          <w:lang w:eastAsia="en-US"/>
        </w:rPr>
        <w:t xml:space="preserve"> </w:t>
      </w:r>
      <w:r w:rsidR="00307609" w:rsidRPr="00CB13F7">
        <w:rPr>
          <w:rFonts w:eastAsia="SimSun"/>
          <w:lang w:eastAsia="en-US"/>
        </w:rPr>
        <w:t>(</w:t>
      </w:r>
      <w:r w:rsidRPr="00753F52">
        <w:rPr>
          <w:b/>
        </w:rPr>
        <w:t>Një miliard e katërqind e gjashtëmbëdhjetë milionë e dyqind e tetëmbëdhjetë mijë e katërqind e trembëdhjetë</w:t>
      </w:r>
      <w:r>
        <w:t>.</w:t>
      </w:r>
      <w:r w:rsidR="00307609" w:rsidRPr="00CB13F7">
        <w:rPr>
          <w:rFonts w:eastAsia="SimSun"/>
          <w:lang w:eastAsia="en-US"/>
        </w:rPr>
        <w:t xml:space="preserve">) </w:t>
      </w:r>
      <w:r w:rsidR="00307609" w:rsidRPr="00CB13F7">
        <w:rPr>
          <w:rFonts w:eastAsia="SimSun"/>
          <w:bCs/>
          <w:lang w:eastAsia="en-US"/>
        </w:rPr>
        <w:t>lekë</w:t>
      </w:r>
      <w:r w:rsidR="00307609" w:rsidRPr="00CB13F7">
        <w:rPr>
          <w:rFonts w:eastAsia="SimSun"/>
          <w:lang w:eastAsia="en-US"/>
        </w:rPr>
        <w:t>, hendek financiar, i cili mund të mbulohet përmes financimeve të donatorëve dhe agjencive ndërkombëtare, (p.sh., agjencitë e OKB-së, BE-së, etj.), ose rishikime të fondeve buxhetore në vite</w:t>
      </w:r>
      <w:r w:rsidR="0004614F" w:rsidRPr="00CB13F7">
        <w:rPr>
          <w:rFonts w:eastAsia="SimSun"/>
          <w:lang w:eastAsia="en-US"/>
        </w:rPr>
        <w:t>.</w:t>
      </w:r>
      <w:r w:rsidR="001771D3" w:rsidRPr="00CB13F7">
        <w:rPr>
          <w:rFonts w:eastAsia="SimSun"/>
          <w:lang w:eastAsia="en-US"/>
        </w:rPr>
        <w:t xml:space="preserve"> </w:t>
      </w:r>
    </w:p>
    <w:p w14:paraId="03AB0442" w14:textId="31051117" w:rsidR="00307609" w:rsidRDefault="00307609" w:rsidP="0004614F">
      <w:pPr>
        <w:spacing w:before="120" w:after="120" w:line="276" w:lineRule="auto"/>
        <w:jc w:val="both"/>
        <w:rPr>
          <w:color w:val="000000"/>
          <w:lang w:eastAsia="en-US"/>
        </w:rPr>
      </w:pPr>
      <w:r w:rsidRPr="00CB13F7">
        <w:rPr>
          <w:rFonts w:eastAsia="SimSun"/>
          <w:lang w:eastAsia="en-US"/>
        </w:rPr>
        <w:t xml:space="preserve">Tabela e mëposhtme, pasqyron në detaje kostot financiare, burimet e financimit dhe hendekun financiar përgjatë periudhës 2026-2030, për secilën fushë, në Lekë dhe në Euro me një </w:t>
      </w:r>
      <w:r w:rsidRPr="00CB13F7">
        <w:rPr>
          <w:color w:val="000000"/>
          <w:lang w:eastAsia="en-US"/>
        </w:rPr>
        <w:t>kurs mesatar për referencë është përllogaritur me 96 lek për 1 euro.</w:t>
      </w:r>
    </w:p>
    <w:tbl>
      <w:tblPr>
        <w:tblStyle w:val="MediumGrid3-Accent11"/>
        <w:tblW w:w="10505" w:type="dxa"/>
        <w:tblLook w:val="04A0" w:firstRow="1" w:lastRow="0" w:firstColumn="1" w:lastColumn="0" w:noHBand="0" w:noVBand="1"/>
      </w:tblPr>
      <w:tblGrid>
        <w:gridCol w:w="632"/>
        <w:gridCol w:w="3073"/>
        <w:gridCol w:w="1940"/>
        <w:gridCol w:w="1720"/>
        <w:gridCol w:w="1500"/>
        <w:gridCol w:w="1640"/>
      </w:tblGrid>
      <w:tr w:rsidR="00753F52" w:rsidRPr="00753F52" w14:paraId="36B346DF" w14:textId="77777777" w:rsidTr="00802B8E">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32" w:type="dxa"/>
            <w:noWrap/>
            <w:hideMark/>
          </w:tcPr>
          <w:p w14:paraId="3B7BF07C" w14:textId="77777777" w:rsidR="00753F52" w:rsidRPr="00753F52" w:rsidRDefault="00753F52" w:rsidP="00753F52">
            <w:pPr>
              <w:rPr>
                <w:rFonts w:eastAsia="Times New Roman"/>
                <w:color w:val="000000"/>
                <w:lang w:val="en-US" w:eastAsia="en-US"/>
              </w:rPr>
            </w:pPr>
            <w:r w:rsidRPr="00753F52">
              <w:rPr>
                <w:rFonts w:eastAsia="Times New Roman"/>
                <w:color w:val="000000"/>
                <w:lang w:val="en-US" w:eastAsia="en-US"/>
              </w:rPr>
              <w:t> </w:t>
            </w:r>
          </w:p>
        </w:tc>
        <w:tc>
          <w:tcPr>
            <w:tcW w:w="3073" w:type="dxa"/>
            <w:hideMark/>
          </w:tcPr>
          <w:p w14:paraId="1CC59E37" w14:textId="77777777" w:rsidR="00753F52" w:rsidRPr="00753F52" w:rsidRDefault="00753F52" w:rsidP="00753F52">
            <w:pPr>
              <w:cnfStyle w:val="100000000000" w:firstRow="1" w:lastRow="0" w:firstColumn="0" w:lastColumn="0" w:oddVBand="0" w:evenVBand="0" w:oddHBand="0" w:evenHBand="0" w:firstRowFirstColumn="0" w:firstRowLastColumn="0" w:lastRowFirstColumn="0" w:lastRowLastColumn="0"/>
              <w:rPr>
                <w:rFonts w:eastAsia="Times New Roman"/>
                <w:lang w:val="en-US" w:eastAsia="en-US"/>
              </w:rPr>
            </w:pPr>
            <w:r w:rsidRPr="00753F52">
              <w:rPr>
                <w:rFonts w:eastAsia="Times New Roman"/>
                <w:color w:val="auto"/>
                <w:lang w:val="en-US" w:eastAsia="en-US"/>
              </w:rPr>
              <w:t>FUSHAT</w:t>
            </w:r>
          </w:p>
        </w:tc>
        <w:tc>
          <w:tcPr>
            <w:tcW w:w="1940" w:type="dxa"/>
            <w:hideMark/>
          </w:tcPr>
          <w:p w14:paraId="64535D4C" w14:textId="77777777" w:rsidR="00753F52" w:rsidRPr="00753F52" w:rsidRDefault="00753F52" w:rsidP="00753F52">
            <w:pPr>
              <w:cnfStyle w:val="100000000000" w:firstRow="1"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Kosto Totale</w:t>
            </w:r>
          </w:p>
        </w:tc>
        <w:tc>
          <w:tcPr>
            <w:tcW w:w="1720" w:type="dxa"/>
            <w:hideMark/>
          </w:tcPr>
          <w:p w14:paraId="6D2F2B16" w14:textId="77777777" w:rsidR="00753F52" w:rsidRPr="00753F52" w:rsidRDefault="00753F52" w:rsidP="00753F52">
            <w:pPr>
              <w:cnfStyle w:val="100000000000" w:firstRow="1"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Kosto nga Buxheti i Shtetit</w:t>
            </w:r>
          </w:p>
        </w:tc>
        <w:tc>
          <w:tcPr>
            <w:tcW w:w="1500" w:type="dxa"/>
            <w:hideMark/>
          </w:tcPr>
          <w:p w14:paraId="4594DC35" w14:textId="77777777" w:rsidR="00753F52" w:rsidRPr="00753F52" w:rsidRDefault="00753F52" w:rsidP="00753F52">
            <w:pPr>
              <w:cnfStyle w:val="100000000000" w:firstRow="1"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Financim i  huaj</w:t>
            </w:r>
          </w:p>
        </w:tc>
        <w:tc>
          <w:tcPr>
            <w:tcW w:w="1640" w:type="dxa"/>
            <w:hideMark/>
          </w:tcPr>
          <w:p w14:paraId="7AD0C8C6" w14:textId="77777777" w:rsidR="00753F52" w:rsidRPr="00753F52" w:rsidRDefault="00753F52" w:rsidP="00753F52">
            <w:pPr>
              <w:cnfStyle w:val="100000000000" w:firstRow="1"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 xml:space="preserve">Hendeku financiar </w:t>
            </w:r>
          </w:p>
        </w:tc>
      </w:tr>
      <w:tr w:rsidR="00753F52" w:rsidRPr="00753F52" w14:paraId="4AC602CE" w14:textId="77777777" w:rsidTr="00802B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hideMark/>
          </w:tcPr>
          <w:p w14:paraId="16B2A4EB"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I</w:t>
            </w:r>
          </w:p>
        </w:tc>
        <w:tc>
          <w:tcPr>
            <w:tcW w:w="3073" w:type="dxa"/>
            <w:hideMark/>
          </w:tcPr>
          <w:p w14:paraId="5E6D7EEC"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bCs/>
                <w:lang w:val="en-US" w:eastAsia="en-US"/>
              </w:rPr>
            </w:pPr>
            <w:r w:rsidRPr="00753F52">
              <w:rPr>
                <w:rFonts w:eastAsia="Times New Roman"/>
                <w:bCs/>
                <w:lang w:val="en-US" w:eastAsia="en-US"/>
              </w:rPr>
              <w:t>AKSESUESHMËRIA</w:t>
            </w:r>
          </w:p>
        </w:tc>
        <w:tc>
          <w:tcPr>
            <w:tcW w:w="1940" w:type="dxa"/>
            <w:hideMark/>
          </w:tcPr>
          <w:p w14:paraId="29AAFC60" w14:textId="569062A5"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317,893,455</w:t>
            </w:r>
          </w:p>
        </w:tc>
        <w:tc>
          <w:tcPr>
            <w:tcW w:w="1720" w:type="dxa"/>
            <w:hideMark/>
          </w:tcPr>
          <w:p w14:paraId="1FA0C425" w14:textId="389F4BBC"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225,633,455</w:t>
            </w:r>
          </w:p>
        </w:tc>
        <w:tc>
          <w:tcPr>
            <w:tcW w:w="1500" w:type="dxa"/>
            <w:hideMark/>
          </w:tcPr>
          <w:p w14:paraId="75918E0A" w14:textId="1425E333"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25,950,000</w:t>
            </w:r>
          </w:p>
        </w:tc>
        <w:tc>
          <w:tcPr>
            <w:tcW w:w="1640" w:type="dxa"/>
            <w:hideMark/>
          </w:tcPr>
          <w:p w14:paraId="6C030439" w14:textId="20AB8A72"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66,310,000</w:t>
            </w:r>
          </w:p>
        </w:tc>
      </w:tr>
      <w:tr w:rsidR="00753F52" w:rsidRPr="00753F52" w14:paraId="159BDDAE" w14:textId="77777777" w:rsidTr="00802B8E">
        <w:trPr>
          <w:trHeight w:val="288"/>
        </w:trPr>
        <w:tc>
          <w:tcPr>
            <w:cnfStyle w:val="001000000000" w:firstRow="0" w:lastRow="0" w:firstColumn="1" w:lastColumn="0" w:oddVBand="0" w:evenVBand="0" w:oddHBand="0" w:evenHBand="0" w:firstRowFirstColumn="0" w:firstRowLastColumn="0" w:lastRowFirstColumn="0" w:lastRowLastColumn="0"/>
            <w:tcW w:w="632" w:type="dxa"/>
            <w:hideMark/>
          </w:tcPr>
          <w:p w14:paraId="29667BAB"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II</w:t>
            </w:r>
          </w:p>
        </w:tc>
        <w:tc>
          <w:tcPr>
            <w:tcW w:w="3073" w:type="dxa"/>
            <w:hideMark/>
          </w:tcPr>
          <w:p w14:paraId="5BA31900" w14:textId="77777777" w:rsidR="00753F52" w:rsidRPr="00753F52" w:rsidRDefault="00753F52" w:rsidP="00753F52">
            <w:pPr>
              <w:cnfStyle w:val="000000000000" w:firstRow="0" w:lastRow="0" w:firstColumn="0" w:lastColumn="0" w:oddVBand="0" w:evenVBand="0" w:oddHBand="0" w:evenHBand="0" w:firstRowFirstColumn="0" w:firstRowLastColumn="0" w:lastRowFirstColumn="0" w:lastRowLastColumn="0"/>
              <w:rPr>
                <w:rFonts w:eastAsia="Times New Roman"/>
                <w:bCs/>
                <w:lang w:val="en-US" w:eastAsia="en-US"/>
              </w:rPr>
            </w:pPr>
            <w:r w:rsidRPr="00753F52">
              <w:rPr>
                <w:rFonts w:eastAsia="Times New Roman"/>
                <w:bCs/>
                <w:lang w:val="en-US" w:eastAsia="en-US"/>
              </w:rPr>
              <w:t>DREJTËSIA</w:t>
            </w:r>
          </w:p>
        </w:tc>
        <w:tc>
          <w:tcPr>
            <w:tcW w:w="1940" w:type="dxa"/>
            <w:hideMark/>
          </w:tcPr>
          <w:p w14:paraId="1B02F297" w14:textId="278901B8"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1,004,095,909</w:t>
            </w:r>
          </w:p>
        </w:tc>
        <w:tc>
          <w:tcPr>
            <w:tcW w:w="1720" w:type="dxa"/>
            <w:hideMark/>
          </w:tcPr>
          <w:p w14:paraId="5B21394F" w14:textId="654D315A"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897,799,545</w:t>
            </w:r>
          </w:p>
        </w:tc>
        <w:tc>
          <w:tcPr>
            <w:tcW w:w="1500" w:type="dxa"/>
            <w:hideMark/>
          </w:tcPr>
          <w:p w14:paraId="24A07D38" w14:textId="750DB01B"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18,614,000</w:t>
            </w:r>
          </w:p>
        </w:tc>
        <w:tc>
          <w:tcPr>
            <w:tcW w:w="1640" w:type="dxa"/>
            <w:hideMark/>
          </w:tcPr>
          <w:p w14:paraId="3BF087F0" w14:textId="4B79480B"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87,682,364</w:t>
            </w:r>
          </w:p>
        </w:tc>
      </w:tr>
      <w:tr w:rsidR="00753F52" w:rsidRPr="00753F52" w14:paraId="3CBEA92E" w14:textId="77777777" w:rsidTr="00802B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hideMark/>
          </w:tcPr>
          <w:p w14:paraId="1794075F"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III</w:t>
            </w:r>
          </w:p>
        </w:tc>
        <w:tc>
          <w:tcPr>
            <w:tcW w:w="3073" w:type="dxa"/>
            <w:hideMark/>
          </w:tcPr>
          <w:p w14:paraId="24EB92F7"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bCs/>
                <w:lang w:val="en-US" w:eastAsia="en-US"/>
              </w:rPr>
            </w:pPr>
            <w:r w:rsidRPr="00753F52">
              <w:rPr>
                <w:rFonts w:eastAsia="Times New Roman"/>
                <w:bCs/>
                <w:lang w:val="en-US" w:eastAsia="en-US"/>
              </w:rPr>
              <w:t>PUNËSIMI DHE AFTËSIMI</w:t>
            </w:r>
          </w:p>
        </w:tc>
        <w:tc>
          <w:tcPr>
            <w:tcW w:w="1940" w:type="dxa"/>
            <w:hideMark/>
          </w:tcPr>
          <w:p w14:paraId="7C71E432" w14:textId="19E63757"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1,803,979,747</w:t>
            </w:r>
          </w:p>
        </w:tc>
        <w:tc>
          <w:tcPr>
            <w:tcW w:w="1720" w:type="dxa"/>
            <w:hideMark/>
          </w:tcPr>
          <w:p w14:paraId="384C4388" w14:textId="1D2114CB"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1,551,414,293</w:t>
            </w:r>
          </w:p>
        </w:tc>
        <w:tc>
          <w:tcPr>
            <w:tcW w:w="1500" w:type="dxa"/>
            <w:hideMark/>
          </w:tcPr>
          <w:p w14:paraId="60C78B80" w14:textId="16E57595"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w:t>
            </w:r>
          </w:p>
        </w:tc>
        <w:tc>
          <w:tcPr>
            <w:tcW w:w="1640" w:type="dxa"/>
            <w:hideMark/>
          </w:tcPr>
          <w:p w14:paraId="623F9832" w14:textId="55606044"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252,565,455</w:t>
            </w:r>
          </w:p>
        </w:tc>
      </w:tr>
      <w:tr w:rsidR="00753F52" w:rsidRPr="00753F52" w14:paraId="58B61A05" w14:textId="77777777" w:rsidTr="00802B8E">
        <w:trPr>
          <w:trHeight w:val="288"/>
        </w:trPr>
        <w:tc>
          <w:tcPr>
            <w:cnfStyle w:val="001000000000" w:firstRow="0" w:lastRow="0" w:firstColumn="1" w:lastColumn="0" w:oddVBand="0" w:evenVBand="0" w:oddHBand="0" w:evenHBand="0" w:firstRowFirstColumn="0" w:firstRowLastColumn="0" w:lastRowFirstColumn="0" w:lastRowLastColumn="0"/>
            <w:tcW w:w="632" w:type="dxa"/>
            <w:hideMark/>
          </w:tcPr>
          <w:p w14:paraId="796D1C94"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IV</w:t>
            </w:r>
          </w:p>
        </w:tc>
        <w:tc>
          <w:tcPr>
            <w:tcW w:w="3073" w:type="dxa"/>
            <w:hideMark/>
          </w:tcPr>
          <w:p w14:paraId="69EE55EB" w14:textId="77777777" w:rsidR="00753F52" w:rsidRPr="00753F52" w:rsidRDefault="00753F52" w:rsidP="00753F52">
            <w:pPr>
              <w:cnfStyle w:val="000000000000" w:firstRow="0" w:lastRow="0" w:firstColumn="0" w:lastColumn="0" w:oddVBand="0" w:evenVBand="0" w:oddHBand="0" w:evenHBand="0" w:firstRowFirstColumn="0" w:firstRowLastColumn="0" w:lastRowFirstColumn="0" w:lastRowLastColumn="0"/>
              <w:rPr>
                <w:rFonts w:eastAsia="Times New Roman"/>
                <w:bCs/>
                <w:lang w:val="en-US" w:eastAsia="en-US"/>
              </w:rPr>
            </w:pPr>
            <w:r w:rsidRPr="00753F52">
              <w:rPr>
                <w:rFonts w:eastAsia="Times New Roman"/>
                <w:bCs/>
                <w:lang w:val="en-US" w:eastAsia="en-US"/>
              </w:rPr>
              <w:t>ARSIMI</w:t>
            </w:r>
          </w:p>
        </w:tc>
        <w:tc>
          <w:tcPr>
            <w:tcW w:w="1940" w:type="dxa"/>
            <w:hideMark/>
          </w:tcPr>
          <w:p w14:paraId="776317D2" w14:textId="2EA71B3D"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2,940,437,818</w:t>
            </w:r>
          </w:p>
        </w:tc>
        <w:tc>
          <w:tcPr>
            <w:tcW w:w="1720" w:type="dxa"/>
            <w:hideMark/>
          </w:tcPr>
          <w:p w14:paraId="2F95D25E" w14:textId="568BBC97"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2,256,785,091</w:t>
            </w:r>
          </w:p>
        </w:tc>
        <w:tc>
          <w:tcPr>
            <w:tcW w:w="1500" w:type="dxa"/>
            <w:hideMark/>
          </w:tcPr>
          <w:p w14:paraId="21B43C63" w14:textId="1F444E56"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16,298,000</w:t>
            </w:r>
          </w:p>
        </w:tc>
        <w:tc>
          <w:tcPr>
            <w:tcW w:w="1640" w:type="dxa"/>
            <w:hideMark/>
          </w:tcPr>
          <w:p w14:paraId="1A7D6C72" w14:textId="6C50DC1E"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667,354,727</w:t>
            </w:r>
          </w:p>
        </w:tc>
      </w:tr>
      <w:tr w:rsidR="00753F52" w:rsidRPr="00753F52" w14:paraId="71A56C6C" w14:textId="77777777" w:rsidTr="00802B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hideMark/>
          </w:tcPr>
          <w:p w14:paraId="5D110C07"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V</w:t>
            </w:r>
          </w:p>
        </w:tc>
        <w:tc>
          <w:tcPr>
            <w:tcW w:w="3073" w:type="dxa"/>
            <w:hideMark/>
          </w:tcPr>
          <w:p w14:paraId="72075D0E"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bCs/>
                <w:lang w:val="en-US" w:eastAsia="en-US"/>
              </w:rPr>
            </w:pPr>
            <w:r w:rsidRPr="00753F52">
              <w:rPr>
                <w:rFonts w:eastAsia="Times New Roman"/>
                <w:bCs/>
                <w:lang w:val="en-US" w:eastAsia="en-US"/>
              </w:rPr>
              <w:t>MBROJTJA SOCIALE</w:t>
            </w:r>
          </w:p>
        </w:tc>
        <w:tc>
          <w:tcPr>
            <w:tcW w:w="1940" w:type="dxa"/>
            <w:hideMark/>
          </w:tcPr>
          <w:p w14:paraId="1F89CD3C" w14:textId="675D4229"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509,965,409</w:t>
            </w:r>
          </w:p>
        </w:tc>
        <w:tc>
          <w:tcPr>
            <w:tcW w:w="1720" w:type="dxa"/>
            <w:hideMark/>
          </w:tcPr>
          <w:p w14:paraId="049346E6" w14:textId="06B567EF"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367,240,591</w:t>
            </w:r>
          </w:p>
        </w:tc>
        <w:tc>
          <w:tcPr>
            <w:tcW w:w="1500" w:type="dxa"/>
            <w:hideMark/>
          </w:tcPr>
          <w:p w14:paraId="21139FB4" w14:textId="38537F75"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5,725,000</w:t>
            </w:r>
          </w:p>
        </w:tc>
        <w:tc>
          <w:tcPr>
            <w:tcW w:w="1640" w:type="dxa"/>
            <w:hideMark/>
          </w:tcPr>
          <w:p w14:paraId="08E26E12" w14:textId="16BC55BF"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136,999,818</w:t>
            </w:r>
          </w:p>
        </w:tc>
      </w:tr>
      <w:tr w:rsidR="00753F52" w:rsidRPr="00753F52" w14:paraId="5F58DE1D" w14:textId="77777777" w:rsidTr="00802B8E">
        <w:trPr>
          <w:trHeight w:val="288"/>
        </w:trPr>
        <w:tc>
          <w:tcPr>
            <w:cnfStyle w:val="001000000000" w:firstRow="0" w:lastRow="0" w:firstColumn="1" w:lastColumn="0" w:oddVBand="0" w:evenVBand="0" w:oddHBand="0" w:evenHBand="0" w:firstRowFirstColumn="0" w:firstRowLastColumn="0" w:lastRowFirstColumn="0" w:lastRowLastColumn="0"/>
            <w:tcW w:w="632" w:type="dxa"/>
            <w:hideMark/>
          </w:tcPr>
          <w:p w14:paraId="723D5ACD"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VI</w:t>
            </w:r>
          </w:p>
        </w:tc>
        <w:tc>
          <w:tcPr>
            <w:tcW w:w="3073" w:type="dxa"/>
            <w:hideMark/>
          </w:tcPr>
          <w:p w14:paraId="36D15625" w14:textId="77777777" w:rsidR="00753F52" w:rsidRPr="00753F52" w:rsidRDefault="00753F52" w:rsidP="00753F52">
            <w:pPr>
              <w:cnfStyle w:val="000000000000" w:firstRow="0" w:lastRow="0" w:firstColumn="0" w:lastColumn="0" w:oddVBand="0" w:evenVBand="0" w:oddHBand="0" w:evenHBand="0" w:firstRowFirstColumn="0" w:firstRowLastColumn="0" w:lastRowFirstColumn="0" w:lastRowLastColumn="0"/>
              <w:rPr>
                <w:rFonts w:eastAsia="Times New Roman"/>
                <w:bCs/>
                <w:lang w:val="en-US" w:eastAsia="en-US"/>
              </w:rPr>
            </w:pPr>
            <w:r w:rsidRPr="00753F52">
              <w:rPr>
                <w:rFonts w:eastAsia="Times New Roman"/>
                <w:bCs/>
                <w:lang w:val="en-US" w:eastAsia="en-US"/>
              </w:rPr>
              <w:t>SHËNDETËSIA</w:t>
            </w:r>
          </w:p>
        </w:tc>
        <w:tc>
          <w:tcPr>
            <w:tcW w:w="1940" w:type="dxa"/>
            <w:hideMark/>
          </w:tcPr>
          <w:p w14:paraId="17E2A408" w14:textId="6E3E1173"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976,451,551</w:t>
            </w:r>
          </w:p>
        </w:tc>
        <w:tc>
          <w:tcPr>
            <w:tcW w:w="1720" w:type="dxa"/>
            <w:hideMark/>
          </w:tcPr>
          <w:p w14:paraId="6CBB9188" w14:textId="0146C1CC"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707,164,593</w:t>
            </w:r>
          </w:p>
        </w:tc>
        <w:tc>
          <w:tcPr>
            <w:tcW w:w="1500" w:type="dxa"/>
            <w:hideMark/>
          </w:tcPr>
          <w:p w14:paraId="72CB0B4F" w14:textId="2340795D"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68,655,909</w:t>
            </w:r>
          </w:p>
        </w:tc>
        <w:tc>
          <w:tcPr>
            <w:tcW w:w="1640" w:type="dxa"/>
            <w:hideMark/>
          </w:tcPr>
          <w:p w14:paraId="727DCE1B" w14:textId="79AB98C0"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200,631,049</w:t>
            </w:r>
          </w:p>
        </w:tc>
      </w:tr>
      <w:tr w:rsidR="00753F52" w:rsidRPr="00753F52" w14:paraId="526224AD" w14:textId="77777777" w:rsidTr="00802B8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32" w:type="dxa"/>
            <w:hideMark/>
          </w:tcPr>
          <w:p w14:paraId="6F4DE58F"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VII</w:t>
            </w:r>
          </w:p>
        </w:tc>
        <w:tc>
          <w:tcPr>
            <w:tcW w:w="3073" w:type="dxa"/>
            <w:hideMark/>
          </w:tcPr>
          <w:p w14:paraId="1A6C95CA"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bCs/>
                <w:lang w:val="en-US" w:eastAsia="en-US"/>
              </w:rPr>
            </w:pPr>
            <w:r w:rsidRPr="00753F52">
              <w:rPr>
                <w:rFonts w:eastAsia="Times New Roman"/>
                <w:bCs/>
                <w:lang w:val="en-US" w:eastAsia="en-US"/>
              </w:rPr>
              <w:t>PERFSHIRJA NE JETEN PUBLIKE DHE POLITIKE</w:t>
            </w:r>
          </w:p>
        </w:tc>
        <w:tc>
          <w:tcPr>
            <w:tcW w:w="1940" w:type="dxa"/>
            <w:hideMark/>
          </w:tcPr>
          <w:p w14:paraId="52BB1D01" w14:textId="48FEE8E0"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21,694,091</w:t>
            </w:r>
          </w:p>
        </w:tc>
        <w:tc>
          <w:tcPr>
            <w:tcW w:w="1720" w:type="dxa"/>
            <w:hideMark/>
          </w:tcPr>
          <w:p w14:paraId="6F549929" w14:textId="764ECD06"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18,869,091</w:t>
            </w:r>
          </w:p>
        </w:tc>
        <w:tc>
          <w:tcPr>
            <w:tcW w:w="1500" w:type="dxa"/>
            <w:hideMark/>
          </w:tcPr>
          <w:p w14:paraId="1B84A605" w14:textId="0111608C"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1,750,000</w:t>
            </w:r>
          </w:p>
        </w:tc>
        <w:tc>
          <w:tcPr>
            <w:tcW w:w="1640" w:type="dxa"/>
            <w:hideMark/>
          </w:tcPr>
          <w:p w14:paraId="4AE1C57D" w14:textId="3E4FC634"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1,075,000</w:t>
            </w:r>
          </w:p>
        </w:tc>
      </w:tr>
      <w:tr w:rsidR="00753F52" w:rsidRPr="00753F52" w14:paraId="1D81E146" w14:textId="77777777" w:rsidTr="00802B8E">
        <w:trPr>
          <w:trHeight w:val="552"/>
        </w:trPr>
        <w:tc>
          <w:tcPr>
            <w:cnfStyle w:val="001000000000" w:firstRow="0" w:lastRow="0" w:firstColumn="1" w:lastColumn="0" w:oddVBand="0" w:evenVBand="0" w:oddHBand="0" w:evenHBand="0" w:firstRowFirstColumn="0" w:firstRowLastColumn="0" w:lastRowFirstColumn="0" w:lastRowLastColumn="0"/>
            <w:tcW w:w="632" w:type="dxa"/>
            <w:hideMark/>
          </w:tcPr>
          <w:p w14:paraId="1A25D9A4" w14:textId="77777777" w:rsidR="00753F52" w:rsidRPr="00753F52" w:rsidRDefault="00753F52" w:rsidP="00753F52">
            <w:pPr>
              <w:rPr>
                <w:rFonts w:eastAsia="Times New Roman"/>
                <w:b w:val="0"/>
                <w:color w:val="auto"/>
                <w:lang w:val="en-US" w:eastAsia="en-US"/>
              </w:rPr>
            </w:pPr>
            <w:r w:rsidRPr="00753F52">
              <w:rPr>
                <w:rFonts w:eastAsia="Times New Roman"/>
                <w:b w:val="0"/>
                <w:color w:val="auto"/>
                <w:lang w:val="en-US" w:eastAsia="en-US"/>
              </w:rPr>
              <w:t>VIII</w:t>
            </w:r>
          </w:p>
        </w:tc>
        <w:tc>
          <w:tcPr>
            <w:tcW w:w="3073" w:type="dxa"/>
            <w:hideMark/>
          </w:tcPr>
          <w:p w14:paraId="391B256C" w14:textId="77777777" w:rsidR="00753F52" w:rsidRPr="00753F52" w:rsidRDefault="00753F52" w:rsidP="00753F52">
            <w:pPr>
              <w:cnfStyle w:val="000000000000" w:firstRow="0" w:lastRow="0" w:firstColumn="0" w:lastColumn="0" w:oddVBand="0" w:evenVBand="0" w:oddHBand="0" w:evenHBand="0" w:firstRowFirstColumn="0" w:firstRowLastColumn="0" w:lastRowFirstColumn="0" w:lastRowLastColumn="0"/>
              <w:rPr>
                <w:rFonts w:eastAsia="Times New Roman"/>
                <w:bCs/>
                <w:lang w:val="en-US" w:eastAsia="en-US"/>
              </w:rPr>
            </w:pPr>
            <w:r w:rsidRPr="00753F52">
              <w:rPr>
                <w:rFonts w:eastAsia="Times New Roman"/>
                <w:bCs/>
                <w:lang w:val="en-US" w:eastAsia="en-US"/>
              </w:rPr>
              <w:t>BASHKËPUNIMI DHE KOORDINIMI NDËRINSTITUCIONAL</w:t>
            </w:r>
          </w:p>
        </w:tc>
        <w:tc>
          <w:tcPr>
            <w:tcW w:w="1940" w:type="dxa"/>
            <w:hideMark/>
          </w:tcPr>
          <w:p w14:paraId="61776697" w14:textId="0D8D54AF"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40,562,727</w:t>
            </w:r>
          </w:p>
        </w:tc>
        <w:tc>
          <w:tcPr>
            <w:tcW w:w="1720" w:type="dxa"/>
            <w:hideMark/>
          </w:tcPr>
          <w:p w14:paraId="3CA79E33" w14:textId="69D4096E"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20,412,727</w:t>
            </w:r>
          </w:p>
        </w:tc>
        <w:tc>
          <w:tcPr>
            <w:tcW w:w="1500" w:type="dxa"/>
            <w:hideMark/>
          </w:tcPr>
          <w:p w14:paraId="056CE139" w14:textId="2D237E83"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16,550,000</w:t>
            </w:r>
          </w:p>
        </w:tc>
        <w:tc>
          <w:tcPr>
            <w:tcW w:w="1640" w:type="dxa"/>
            <w:hideMark/>
          </w:tcPr>
          <w:p w14:paraId="3D090141" w14:textId="6F3DE890"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3,600,000</w:t>
            </w:r>
          </w:p>
        </w:tc>
      </w:tr>
      <w:tr w:rsidR="00753F52" w:rsidRPr="00753F52" w14:paraId="1E5C1A9C" w14:textId="77777777" w:rsidTr="00802B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1AABF8EC" w14:textId="77777777" w:rsidR="00753F52" w:rsidRPr="00753F52" w:rsidRDefault="00753F52" w:rsidP="00753F52">
            <w:pPr>
              <w:rPr>
                <w:rFonts w:eastAsia="Times New Roman"/>
                <w:color w:val="000000"/>
                <w:lang w:val="en-US" w:eastAsia="en-US"/>
              </w:rPr>
            </w:pPr>
            <w:r w:rsidRPr="00753F52">
              <w:rPr>
                <w:rFonts w:eastAsia="Times New Roman"/>
                <w:color w:val="000000"/>
                <w:lang w:val="en-US" w:eastAsia="en-US"/>
              </w:rPr>
              <w:t> </w:t>
            </w:r>
          </w:p>
        </w:tc>
        <w:tc>
          <w:tcPr>
            <w:tcW w:w="3073" w:type="dxa"/>
            <w:hideMark/>
          </w:tcPr>
          <w:p w14:paraId="52793BF1"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b/>
                <w:bCs/>
                <w:lang w:val="en-US" w:eastAsia="en-US"/>
              </w:rPr>
            </w:pPr>
            <w:r w:rsidRPr="00753F52">
              <w:rPr>
                <w:rFonts w:eastAsia="Times New Roman"/>
                <w:b/>
                <w:bCs/>
                <w:lang w:val="en-US" w:eastAsia="en-US"/>
              </w:rPr>
              <w:t>TOTALI NË LEKË</w:t>
            </w:r>
          </w:p>
        </w:tc>
        <w:tc>
          <w:tcPr>
            <w:tcW w:w="1940" w:type="dxa"/>
            <w:noWrap/>
            <w:hideMark/>
          </w:tcPr>
          <w:p w14:paraId="0FFD6DF6" w14:textId="38587612"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7,615,080,707</w:t>
            </w:r>
          </w:p>
        </w:tc>
        <w:tc>
          <w:tcPr>
            <w:tcW w:w="1720" w:type="dxa"/>
            <w:noWrap/>
            <w:hideMark/>
          </w:tcPr>
          <w:p w14:paraId="08702EF1" w14:textId="5158E83C"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6,045,319,386</w:t>
            </w:r>
          </w:p>
        </w:tc>
        <w:tc>
          <w:tcPr>
            <w:tcW w:w="1500" w:type="dxa"/>
            <w:noWrap/>
            <w:hideMark/>
          </w:tcPr>
          <w:p w14:paraId="52C58C58" w14:textId="49EF2391"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153,542,909</w:t>
            </w:r>
          </w:p>
        </w:tc>
        <w:tc>
          <w:tcPr>
            <w:tcW w:w="1640" w:type="dxa"/>
            <w:noWrap/>
            <w:hideMark/>
          </w:tcPr>
          <w:p w14:paraId="7FA60007" w14:textId="51781F26" w:rsidR="00753F52" w:rsidRPr="00753F52" w:rsidRDefault="00753F52" w:rsidP="00753F5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1,416,218,413</w:t>
            </w:r>
          </w:p>
        </w:tc>
      </w:tr>
      <w:tr w:rsidR="00753F52" w:rsidRPr="00753F52" w14:paraId="744020D8" w14:textId="77777777" w:rsidTr="00802B8E">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4E759522" w14:textId="77777777" w:rsidR="00753F52" w:rsidRPr="00753F52" w:rsidRDefault="00753F52" w:rsidP="00753F52">
            <w:pPr>
              <w:rPr>
                <w:rFonts w:eastAsia="Times New Roman"/>
                <w:color w:val="000000"/>
                <w:lang w:val="en-US" w:eastAsia="en-US"/>
              </w:rPr>
            </w:pPr>
            <w:r w:rsidRPr="00753F52">
              <w:rPr>
                <w:rFonts w:eastAsia="Times New Roman"/>
                <w:color w:val="000000"/>
                <w:lang w:val="en-US" w:eastAsia="en-US"/>
              </w:rPr>
              <w:t> </w:t>
            </w:r>
          </w:p>
        </w:tc>
        <w:tc>
          <w:tcPr>
            <w:tcW w:w="3073" w:type="dxa"/>
            <w:hideMark/>
          </w:tcPr>
          <w:p w14:paraId="0FE7179D" w14:textId="77777777" w:rsidR="00753F52" w:rsidRPr="00753F52" w:rsidRDefault="00753F52" w:rsidP="00753F52">
            <w:pPr>
              <w:cnfStyle w:val="000000000000" w:firstRow="0" w:lastRow="0" w:firstColumn="0" w:lastColumn="0" w:oddVBand="0" w:evenVBand="0" w:oddHBand="0" w:evenHBand="0" w:firstRowFirstColumn="0" w:firstRowLastColumn="0" w:lastRowFirstColumn="0" w:lastRowLastColumn="0"/>
              <w:rPr>
                <w:rFonts w:eastAsia="Times New Roman"/>
                <w:b/>
                <w:bCs/>
                <w:lang w:val="en-US" w:eastAsia="en-US"/>
              </w:rPr>
            </w:pPr>
            <w:r w:rsidRPr="00753F52">
              <w:rPr>
                <w:rFonts w:eastAsia="Times New Roman"/>
                <w:b/>
                <w:bCs/>
                <w:lang w:val="en-US" w:eastAsia="en-US"/>
              </w:rPr>
              <w:t>TOTALI NË EURO</w:t>
            </w:r>
          </w:p>
        </w:tc>
        <w:tc>
          <w:tcPr>
            <w:tcW w:w="1940" w:type="dxa"/>
            <w:noWrap/>
            <w:hideMark/>
          </w:tcPr>
          <w:p w14:paraId="2F81A8D8" w14:textId="77BA6CFE"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79,323,757</w:t>
            </w:r>
          </w:p>
        </w:tc>
        <w:tc>
          <w:tcPr>
            <w:tcW w:w="1720" w:type="dxa"/>
            <w:noWrap/>
            <w:hideMark/>
          </w:tcPr>
          <w:p w14:paraId="1C3732E6" w14:textId="44F09B0E"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62,972,077</w:t>
            </w:r>
          </w:p>
        </w:tc>
        <w:tc>
          <w:tcPr>
            <w:tcW w:w="1500" w:type="dxa"/>
            <w:noWrap/>
            <w:hideMark/>
          </w:tcPr>
          <w:p w14:paraId="0CA85F86" w14:textId="0F44D9E3"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1,599,405</w:t>
            </w:r>
          </w:p>
        </w:tc>
        <w:tc>
          <w:tcPr>
            <w:tcW w:w="1640" w:type="dxa"/>
            <w:noWrap/>
            <w:hideMark/>
          </w:tcPr>
          <w:p w14:paraId="32655379" w14:textId="21FE7214" w:rsidR="00753F52" w:rsidRPr="00753F52" w:rsidRDefault="00753F52" w:rsidP="00753F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14,752,275</w:t>
            </w:r>
          </w:p>
        </w:tc>
      </w:tr>
      <w:tr w:rsidR="00753F52" w:rsidRPr="00753F52" w14:paraId="20586C24" w14:textId="77777777" w:rsidTr="00802B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5B390124" w14:textId="77777777" w:rsidR="00753F52" w:rsidRPr="00753F52" w:rsidRDefault="00753F52" w:rsidP="00753F52">
            <w:pPr>
              <w:rPr>
                <w:rFonts w:eastAsia="Times New Roman"/>
                <w:color w:val="000000"/>
                <w:lang w:val="en-US" w:eastAsia="en-US"/>
              </w:rPr>
            </w:pPr>
            <w:r w:rsidRPr="00753F52">
              <w:rPr>
                <w:rFonts w:eastAsia="Times New Roman"/>
                <w:color w:val="000000"/>
                <w:lang w:val="en-US" w:eastAsia="en-US"/>
              </w:rPr>
              <w:t> </w:t>
            </w:r>
          </w:p>
        </w:tc>
        <w:tc>
          <w:tcPr>
            <w:tcW w:w="3073" w:type="dxa"/>
            <w:hideMark/>
          </w:tcPr>
          <w:p w14:paraId="34EDB9E4" w14:textId="77777777" w:rsidR="00753F52" w:rsidRPr="00753F52" w:rsidRDefault="00753F52" w:rsidP="00753F52">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FF0000"/>
                <w:lang w:val="en-US" w:eastAsia="en-US"/>
              </w:rPr>
            </w:pPr>
            <w:r w:rsidRPr="00753F52">
              <w:rPr>
                <w:rFonts w:eastAsia="Times New Roman"/>
                <w:b/>
                <w:bCs/>
                <w:color w:val="FF0000"/>
                <w:lang w:val="en-US" w:eastAsia="en-US"/>
              </w:rPr>
              <w:t>1 euro =96 Lekë</w:t>
            </w:r>
          </w:p>
        </w:tc>
        <w:tc>
          <w:tcPr>
            <w:tcW w:w="1940" w:type="dxa"/>
            <w:noWrap/>
            <w:hideMark/>
          </w:tcPr>
          <w:p w14:paraId="1F012451"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 </w:t>
            </w:r>
          </w:p>
        </w:tc>
        <w:tc>
          <w:tcPr>
            <w:tcW w:w="1720" w:type="dxa"/>
            <w:noWrap/>
            <w:hideMark/>
          </w:tcPr>
          <w:p w14:paraId="09DAEBA8"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 </w:t>
            </w:r>
          </w:p>
        </w:tc>
        <w:tc>
          <w:tcPr>
            <w:tcW w:w="1500" w:type="dxa"/>
            <w:noWrap/>
            <w:hideMark/>
          </w:tcPr>
          <w:p w14:paraId="2E8F304C"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 </w:t>
            </w:r>
          </w:p>
        </w:tc>
        <w:tc>
          <w:tcPr>
            <w:tcW w:w="1640" w:type="dxa"/>
            <w:noWrap/>
            <w:hideMark/>
          </w:tcPr>
          <w:p w14:paraId="463CAA27" w14:textId="77777777" w:rsidR="00753F52" w:rsidRPr="00753F52" w:rsidRDefault="00753F52" w:rsidP="00753F52">
            <w:pPr>
              <w:cnfStyle w:val="000000100000" w:firstRow="0" w:lastRow="0" w:firstColumn="0" w:lastColumn="0" w:oddVBand="0" w:evenVBand="0" w:oddHBand="1" w:evenHBand="0" w:firstRowFirstColumn="0" w:firstRowLastColumn="0" w:lastRowFirstColumn="0" w:lastRowLastColumn="0"/>
              <w:rPr>
                <w:rFonts w:eastAsia="Times New Roman"/>
                <w:color w:val="000000"/>
                <w:lang w:val="en-US" w:eastAsia="en-US"/>
              </w:rPr>
            </w:pPr>
            <w:r w:rsidRPr="00753F52">
              <w:rPr>
                <w:rFonts w:eastAsia="Times New Roman"/>
                <w:color w:val="000000"/>
                <w:lang w:val="en-US" w:eastAsia="en-US"/>
              </w:rPr>
              <w:t> </w:t>
            </w:r>
          </w:p>
        </w:tc>
      </w:tr>
    </w:tbl>
    <w:p w14:paraId="68690CE4" w14:textId="77777777" w:rsidR="00307609" w:rsidRPr="00CB13F7" w:rsidRDefault="00307609" w:rsidP="00307609">
      <w:pPr>
        <w:spacing w:line="276" w:lineRule="auto"/>
        <w:jc w:val="both"/>
        <w:rPr>
          <w:color w:val="000000"/>
          <w:lang w:eastAsia="en-US"/>
        </w:rPr>
      </w:pPr>
    </w:p>
    <w:p w14:paraId="21206889" w14:textId="700AE321" w:rsidR="00307609" w:rsidRPr="00CB13F7" w:rsidRDefault="00307609" w:rsidP="00307609">
      <w:pPr>
        <w:spacing w:line="259" w:lineRule="auto"/>
        <w:jc w:val="both"/>
        <w:rPr>
          <w:rFonts w:eastAsia="SimSun"/>
          <w:color w:val="000000"/>
          <w:lang w:eastAsia="en-US"/>
        </w:rPr>
      </w:pPr>
      <w:r w:rsidRPr="00CB13F7">
        <w:rPr>
          <w:rFonts w:eastAsia="SimSun"/>
          <w:color w:val="000000"/>
          <w:lang w:eastAsia="en-US"/>
        </w:rPr>
        <w:t xml:space="preserve">Grafiku i mëposhtëm tregon në përqindje ndarjen e burimeve financiare në % të të gjithë </w:t>
      </w:r>
      <w:r w:rsidR="00AD63D0" w:rsidRPr="00CB13F7">
        <w:rPr>
          <w:rFonts w:eastAsia="SimSun"/>
          <w:color w:val="000000"/>
          <w:lang w:eastAsia="en-US"/>
        </w:rPr>
        <w:t xml:space="preserve">Planit </w:t>
      </w:r>
      <w:r w:rsidRPr="00CB13F7">
        <w:rPr>
          <w:rFonts w:eastAsia="SimSun"/>
          <w:color w:val="000000"/>
          <w:lang w:eastAsia="en-US"/>
        </w:rPr>
        <w:t xml:space="preserve">të </w:t>
      </w:r>
      <w:r w:rsidR="00AD63D0" w:rsidRPr="00CB13F7">
        <w:rPr>
          <w:rFonts w:eastAsia="SimSun"/>
          <w:color w:val="000000"/>
          <w:lang w:eastAsia="en-US"/>
        </w:rPr>
        <w:t xml:space="preserve">Veprimit </w:t>
      </w:r>
      <w:r w:rsidRPr="00CB13F7">
        <w:rPr>
          <w:rFonts w:eastAsia="SimSun"/>
          <w:color w:val="000000"/>
          <w:lang w:eastAsia="en-US"/>
        </w:rPr>
        <w:t>2026-2030 për PVKPAK</w:t>
      </w:r>
      <w:r w:rsidR="00AD63D0" w:rsidRPr="00CB13F7">
        <w:rPr>
          <w:rFonts w:eastAsia="SimSun"/>
          <w:color w:val="000000"/>
          <w:lang w:eastAsia="en-US"/>
        </w:rPr>
        <w:t>.</w:t>
      </w:r>
    </w:p>
    <w:p w14:paraId="73572436" w14:textId="6FC30E98" w:rsidR="00307609" w:rsidRPr="00CB13F7" w:rsidRDefault="00802B8E" w:rsidP="00307609">
      <w:pPr>
        <w:spacing w:line="259" w:lineRule="auto"/>
        <w:jc w:val="both"/>
        <w:rPr>
          <w:rFonts w:eastAsia="SimSun"/>
          <w:color w:val="000000"/>
          <w:lang w:eastAsia="en-US"/>
        </w:rPr>
      </w:pPr>
      <w:r>
        <w:rPr>
          <w:noProof/>
          <w:lang w:val="en-US" w:eastAsia="en-US"/>
        </w:rPr>
        <w:drawing>
          <wp:inline distT="0" distB="0" distL="0" distR="0" wp14:anchorId="2913BD81" wp14:editId="510B4C55">
            <wp:extent cx="5989320" cy="2438400"/>
            <wp:effectExtent l="0" t="0" r="11430" b="19050"/>
            <wp:docPr id="6" name="Chart 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3A1F50" w14:textId="77777777" w:rsidR="00AD63D0" w:rsidRPr="00CB13F7" w:rsidRDefault="00AD63D0" w:rsidP="00307609">
      <w:pPr>
        <w:spacing w:line="259" w:lineRule="auto"/>
        <w:jc w:val="both"/>
        <w:rPr>
          <w:rFonts w:eastAsia="SimSun"/>
          <w:color w:val="000000"/>
          <w:lang w:eastAsia="en-US"/>
        </w:rPr>
      </w:pPr>
    </w:p>
    <w:p w14:paraId="52929C3B" w14:textId="16DDB374" w:rsidR="00307609" w:rsidRDefault="00307609" w:rsidP="00307609">
      <w:pPr>
        <w:spacing w:line="259" w:lineRule="auto"/>
        <w:jc w:val="both"/>
        <w:rPr>
          <w:rFonts w:eastAsia="SimSun"/>
          <w:color w:val="000000"/>
          <w:lang w:eastAsia="en-US"/>
        </w:rPr>
      </w:pPr>
      <w:r w:rsidRPr="00CB13F7">
        <w:rPr>
          <w:rFonts w:eastAsia="SimSun"/>
          <w:color w:val="000000"/>
          <w:lang w:eastAsia="en-US"/>
        </w:rPr>
        <w:t>Grafiku më poshtë jep detajet e burimeve të financimit për çdo fushë specifike</w:t>
      </w:r>
      <w:r w:rsidR="00AD63D0" w:rsidRPr="00CB13F7">
        <w:rPr>
          <w:rFonts w:eastAsia="SimSun"/>
          <w:color w:val="000000"/>
          <w:lang w:eastAsia="en-US"/>
        </w:rPr>
        <w:t>.</w:t>
      </w:r>
    </w:p>
    <w:p w14:paraId="5D805D1F" w14:textId="1E0B1BD4" w:rsidR="00307609" w:rsidRPr="00CB13F7" w:rsidRDefault="00802B8E" w:rsidP="00307609">
      <w:pPr>
        <w:spacing w:line="259" w:lineRule="auto"/>
        <w:jc w:val="both"/>
        <w:rPr>
          <w:rFonts w:eastAsia="SimSun"/>
          <w:color w:val="000000"/>
          <w:lang w:eastAsia="en-US"/>
        </w:rPr>
      </w:pPr>
      <w:r>
        <w:rPr>
          <w:noProof/>
          <w:lang w:val="en-US" w:eastAsia="en-US"/>
        </w:rPr>
        <w:drawing>
          <wp:inline distT="0" distB="0" distL="0" distR="0" wp14:anchorId="34BDD56D" wp14:editId="2B376204">
            <wp:extent cx="5943600" cy="3568700"/>
            <wp:effectExtent l="0" t="0" r="19050" b="12700"/>
            <wp:docPr id="7" name="Chart 7">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81585D" w14:textId="77777777" w:rsidR="00307609" w:rsidRPr="00CB13F7" w:rsidRDefault="00307609" w:rsidP="00307609">
      <w:pPr>
        <w:spacing w:line="259" w:lineRule="auto"/>
        <w:jc w:val="both"/>
        <w:rPr>
          <w:rFonts w:eastAsia="SimSun"/>
          <w:color w:val="000000"/>
          <w:lang w:eastAsia="en-US"/>
        </w:rPr>
      </w:pPr>
    </w:p>
    <w:p w14:paraId="1D27A30E" w14:textId="77777777" w:rsidR="00307609" w:rsidRPr="00CB13F7" w:rsidRDefault="0089320C" w:rsidP="00307609">
      <w:pPr>
        <w:spacing w:line="259" w:lineRule="auto"/>
        <w:jc w:val="both"/>
        <w:rPr>
          <w:rFonts w:eastAsia="SimSun"/>
          <w:color w:val="000000"/>
          <w:lang w:eastAsia="en-US"/>
        </w:rPr>
      </w:pPr>
      <w:r w:rsidRPr="00CB13F7">
        <w:rPr>
          <w:rFonts w:eastAsia="SimSun"/>
          <w:color w:val="000000"/>
          <w:lang w:eastAsia="en-US"/>
        </w:rPr>
        <w:t>Bashkëlidhur</w:t>
      </w:r>
      <w:r w:rsidR="00307609" w:rsidRPr="00CB13F7">
        <w:rPr>
          <w:rFonts w:eastAsia="SimSun"/>
          <w:color w:val="000000"/>
          <w:lang w:eastAsia="en-US"/>
        </w:rPr>
        <w:t xml:space="preserve"> keni tabelën përmbledhëse dhe </w:t>
      </w:r>
      <w:r w:rsidRPr="00CB13F7">
        <w:rPr>
          <w:rFonts w:eastAsia="SimSun"/>
          <w:color w:val="000000"/>
          <w:lang w:eastAsia="en-US"/>
        </w:rPr>
        <w:t>gjithë</w:t>
      </w:r>
      <w:r w:rsidR="00307609" w:rsidRPr="00CB13F7">
        <w:rPr>
          <w:rFonts w:eastAsia="SimSun"/>
          <w:color w:val="000000"/>
          <w:lang w:eastAsia="en-US"/>
        </w:rPr>
        <w:t xml:space="preserve"> buxhetet e detajuara për </w:t>
      </w:r>
      <w:r w:rsidR="00234FBC" w:rsidRPr="00CB13F7">
        <w:rPr>
          <w:rFonts w:eastAsia="SimSun"/>
          <w:color w:val="000000"/>
          <w:lang w:eastAsia="en-US"/>
        </w:rPr>
        <w:t>çdo</w:t>
      </w:r>
      <w:r w:rsidR="00307609" w:rsidRPr="00CB13F7">
        <w:rPr>
          <w:rFonts w:eastAsia="SimSun"/>
          <w:color w:val="000000"/>
          <w:lang w:eastAsia="en-US"/>
        </w:rPr>
        <w:t xml:space="preserve"> </w:t>
      </w:r>
      <w:r w:rsidRPr="00CB13F7">
        <w:rPr>
          <w:rFonts w:eastAsia="SimSun"/>
          <w:color w:val="000000"/>
          <w:lang w:eastAsia="en-US"/>
        </w:rPr>
        <w:t>fushë në format exel.</w:t>
      </w:r>
    </w:p>
    <w:p w14:paraId="4C7930FF" w14:textId="77777777" w:rsidR="00307609" w:rsidRPr="00CB13F7" w:rsidRDefault="00307609" w:rsidP="00307609">
      <w:pPr>
        <w:spacing w:line="259" w:lineRule="auto"/>
        <w:jc w:val="both"/>
        <w:rPr>
          <w:rFonts w:ascii="Calibri" w:eastAsia="Times New Roman" w:hAnsi="Calibri"/>
          <w:b/>
          <w:bCs/>
          <w:color w:val="000000"/>
          <w:sz w:val="16"/>
          <w:szCs w:val="16"/>
          <w:lang w:eastAsia="en-US"/>
        </w:rPr>
        <w:sectPr w:rsidR="00307609" w:rsidRPr="00CB13F7" w:rsidSect="00B521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605983C5" w14:textId="0FCF3591" w:rsidR="00307609" w:rsidRDefault="00307609" w:rsidP="00307609">
      <w:pPr>
        <w:spacing w:line="259" w:lineRule="auto"/>
        <w:jc w:val="both"/>
        <w:rPr>
          <w:rFonts w:eastAsia="Times New Roman"/>
          <w:b/>
          <w:bCs/>
          <w:color w:val="000000"/>
          <w:sz w:val="20"/>
          <w:szCs w:val="20"/>
          <w:lang w:eastAsia="en-US"/>
        </w:rPr>
      </w:pPr>
      <w:r w:rsidRPr="00753F52">
        <w:rPr>
          <w:rFonts w:eastAsia="Times New Roman"/>
          <w:b/>
          <w:bCs/>
          <w:color w:val="000000"/>
          <w:sz w:val="20"/>
          <w:szCs w:val="20"/>
          <w:lang w:eastAsia="en-US"/>
        </w:rPr>
        <w:lastRenderedPageBreak/>
        <w:t>TABELA 1: KOSTO INDIKATIVE E PLANI</w:t>
      </w:r>
      <w:r w:rsidR="00AD63D0" w:rsidRPr="00753F52">
        <w:rPr>
          <w:rFonts w:eastAsia="Times New Roman"/>
          <w:b/>
          <w:bCs/>
          <w:color w:val="000000"/>
          <w:sz w:val="20"/>
          <w:szCs w:val="20"/>
          <w:lang w:eastAsia="en-US"/>
        </w:rPr>
        <w:t>T</w:t>
      </w:r>
      <w:r w:rsidRPr="00753F52">
        <w:rPr>
          <w:rFonts w:eastAsia="Times New Roman"/>
          <w:b/>
          <w:bCs/>
          <w:color w:val="000000"/>
          <w:sz w:val="20"/>
          <w:szCs w:val="20"/>
          <w:lang w:eastAsia="en-US"/>
        </w:rPr>
        <w:t xml:space="preserve"> </w:t>
      </w:r>
      <w:r w:rsidR="00AD63D0" w:rsidRPr="00753F52">
        <w:rPr>
          <w:rFonts w:eastAsia="Times New Roman"/>
          <w:b/>
          <w:bCs/>
          <w:color w:val="000000"/>
          <w:sz w:val="20"/>
          <w:szCs w:val="20"/>
          <w:lang w:eastAsia="en-US"/>
        </w:rPr>
        <w:t>KOMBËTAR</w:t>
      </w:r>
      <w:r w:rsidR="006A61F4" w:rsidRPr="00753F52">
        <w:rPr>
          <w:rFonts w:eastAsia="Times New Roman"/>
          <w:b/>
          <w:bCs/>
          <w:color w:val="000000"/>
          <w:sz w:val="20"/>
          <w:szCs w:val="20"/>
          <w:lang w:eastAsia="en-US"/>
        </w:rPr>
        <w:t xml:space="preserve"> </w:t>
      </w:r>
      <w:r w:rsidR="00AD63D0" w:rsidRPr="00753F52">
        <w:rPr>
          <w:rFonts w:eastAsia="Times New Roman"/>
          <w:b/>
          <w:bCs/>
          <w:color w:val="000000"/>
          <w:sz w:val="20"/>
          <w:szCs w:val="20"/>
          <w:lang w:eastAsia="en-US"/>
        </w:rPr>
        <w:t xml:space="preserve">TË </w:t>
      </w:r>
      <w:r w:rsidRPr="00753F52">
        <w:rPr>
          <w:rFonts w:eastAsia="Times New Roman"/>
          <w:b/>
          <w:bCs/>
          <w:color w:val="000000"/>
          <w:sz w:val="20"/>
          <w:szCs w:val="20"/>
          <w:lang w:eastAsia="en-US"/>
        </w:rPr>
        <w:t xml:space="preserve">VEPRIMIT </w:t>
      </w:r>
      <w:r w:rsidR="005411F8" w:rsidRPr="00753F52">
        <w:rPr>
          <w:rFonts w:eastAsia="Times New Roman"/>
          <w:b/>
          <w:bCs/>
          <w:color w:val="000000"/>
          <w:sz w:val="20"/>
          <w:szCs w:val="20"/>
          <w:lang w:eastAsia="en-US"/>
        </w:rPr>
        <w:t xml:space="preserve"> PËR</w:t>
      </w:r>
      <w:r w:rsidR="00AD63D0" w:rsidRPr="00753F52">
        <w:rPr>
          <w:rFonts w:eastAsia="Times New Roman"/>
          <w:b/>
          <w:bCs/>
          <w:color w:val="000000"/>
          <w:sz w:val="20"/>
          <w:szCs w:val="20"/>
          <w:lang w:eastAsia="en-US"/>
        </w:rPr>
        <w:t xml:space="preserve"> </w:t>
      </w:r>
      <w:r w:rsidR="005411F8" w:rsidRPr="00753F52">
        <w:rPr>
          <w:rFonts w:eastAsia="Times New Roman"/>
          <w:b/>
          <w:bCs/>
          <w:color w:val="000000"/>
          <w:sz w:val="20"/>
          <w:szCs w:val="20"/>
          <w:lang w:eastAsia="en-US"/>
        </w:rPr>
        <w:t xml:space="preserve">PERSONAT </w:t>
      </w:r>
      <w:r w:rsidRPr="00753F52">
        <w:rPr>
          <w:rFonts w:eastAsia="Times New Roman"/>
          <w:b/>
          <w:bCs/>
          <w:color w:val="000000"/>
          <w:sz w:val="20"/>
          <w:szCs w:val="20"/>
          <w:lang w:eastAsia="en-US"/>
        </w:rPr>
        <w:t xml:space="preserve">ME </w:t>
      </w:r>
      <w:r w:rsidR="005411F8" w:rsidRPr="00753F52">
        <w:rPr>
          <w:rFonts w:eastAsia="Times New Roman"/>
          <w:b/>
          <w:bCs/>
          <w:color w:val="000000"/>
          <w:sz w:val="20"/>
          <w:szCs w:val="20"/>
          <w:lang w:eastAsia="en-US"/>
        </w:rPr>
        <w:t xml:space="preserve">AFTËSI TË </w:t>
      </w:r>
      <w:r w:rsidRPr="00753F52">
        <w:rPr>
          <w:rFonts w:eastAsia="Times New Roman"/>
          <w:b/>
          <w:bCs/>
          <w:color w:val="000000"/>
          <w:sz w:val="20"/>
          <w:szCs w:val="20"/>
          <w:lang w:eastAsia="en-US"/>
        </w:rPr>
        <w:t>KUFIZUAR 2026-2030</w:t>
      </w:r>
    </w:p>
    <w:p w14:paraId="3CB90C59" w14:textId="77777777" w:rsidR="004D73D3" w:rsidRDefault="004D73D3" w:rsidP="00307609">
      <w:pPr>
        <w:spacing w:line="259" w:lineRule="auto"/>
        <w:jc w:val="both"/>
        <w:rPr>
          <w:rFonts w:eastAsia="Times New Roman"/>
          <w:b/>
          <w:bCs/>
          <w:color w:val="000000"/>
          <w:sz w:val="20"/>
          <w:szCs w:val="20"/>
          <w:lang w:eastAsia="en-US"/>
        </w:rPr>
      </w:pPr>
    </w:p>
    <w:p w14:paraId="2179020D" w14:textId="77777777" w:rsidR="004D73D3" w:rsidRPr="00753F52" w:rsidRDefault="004D73D3" w:rsidP="00307609">
      <w:pPr>
        <w:spacing w:line="259" w:lineRule="auto"/>
        <w:jc w:val="both"/>
        <w:rPr>
          <w:rFonts w:eastAsia="Times New Roman"/>
          <w:b/>
          <w:bCs/>
          <w:color w:val="000000"/>
          <w:sz w:val="20"/>
          <w:szCs w:val="20"/>
          <w:lang w:eastAsia="en-US"/>
        </w:rPr>
      </w:pPr>
    </w:p>
    <w:tbl>
      <w:tblPr>
        <w:tblW w:w="14898" w:type="dxa"/>
        <w:tblInd w:w="-480" w:type="dxa"/>
        <w:tblLayout w:type="fixed"/>
        <w:tblLook w:val="04A0" w:firstRow="1" w:lastRow="0" w:firstColumn="1" w:lastColumn="0" w:noHBand="0" w:noVBand="1"/>
      </w:tblPr>
      <w:tblGrid>
        <w:gridCol w:w="2625"/>
        <w:gridCol w:w="1160"/>
        <w:gridCol w:w="1292"/>
        <w:gridCol w:w="821"/>
        <w:gridCol w:w="1203"/>
        <w:gridCol w:w="957"/>
        <w:gridCol w:w="847"/>
        <w:gridCol w:w="720"/>
        <w:gridCol w:w="810"/>
        <w:gridCol w:w="646"/>
        <w:gridCol w:w="974"/>
        <w:gridCol w:w="900"/>
        <w:gridCol w:w="990"/>
        <w:gridCol w:w="953"/>
      </w:tblGrid>
      <w:tr w:rsidR="004D73D3" w:rsidRPr="004D73D3" w14:paraId="1551522E" w14:textId="77777777" w:rsidTr="004B31D6">
        <w:trPr>
          <w:trHeight w:val="312"/>
        </w:trPr>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38EEB7F9"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t>FUSHAT</w:t>
            </w:r>
          </w:p>
        </w:tc>
        <w:tc>
          <w:tcPr>
            <w:tcW w:w="2452" w:type="dxa"/>
            <w:gridSpan w:val="2"/>
            <w:tcBorders>
              <w:top w:val="single" w:sz="4" w:space="0" w:color="auto"/>
              <w:left w:val="nil"/>
              <w:bottom w:val="single" w:sz="4" w:space="0" w:color="auto"/>
              <w:right w:val="single" w:sz="4" w:space="0" w:color="auto"/>
            </w:tcBorders>
            <w:shd w:val="clear" w:color="000000" w:fill="C2D69B"/>
            <w:vAlign w:val="center"/>
            <w:hideMark/>
          </w:tcPr>
          <w:p w14:paraId="3914A572"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AFATI ZBATIMIT</w:t>
            </w:r>
          </w:p>
        </w:tc>
        <w:tc>
          <w:tcPr>
            <w:tcW w:w="2024" w:type="dxa"/>
            <w:gridSpan w:val="2"/>
            <w:tcBorders>
              <w:top w:val="single" w:sz="4" w:space="0" w:color="auto"/>
              <w:left w:val="nil"/>
              <w:bottom w:val="single" w:sz="4" w:space="0" w:color="auto"/>
              <w:right w:val="single" w:sz="4" w:space="0" w:color="auto"/>
            </w:tcBorders>
            <w:shd w:val="clear" w:color="000000" w:fill="C2D69B"/>
            <w:vAlign w:val="center"/>
            <w:hideMark/>
          </w:tcPr>
          <w:p w14:paraId="681BE605"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INSTITUCIONI PËRGJEGJËS</w:t>
            </w:r>
          </w:p>
        </w:tc>
        <w:tc>
          <w:tcPr>
            <w:tcW w:w="3980" w:type="dxa"/>
            <w:gridSpan w:val="5"/>
            <w:tcBorders>
              <w:top w:val="single" w:sz="4" w:space="0" w:color="auto"/>
              <w:left w:val="nil"/>
              <w:bottom w:val="single" w:sz="4" w:space="0" w:color="auto"/>
              <w:right w:val="single" w:sz="4" w:space="0" w:color="auto"/>
            </w:tcBorders>
            <w:shd w:val="clear" w:color="000000" w:fill="C2D69B"/>
            <w:vAlign w:val="center"/>
            <w:hideMark/>
          </w:tcPr>
          <w:p w14:paraId="11544555"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VITET</w:t>
            </w:r>
          </w:p>
        </w:tc>
        <w:tc>
          <w:tcPr>
            <w:tcW w:w="974" w:type="dxa"/>
            <w:vMerge w:val="restart"/>
            <w:tcBorders>
              <w:top w:val="single" w:sz="4" w:space="0" w:color="auto"/>
              <w:left w:val="single" w:sz="4" w:space="0" w:color="auto"/>
              <w:bottom w:val="single" w:sz="4" w:space="0" w:color="auto"/>
              <w:right w:val="nil"/>
            </w:tcBorders>
            <w:shd w:val="clear" w:color="000000" w:fill="C2D69B"/>
            <w:vAlign w:val="center"/>
            <w:hideMark/>
          </w:tcPr>
          <w:p w14:paraId="68F4767D"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Kosto indikative</w:t>
            </w:r>
            <w:r w:rsidRPr="004D73D3">
              <w:rPr>
                <w:rFonts w:eastAsia="Times New Roman"/>
                <w:b/>
                <w:bCs/>
                <w:color w:val="000000"/>
                <w:sz w:val="16"/>
                <w:szCs w:val="16"/>
                <w:lang w:val="en-US" w:eastAsia="en-US"/>
              </w:rPr>
              <w:br/>
              <w:t xml:space="preserve"> (në 000/ ALL) </w:t>
            </w:r>
          </w:p>
        </w:tc>
        <w:tc>
          <w:tcPr>
            <w:tcW w:w="2843" w:type="dxa"/>
            <w:gridSpan w:val="3"/>
            <w:tcBorders>
              <w:top w:val="single" w:sz="8" w:space="0" w:color="auto"/>
              <w:left w:val="single" w:sz="8" w:space="0" w:color="auto"/>
              <w:bottom w:val="single" w:sz="4" w:space="0" w:color="auto"/>
              <w:right w:val="single" w:sz="8" w:space="0" w:color="000000"/>
            </w:tcBorders>
            <w:shd w:val="clear" w:color="000000" w:fill="C2D69B"/>
            <w:vAlign w:val="center"/>
            <w:hideMark/>
          </w:tcPr>
          <w:p w14:paraId="0572847D"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Burimi i mbulimit (në 000/ ALL)</w:t>
            </w:r>
          </w:p>
        </w:tc>
      </w:tr>
      <w:tr w:rsidR="004D73D3" w:rsidRPr="004D73D3" w14:paraId="280B996B" w14:textId="77777777" w:rsidTr="004B31D6">
        <w:trPr>
          <w:trHeight w:val="864"/>
        </w:trPr>
        <w:tc>
          <w:tcPr>
            <w:tcW w:w="2625" w:type="dxa"/>
            <w:vMerge/>
            <w:tcBorders>
              <w:top w:val="single" w:sz="4" w:space="0" w:color="auto"/>
              <w:left w:val="single" w:sz="4" w:space="0" w:color="auto"/>
              <w:bottom w:val="single" w:sz="4" w:space="0" w:color="auto"/>
              <w:right w:val="single" w:sz="4" w:space="0" w:color="auto"/>
            </w:tcBorders>
            <w:vAlign w:val="center"/>
            <w:hideMark/>
          </w:tcPr>
          <w:p w14:paraId="6BCA6CF9" w14:textId="77777777" w:rsidR="004D73D3" w:rsidRPr="004D73D3" w:rsidRDefault="004D73D3" w:rsidP="004D73D3">
            <w:pPr>
              <w:rPr>
                <w:rFonts w:eastAsia="Times New Roman"/>
                <w:b/>
                <w:bCs/>
                <w:color w:val="000000"/>
                <w:sz w:val="16"/>
                <w:szCs w:val="16"/>
                <w:lang w:val="en-US" w:eastAsia="en-US"/>
              </w:rPr>
            </w:pPr>
          </w:p>
        </w:tc>
        <w:tc>
          <w:tcPr>
            <w:tcW w:w="1160" w:type="dxa"/>
            <w:tcBorders>
              <w:top w:val="nil"/>
              <w:left w:val="nil"/>
              <w:bottom w:val="single" w:sz="4" w:space="0" w:color="auto"/>
              <w:right w:val="single" w:sz="4" w:space="0" w:color="auto"/>
            </w:tcBorders>
            <w:shd w:val="clear" w:color="000000" w:fill="C2D69B"/>
            <w:vAlign w:val="center"/>
            <w:hideMark/>
          </w:tcPr>
          <w:p w14:paraId="4FC38A7C"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AFATI I FILLIMIT</w:t>
            </w:r>
          </w:p>
        </w:tc>
        <w:tc>
          <w:tcPr>
            <w:tcW w:w="1292" w:type="dxa"/>
            <w:tcBorders>
              <w:top w:val="nil"/>
              <w:left w:val="nil"/>
              <w:bottom w:val="single" w:sz="4" w:space="0" w:color="auto"/>
              <w:right w:val="single" w:sz="4" w:space="0" w:color="auto"/>
            </w:tcBorders>
            <w:shd w:val="clear" w:color="000000" w:fill="C2D69B"/>
            <w:vAlign w:val="center"/>
            <w:hideMark/>
          </w:tcPr>
          <w:p w14:paraId="1BA4A4D2"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AFATI I MBARIMIT</w:t>
            </w:r>
          </w:p>
        </w:tc>
        <w:tc>
          <w:tcPr>
            <w:tcW w:w="821" w:type="dxa"/>
            <w:tcBorders>
              <w:top w:val="nil"/>
              <w:left w:val="nil"/>
              <w:bottom w:val="single" w:sz="4" w:space="0" w:color="auto"/>
              <w:right w:val="single" w:sz="4" w:space="0" w:color="auto"/>
            </w:tcBorders>
            <w:shd w:val="clear" w:color="000000" w:fill="C2D69B"/>
            <w:vAlign w:val="center"/>
            <w:hideMark/>
          </w:tcPr>
          <w:p w14:paraId="1653C3BD"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INSTITUCIONI PËRGJEGJËS</w:t>
            </w:r>
          </w:p>
        </w:tc>
        <w:tc>
          <w:tcPr>
            <w:tcW w:w="1203" w:type="dxa"/>
            <w:tcBorders>
              <w:top w:val="nil"/>
              <w:left w:val="nil"/>
              <w:bottom w:val="single" w:sz="4" w:space="0" w:color="auto"/>
              <w:right w:val="single" w:sz="4" w:space="0" w:color="auto"/>
            </w:tcBorders>
            <w:shd w:val="clear" w:color="000000" w:fill="C2D69B"/>
            <w:vAlign w:val="center"/>
            <w:hideMark/>
          </w:tcPr>
          <w:p w14:paraId="2688ED06"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INSTITUCIONET KONTRIBUESE</w:t>
            </w:r>
          </w:p>
        </w:tc>
        <w:tc>
          <w:tcPr>
            <w:tcW w:w="957" w:type="dxa"/>
            <w:tcBorders>
              <w:top w:val="nil"/>
              <w:left w:val="nil"/>
              <w:bottom w:val="single" w:sz="4" w:space="0" w:color="auto"/>
              <w:right w:val="single" w:sz="4" w:space="0" w:color="auto"/>
            </w:tcBorders>
            <w:shd w:val="clear" w:color="000000" w:fill="C2D69B"/>
            <w:vAlign w:val="center"/>
            <w:hideMark/>
          </w:tcPr>
          <w:p w14:paraId="6DF9BDF8"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847" w:type="dxa"/>
            <w:tcBorders>
              <w:top w:val="nil"/>
              <w:left w:val="nil"/>
              <w:bottom w:val="single" w:sz="4" w:space="0" w:color="auto"/>
              <w:right w:val="single" w:sz="4" w:space="0" w:color="auto"/>
            </w:tcBorders>
            <w:shd w:val="clear" w:color="000000" w:fill="C2D69B"/>
            <w:vAlign w:val="center"/>
            <w:hideMark/>
          </w:tcPr>
          <w:p w14:paraId="20F9B52D"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2027</w:t>
            </w:r>
          </w:p>
        </w:tc>
        <w:tc>
          <w:tcPr>
            <w:tcW w:w="720" w:type="dxa"/>
            <w:tcBorders>
              <w:top w:val="nil"/>
              <w:left w:val="nil"/>
              <w:bottom w:val="single" w:sz="4" w:space="0" w:color="auto"/>
              <w:right w:val="single" w:sz="4" w:space="0" w:color="auto"/>
            </w:tcBorders>
            <w:shd w:val="clear" w:color="000000" w:fill="C2D69B"/>
            <w:vAlign w:val="center"/>
            <w:hideMark/>
          </w:tcPr>
          <w:p w14:paraId="26A85059"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2028</w:t>
            </w:r>
          </w:p>
        </w:tc>
        <w:tc>
          <w:tcPr>
            <w:tcW w:w="810" w:type="dxa"/>
            <w:tcBorders>
              <w:top w:val="nil"/>
              <w:left w:val="nil"/>
              <w:bottom w:val="single" w:sz="4" w:space="0" w:color="auto"/>
              <w:right w:val="single" w:sz="4" w:space="0" w:color="auto"/>
            </w:tcBorders>
            <w:shd w:val="clear" w:color="000000" w:fill="C2D69B"/>
            <w:vAlign w:val="center"/>
            <w:hideMark/>
          </w:tcPr>
          <w:p w14:paraId="221F275F"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2029</w:t>
            </w:r>
          </w:p>
        </w:tc>
        <w:tc>
          <w:tcPr>
            <w:tcW w:w="646" w:type="dxa"/>
            <w:tcBorders>
              <w:top w:val="nil"/>
              <w:left w:val="nil"/>
              <w:bottom w:val="single" w:sz="4" w:space="0" w:color="auto"/>
              <w:right w:val="single" w:sz="4" w:space="0" w:color="auto"/>
            </w:tcBorders>
            <w:shd w:val="clear" w:color="000000" w:fill="C2D69B"/>
            <w:vAlign w:val="center"/>
            <w:hideMark/>
          </w:tcPr>
          <w:p w14:paraId="20363477"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974" w:type="dxa"/>
            <w:vMerge/>
            <w:tcBorders>
              <w:top w:val="single" w:sz="4" w:space="0" w:color="auto"/>
              <w:left w:val="single" w:sz="4" w:space="0" w:color="auto"/>
              <w:bottom w:val="single" w:sz="4" w:space="0" w:color="auto"/>
              <w:right w:val="nil"/>
            </w:tcBorders>
            <w:vAlign w:val="center"/>
            <w:hideMark/>
          </w:tcPr>
          <w:p w14:paraId="5A87819C" w14:textId="77777777" w:rsidR="004D73D3" w:rsidRPr="004D73D3" w:rsidRDefault="004D73D3" w:rsidP="004D73D3">
            <w:pPr>
              <w:rPr>
                <w:rFonts w:eastAsia="Times New Roman"/>
                <w:b/>
                <w:bCs/>
                <w:color w:val="000000"/>
                <w:sz w:val="16"/>
                <w:szCs w:val="16"/>
                <w:lang w:val="en-US" w:eastAsia="en-US"/>
              </w:rPr>
            </w:pPr>
          </w:p>
        </w:tc>
        <w:tc>
          <w:tcPr>
            <w:tcW w:w="900" w:type="dxa"/>
            <w:tcBorders>
              <w:top w:val="nil"/>
              <w:left w:val="single" w:sz="8" w:space="0" w:color="auto"/>
              <w:bottom w:val="single" w:sz="4" w:space="0" w:color="auto"/>
              <w:right w:val="single" w:sz="4" w:space="0" w:color="auto"/>
            </w:tcBorders>
            <w:shd w:val="clear" w:color="000000" w:fill="C2D69B"/>
            <w:vAlign w:val="center"/>
            <w:hideMark/>
          </w:tcPr>
          <w:p w14:paraId="1B842959"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Buxhet Shtetit (000/ALL)</w:t>
            </w:r>
          </w:p>
        </w:tc>
        <w:tc>
          <w:tcPr>
            <w:tcW w:w="990" w:type="dxa"/>
            <w:tcBorders>
              <w:top w:val="nil"/>
              <w:left w:val="nil"/>
              <w:bottom w:val="single" w:sz="4" w:space="0" w:color="auto"/>
              <w:right w:val="single" w:sz="4" w:space="0" w:color="auto"/>
            </w:tcBorders>
            <w:shd w:val="clear" w:color="000000" w:fill="C2D69B"/>
            <w:vAlign w:val="center"/>
            <w:hideMark/>
          </w:tcPr>
          <w:p w14:paraId="3832EF7C"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Financim i Huaj (000/ALL)</w:t>
            </w:r>
          </w:p>
        </w:tc>
        <w:tc>
          <w:tcPr>
            <w:tcW w:w="953" w:type="dxa"/>
            <w:tcBorders>
              <w:top w:val="nil"/>
              <w:left w:val="nil"/>
              <w:bottom w:val="single" w:sz="4" w:space="0" w:color="auto"/>
              <w:right w:val="single" w:sz="8" w:space="0" w:color="auto"/>
            </w:tcBorders>
            <w:shd w:val="clear" w:color="000000" w:fill="C2D69B"/>
            <w:vAlign w:val="center"/>
            <w:hideMark/>
          </w:tcPr>
          <w:p w14:paraId="151A2BB6"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Hendeku financiar</w:t>
            </w:r>
            <w:r w:rsidRPr="004D73D3">
              <w:rPr>
                <w:rFonts w:eastAsia="Times New Roman"/>
                <w:b/>
                <w:bCs/>
                <w:color w:val="000000"/>
                <w:sz w:val="16"/>
                <w:szCs w:val="16"/>
                <w:lang w:val="en-US" w:eastAsia="en-US"/>
              </w:rPr>
              <w:br/>
              <w:t xml:space="preserve"> (në 000/ ALL)</w:t>
            </w:r>
          </w:p>
        </w:tc>
      </w:tr>
      <w:tr w:rsidR="004D73D3" w:rsidRPr="004D73D3" w14:paraId="678A31B4" w14:textId="77777777" w:rsidTr="004B31D6">
        <w:trPr>
          <w:trHeight w:val="312"/>
        </w:trPr>
        <w:tc>
          <w:tcPr>
            <w:tcW w:w="2625" w:type="dxa"/>
            <w:tcBorders>
              <w:top w:val="nil"/>
              <w:left w:val="single" w:sz="4" w:space="0" w:color="auto"/>
              <w:bottom w:val="single" w:sz="4" w:space="0" w:color="auto"/>
              <w:right w:val="single" w:sz="4" w:space="0" w:color="auto"/>
            </w:tcBorders>
            <w:vAlign w:val="center"/>
            <w:hideMark/>
          </w:tcPr>
          <w:p w14:paraId="60096F77"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TOTALI </w:t>
            </w:r>
          </w:p>
        </w:tc>
        <w:tc>
          <w:tcPr>
            <w:tcW w:w="1160" w:type="dxa"/>
            <w:tcBorders>
              <w:top w:val="nil"/>
              <w:left w:val="nil"/>
              <w:bottom w:val="single" w:sz="4" w:space="0" w:color="auto"/>
              <w:right w:val="single" w:sz="4" w:space="0" w:color="auto"/>
            </w:tcBorders>
            <w:shd w:val="clear" w:color="000000" w:fill="C2D69B"/>
            <w:vAlign w:val="center"/>
            <w:hideMark/>
          </w:tcPr>
          <w:p w14:paraId="65062103"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 </w:t>
            </w:r>
          </w:p>
        </w:tc>
        <w:tc>
          <w:tcPr>
            <w:tcW w:w="1292" w:type="dxa"/>
            <w:tcBorders>
              <w:top w:val="nil"/>
              <w:left w:val="nil"/>
              <w:bottom w:val="single" w:sz="4" w:space="0" w:color="auto"/>
              <w:right w:val="single" w:sz="4" w:space="0" w:color="auto"/>
            </w:tcBorders>
            <w:shd w:val="clear" w:color="000000" w:fill="C2D69B"/>
            <w:vAlign w:val="center"/>
            <w:hideMark/>
          </w:tcPr>
          <w:p w14:paraId="372D68CD"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 </w:t>
            </w:r>
          </w:p>
        </w:tc>
        <w:tc>
          <w:tcPr>
            <w:tcW w:w="821" w:type="dxa"/>
            <w:tcBorders>
              <w:top w:val="nil"/>
              <w:left w:val="nil"/>
              <w:bottom w:val="single" w:sz="4" w:space="0" w:color="auto"/>
              <w:right w:val="single" w:sz="4" w:space="0" w:color="auto"/>
            </w:tcBorders>
            <w:shd w:val="clear" w:color="000000" w:fill="C2D69B"/>
            <w:vAlign w:val="center"/>
            <w:hideMark/>
          </w:tcPr>
          <w:p w14:paraId="641A4BD9"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 </w:t>
            </w:r>
          </w:p>
        </w:tc>
        <w:tc>
          <w:tcPr>
            <w:tcW w:w="1203" w:type="dxa"/>
            <w:tcBorders>
              <w:top w:val="nil"/>
              <w:left w:val="nil"/>
              <w:bottom w:val="single" w:sz="4" w:space="0" w:color="auto"/>
              <w:right w:val="single" w:sz="4" w:space="0" w:color="auto"/>
            </w:tcBorders>
            <w:shd w:val="clear" w:color="000000" w:fill="C2D69B"/>
            <w:vAlign w:val="center"/>
            <w:hideMark/>
          </w:tcPr>
          <w:p w14:paraId="5FDCB9B1"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 </w:t>
            </w:r>
          </w:p>
        </w:tc>
        <w:tc>
          <w:tcPr>
            <w:tcW w:w="957" w:type="dxa"/>
            <w:tcBorders>
              <w:top w:val="nil"/>
              <w:left w:val="nil"/>
              <w:bottom w:val="single" w:sz="4" w:space="0" w:color="auto"/>
              <w:right w:val="single" w:sz="4" w:space="0" w:color="auto"/>
            </w:tcBorders>
            <w:shd w:val="clear" w:color="000000" w:fill="C2D69B"/>
            <w:vAlign w:val="center"/>
            <w:hideMark/>
          </w:tcPr>
          <w:p w14:paraId="31CCB0CA" w14:textId="3A841F4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1,183,640</w:t>
            </w:r>
          </w:p>
        </w:tc>
        <w:tc>
          <w:tcPr>
            <w:tcW w:w="847" w:type="dxa"/>
            <w:tcBorders>
              <w:top w:val="nil"/>
              <w:left w:val="nil"/>
              <w:bottom w:val="single" w:sz="4" w:space="0" w:color="auto"/>
              <w:right w:val="single" w:sz="4" w:space="0" w:color="auto"/>
            </w:tcBorders>
            <w:shd w:val="clear" w:color="000000" w:fill="C2D69B"/>
            <w:vAlign w:val="center"/>
            <w:hideMark/>
          </w:tcPr>
          <w:p w14:paraId="14A70808" w14:textId="3AB3687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1,633,998</w:t>
            </w:r>
          </w:p>
        </w:tc>
        <w:tc>
          <w:tcPr>
            <w:tcW w:w="720" w:type="dxa"/>
            <w:tcBorders>
              <w:top w:val="nil"/>
              <w:left w:val="nil"/>
              <w:bottom w:val="single" w:sz="4" w:space="0" w:color="auto"/>
              <w:right w:val="single" w:sz="4" w:space="0" w:color="auto"/>
            </w:tcBorders>
            <w:shd w:val="clear" w:color="000000" w:fill="C2D69B"/>
            <w:vAlign w:val="center"/>
            <w:hideMark/>
          </w:tcPr>
          <w:p w14:paraId="66EBDBCB" w14:textId="44CB9A8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1,506,853</w:t>
            </w:r>
          </w:p>
        </w:tc>
        <w:tc>
          <w:tcPr>
            <w:tcW w:w="810" w:type="dxa"/>
            <w:tcBorders>
              <w:top w:val="nil"/>
              <w:left w:val="nil"/>
              <w:bottom w:val="single" w:sz="4" w:space="0" w:color="auto"/>
              <w:right w:val="single" w:sz="4" w:space="0" w:color="auto"/>
            </w:tcBorders>
            <w:shd w:val="clear" w:color="000000" w:fill="C2D69B"/>
            <w:vAlign w:val="center"/>
            <w:hideMark/>
          </w:tcPr>
          <w:p w14:paraId="015BE021" w14:textId="1DDAAE2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1,565,729</w:t>
            </w:r>
          </w:p>
        </w:tc>
        <w:tc>
          <w:tcPr>
            <w:tcW w:w="646" w:type="dxa"/>
            <w:tcBorders>
              <w:top w:val="nil"/>
              <w:left w:val="nil"/>
              <w:bottom w:val="single" w:sz="4" w:space="0" w:color="auto"/>
              <w:right w:val="single" w:sz="4" w:space="0" w:color="auto"/>
            </w:tcBorders>
            <w:shd w:val="clear" w:color="000000" w:fill="C2D69B"/>
            <w:vAlign w:val="center"/>
            <w:hideMark/>
          </w:tcPr>
          <w:p w14:paraId="3CB1FC40" w14:textId="174B38A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1,724,861</w:t>
            </w:r>
          </w:p>
        </w:tc>
        <w:tc>
          <w:tcPr>
            <w:tcW w:w="974" w:type="dxa"/>
            <w:tcBorders>
              <w:top w:val="nil"/>
              <w:left w:val="nil"/>
              <w:bottom w:val="single" w:sz="4" w:space="0" w:color="auto"/>
              <w:right w:val="nil"/>
            </w:tcBorders>
            <w:shd w:val="clear" w:color="000000" w:fill="C2D69B"/>
            <w:vAlign w:val="center"/>
            <w:hideMark/>
          </w:tcPr>
          <w:p w14:paraId="1326E7D0" w14:textId="13F079C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7,615,081</w:t>
            </w:r>
          </w:p>
        </w:tc>
        <w:tc>
          <w:tcPr>
            <w:tcW w:w="900" w:type="dxa"/>
            <w:tcBorders>
              <w:top w:val="nil"/>
              <w:left w:val="single" w:sz="8" w:space="0" w:color="auto"/>
              <w:bottom w:val="single" w:sz="4" w:space="0" w:color="auto"/>
              <w:right w:val="single" w:sz="4" w:space="0" w:color="auto"/>
            </w:tcBorders>
            <w:shd w:val="clear" w:color="000000" w:fill="C2D69B"/>
            <w:vAlign w:val="center"/>
            <w:hideMark/>
          </w:tcPr>
          <w:p w14:paraId="5697DD38" w14:textId="6A9D0FA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6,045,319</w:t>
            </w:r>
          </w:p>
        </w:tc>
        <w:tc>
          <w:tcPr>
            <w:tcW w:w="990" w:type="dxa"/>
            <w:tcBorders>
              <w:top w:val="nil"/>
              <w:left w:val="nil"/>
              <w:bottom w:val="single" w:sz="4" w:space="0" w:color="auto"/>
              <w:right w:val="single" w:sz="4" w:space="0" w:color="auto"/>
            </w:tcBorders>
            <w:shd w:val="clear" w:color="000000" w:fill="C2D69B"/>
            <w:vAlign w:val="center"/>
            <w:hideMark/>
          </w:tcPr>
          <w:p w14:paraId="1B0E9233" w14:textId="6987CFF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153,543</w:t>
            </w:r>
          </w:p>
        </w:tc>
        <w:tc>
          <w:tcPr>
            <w:tcW w:w="953" w:type="dxa"/>
            <w:tcBorders>
              <w:top w:val="nil"/>
              <w:left w:val="nil"/>
              <w:bottom w:val="single" w:sz="4" w:space="0" w:color="auto"/>
              <w:right w:val="single" w:sz="8" w:space="0" w:color="auto"/>
            </w:tcBorders>
            <w:shd w:val="clear" w:color="000000" w:fill="C2D69B"/>
            <w:vAlign w:val="center"/>
            <w:hideMark/>
          </w:tcPr>
          <w:p w14:paraId="190B74BD" w14:textId="07795C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1,416,218</w:t>
            </w:r>
          </w:p>
        </w:tc>
      </w:tr>
      <w:tr w:rsidR="004D73D3" w:rsidRPr="004D73D3" w14:paraId="6146C71A"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3BA1A553" w14:textId="77777777"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I. AKSESUESHMËRIA</w:t>
            </w:r>
          </w:p>
        </w:tc>
        <w:tc>
          <w:tcPr>
            <w:tcW w:w="1160" w:type="dxa"/>
            <w:tcBorders>
              <w:top w:val="nil"/>
              <w:left w:val="nil"/>
              <w:bottom w:val="single" w:sz="4" w:space="0" w:color="auto"/>
              <w:right w:val="single" w:sz="4" w:space="0" w:color="auto"/>
            </w:tcBorders>
            <w:shd w:val="clear" w:color="000000" w:fill="F276AB"/>
            <w:vAlign w:val="center"/>
            <w:hideMark/>
          </w:tcPr>
          <w:p w14:paraId="43504050"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78C00AC3"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7A69C28A"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 </w:t>
            </w:r>
          </w:p>
        </w:tc>
        <w:tc>
          <w:tcPr>
            <w:tcW w:w="1203" w:type="dxa"/>
            <w:tcBorders>
              <w:top w:val="nil"/>
              <w:left w:val="nil"/>
              <w:bottom w:val="single" w:sz="4" w:space="0" w:color="auto"/>
              <w:right w:val="single" w:sz="4" w:space="0" w:color="auto"/>
            </w:tcBorders>
            <w:shd w:val="clear" w:color="000000" w:fill="F276AB"/>
            <w:vAlign w:val="center"/>
            <w:hideMark/>
          </w:tcPr>
          <w:p w14:paraId="465910F5"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 </w:t>
            </w:r>
          </w:p>
        </w:tc>
        <w:tc>
          <w:tcPr>
            <w:tcW w:w="957" w:type="dxa"/>
            <w:tcBorders>
              <w:top w:val="nil"/>
              <w:left w:val="nil"/>
              <w:bottom w:val="single" w:sz="4" w:space="0" w:color="auto"/>
              <w:right w:val="single" w:sz="4" w:space="0" w:color="auto"/>
            </w:tcBorders>
            <w:shd w:val="clear" w:color="000000" w:fill="F276AB"/>
            <w:vAlign w:val="center"/>
            <w:hideMark/>
          </w:tcPr>
          <w:p w14:paraId="61EC6556" w14:textId="5EC4A6F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64,582</w:t>
            </w:r>
          </w:p>
        </w:tc>
        <w:tc>
          <w:tcPr>
            <w:tcW w:w="847" w:type="dxa"/>
            <w:tcBorders>
              <w:top w:val="nil"/>
              <w:left w:val="nil"/>
              <w:bottom w:val="single" w:sz="4" w:space="0" w:color="auto"/>
              <w:right w:val="single" w:sz="4" w:space="0" w:color="auto"/>
            </w:tcBorders>
            <w:shd w:val="clear" w:color="000000" w:fill="F276AB"/>
            <w:vAlign w:val="center"/>
            <w:hideMark/>
          </w:tcPr>
          <w:p w14:paraId="44F88862" w14:textId="5C2933D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93,903</w:t>
            </w:r>
          </w:p>
        </w:tc>
        <w:tc>
          <w:tcPr>
            <w:tcW w:w="720" w:type="dxa"/>
            <w:tcBorders>
              <w:top w:val="nil"/>
              <w:left w:val="nil"/>
              <w:bottom w:val="single" w:sz="4" w:space="0" w:color="auto"/>
              <w:right w:val="single" w:sz="4" w:space="0" w:color="auto"/>
            </w:tcBorders>
            <w:shd w:val="clear" w:color="000000" w:fill="F276AB"/>
            <w:vAlign w:val="center"/>
            <w:hideMark/>
          </w:tcPr>
          <w:p w14:paraId="0D94DFE9" w14:textId="625798A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58,292</w:t>
            </w:r>
          </w:p>
        </w:tc>
        <w:tc>
          <w:tcPr>
            <w:tcW w:w="810" w:type="dxa"/>
            <w:tcBorders>
              <w:top w:val="nil"/>
              <w:left w:val="nil"/>
              <w:bottom w:val="single" w:sz="4" w:space="0" w:color="auto"/>
              <w:right w:val="single" w:sz="4" w:space="0" w:color="auto"/>
            </w:tcBorders>
            <w:shd w:val="clear" w:color="000000" w:fill="F276AB"/>
            <w:vAlign w:val="center"/>
            <w:hideMark/>
          </w:tcPr>
          <w:p w14:paraId="235EABFD" w14:textId="6C8F413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54,851</w:t>
            </w:r>
          </w:p>
        </w:tc>
        <w:tc>
          <w:tcPr>
            <w:tcW w:w="646" w:type="dxa"/>
            <w:tcBorders>
              <w:top w:val="nil"/>
              <w:left w:val="nil"/>
              <w:bottom w:val="single" w:sz="4" w:space="0" w:color="auto"/>
              <w:right w:val="single" w:sz="4" w:space="0" w:color="auto"/>
            </w:tcBorders>
            <w:shd w:val="clear" w:color="000000" w:fill="F276AB"/>
            <w:vAlign w:val="center"/>
            <w:hideMark/>
          </w:tcPr>
          <w:p w14:paraId="01F8C12F" w14:textId="3D9834A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46,265</w:t>
            </w:r>
          </w:p>
        </w:tc>
        <w:tc>
          <w:tcPr>
            <w:tcW w:w="974" w:type="dxa"/>
            <w:tcBorders>
              <w:top w:val="nil"/>
              <w:left w:val="nil"/>
              <w:bottom w:val="single" w:sz="4" w:space="0" w:color="auto"/>
              <w:right w:val="nil"/>
            </w:tcBorders>
            <w:shd w:val="clear" w:color="000000" w:fill="F276AB"/>
            <w:vAlign w:val="center"/>
            <w:hideMark/>
          </w:tcPr>
          <w:p w14:paraId="3F17EB5C" w14:textId="7DA2960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317,893</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13AD069D" w14:textId="73A0C9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225,633</w:t>
            </w:r>
          </w:p>
        </w:tc>
        <w:tc>
          <w:tcPr>
            <w:tcW w:w="990" w:type="dxa"/>
            <w:tcBorders>
              <w:top w:val="nil"/>
              <w:left w:val="nil"/>
              <w:bottom w:val="single" w:sz="4" w:space="0" w:color="auto"/>
              <w:right w:val="single" w:sz="4" w:space="0" w:color="auto"/>
            </w:tcBorders>
            <w:shd w:val="clear" w:color="000000" w:fill="F276AB"/>
            <w:vAlign w:val="center"/>
            <w:hideMark/>
          </w:tcPr>
          <w:p w14:paraId="6FE36583" w14:textId="3455584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25,950</w:t>
            </w:r>
          </w:p>
        </w:tc>
        <w:tc>
          <w:tcPr>
            <w:tcW w:w="953" w:type="dxa"/>
            <w:tcBorders>
              <w:top w:val="nil"/>
              <w:left w:val="nil"/>
              <w:bottom w:val="single" w:sz="4" w:space="0" w:color="auto"/>
              <w:right w:val="single" w:sz="8" w:space="0" w:color="auto"/>
            </w:tcBorders>
            <w:shd w:val="clear" w:color="000000" w:fill="F276AB"/>
            <w:vAlign w:val="center"/>
            <w:hideMark/>
          </w:tcPr>
          <w:p w14:paraId="01BA4070" w14:textId="2C4786C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66,310</w:t>
            </w:r>
          </w:p>
        </w:tc>
      </w:tr>
      <w:tr w:rsidR="004D73D3" w:rsidRPr="004D73D3" w14:paraId="775C93F7" w14:textId="77777777" w:rsidTr="004B31D6">
        <w:trPr>
          <w:trHeight w:val="79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7351160C"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Aksesueshmëria në mjedisin ndërtimor, infrastrukturë dhe në produkte e shërbime.</w:t>
            </w:r>
          </w:p>
        </w:tc>
        <w:tc>
          <w:tcPr>
            <w:tcW w:w="1160" w:type="dxa"/>
            <w:tcBorders>
              <w:top w:val="nil"/>
              <w:left w:val="nil"/>
              <w:bottom w:val="single" w:sz="4" w:space="0" w:color="auto"/>
              <w:right w:val="single" w:sz="4" w:space="0" w:color="auto"/>
            </w:tcBorders>
            <w:shd w:val="clear" w:color="000000" w:fill="FDE9D9"/>
            <w:vAlign w:val="center"/>
            <w:hideMark/>
          </w:tcPr>
          <w:p w14:paraId="08C7C6E5"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7325EE52"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1134A34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 KM</w:t>
            </w:r>
          </w:p>
        </w:tc>
        <w:tc>
          <w:tcPr>
            <w:tcW w:w="1203" w:type="dxa"/>
            <w:tcBorders>
              <w:top w:val="nil"/>
              <w:left w:val="nil"/>
              <w:bottom w:val="single" w:sz="4" w:space="0" w:color="auto"/>
              <w:right w:val="single" w:sz="8" w:space="0" w:color="auto"/>
            </w:tcBorders>
            <w:shd w:val="clear" w:color="000000" w:fill="FDE9D9"/>
            <w:vAlign w:val="center"/>
            <w:hideMark/>
          </w:tcPr>
          <w:p w14:paraId="2B69567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Autoriteti/ /Te gjithe Institucionet / OJF, Universiteti Politeknik</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0327652F" w14:textId="6A0E70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9,320</w:t>
            </w:r>
          </w:p>
        </w:tc>
        <w:tc>
          <w:tcPr>
            <w:tcW w:w="847" w:type="dxa"/>
            <w:tcBorders>
              <w:top w:val="nil"/>
              <w:left w:val="nil"/>
              <w:bottom w:val="single" w:sz="4" w:space="0" w:color="auto"/>
              <w:right w:val="single" w:sz="4" w:space="0" w:color="auto"/>
            </w:tcBorders>
            <w:shd w:val="clear" w:color="000000" w:fill="FDE9D9"/>
            <w:vAlign w:val="center"/>
            <w:hideMark/>
          </w:tcPr>
          <w:p w14:paraId="19616DE7" w14:textId="68805AB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24,570</w:t>
            </w:r>
          </w:p>
        </w:tc>
        <w:tc>
          <w:tcPr>
            <w:tcW w:w="720" w:type="dxa"/>
            <w:tcBorders>
              <w:top w:val="nil"/>
              <w:left w:val="nil"/>
              <w:bottom w:val="single" w:sz="4" w:space="0" w:color="auto"/>
              <w:right w:val="single" w:sz="4" w:space="0" w:color="auto"/>
            </w:tcBorders>
            <w:shd w:val="clear" w:color="000000" w:fill="FDE9D9"/>
            <w:vAlign w:val="center"/>
            <w:hideMark/>
          </w:tcPr>
          <w:p w14:paraId="49C208BE" w14:textId="7A20669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32,186</w:t>
            </w:r>
          </w:p>
        </w:tc>
        <w:tc>
          <w:tcPr>
            <w:tcW w:w="810" w:type="dxa"/>
            <w:tcBorders>
              <w:top w:val="nil"/>
              <w:left w:val="nil"/>
              <w:bottom w:val="single" w:sz="4" w:space="0" w:color="auto"/>
              <w:right w:val="single" w:sz="4" w:space="0" w:color="auto"/>
            </w:tcBorders>
            <w:shd w:val="clear" w:color="000000" w:fill="FDE9D9"/>
            <w:vAlign w:val="center"/>
            <w:hideMark/>
          </w:tcPr>
          <w:p w14:paraId="33D638FE" w14:textId="3FAC66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32,186</w:t>
            </w:r>
          </w:p>
        </w:tc>
        <w:tc>
          <w:tcPr>
            <w:tcW w:w="646" w:type="dxa"/>
            <w:tcBorders>
              <w:top w:val="nil"/>
              <w:left w:val="nil"/>
              <w:bottom w:val="single" w:sz="4" w:space="0" w:color="auto"/>
              <w:right w:val="single" w:sz="4" w:space="0" w:color="auto"/>
            </w:tcBorders>
            <w:shd w:val="clear" w:color="000000" w:fill="FDE9D9"/>
            <w:vAlign w:val="center"/>
            <w:hideMark/>
          </w:tcPr>
          <w:p w14:paraId="3C552531" w14:textId="59B276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24,836</w:t>
            </w:r>
          </w:p>
        </w:tc>
        <w:tc>
          <w:tcPr>
            <w:tcW w:w="974" w:type="dxa"/>
            <w:tcBorders>
              <w:top w:val="nil"/>
              <w:left w:val="nil"/>
              <w:bottom w:val="single" w:sz="4" w:space="0" w:color="auto"/>
              <w:right w:val="nil"/>
            </w:tcBorders>
            <w:shd w:val="clear" w:color="000000" w:fill="FDE9D9"/>
            <w:vAlign w:val="center"/>
            <w:hideMark/>
          </w:tcPr>
          <w:p w14:paraId="29809621" w14:textId="1338A7B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123,099</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450C34D9" w14:textId="5CB835E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70,749</w:t>
            </w:r>
          </w:p>
        </w:tc>
        <w:tc>
          <w:tcPr>
            <w:tcW w:w="990" w:type="dxa"/>
            <w:tcBorders>
              <w:top w:val="nil"/>
              <w:left w:val="nil"/>
              <w:bottom w:val="single" w:sz="4" w:space="0" w:color="auto"/>
              <w:right w:val="single" w:sz="4" w:space="0" w:color="auto"/>
            </w:tcBorders>
            <w:shd w:val="clear" w:color="000000" w:fill="FDE9D9"/>
            <w:vAlign w:val="center"/>
            <w:hideMark/>
          </w:tcPr>
          <w:p w14:paraId="00543FE7" w14:textId="7712996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19,100</w:t>
            </w:r>
          </w:p>
        </w:tc>
        <w:tc>
          <w:tcPr>
            <w:tcW w:w="953" w:type="dxa"/>
            <w:tcBorders>
              <w:top w:val="nil"/>
              <w:left w:val="nil"/>
              <w:bottom w:val="single" w:sz="4" w:space="0" w:color="auto"/>
              <w:right w:val="single" w:sz="8" w:space="0" w:color="auto"/>
            </w:tcBorders>
            <w:shd w:val="clear" w:color="000000" w:fill="FDE9D9"/>
            <w:vAlign w:val="center"/>
            <w:hideMark/>
          </w:tcPr>
          <w:p w14:paraId="3B2436F1" w14:textId="2666AF4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33,250</w:t>
            </w:r>
          </w:p>
        </w:tc>
      </w:tr>
      <w:tr w:rsidR="004D73D3" w:rsidRPr="004D73D3" w14:paraId="365A1C97"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5A55FD8"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1.1 </w:t>
            </w:r>
            <w:r w:rsidRPr="00817FC2">
              <w:rPr>
                <w:rFonts w:eastAsia="Times New Roman"/>
                <w:bCs/>
                <w:color w:val="000000"/>
                <w:sz w:val="16"/>
                <w:szCs w:val="16"/>
                <w:lang w:val="en-US" w:eastAsia="en-US"/>
              </w:rPr>
              <w:t>Rishikimi i bazës ligjore për aksesueshmërinë dhe fuqizimi i monitorimit të zbatimit të saj.  Ngritja dhe funksionimi i Struktures monitoruese/Autoritetit, në varësi të Këshillit të Ministrave, për monitorim në nivel kombëtar</w:t>
            </w:r>
          </w:p>
        </w:tc>
        <w:tc>
          <w:tcPr>
            <w:tcW w:w="1160" w:type="dxa"/>
            <w:tcBorders>
              <w:top w:val="nil"/>
              <w:left w:val="nil"/>
              <w:bottom w:val="single" w:sz="4" w:space="0" w:color="auto"/>
              <w:right w:val="single" w:sz="4" w:space="0" w:color="auto"/>
            </w:tcBorders>
            <w:shd w:val="clear" w:color="000000" w:fill="DCE6F1"/>
            <w:vAlign w:val="center"/>
            <w:hideMark/>
          </w:tcPr>
          <w:p w14:paraId="245AB7B7"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7469D94"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7B18162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 KM</w:t>
            </w:r>
          </w:p>
        </w:tc>
        <w:tc>
          <w:tcPr>
            <w:tcW w:w="1203" w:type="dxa"/>
            <w:tcBorders>
              <w:top w:val="nil"/>
              <w:left w:val="nil"/>
              <w:bottom w:val="single" w:sz="4" w:space="0" w:color="auto"/>
              <w:right w:val="single" w:sz="8" w:space="0" w:color="auto"/>
            </w:tcBorders>
            <w:shd w:val="clear" w:color="000000" w:fill="DCE6F1"/>
            <w:vAlign w:val="center"/>
            <w:hideMark/>
          </w:tcPr>
          <w:p w14:paraId="6616926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Autoriteti/ /Te gjithe Institucionet / OJF, Universiteti Politeknik</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AFBA17C" w14:textId="7E6B682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7,866</w:t>
            </w:r>
          </w:p>
        </w:tc>
        <w:tc>
          <w:tcPr>
            <w:tcW w:w="847" w:type="dxa"/>
            <w:tcBorders>
              <w:top w:val="nil"/>
              <w:left w:val="nil"/>
              <w:bottom w:val="single" w:sz="4" w:space="0" w:color="auto"/>
              <w:right w:val="single" w:sz="4" w:space="0" w:color="auto"/>
            </w:tcBorders>
            <w:shd w:val="clear" w:color="000000" w:fill="DCE6F1"/>
            <w:vAlign w:val="center"/>
            <w:hideMark/>
          </w:tcPr>
          <w:p w14:paraId="726ED5A1" w14:textId="7FA285D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17,116</w:t>
            </w:r>
          </w:p>
        </w:tc>
        <w:tc>
          <w:tcPr>
            <w:tcW w:w="720" w:type="dxa"/>
            <w:tcBorders>
              <w:top w:val="nil"/>
              <w:left w:val="nil"/>
              <w:bottom w:val="single" w:sz="4" w:space="0" w:color="auto"/>
              <w:right w:val="single" w:sz="4" w:space="0" w:color="auto"/>
            </w:tcBorders>
            <w:shd w:val="clear" w:color="000000" w:fill="DCE6F1"/>
            <w:vAlign w:val="center"/>
            <w:hideMark/>
          </w:tcPr>
          <w:p w14:paraId="21067B8C" w14:textId="034CE83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23,232</w:t>
            </w:r>
          </w:p>
        </w:tc>
        <w:tc>
          <w:tcPr>
            <w:tcW w:w="810" w:type="dxa"/>
            <w:tcBorders>
              <w:top w:val="nil"/>
              <w:left w:val="nil"/>
              <w:bottom w:val="single" w:sz="4" w:space="0" w:color="auto"/>
              <w:right w:val="single" w:sz="4" w:space="0" w:color="auto"/>
            </w:tcBorders>
            <w:shd w:val="clear" w:color="000000" w:fill="DCE6F1"/>
            <w:vAlign w:val="center"/>
            <w:hideMark/>
          </w:tcPr>
          <w:p w14:paraId="10BE7FA8" w14:textId="190F7E8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23,232</w:t>
            </w:r>
          </w:p>
        </w:tc>
        <w:tc>
          <w:tcPr>
            <w:tcW w:w="646" w:type="dxa"/>
            <w:tcBorders>
              <w:top w:val="nil"/>
              <w:left w:val="nil"/>
              <w:bottom w:val="single" w:sz="4" w:space="0" w:color="auto"/>
              <w:right w:val="single" w:sz="4" w:space="0" w:color="auto"/>
            </w:tcBorders>
            <w:shd w:val="clear" w:color="000000" w:fill="DCE6F1"/>
            <w:vAlign w:val="center"/>
            <w:hideMark/>
          </w:tcPr>
          <w:p w14:paraId="773402AE" w14:textId="59FF448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23,232</w:t>
            </w:r>
          </w:p>
        </w:tc>
        <w:tc>
          <w:tcPr>
            <w:tcW w:w="974" w:type="dxa"/>
            <w:tcBorders>
              <w:top w:val="nil"/>
              <w:left w:val="nil"/>
              <w:bottom w:val="single" w:sz="4" w:space="0" w:color="auto"/>
              <w:right w:val="nil"/>
            </w:tcBorders>
            <w:shd w:val="clear" w:color="000000" w:fill="DCE6F1"/>
            <w:vAlign w:val="center"/>
            <w:hideMark/>
          </w:tcPr>
          <w:p w14:paraId="2157C553" w14:textId="3E82B8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94,677</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F39BB39" w14:textId="59D049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53,177</w:t>
            </w:r>
          </w:p>
        </w:tc>
        <w:tc>
          <w:tcPr>
            <w:tcW w:w="990" w:type="dxa"/>
            <w:tcBorders>
              <w:top w:val="nil"/>
              <w:left w:val="nil"/>
              <w:bottom w:val="single" w:sz="4" w:space="0" w:color="auto"/>
              <w:right w:val="single" w:sz="4" w:space="0" w:color="auto"/>
            </w:tcBorders>
            <w:shd w:val="clear" w:color="000000" w:fill="DCE6F1"/>
            <w:vAlign w:val="center"/>
            <w:hideMark/>
          </w:tcPr>
          <w:p w14:paraId="24D04AC8" w14:textId="19C3F13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18,100</w:t>
            </w:r>
          </w:p>
        </w:tc>
        <w:tc>
          <w:tcPr>
            <w:tcW w:w="953" w:type="dxa"/>
            <w:tcBorders>
              <w:top w:val="nil"/>
              <w:left w:val="nil"/>
              <w:bottom w:val="single" w:sz="4" w:space="0" w:color="auto"/>
              <w:right w:val="single" w:sz="8" w:space="0" w:color="auto"/>
            </w:tcBorders>
            <w:shd w:val="clear" w:color="000000" w:fill="DCE6F1"/>
            <w:vAlign w:val="center"/>
            <w:hideMark/>
          </w:tcPr>
          <w:p w14:paraId="65D1A2A9" w14:textId="4A9C891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23,400</w:t>
            </w:r>
          </w:p>
        </w:tc>
      </w:tr>
      <w:tr w:rsidR="004D73D3" w:rsidRPr="004D73D3" w14:paraId="22341AEB" w14:textId="77777777" w:rsidTr="004B31D6">
        <w:trPr>
          <w:trHeight w:val="158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A07959D"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1.2 </w:t>
            </w:r>
            <w:r w:rsidRPr="00817FC2">
              <w:rPr>
                <w:rFonts w:eastAsia="Times New Roman"/>
                <w:bCs/>
                <w:color w:val="000000"/>
                <w:sz w:val="16"/>
                <w:szCs w:val="16"/>
                <w:lang w:val="en-US" w:eastAsia="en-US"/>
              </w:rPr>
              <w:t>Vlerësimi i situatës së aksesueshmërisë së aseteve publike (ndërtesa dhe infrastrukturë), planifikimi i buxhetit përkatës dhe detajimi i planit me aksione konkrete për përfshirjen e elementeve të aksesueshmërisë në të gjitha asetet, sipas përparësive.</w:t>
            </w:r>
          </w:p>
        </w:tc>
        <w:tc>
          <w:tcPr>
            <w:tcW w:w="1160" w:type="dxa"/>
            <w:tcBorders>
              <w:top w:val="nil"/>
              <w:left w:val="nil"/>
              <w:bottom w:val="single" w:sz="4" w:space="0" w:color="auto"/>
              <w:right w:val="single" w:sz="4" w:space="0" w:color="auto"/>
            </w:tcBorders>
            <w:shd w:val="clear" w:color="000000" w:fill="DCE6F1"/>
            <w:vAlign w:val="center"/>
            <w:hideMark/>
          </w:tcPr>
          <w:p w14:paraId="500369D2"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2DFF8990"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F4D1ED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MIE/MSHMS/KM (autoriteti)</w:t>
            </w:r>
          </w:p>
        </w:tc>
        <w:tc>
          <w:tcPr>
            <w:tcW w:w="1203" w:type="dxa"/>
            <w:tcBorders>
              <w:top w:val="nil"/>
              <w:left w:val="nil"/>
              <w:bottom w:val="single" w:sz="4" w:space="0" w:color="auto"/>
              <w:right w:val="single" w:sz="8" w:space="0" w:color="auto"/>
            </w:tcBorders>
            <w:shd w:val="clear" w:color="000000" w:fill="DCE6F1"/>
            <w:vAlign w:val="center"/>
            <w:hideMark/>
          </w:tcPr>
          <w:p w14:paraId="0CA533E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Auroriteti, të gjitha institucionet/ studente te UP/ Të gjitha institucionet/ bashkitë/bizneset/ Universiteti Politeknik</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8C46920" w14:textId="1623A6A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1,455</w:t>
            </w:r>
          </w:p>
        </w:tc>
        <w:tc>
          <w:tcPr>
            <w:tcW w:w="847" w:type="dxa"/>
            <w:tcBorders>
              <w:top w:val="nil"/>
              <w:left w:val="nil"/>
              <w:bottom w:val="single" w:sz="4" w:space="0" w:color="auto"/>
              <w:right w:val="single" w:sz="4" w:space="0" w:color="auto"/>
            </w:tcBorders>
            <w:shd w:val="clear" w:color="000000" w:fill="DCE6F1"/>
            <w:vAlign w:val="center"/>
            <w:hideMark/>
          </w:tcPr>
          <w:p w14:paraId="6201CC69" w14:textId="087388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7,455</w:t>
            </w:r>
          </w:p>
        </w:tc>
        <w:tc>
          <w:tcPr>
            <w:tcW w:w="720" w:type="dxa"/>
            <w:tcBorders>
              <w:top w:val="nil"/>
              <w:left w:val="nil"/>
              <w:bottom w:val="single" w:sz="4" w:space="0" w:color="auto"/>
              <w:right w:val="single" w:sz="4" w:space="0" w:color="auto"/>
            </w:tcBorders>
            <w:shd w:val="clear" w:color="000000" w:fill="DCE6F1"/>
            <w:vAlign w:val="center"/>
            <w:hideMark/>
          </w:tcPr>
          <w:p w14:paraId="7A0BC589" w14:textId="5FEF166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8,955</w:t>
            </w:r>
          </w:p>
        </w:tc>
        <w:tc>
          <w:tcPr>
            <w:tcW w:w="810" w:type="dxa"/>
            <w:tcBorders>
              <w:top w:val="nil"/>
              <w:left w:val="nil"/>
              <w:bottom w:val="single" w:sz="4" w:space="0" w:color="auto"/>
              <w:right w:val="single" w:sz="4" w:space="0" w:color="auto"/>
            </w:tcBorders>
            <w:shd w:val="clear" w:color="000000" w:fill="DCE6F1"/>
            <w:vAlign w:val="center"/>
            <w:hideMark/>
          </w:tcPr>
          <w:p w14:paraId="30A62077" w14:textId="4CC6709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8,955</w:t>
            </w:r>
          </w:p>
        </w:tc>
        <w:tc>
          <w:tcPr>
            <w:tcW w:w="646" w:type="dxa"/>
            <w:tcBorders>
              <w:top w:val="nil"/>
              <w:left w:val="nil"/>
              <w:bottom w:val="single" w:sz="4" w:space="0" w:color="auto"/>
              <w:right w:val="single" w:sz="4" w:space="0" w:color="auto"/>
            </w:tcBorders>
            <w:shd w:val="clear" w:color="000000" w:fill="DCE6F1"/>
            <w:vAlign w:val="center"/>
            <w:hideMark/>
          </w:tcPr>
          <w:p w14:paraId="70384D45" w14:textId="6DDEF36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1,605</w:t>
            </w:r>
          </w:p>
        </w:tc>
        <w:tc>
          <w:tcPr>
            <w:tcW w:w="974" w:type="dxa"/>
            <w:tcBorders>
              <w:top w:val="nil"/>
              <w:left w:val="nil"/>
              <w:bottom w:val="single" w:sz="4" w:space="0" w:color="auto"/>
              <w:right w:val="nil"/>
            </w:tcBorders>
            <w:shd w:val="clear" w:color="000000" w:fill="DCE6F1"/>
            <w:vAlign w:val="center"/>
            <w:hideMark/>
          </w:tcPr>
          <w:p w14:paraId="3AF93A51" w14:textId="3CB3370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28,423</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63EFEA2" w14:textId="1B2B6C6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17,573</w:t>
            </w:r>
          </w:p>
        </w:tc>
        <w:tc>
          <w:tcPr>
            <w:tcW w:w="990" w:type="dxa"/>
            <w:tcBorders>
              <w:top w:val="nil"/>
              <w:left w:val="nil"/>
              <w:bottom w:val="single" w:sz="4" w:space="0" w:color="auto"/>
              <w:right w:val="single" w:sz="4" w:space="0" w:color="auto"/>
            </w:tcBorders>
            <w:shd w:val="clear" w:color="000000" w:fill="DCE6F1"/>
            <w:vAlign w:val="center"/>
            <w:hideMark/>
          </w:tcPr>
          <w:p w14:paraId="39BB5216" w14:textId="35A722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953" w:type="dxa"/>
            <w:tcBorders>
              <w:top w:val="nil"/>
              <w:left w:val="nil"/>
              <w:bottom w:val="single" w:sz="4" w:space="0" w:color="auto"/>
              <w:right w:val="single" w:sz="8" w:space="0" w:color="auto"/>
            </w:tcBorders>
            <w:shd w:val="clear" w:color="000000" w:fill="DCE6F1"/>
            <w:vAlign w:val="center"/>
            <w:hideMark/>
          </w:tcPr>
          <w:p w14:paraId="6248E989" w14:textId="0CF18E5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9,850</w:t>
            </w:r>
          </w:p>
        </w:tc>
      </w:tr>
      <w:tr w:rsidR="004D73D3" w:rsidRPr="004D73D3" w14:paraId="3355482C" w14:textId="77777777" w:rsidTr="004B31D6">
        <w:trPr>
          <w:trHeight w:val="132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43F95D4C"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2: Aksesueshmëria në transport, në shërbime dhe mjete: Të përmirësohet niveli i aksesueshmërisë  në transportin  publik, si në mjetet edhe në shërbime ndaj udhëtarëve me aftësi të kufizuara. Të mundësohet udhëtimi falas për PAK.</w:t>
            </w:r>
          </w:p>
        </w:tc>
        <w:tc>
          <w:tcPr>
            <w:tcW w:w="1160" w:type="dxa"/>
            <w:tcBorders>
              <w:top w:val="nil"/>
              <w:left w:val="nil"/>
              <w:bottom w:val="single" w:sz="4" w:space="0" w:color="auto"/>
              <w:right w:val="single" w:sz="4" w:space="0" w:color="auto"/>
            </w:tcBorders>
            <w:shd w:val="clear" w:color="000000" w:fill="FDE9D9"/>
            <w:vAlign w:val="center"/>
            <w:hideMark/>
          </w:tcPr>
          <w:p w14:paraId="507D01BA"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66B82398"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413A750E"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MIE/NJVQK/DPSHTRR/MSHMS/KMD/BASHKIA</w:t>
            </w:r>
          </w:p>
        </w:tc>
        <w:tc>
          <w:tcPr>
            <w:tcW w:w="1203" w:type="dxa"/>
            <w:tcBorders>
              <w:top w:val="nil"/>
              <w:left w:val="nil"/>
              <w:bottom w:val="single" w:sz="4" w:space="0" w:color="auto"/>
              <w:right w:val="nil"/>
            </w:tcBorders>
            <w:shd w:val="clear" w:color="000000" w:fill="FDE9D9"/>
            <w:vAlign w:val="center"/>
            <w:hideMark/>
          </w:tcPr>
          <w:p w14:paraId="7AA97712"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DPSHTRR/Bashkite &amp; Shoqatat e transportit/ofrues sherbimesh / OJF/MSHMS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249D756" w14:textId="3466BBC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2,914</w:t>
            </w:r>
          </w:p>
        </w:tc>
        <w:tc>
          <w:tcPr>
            <w:tcW w:w="847" w:type="dxa"/>
            <w:tcBorders>
              <w:top w:val="nil"/>
              <w:left w:val="nil"/>
              <w:bottom w:val="single" w:sz="4" w:space="0" w:color="auto"/>
              <w:right w:val="single" w:sz="4" w:space="0" w:color="auto"/>
            </w:tcBorders>
            <w:shd w:val="clear" w:color="000000" w:fill="FDE9D9"/>
            <w:vAlign w:val="center"/>
            <w:hideMark/>
          </w:tcPr>
          <w:p w14:paraId="75D6EA5C" w14:textId="5F14D4C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4,248</w:t>
            </w:r>
          </w:p>
        </w:tc>
        <w:tc>
          <w:tcPr>
            <w:tcW w:w="720" w:type="dxa"/>
            <w:tcBorders>
              <w:top w:val="nil"/>
              <w:left w:val="nil"/>
              <w:bottom w:val="single" w:sz="4" w:space="0" w:color="auto"/>
              <w:right w:val="single" w:sz="4" w:space="0" w:color="auto"/>
            </w:tcBorders>
            <w:shd w:val="clear" w:color="000000" w:fill="FDE9D9"/>
            <w:vAlign w:val="center"/>
            <w:hideMark/>
          </w:tcPr>
          <w:p w14:paraId="50E9CFBF" w14:textId="0634B4C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3,770</w:t>
            </w:r>
          </w:p>
        </w:tc>
        <w:tc>
          <w:tcPr>
            <w:tcW w:w="810" w:type="dxa"/>
            <w:tcBorders>
              <w:top w:val="nil"/>
              <w:left w:val="nil"/>
              <w:bottom w:val="single" w:sz="4" w:space="0" w:color="auto"/>
              <w:right w:val="single" w:sz="4" w:space="0" w:color="auto"/>
            </w:tcBorders>
            <w:shd w:val="clear" w:color="000000" w:fill="FDE9D9"/>
            <w:vAlign w:val="center"/>
            <w:hideMark/>
          </w:tcPr>
          <w:p w14:paraId="34D3A3AF" w14:textId="63AA76A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2,336</w:t>
            </w:r>
          </w:p>
        </w:tc>
        <w:tc>
          <w:tcPr>
            <w:tcW w:w="646" w:type="dxa"/>
            <w:tcBorders>
              <w:top w:val="nil"/>
              <w:left w:val="nil"/>
              <w:bottom w:val="single" w:sz="4" w:space="0" w:color="auto"/>
              <w:right w:val="single" w:sz="4" w:space="0" w:color="auto"/>
            </w:tcBorders>
            <w:shd w:val="clear" w:color="000000" w:fill="FDE9D9"/>
            <w:vAlign w:val="center"/>
            <w:hideMark/>
          </w:tcPr>
          <w:p w14:paraId="363B4D7C" w14:textId="47B6418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1,136</w:t>
            </w:r>
          </w:p>
        </w:tc>
        <w:tc>
          <w:tcPr>
            <w:tcW w:w="974" w:type="dxa"/>
            <w:tcBorders>
              <w:top w:val="nil"/>
              <w:left w:val="nil"/>
              <w:bottom w:val="single" w:sz="4" w:space="0" w:color="auto"/>
              <w:right w:val="nil"/>
            </w:tcBorders>
            <w:shd w:val="clear" w:color="000000" w:fill="FDE9D9"/>
            <w:vAlign w:val="center"/>
            <w:hideMark/>
          </w:tcPr>
          <w:p w14:paraId="1C1870E1" w14:textId="472AA80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14,405</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70AF319D" w14:textId="552B8E3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2,455</w:t>
            </w:r>
          </w:p>
        </w:tc>
        <w:tc>
          <w:tcPr>
            <w:tcW w:w="990" w:type="dxa"/>
            <w:tcBorders>
              <w:top w:val="nil"/>
              <w:left w:val="nil"/>
              <w:bottom w:val="single" w:sz="4" w:space="0" w:color="auto"/>
              <w:right w:val="single" w:sz="4" w:space="0" w:color="auto"/>
            </w:tcBorders>
            <w:shd w:val="clear" w:color="000000" w:fill="FDE9D9"/>
            <w:vAlign w:val="center"/>
            <w:hideMark/>
          </w:tcPr>
          <w:p w14:paraId="0C0F57FD" w14:textId="6FEB29A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2,250</w:t>
            </w:r>
          </w:p>
        </w:tc>
        <w:tc>
          <w:tcPr>
            <w:tcW w:w="953" w:type="dxa"/>
            <w:tcBorders>
              <w:top w:val="nil"/>
              <w:left w:val="nil"/>
              <w:bottom w:val="single" w:sz="4" w:space="0" w:color="auto"/>
              <w:right w:val="single" w:sz="8" w:space="0" w:color="auto"/>
            </w:tcBorders>
            <w:shd w:val="clear" w:color="000000" w:fill="FDE9D9"/>
            <w:vAlign w:val="center"/>
            <w:hideMark/>
          </w:tcPr>
          <w:p w14:paraId="43AF3371" w14:textId="15FA678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9,700</w:t>
            </w:r>
          </w:p>
        </w:tc>
      </w:tr>
      <w:tr w:rsidR="004D73D3" w:rsidRPr="004D73D3" w14:paraId="64BFBB28"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9BE9CD1"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lastRenderedPageBreak/>
              <w:t xml:space="preserve">Masa prioritare 2.1 </w:t>
            </w:r>
            <w:r w:rsidRPr="00817FC2">
              <w:rPr>
                <w:rFonts w:eastAsia="Times New Roman"/>
                <w:bCs/>
                <w:color w:val="000000"/>
                <w:sz w:val="16"/>
                <w:szCs w:val="16"/>
                <w:lang w:val="en-US" w:eastAsia="en-US"/>
              </w:rPr>
              <w:t>Të aplikohen standardet e BE-së dhe të përafrohet kuadri ligjor për të mundësuar realizimin e të drejtae të pasagjerëve me aftësi të kufizuara në udhëtimet me  autobusë (brenda qyteteve dhe ndër qytete), dhe te gjitha mjetet e tjera te transportit. Përmirësimi i qëndrimeve dhe sjelljeve ndaj udhëtarëve me  aftësi të kufizuara</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50930027"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3279A62B"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7FE89CD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MIE/NJVQK/DPSHTRR/MSHMS/KMD/BASHKIA</w:t>
            </w:r>
          </w:p>
        </w:tc>
        <w:tc>
          <w:tcPr>
            <w:tcW w:w="1203" w:type="dxa"/>
            <w:tcBorders>
              <w:top w:val="nil"/>
              <w:left w:val="nil"/>
              <w:bottom w:val="single" w:sz="4" w:space="0" w:color="auto"/>
              <w:right w:val="nil"/>
            </w:tcBorders>
            <w:shd w:val="clear" w:color="000000" w:fill="DCE6F1"/>
            <w:vAlign w:val="center"/>
            <w:hideMark/>
          </w:tcPr>
          <w:p w14:paraId="19D56FB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DPSHTRR/Bashkite &amp; Shoqatat e transportit/ofrues sherbimesh / OJF/MSHMS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2C2BC5AE" w14:textId="4826E72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2,914</w:t>
            </w:r>
          </w:p>
        </w:tc>
        <w:tc>
          <w:tcPr>
            <w:tcW w:w="847" w:type="dxa"/>
            <w:tcBorders>
              <w:top w:val="nil"/>
              <w:left w:val="nil"/>
              <w:bottom w:val="single" w:sz="4" w:space="0" w:color="auto"/>
              <w:right w:val="single" w:sz="4" w:space="0" w:color="auto"/>
            </w:tcBorders>
            <w:shd w:val="clear" w:color="000000" w:fill="DCE6F1"/>
            <w:vAlign w:val="center"/>
            <w:hideMark/>
          </w:tcPr>
          <w:p w14:paraId="264B63E7" w14:textId="1C6F40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4,248</w:t>
            </w:r>
          </w:p>
        </w:tc>
        <w:tc>
          <w:tcPr>
            <w:tcW w:w="720" w:type="dxa"/>
            <w:tcBorders>
              <w:top w:val="nil"/>
              <w:left w:val="nil"/>
              <w:bottom w:val="single" w:sz="4" w:space="0" w:color="auto"/>
              <w:right w:val="single" w:sz="4" w:space="0" w:color="auto"/>
            </w:tcBorders>
            <w:shd w:val="clear" w:color="000000" w:fill="DCE6F1"/>
            <w:vAlign w:val="center"/>
            <w:hideMark/>
          </w:tcPr>
          <w:p w14:paraId="35445788" w14:textId="70D3BAB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3,770</w:t>
            </w:r>
          </w:p>
        </w:tc>
        <w:tc>
          <w:tcPr>
            <w:tcW w:w="810" w:type="dxa"/>
            <w:tcBorders>
              <w:top w:val="nil"/>
              <w:left w:val="nil"/>
              <w:bottom w:val="single" w:sz="4" w:space="0" w:color="auto"/>
              <w:right w:val="single" w:sz="4" w:space="0" w:color="auto"/>
            </w:tcBorders>
            <w:shd w:val="clear" w:color="000000" w:fill="DCE6F1"/>
            <w:vAlign w:val="center"/>
            <w:hideMark/>
          </w:tcPr>
          <w:p w14:paraId="19DEC23E" w14:textId="4E12FD2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2,336</w:t>
            </w:r>
          </w:p>
        </w:tc>
        <w:tc>
          <w:tcPr>
            <w:tcW w:w="646" w:type="dxa"/>
            <w:tcBorders>
              <w:top w:val="nil"/>
              <w:left w:val="nil"/>
              <w:bottom w:val="single" w:sz="4" w:space="0" w:color="auto"/>
              <w:right w:val="single" w:sz="4" w:space="0" w:color="auto"/>
            </w:tcBorders>
            <w:shd w:val="clear" w:color="000000" w:fill="DCE6F1"/>
            <w:vAlign w:val="center"/>
            <w:hideMark/>
          </w:tcPr>
          <w:p w14:paraId="11CE8317" w14:textId="593274E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1,136</w:t>
            </w:r>
          </w:p>
        </w:tc>
        <w:tc>
          <w:tcPr>
            <w:tcW w:w="974" w:type="dxa"/>
            <w:tcBorders>
              <w:top w:val="nil"/>
              <w:left w:val="nil"/>
              <w:bottom w:val="single" w:sz="4" w:space="0" w:color="auto"/>
              <w:right w:val="nil"/>
            </w:tcBorders>
            <w:shd w:val="clear" w:color="000000" w:fill="DCE6F1"/>
            <w:vAlign w:val="center"/>
            <w:hideMark/>
          </w:tcPr>
          <w:p w14:paraId="3A87D688" w14:textId="7A0331B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14,405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83DFCB2" w14:textId="1523F08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2,455</w:t>
            </w:r>
          </w:p>
        </w:tc>
        <w:tc>
          <w:tcPr>
            <w:tcW w:w="990" w:type="dxa"/>
            <w:tcBorders>
              <w:top w:val="nil"/>
              <w:left w:val="nil"/>
              <w:bottom w:val="single" w:sz="4" w:space="0" w:color="auto"/>
              <w:right w:val="single" w:sz="4" w:space="0" w:color="auto"/>
            </w:tcBorders>
            <w:shd w:val="clear" w:color="000000" w:fill="DCE6F1"/>
            <w:vAlign w:val="center"/>
            <w:hideMark/>
          </w:tcPr>
          <w:p w14:paraId="4D13F19C" w14:textId="6194A10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2,250</w:t>
            </w:r>
          </w:p>
        </w:tc>
        <w:tc>
          <w:tcPr>
            <w:tcW w:w="953" w:type="dxa"/>
            <w:tcBorders>
              <w:top w:val="nil"/>
              <w:left w:val="nil"/>
              <w:bottom w:val="single" w:sz="4" w:space="0" w:color="auto"/>
              <w:right w:val="single" w:sz="8" w:space="0" w:color="auto"/>
            </w:tcBorders>
            <w:shd w:val="clear" w:color="000000" w:fill="DCE6F1"/>
            <w:vAlign w:val="center"/>
            <w:hideMark/>
          </w:tcPr>
          <w:p w14:paraId="1128C950" w14:textId="51C5037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9,700</w:t>
            </w:r>
          </w:p>
        </w:tc>
      </w:tr>
      <w:tr w:rsidR="004D73D3" w:rsidRPr="004D73D3" w14:paraId="2CCBBCC2" w14:textId="77777777" w:rsidTr="004B31D6">
        <w:trPr>
          <w:trHeight w:val="79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2A7BD71B"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t>Objektivi specifik A3:  Aksesueshmëria në informacion, komunikim dhe media</w:t>
            </w:r>
          </w:p>
        </w:tc>
        <w:tc>
          <w:tcPr>
            <w:tcW w:w="1160" w:type="dxa"/>
            <w:tcBorders>
              <w:top w:val="nil"/>
              <w:left w:val="nil"/>
              <w:bottom w:val="single" w:sz="4" w:space="0" w:color="auto"/>
              <w:right w:val="single" w:sz="4" w:space="0" w:color="auto"/>
            </w:tcBorders>
            <w:shd w:val="clear" w:color="000000" w:fill="FDE9D9"/>
            <w:vAlign w:val="center"/>
            <w:hideMark/>
          </w:tcPr>
          <w:p w14:paraId="6BF7FE06"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23D91681"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5A41231C"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AKSHI/AMA/MSHMS/te gjitha institucionet</w:t>
            </w:r>
          </w:p>
        </w:tc>
        <w:tc>
          <w:tcPr>
            <w:tcW w:w="1203" w:type="dxa"/>
            <w:tcBorders>
              <w:top w:val="nil"/>
              <w:left w:val="nil"/>
              <w:bottom w:val="single" w:sz="4" w:space="0" w:color="auto"/>
              <w:right w:val="nil"/>
            </w:tcBorders>
            <w:shd w:val="clear" w:color="000000" w:fill="FDE9D9"/>
            <w:vAlign w:val="center"/>
            <w:hideMark/>
          </w:tcPr>
          <w:p w14:paraId="0FECD79F"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MSHMS / OJF/operatoret</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0C189833" w14:textId="3DB4EEC7"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50,386</w:t>
            </w:r>
          </w:p>
        </w:tc>
        <w:tc>
          <w:tcPr>
            <w:tcW w:w="847" w:type="dxa"/>
            <w:tcBorders>
              <w:top w:val="nil"/>
              <w:left w:val="nil"/>
              <w:bottom w:val="single" w:sz="4" w:space="0" w:color="auto"/>
              <w:right w:val="single" w:sz="4" w:space="0" w:color="auto"/>
            </w:tcBorders>
            <w:shd w:val="clear" w:color="000000" w:fill="FDE9D9"/>
            <w:vAlign w:val="center"/>
            <w:hideMark/>
          </w:tcPr>
          <w:p w14:paraId="2693A12A" w14:textId="66F0AEC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62,624</w:t>
            </w:r>
          </w:p>
        </w:tc>
        <w:tc>
          <w:tcPr>
            <w:tcW w:w="720" w:type="dxa"/>
            <w:tcBorders>
              <w:top w:val="nil"/>
              <w:left w:val="nil"/>
              <w:bottom w:val="single" w:sz="4" w:space="0" w:color="auto"/>
              <w:right w:val="single" w:sz="4" w:space="0" w:color="auto"/>
            </w:tcBorders>
            <w:shd w:val="clear" w:color="000000" w:fill="FDE9D9"/>
            <w:vAlign w:val="center"/>
            <w:hideMark/>
          </w:tcPr>
          <w:p w14:paraId="089A8A6C" w14:textId="073D757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19,874</w:t>
            </w:r>
          </w:p>
        </w:tc>
        <w:tc>
          <w:tcPr>
            <w:tcW w:w="810" w:type="dxa"/>
            <w:tcBorders>
              <w:top w:val="nil"/>
              <w:left w:val="nil"/>
              <w:bottom w:val="single" w:sz="4" w:space="0" w:color="auto"/>
              <w:right w:val="single" w:sz="4" w:space="0" w:color="auto"/>
            </w:tcBorders>
            <w:shd w:val="clear" w:color="000000" w:fill="FDE9D9"/>
            <w:vAlign w:val="center"/>
            <w:hideMark/>
          </w:tcPr>
          <w:p w14:paraId="2BBD139F" w14:textId="3045D5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17,867</w:t>
            </w:r>
          </w:p>
        </w:tc>
        <w:tc>
          <w:tcPr>
            <w:tcW w:w="646" w:type="dxa"/>
            <w:tcBorders>
              <w:top w:val="nil"/>
              <w:left w:val="nil"/>
              <w:bottom w:val="single" w:sz="4" w:space="0" w:color="auto"/>
              <w:right w:val="single" w:sz="4" w:space="0" w:color="auto"/>
            </w:tcBorders>
            <w:shd w:val="clear" w:color="000000" w:fill="FDE9D9"/>
            <w:vAlign w:val="center"/>
            <w:hideMark/>
          </w:tcPr>
          <w:p w14:paraId="0FA6920E" w14:textId="2213679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17,831</w:t>
            </w:r>
          </w:p>
        </w:tc>
        <w:tc>
          <w:tcPr>
            <w:tcW w:w="974" w:type="dxa"/>
            <w:tcBorders>
              <w:top w:val="nil"/>
              <w:left w:val="nil"/>
              <w:bottom w:val="single" w:sz="4" w:space="0" w:color="auto"/>
              <w:right w:val="nil"/>
            </w:tcBorders>
            <w:shd w:val="clear" w:color="000000" w:fill="FDE9D9"/>
            <w:vAlign w:val="center"/>
            <w:hideMark/>
          </w:tcPr>
          <w:p w14:paraId="043DEE05" w14:textId="15FAFA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168,583</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56E0DB81" w14:textId="2262075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145,873</w:t>
            </w:r>
          </w:p>
        </w:tc>
        <w:tc>
          <w:tcPr>
            <w:tcW w:w="990" w:type="dxa"/>
            <w:tcBorders>
              <w:top w:val="nil"/>
              <w:left w:val="nil"/>
              <w:bottom w:val="single" w:sz="4" w:space="0" w:color="auto"/>
              <w:right w:val="single" w:sz="4" w:space="0" w:color="auto"/>
            </w:tcBorders>
            <w:shd w:val="clear" w:color="000000" w:fill="FDE9D9"/>
            <w:vAlign w:val="center"/>
            <w:hideMark/>
          </w:tcPr>
          <w:p w14:paraId="0B51CBB8" w14:textId="077331C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3,550</w:t>
            </w:r>
          </w:p>
        </w:tc>
        <w:tc>
          <w:tcPr>
            <w:tcW w:w="953" w:type="dxa"/>
            <w:tcBorders>
              <w:top w:val="nil"/>
              <w:left w:val="nil"/>
              <w:bottom w:val="single" w:sz="4" w:space="0" w:color="auto"/>
              <w:right w:val="single" w:sz="8" w:space="0" w:color="auto"/>
            </w:tcBorders>
            <w:shd w:val="clear" w:color="000000" w:fill="FDE9D9"/>
            <w:vAlign w:val="center"/>
            <w:hideMark/>
          </w:tcPr>
          <w:p w14:paraId="5C00FBE1" w14:textId="5A1991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19,160</w:t>
            </w:r>
          </w:p>
        </w:tc>
      </w:tr>
      <w:tr w:rsidR="004D73D3" w:rsidRPr="004D73D3" w14:paraId="69EE097B"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F152609"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t xml:space="preserve"> Masa prioritare: 3.1 </w:t>
            </w:r>
            <w:r w:rsidRPr="00807F1C">
              <w:rPr>
                <w:rFonts w:eastAsia="Times New Roman"/>
                <w:bCs/>
                <w:sz w:val="16"/>
                <w:szCs w:val="16"/>
                <w:lang w:val="en-US" w:eastAsia="en-US"/>
              </w:rPr>
              <w:t>Përmirësimet ligjore dhe adaptimi i standardeve ndërkombëtare të sigurimit të aksesueshmërisë në TIK. Strukturat për monitorimin dhe inspektimin e zbatimit të kuadrit ligjor</w:t>
            </w:r>
          </w:p>
        </w:tc>
        <w:tc>
          <w:tcPr>
            <w:tcW w:w="1160" w:type="dxa"/>
            <w:tcBorders>
              <w:top w:val="nil"/>
              <w:left w:val="nil"/>
              <w:bottom w:val="single" w:sz="4" w:space="0" w:color="auto"/>
              <w:right w:val="single" w:sz="4" w:space="0" w:color="auto"/>
            </w:tcBorders>
            <w:shd w:val="clear" w:color="000000" w:fill="DCE6F1"/>
            <w:vAlign w:val="center"/>
            <w:hideMark/>
          </w:tcPr>
          <w:p w14:paraId="0960ECA8" w14:textId="77777777" w:rsidR="004D73D3" w:rsidRPr="00807F1C" w:rsidRDefault="004D73D3" w:rsidP="004D73D3">
            <w:pPr>
              <w:jc w:val="center"/>
              <w:rPr>
                <w:rFonts w:eastAsia="Times New Roman"/>
                <w:bCs/>
                <w:sz w:val="16"/>
                <w:szCs w:val="16"/>
                <w:lang w:val="en-US" w:eastAsia="en-US"/>
              </w:rPr>
            </w:pPr>
            <w:r w:rsidRPr="00807F1C">
              <w:rPr>
                <w:rFonts w:eastAsia="Times New Roman"/>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6663A426" w14:textId="77777777" w:rsidR="004D73D3" w:rsidRPr="00807F1C" w:rsidRDefault="004D73D3" w:rsidP="004D73D3">
            <w:pPr>
              <w:jc w:val="center"/>
              <w:rPr>
                <w:rFonts w:eastAsia="Times New Roman"/>
                <w:bCs/>
                <w:sz w:val="16"/>
                <w:szCs w:val="16"/>
                <w:lang w:val="en-US" w:eastAsia="en-US"/>
              </w:rPr>
            </w:pPr>
            <w:r w:rsidRPr="00807F1C">
              <w:rPr>
                <w:rFonts w:eastAsia="Times New Roman"/>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179D2BB6"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AKSHI/AMA</w:t>
            </w:r>
          </w:p>
        </w:tc>
        <w:tc>
          <w:tcPr>
            <w:tcW w:w="1203" w:type="dxa"/>
            <w:tcBorders>
              <w:top w:val="nil"/>
              <w:left w:val="nil"/>
              <w:bottom w:val="single" w:sz="4" w:space="0" w:color="auto"/>
              <w:right w:val="nil"/>
            </w:tcBorders>
            <w:shd w:val="clear" w:color="000000" w:fill="DCE6F1"/>
            <w:vAlign w:val="center"/>
            <w:hideMark/>
          </w:tcPr>
          <w:p w14:paraId="03A299CC"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MSHMS / OJF/operatoret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FF2CED3" w14:textId="0CE96F6D"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41,523</w:t>
            </w:r>
          </w:p>
        </w:tc>
        <w:tc>
          <w:tcPr>
            <w:tcW w:w="847" w:type="dxa"/>
            <w:tcBorders>
              <w:top w:val="nil"/>
              <w:left w:val="nil"/>
              <w:bottom w:val="single" w:sz="4" w:space="0" w:color="auto"/>
              <w:right w:val="single" w:sz="4" w:space="0" w:color="auto"/>
            </w:tcBorders>
            <w:shd w:val="clear" w:color="000000" w:fill="DCE6F1"/>
            <w:vAlign w:val="center"/>
            <w:hideMark/>
          </w:tcPr>
          <w:p w14:paraId="70F53277" w14:textId="121E34B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52,760</w:t>
            </w:r>
          </w:p>
        </w:tc>
        <w:tc>
          <w:tcPr>
            <w:tcW w:w="720" w:type="dxa"/>
            <w:tcBorders>
              <w:top w:val="nil"/>
              <w:left w:val="nil"/>
              <w:bottom w:val="single" w:sz="4" w:space="0" w:color="auto"/>
              <w:right w:val="single" w:sz="4" w:space="0" w:color="auto"/>
            </w:tcBorders>
            <w:shd w:val="clear" w:color="000000" w:fill="DCE6F1"/>
            <w:vAlign w:val="center"/>
            <w:hideMark/>
          </w:tcPr>
          <w:p w14:paraId="099DF9D1" w14:textId="21D4F51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10,010</w:t>
            </w:r>
          </w:p>
        </w:tc>
        <w:tc>
          <w:tcPr>
            <w:tcW w:w="810" w:type="dxa"/>
            <w:tcBorders>
              <w:top w:val="nil"/>
              <w:left w:val="nil"/>
              <w:bottom w:val="single" w:sz="4" w:space="0" w:color="auto"/>
              <w:right w:val="single" w:sz="4" w:space="0" w:color="auto"/>
            </w:tcBorders>
            <w:shd w:val="clear" w:color="000000" w:fill="DCE6F1"/>
            <w:vAlign w:val="center"/>
            <w:hideMark/>
          </w:tcPr>
          <w:p w14:paraId="0C8580B3" w14:textId="7875A01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8,913</w:t>
            </w:r>
          </w:p>
        </w:tc>
        <w:tc>
          <w:tcPr>
            <w:tcW w:w="646" w:type="dxa"/>
            <w:tcBorders>
              <w:top w:val="nil"/>
              <w:left w:val="nil"/>
              <w:bottom w:val="single" w:sz="4" w:space="0" w:color="auto"/>
              <w:right w:val="single" w:sz="4" w:space="0" w:color="auto"/>
            </w:tcBorders>
            <w:shd w:val="clear" w:color="000000" w:fill="DCE6F1"/>
            <w:vAlign w:val="center"/>
            <w:hideMark/>
          </w:tcPr>
          <w:p w14:paraId="78A70839" w14:textId="1B20A8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8,876</w:t>
            </w:r>
          </w:p>
        </w:tc>
        <w:tc>
          <w:tcPr>
            <w:tcW w:w="974" w:type="dxa"/>
            <w:tcBorders>
              <w:top w:val="nil"/>
              <w:left w:val="nil"/>
              <w:bottom w:val="single" w:sz="4" w:space="0" w:color="auto"/>
              <w:right w:val="nil"/>
            </w:tcBorders>
            <w:shd w:val="clear" w:color="000000" w:fill="DCE6F1"/>
            <w:vAlign w:val="center"/>
            <w:hideMark/>
          </w:tcPr>
          <w:p w14:paraId="3AF37190" w14:textId="4F3FD2F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122,083</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85868B9" w14:textId="49EB5A8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115,873</w:t>
            </w:r>
          </w:p>
        </w:tc>
        <w:tc>
          <w:tcPr>
            <w:tcW w:w="990" w:type="dxa"/>
            <w:tcBorders>
              <w:top w:val="nil"/>
              <w:left w:val="nil"/>
              <w:bottom w:val="single" w:sz="4" w:space="0" w:color="auto"/>
              <w:right w:val="single" w:sz="4" w:space="0" w:color="auto"/>
            </w:tcBorders>
            <w:shd w:val="clear" w:color="000000" w:fill="DCE6F1"/>
            <w:vAlign w:val="center"/>
            <w:hideMark/>
          </w:tcPr>
          <w:p w14:paraId="62B638A7" w14:textId="777777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c>
          <w:tcPr>
            <w:tcW w:w="953" w:type="dxa"/>
            <w:tcBorders>
              <w:top w:val="nil"/>
              <w:left w:val="nil"/>
              <w:bottom w:val="single" w:sz="4" w:space="0" w:color="auto"/>
              <w:right w:val="single" w:sz="8" w:space="0" w:color="auto"/>
            </w:tcBorders>
            <w:shd w:val="clear" w:color="000000" w:fill="DCE6F1"/>
            <w:vAlign w:val="center"/>
            <w:hideMark/>
          </w:tcPr>
          <w:p w14:paraId="03A84865" w14:textId="2C361E9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5,160</w:t>
            </w:r>
          </w:p>
        </w:tc>
      </w:tr>
      <w:tr w:rsidR="004D73D3" w:rsidRPr="004D73D3" w14:paraId="06184822"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BEE95C3"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t xml:space="preserve">Masa prioritare 3.2 </w:t>
            </w:r>
            <w:r w:rsidRPr="00807F1C">
              <w:rPr>
                <w:rFonts w:eastAsia="Times New Roman"/>
                <w:bCs/>
                <w:sz w:val="16"/>
                <w:szCs w:val="16"/>
                <w:lang w:val="en-US" w:eastAsia="en-US"/>
              </w:rPr>
              <w:t>Sigurimi i produkteve dhe shërbimeve të aksesueshme për informacion dhe komunikim per PAK</w:t>
            </w:r>
          </w:p>
        </w:tc>
        <w:tc>
          <w:tcPr>
            <w:tcW w:w="1160" w:type="dxa"/>
            <w:tcBorders>
              <w:top w:val="nil"/>
              <w:left w:val="nil"/>
              <w:bottom w:val="single" w:sz="4" w:space="0" w:color="auto"/>
              <w:right w:val="single" w:sz="4" w:space="0" w:color="auto"/>
            </w:tcBorders>
            <w:shd w:val="clear" w:color="000000" w:fill="DCE6F1"/>
            <w:vAlign w:val="center"/>
            <w:hideMark/>
          </w:tcPr>
          <w:p w14:paraId="3AF45120" w14:textId="77777777" w:rsidR="004D73D3" w:rsidRPr="00807F1C" w:rsidRDefault="004D73D3" w:rsidP="004D73D3">
            <w:pPr>
              <w:jc w:val="center"/>
              <w:rPr>
                <w:rFonts w:eastAsia="Times New Roman"/>
                <w:bCs/>
                <w:sz w:val="16"/>
                <w:szCs w:val="16"/>
                <w:lang w:val="en-US" w:eastAsia="en-US"/>
              </w:rPr>
            </w:pPr>
            <w:r w:rsidRPr="00807F1C">
              <w:rPr>
                <w:rFonts w:eastAsia="Times New Roman"/>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9D9190F" w14:textId="77777777" w:rsidR="004D73D3" w:rsidRPr="00807F1C" w:rsidRDefault="004D73D3" w:rsidP="004D73D3">
            <w:pPr>
              <w:jc w:val="center"/>
              <w:rPr>
                <w:rFonts w:eastAsia="Times New Roman"/>
                <w:bCs/>
                <w:sz w:val="16"/>
                <w:szCs w:val="16"/>
                <w:lang w:val="en-US" w:eastAsia="en-US"/>
              </w:rPr>
            </w:pPr>
            <w:r w:rsidRPr="00807F1C">
              <w:rPr>
                <w:rFonts w:eastAsia="Times New Roman"/>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28A32586"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AKSHI/AMA/MSHMS</w:t>
            </w:r>
          </w:p>
        </w:tc>
        <w:tc>
          <w:tcPr>
            <w:tcW w:w="1203" w:type="dxa"/>
            <w:tcBorders>
              <w:top w:val="nil"/>
              <w:left w:val="nil"/>
              <w:bottom w:val="single" w:sz="4" w:space="0" w:color="auto"/>
              <w:right w:val="nil"/>
            </w:tcBorders>
            <w:shd w:val="clear" w:color="000000" w:fill="DCE6F1"/>
            <w:vAlign w:val="center"/>
            <w:hideMark/>
          </w:tcPr>
          <w:p w14:paraId="15E34DB0"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MSHMS/ te gjitha institucionet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C2821C4" w14:textId="48FDF07F"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8,864</w:t>
            </w:r>
          </w:p>
        </w:tc>
        <w:tc>
          <w:tcPr>
            <w:tcW w:w="847" w:type="dxa"/>
            <w:tcBorders>
              <w:top w:val="nil"/>
              <w:left w:val="nil"/>
              <w:bottom w:val="single" w:sz="4" w:space="0" w:color="auto"/>
              <w:right w:val="single" w:sz="4" w:space="0" w:color="auto"/>
            </w:tcBorders>
            <w:shd w:val="clear" w:color="000000" w:fill="DCE6F1"/>
            <w:vAlign w:val="center"/>
            <w:hideMark/>
          </w:tcPr>
          <w:p w14:paraId="3AA44B53" w14:textId="0D95B4C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9,864</w:t>
            </w:r>
          </w:p>
        </w:tc>
        <w:tc>
          <w:tcPr>
            <w:tcW w:w="720" w:type="dxa"/>
            <w:tcBorders>
              <w:top w:val="nil"/>
              <w:left w:val="nil"/>
              <w:bottom w:val="single" w:sz="4" w:space="0" w:color="auto"/>
              <w:right w:val="single" w:sz="4" w:space="0" w:color="auto"/>
            </w:tcBorders>
            <w:shd w:val="clear" w:color="000000" w:fill="DCE6F1"/>
            <w:vAlign w:val="center"/>
            <w:hideMark/>
          </w:tcPr>
          <w:p w14:paraId="4BEA70F0" w14:textId="44B228C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9,864</w:t>
            </w:r>
          </w:p>
        </w:tc>
        <w:tc>
          <w:tcPr>
            <w:tcW w:w="810" w:type="dxa"/>
            <w:tcBorders>
              <w:top w:val="nil"/>
              <w:left w:val="nil"/>
              <w:bottom w:val="single" w:sz="4" w:space="0" w:color="auto"/>
              <w:right w:val="single" w:sz="4" w:space="0" w:color="auto"/>
            </w:tcBorders>
            <w:shd w:val="clear" w:color="000000" w:fill="DCE6F1"/>
            <w:vAlign w:val="center"/>
            <w:hideMark/>
          </w:tcPr>
          <w:p w14:paraId="7BFB9375" w14:textId="269C50C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8,955</w:t>
            </w:r>
          </w:p>
        </w:tc>
        <w:tc>
          <w:tcPr>
            <w:tcW w:w="646" w:type="dxa"/>
            <w:tcBorders>
              <w:top w:val="nil"/>
              <w:left w:val="nil"/>
              <w:bottom w:val="single" w:sz="4" w:space="0" w:color="auto"/>
              <w:right w:val="single" w:sz="4" w:space="0" w:color="auto"/>
            </w:tcBorders>
            <w:shd w:val="clear" w:color="000000" w:fill="DCE6F1"/>
            <w:vAlign w:val="center"/>
            <w:hideMark/>
          </w:tcPr>
          <w:p w14:paraId="7D54DB66" w14:textId="39FBC9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8,955</w:t>
            </w:r>
          </w:p>
        </w:tc>
        <w:tc>
          <w:tcPr>
            <w:tcW w:w="974" w:type="dxa"/>
            <w:tcBorders>
              <w:top w:val="nil"/>
              <w:left w:val="nil"/>
              <w:bottom w:val="single" w:sz="4" w:space="0" w:color="auto"/>
              <w:right w:val="nil"/>
            </w:tcBorders>
            <w:shd w:val="clear" w:color="000000" w:fill="DCE6F1"/>
            <w:vAlign w:val="center"/>
            <w:hideMark/>
          </w:tcPr>
          <w:p w14:paraId="3B71C779" w14:textId="5FBB9C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46,500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6FE4AB2" w14:textId="0A623E0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30,000</w:t>
            </w:r>
          </w:p>
        </w:tc>
        <w:tc>
          <w:tcPr>
            <w:tcW w:w="990" w:type="dxa"/>
            <w:tcBorders>
              <w:top w:val="nil"/>
              <w:left w:val="nil"/>
              <w:bottom w:val="single" w:sz="4" w:space="0" w:color="auto"/>
              <w:right w:val="single" w:sz="4" w:space="0" w:color="auto"/>
            </w:tcBorders>
            <w:shd w:val="clear" w:color="000000" w:fill="DCE6F1"/>
            <w:vAlign w:val="center"/>
            <w:hideMark/>
          </w:tcPr>
          <w:p w14:paraId="34844B0F" w14:textId="7A164B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953" w:type="dxa"/>
            <w:tcBorders>
              <w:top w:val="nil"/>
              <w:left w:val="nil"/>
              <w:bottom w:val="single" w:sz="4" w:space="0" w:color="auto"/>
              <w:right w:val="single" w:sz="8" w:space="0" w:color="auto"/>
            </w:tcBorders>
            <w:shd w:val="clear" w:color="000000" w:fill="DCE6F1"/>
            <w:vAlign w:val="center"/>
            <w:hideMark/>
          </w:tcPr>
          <w:p w14:paraId="5240415C" w14:textId="4BAF9C0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14,000</w:t>
            </w:r>
          </w:p>
        </w:tc>
      </w:tr>
      <w:tr w:rsidR="004D73D3" w:rsidRPr="004D73D3" w14:paraId="14A953E0"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6C93EE6E"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t>Objektivi specifik 4:  Aksesueshmëria në objektet dhe shërbimet turistike dhe të trashëgimisë kulturore.</w:t>
            </w:r>
          </w:p>
        </w:tc>
        <w:tc>
          <w:tcPr>
            <w:tcW w:w="1160" w:type="dxa"/>
            <w:tcBorders>
              <w:top w:val="nil"/>
              <w:left w:val="nil"/>
              <w:bottom w:val="single" w:sz="4" w:space="0" w:color="auto"/>
              <w:right w:val="single" w:sz="4" w:space="0" w:color="auto"/>
            </w:tcBorders>
            <w:shd w:val="clear" w:color="000000" w:fill="FDE9D9"/>
            <w:vAlign w:val="center"/>
            <w:hideMark/>
          </w:tcPr>
          <w:p w14:paraId="022EE701"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5C60BA33"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05D41026"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MTKS / Autoriteti /Bashkitë</w:t>
            </w:r>
          </w:p>
        </w:tc>
        <w:tc>
          <w:tcPr>
            <w:tcW w:w="1203" w:type="dxa"/>
            <w:tcBorders>
              <w:top w:val="nil"/>
              <w:left w:val="nil"/>
              <w:bottom w:val="single" w:sz="4" w:space="0" w:color="auto"/>
              <w:right w:val="single" w:sz="8" w:space="0" w:color="auto"/>
            </w:tcBorders>
            <w:shd w:val="clear" w:color="000000" w:fill="FDE9D9"/>
            <w:vAlign w:val="center"/>
            <w:hideMark/>
          </w:tcPr>
          <w:p w14:paraId="337C2F36"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Bashkitë/UP/operatorët /OJQ/AKSHI</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3E2C074E" w14:textId="70CAAB49"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1,961</w:t>
            </w:r>
          </w:p>
        </w:tc>
        <w:tc>
          <w:tcPr>
            <w:tcW w:w="847" w:type="dxa"/>
            <w:tcBorders>
              <w:top w:val="nil"/>
              <w:left w:val="nil"/>
              <w:bottom w:val="single" w:sz="4" w:space="0" w:color="auto"/>
              <w:right w:val="single" w:sz="4" w:space="0" w:color="auto"/>
            </w:tcBorders>
            <w:shd w:val="clear" w:color="000000" w:fill="FDE9D9"/>
            <w:vAlign w:val="center"/>
            <w:hideMark/>
          </w:tcPr>
          <w:p w14:paraId="3A210943" w14:textId="45C8932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2,461</w:t>
            </w:r>
          </w:p>
        </w:tc>
        <w:tc>
          <w:tcPr>
            <w:tcW w:w="720" w:type="dxa"/>
            <w:tcBorders>
              <w:top w:val="nil"/>
              <w:left w:val="nil"/>
              <w:bottom w:val="single" w:sz="4" w:space="0" w:color="auto"/>
              <w:right w:val="single" w:sz="4" w:space="0" w:color="auto"/>
            </w:tcBorders>
            <w:shd w:val="clear" w:color="000000" w:fill="FDE9D9"/>
            <w:vAlign w:val="center"/>
            <w:hideMark/>
          </w:tcPr>
          <w:p w14:paraId="206D2596" w14:textId="3831130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2,461</w:t>
            </w:r>
          </w:p>
        </w:tc>
        <w:tc>
          <w:tcPr>
            <w:tcW w:w="810" w:type="dxa"/>
            <w:tcBorders>
              <w:top w:val="nil"/>
              <w:left w:val="nil"/>
              <w:bottom w:val="single" w:sz="4" w:space="0" w:color="auto"/>
              <w:right w:val="single" w:sz="4" w:space="0" w:color="auto"/>
            </w:tcBorders>
            <w:shd w:val="clear" w:color="000000" w:fill="FDE9D9"/>
            <w:vAlign w:val="center"/>
            <w:hideMark/>
          </w:tcPr>
          <w:p w14:paraId="1647A198" w14:textId="1CEE108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2,461</w:t>
            </w:r>
          </w:p>
        </w:tc>
        <w:tc>
          <w:tcPr>
            <w:tcW w:w="646" w:type="dxa"/>
            <w:tcBorders>
              <w:top w:val="nil"/>
              <w:left w:val="nil"/>
              <w:bottom w:val="single" w:sz="4" w:space="0" w:color="auto"/>
              <w:right w:val="single" w:sz="4" w:space="0" w:color="auto"/>
            </w:tcBorders>
            <w:shd w:val="clear" w:color="000000" w:fill="FDE9D9"/>
            <w:vAlign w:val="center"/>
            <w:hideMark/>
          </w:tcPr>
          <w:p w14:paraId="550EFD3D" w14:textId="2C829F3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2,461</w:t>
            </w:r>
          </w:p>
        </w:tc>
        <w:tc>
          <w:tcPr>
            <w:tcW w:w="974" w:type="dxa"/>
            <w:tcBorders>
              <w:top w:val="nil"/>
              <w:left w:val="nil"/>
              <w:bottom w:val="single" w:sz="4" w:space="0" w:color="auto"/>
              <w:right w:val="nil"/>
            </w:tcBorders>
            <w:shd w:val="clear" w:color="000000" w:fill="FDE9D9"/>
            <w:vAlign w:val="center"/>
            <w:hideMark/>
          </w:tcPr>
          <w:p w14:paraId="3B15EFC4" w14:textId="7F27055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11,807</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539C0D8A" w14:textId="2732B1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6,557</w:t>
            </w:r>
          </w:p>
        </w:tc>
        <w:tc>
          <w:tcPr>
            <w:tcW w:w="990" w:type="dxa"/>
            <w:tcBorders>
              <w:top w:val="nil"/>
              <w:left w:val="nil"/>
              <w:bottom w:val="single" w:sz="4" w:space="0" w:color="auto"/>
              <w:right w:val="single" w:sz="4" w:space="0" w:color="auto"/>
            </w:tcBorders>
            <w:shd w:val="clear" w:color="000000" w:fill="FDE9D9"/>
            <w:vAlign w:val="center"/>
            <w:hideMark/>
          </w:tcPr>
          <w:p w14:paraId="24C05115" w14:textId="1FA4DF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c>
          <w:tcPr>
            <w:tcW w:w="953" w:type="dxa"/>
            <w:tcBorders>
              <w:top w:val="nil"/>
              <w:left w:val="nil"/>
              <w:bottom w:val="single" w:sz="4" w:space="0" w:color="auto"/>
              <w:right w:val="single" w:sz="8" w:space="0" w:color="auto"/>
            </w:tcBorders>
            <w:shd w:val="clear" w:color="000000" w:fill="FDE9D9"/>
            <w:vAlign w:val="center"/>
            <w:hideMark/>
          </w:tcPr>
          <w:p w14:paraId="00F36654" w14:textId="784DAFC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4,200</w:t>
            </w:r>
          </w:p>
        </w:tc>
      </w:tr>
      <w:tr w:rsidR="004D73D3" w:rsidRPr="004D73D3" w14:paraId="1242F414"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F03640F" w14:textId="77777777" w:rsidR="004D73D3" w:rsidRPr="00807F1C" w:rsidRDefault="004D73D3" w:rsidP="004D73D3">
            <w:pPr>
              <w:rPr>
                <w:rFonts w:eastAsia="Times New Roman"/>
                <w:b/>
                <w:bCs/>
                <w:sz w:val="16"/>
                <w:szCs w:val="16"/>
                <w:lang w:val="en-US" w:eastAsia="en-US"/>
              </w:rPr>
            </w:pPr>
            <w:r w:rsidRPr="00807F1C">
              <w:rPr>
                <w:rFonts w:eastAsia="Times New Roman"/>
                <w:b/>
                <w:bCs/>
                <w:sz w:val="16"/>
                <w:szCs w:val="16"/>
                <w:lang w:val="en-US" w:eastAsia="en-US"/>
              </w:rPr>
              <w:t xml:space="preserve">Masa prioritare 4.1: </w:t>
            </w:r>
            <w:r w:rsidRPr="00807F1C">
              <w:rPr>
                <w:rFonts w:eastAsia="Times New Roman"/>
                <w:bCs/>
                <w:sz w:val="16"/>
                <w:szCs w:val="16"/>
                <w:lang w:val="en-US" w:eastAsia="en-US"/>
              </w:rPr>
              <w:t>Aksesueshmëria në Objekte turistike dhe të trashëgimise kulturore</w:t>
            </w:r>
          </w:p>
        </w:tc>
        <w:tc>
          <w:tcPr>
            <w:tcW w:w="1160" w:type="dxa"/>
            <w:tcBorders>
              <w:top w:val="nil"/>
              <w:left w:val="nil"/>
              <w:bottom w:val="single" w:sz="4" w:space="0" w:color="auto"/>
              <w:right w:val="single" w:sz="4" w:space="0" w:color="auto"/>
            </w:tcBorders>
            <w:shd w:val="clear" w:color="000000" w:fill="DCE6F1"/>
            <w:vAlign w:val="center"/>
            <w:hideMark/>
          </w:tcPr>
          <w:p w14:paraId="002274D3" w14:textId="77777777" w:rsidR="004D73D3" w:rsidRPr="00807F1C" w:rsidRDefault="004D73D3" w:rsidP="004D73D3">
            <w:pPr>
              <w:jc w:val="center"/>
              <w:rPr>
                <w:rFonts w:eastAsia="Times New Roman"/>
                <w:bCs/>
                <w:sz w:val="16"/>
                <w:szCs w:val="16"/>
                <w:lang w:val="en-US" w:eastAsia="en-US"/>
              </w:rPr>
            </w:pPr>
            <w:r w:rsidRPr="00807F1C">
              <w:rPr>
                <w:rFonts w:eastAsia="Times New Roman"/>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4E86498" w14:textId="77777777" w:rsidR="004D73D3" w:rsidRPr="00807F1C" w:rsidRDefault="004D73D3" w:rsidP="004D73D3">
            <w:pPr>
              <w:jc w:val="center"/>
              <w:rPr>
                <w:rFonts w:eastAsia="Times New Roman"/>
                <w:bCs/>
                <w:sz w:val="16"/>
                <w:szCs w:val="16"/>
                <w:lang w:val="en-US" w:eastAsia="en-US"/>
              </w:rPr>
            </w:pPr>
            <w:r w:rsidRPr="00807F1C">
              <w:rPr>
                <w:rFonts w:eastAsia="Times New Roman"/>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C5D9F1"/>
            <w:vAlign w:val="center"/>
            <w:hideMark/>
          </w:tcPr>
          <w:p w14:paraId="2267FFED"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MTKS / Autoriteti /Bashkitë</w:t>
            </w:r>
          </w:p>
        </w:tc>
        <w:tc>
          <w:tcPr>
            <w:tcW w:w="1203" w:type="dxa"/>
            <w:tcBorders>
              <w:top w:val="nil"/>
              <w:left w:val="nil"/>
              <w:bottom w:val="single" w:sz="4" w:space="0" w:color="auto"/>
              <w:right w:val="single" w:sz="8" w:space="0" w:color="auto"/>
            </w:tcBorders>
            <w:shd w:val="clear" w:color="000000" w:fill="C5D9F1"/>
            <w:vAlign w:val="center"/>
            <w:hideMark/>
          </w:tcPr>
          <w:p w14:paraId="0AD1EDC2"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Bashkitë/UP/operatorët /OJQ/AKSHI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29AE9F8" w14:textId="46D79DD4"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1,961</w:t>
            </w:r>
          </w:p>
        </w:tc>
        <w:tc>
          <w:tcPr>
            <w:tcW w:w="847" w:type="dxa"/>
            <w:tcBorders>
              <w:top w:val="nil"/>
              <w:left w:val="nil"/>
              <w:bottom w:val="single" w:sz="4" w:space="0" w:color="auto"/>
              <w:right w:val="single" w:sz="4" w:space="0" w:color="auto"/>
            </w:tcBorders>
            <w:shd w:val="clear" w:color="000000" w:fill="DCE6F1"/>
            <w:vAlign w:val="center"/>
            <w:hideMark/>
          </w:tcPr>
          <w:p w14:paraId="7C0E954C" w14:textId="09750078"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2,461</w:t>
            </w:r>
          </w:p>
        </w:tc>
        <w:tc>
          <w:tcPr>
            <w:tcW w:w="720" w:type="dxa"/>
            <w:tcBorders>
              <w:top w:val="nil"/>
              <w:left w:val="nil"/>
              <w:bottom w:val="single" w:sz="4" w:space="0" w:color="auto"/>
              <w:right w:val="single" w:sz="4" w:space="0" w:color="auto"/>
            </w:tcBorders>
            <w:shd w:val="clear" w:color="000000" w:fill="DCE6F1"/>
            <w:vAlign w:val="center"/>
            <w:hideMark/>
          </w:tcPr>
          <w:p w14:paraId="56828C61" w14:textId="51D26E49"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2,461</w:t>
            </w:r>
          </w:p>
        </w:tc>
        <w:tc>
          <w:tcPr>
            <w:tcW w:w="810" w:type="dxa"/>
            <w:tcBorders>
              <w:top w:val="nil"/>
              <w:left w:val="nil"/>
              <w:bottom w:val="single" w:sz="4" w:space="0" w:color="auto"/>
              <w:right w:val="single" w:sz="4" w:space="0" w:color="auto"/>
            </w:tcBorders>
            <w:shd w:val="clear" w:color="000000" w:fill="DCE6F1"/>
            <w:vAlign w:val="center"/>
            <w:hideMark/>
          </w:tcPr>
          <w:p w14:paraId="6950442C" w14:textId="297954F2"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2,461</w:t>
            </w:r>
          </w:p>
        </w:tc>
        <w:tc>
          <w:tcPr>
            <w:tcW w:w="646" w:type="dxa"/>
            <w:tcBorders>
              <w:top w:val="nil"/>
              <w:left w:val="nil"/>
              <w:bottom w:val="single" w:sz="4" w:space="0" w:color="auto"/>
              <w:right w:val="single" w:sz="4" w:space="0" w:color="auto"/>
            </w:tcBorders>
            <w:shd w:val="clear" w:color="000000" w:fill="DCE6F1"/>
            <w:vAlign w:val="center"/>
            <w:hideMark/>
          </w:tcPr>
          <w:p w14:paraId="47542B25" w14:textId="118E4937"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2,461</w:t>
            </w:r>
          </w:p>
        </w:tc>
        <w:tc>
          <w:tcPr>
            <w:tcW w:w="974" w:type="dxa"/>
            <w:tcBorders>
              <w:top w:val="nil"/>
              <w:left w:val="nil"/>
              <w:bottom w:val="single" w:sz="4" w:space="0" w:color="auto"/>
              <w:right w:val="nil"/>
            </w:tcBorders>
            <w:shd w:val="clear" w:color="000000" w:fill="DCE6F1"/>
            <w:vAlign w:val="center"/>
            <w:hideMark/>
          </w:tcPr>
          <w:p w14:paraId="0307F825" w14:textId="5C49B393"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11,807</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3C764C7" w14:textId="138D9D45"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6,557</w:t>
            </w:r>
          </w:p>
        </w:tc>
        <w:tc>
          <w:tcPr>
            <w:tcW w:w="990" w:type="dxa"/>
            <w:tcBorders>
              <w:top w:val="nil"/>
              <w:left w:val="nil"/>
              <w:bottom w:val="single" w:sz="4" w:space="0" w:color="auto"/>
              <w:right w:val="single" w:sz="4" w:space="0" w:color="auto"/>
            </w:tcBorders>
            <w:shd w:val="clear" w:color="000000" w:fill="DCE6F1"/>
            <w:vAlign w:val="center"/>
            <w:hideMark/>
          </w:tcPr>
          <w:p w14:paraId="73720F1E" w14:textId="6BD881D7"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1,050</w:t>
            </w:r>
          </w:p>
        </w:tc>
        <w:tc>
          <w:tcPr>
            <w:tcW w:w="953" w:type="dxa"/>
            <w:tcBorders>
              <w:top w:val="nil"/>
              <w:left w:val="nil"/>
              <w:bottom w:val="single" w:sz="4" w:space="0" w:color="auto"/>
              <w:right w:val="single" w:sz="8" w:space="0" w:color="auto"/>
            </w:tcBorders>
            <w:shd w:val="clear" w:color="000000" w:fill="DCE6F1"/>
            <w:vAlign w:val="center"/>
            <w:hideMark/>
          </w:tcPr>
          <w:p w14:paraId="79BAE728" w14:textId="7413293D" w:rsidR="004D73D3" w:rsidRPr="004D73D3" w:rsidRDefault="004D73D3" w:rsidP="004D73D3">
            <w:pPr>
              <w:jc w:val="center"/>
              <w:rPr>
                <w:rFonts w:eastAsia="Times New Roman"/>
                <w:b/>
                <w:bCs/>
                <w:sz w:val="10"/>
                <w:szCs w:val="10"/>
                <w:lang w:val="en-US" w:eastAsia="en-US"/>
              </w:rPr>
            </w:pPr>
            <w:r w:rsidRPr="004D73D3">
              <w:rPr>
                <w:rFonts w:eastAsia="Times New Roman"/>
                <w:b/>
                <w:bCs/>
                <w:sz w:val="10"/>
                <w:szCs w:val="10"/>
                <w:lang w:val="en-US" w:eastAsia="en-US"/>
              </w:rPr>
              <w:t>4,200</w:t>
            </w:r>
          </w:p>
        </w:tc>
      </w:tr>
      <w:tr w:rsidR="004D73D3" w:rsidRPr="004D73D3" w14:paraId="2B5F1FA2"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2D9A5133" w14:textId="77777777" w:rsidR="004D73D3" w:rsidRPr="00807F1C" w:rsidRDefault="004D73D3" w:rsidP="004D73D3">
            <w:pPr>
              <w:rPr>
                <w:rFonts w:eastAsia="Times New Roman"/>
                <w:b/>
                <w:bCs/>
                <w:sz w:val="16"/>
                <w:szCs w:val="16"/>
                <w:lang w:val="en-US" w:eastAsia="en-US"/>
              </w:rPr>
            </w:pPr>
            <w:r w:rsidRPr="00807F1C">
              <w:rPr>
                <w:rFonts w:eastAsia="Times New Roman"/>
                <w:b/>
                <w:bCs/>
                <w:sz w:val="16"/>
                <w:szCs w:val="16"/>
                <w:lang w:val="en-US" w:eastAsia="en-US"/>
              </w:rPr>
              <w:t>II. DREJTËSIA</w:t>
            </w:r>
          </w:p>
        </w:tc>
        <w:tc>
          <w:tcPr>
            <w:tcW w:w="1160" w:type="dxa"/>
            <w:tcBorders>
              <w:top w:val="nil"/>
              <w:left w:val="nil"/>
              <w:bottom w:val="single" w:sz="4" w:space="0" w:color="auto"/>
              <w:right w:val="single" w:sz="4" w:space="0" w:color="auto"/>
            </w:tcBorders>
            <w:shd w:val="clear" w:color="000000" w:fill="F276AB"/>
            <w:vAlign w:val="center"/>
            <w:hideMark/>
          </w:tcPr>
          <w:p w14:paraId="1429D245"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23745226"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40802E4F"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107D5083"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328673D4" w14:textId="1A218E4B"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198,187</w:t>
            </w:r>
          </w:p>
        </w:tc>
        <w:tc>
          <w:tcPr>
            <w:tcW w:w="847" w:type="dxa"/>
            <w:tcBorders>
              <w:top w:val="nil"/>
              <w:left w:val="nil"/>
              <w:bottom w:val="single" w:sz="4" w:space="0" w:color="auto"/>
              <w:right w:val="single" w:sz="4" w:space="0" w:color="auto"/>
            </w:tcBorders>
            <w:shd w:val="clear" w:color="000000" w:fill="F276AB"/>
            <w:vAlign w:val="center"/>
            <w:hideMark/>
          </w:tcPr>
          <w:p w14:paraId="6B16555E" w14:textId="4032B02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196,287</w:t>
            </w:r>
          </w:p>
        </w:tc>
        <w:tc>
          <w:tcPr>
            <w:tcW w:w="720" w:type="dxa"/>
            <w:tcBorders>
              <w:top w:val="nil"/>
              <w:left w:val="nil"/>
              <w:bottom w:val="single" w:sz="4" w:space="0" w:color="auto"/>
              <w:right w:val="single" w:sz="4" w:space="0" w:color="auto"/>
            </w:tcBorders>
            <w:shd w:val="clear" w:color="000000" w:fill="F276AB"/>
            <w:vAlign w:val="center"/>
            <w:hideMark/>
          </w:tcPr>
          <w:p w14:paraId="52D5F0AE" w14:textId="4A9E15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198,309</w:t>
            </w:r>
          </w:p>
        </w:tc>
        <w:tc>
          <w:tcPr>
            <w:tcW w:w="810" w:type="dxa"/>
            <w:tcBorders>
              <w:top w:val="nil"/>
              <w:left w:val="nil"/>
              <w:bottom w:val="single" w:sz="4" w:space="0" w:color="auto"/>
              <w:right w:val="single" w:sz="4" w:space="0" w:color="auto"/>
            </w:tcBorders>
            <w:shd w:val="clear" w:color="000000" w:fill="F276AB"/>
            <w:vAlign w:val="center"/>
            <w:hideMark/>
          </w:tcPr>
          <w:p w14:paraId="747F34E0" w14:textId="4A89BDA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207,346</w:t>
            </w:r>
          </w:p>
        </w:tc>
        <w:tc>
          <w:tcPr>
            <w:tcW w:w="646" w:type="dxa"/>
            <w:tcBorders>
              <w:top w:val="nil"/>
              <w:left w:val="nil"/>
              <w:bottom w:val="single" w:sz="4" w:space="0" w:color="auto"/>
              <w:right w:val="single" w:sz="4" w:space="0" w:color="auto"/>
            </w:tcBorders>
            <w:shd w:val="clear" w:color="000000" w:fill="F276AB"/>
            <w:vAlign w:val="center"/>
            <w:hideMark/>
          </w:tcPr>
          <w:p w14:paraId="4F1C6445" w14:textId="7030688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203,966</w:t>
            </w:r>
          </w:p>
        </w:tc>
        <w:tc>
          <w:tcPr>
            <w:tcW w:w="974" w:type="dxa"/>
            <w:tcBorders>
              <w:top w:val="nil"/>
              <w:left w:val="nil"/>
              <w:bottom w:val="single" w:sz="4" w:space="0" w:color="auto"/>
              <w:right w:val="nil"/>
            </w:tcBorders>
            <w:shd w:val="clear" w:color="000000" w:fill="F276AB"/>
            <w:vAlign w:val="center"/>
            <w:hideMark/>
          </w:tcPr>
          <w:p w14:paraId="0F3F7E51" w14:textId="7CD7D1B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1,004,096</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11DD9556" w14:textId="67085CD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897,800</w:t>
            </w:r>
          </w:p>
        </w:tc>
        <w:tc>
          <w:tcPr>
            <w:tcW w:w="990" w:type="dxa"/>
            <w:tcBorders>
              <w:top w:val="nil"/>
              <w:left w:val="nil"/>
              <w:bottom w:val="single" w:sz="4" w:space="0" w:color="auto"/>
              <w:right w:val="single" w:sz="4" w:space="0" w:color="auto"/>
            </w:tcBorders>
            <w:shd w:val="clear" w:color="000000" w:fill="F276AB"/>
            <w:vAlign w:val="center"/>
            <w:hideMark/>
          </w:tcPr>
          <w:p w14:paraId="7CB6C8A6" w14:textId="642495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18,614</w:t>
            </w:r>
          </w:p>
        </w:tc>
        <w:tc>
          <w:tcPr>
            <w:tcW w:w="953" w:type="dxa"/>
            <w:tcBorders>
              <w:top w:val="nil"/>
              <w:left w:val="nil"/>
              <w:bottom w:val="single" w:sz="4" w:space="0" w:color="auto"/>
              <w:right w:val="single" w:sz="8" w:space="0" w:color="auto"/>
            </w:tcBorders>
            <w:shd w:val="clear" w:color="000000" w:fill="F276AB"/>
            <w:vAlign w:val="center"/>
            <w:hideMark/>
          </w:tcPr>
          <w:p w14:paraId="0B3C824B" w14:textId="4A2C61C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87,682</w:t>
            </w:r>
          </w:p>
        </w:tc>
      </w:tr>
      <w:tr w:rsidR="004D73D3" w:rsidRPr="004D73D3" w14:paraId="309516D2" w14:textId="77777777" w:rsidTr="004B31D6">
        <w:trPr>
          <w:trHeight w:val="62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7B4D6004"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t>Objektivi Specifik 1. Të sigurohet që të gjithë personat me aftësi të kufizuara të kenë akses fizik, procedural, informativ dhe digjital në gjykata, prokurori, polici dhe shërbime ligjore, si pjesëmarrës të drejtpërdrejtë apo jo të drejtpërdrejtë në të gjitha nivelet që nga hetimi, gjykimi etj. jetës</w:t>
            </w:r>
          </w:p>
        </w:tc>
        <w:tc>
          <w:tcPr>
            <w:tcW w:w="1160" w:type="dxa"/>
            <w:tcBorders>
              <w:top w:val="nil"/>
              <w:left w:val="nil"/>
              <w:bottom w:val="single" w:sz="4" w:space="0" w:color="auto"/>
              <w:right w:val="single" w:sz="4" w:space="0" w:color="auto"/>
            </w:tcBorders>
            <w:shd w:val="clear" w:color="000000" w:fill="FDE9D9"/>
            <w:vAlign w:val="center"/>
            <w:hideMark/>
          </w:tcPr>
          <w:p w14:paraId="6269754F" w14:textId="3EA42F1D" w:rsidR="004D73D3" w:rsidRPr="00807F1C" w:rsidRDefault="004B31D6" w:rsidP="004D73D3">
            <w:pPr>
              <w:jc w:val="center"/>
              <w:rPr>
                <w:rFonts w:eastAsia="Times New Roman"/>
                <w:b/>
                <w:bCs/>
                <w:sz w:val="16"/>
                <w:szCs w:val="16"/>
                <w:lang w:val="en-US" w:eastAsia="en-US"/>
              </w:rPr>
            </w:pPr>
            <w:r w:rsidRPr="00807F1C">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02C63B48" w14:textId="77777777" w:rsidR="004D73D3" w:rsidRPr="00807F1C" w:rsidRDefault="004D73D3" w:rsidP="004D73D3">
            <w:pPr>
              <w:jc w:val="center"/>
              <w:rPr>
                <w:rFonts w:eastAsia="Times New Roman"/>
                <w:b/>
                <w:bCs/>
                <w:sz w:val="16"/>
                <w:szCs w:val="16"/>
                <w:lang w:val="en-US" w:eastAsia="en-US"/>
              </w:rPr>
            </w:pPr>
            <w:r w:rsidRPr="00807F1C">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09DCFBFF"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MD/MSHMS/DNJF/KLGJ/Gjykatat/DHKA/DHAAH/MD</w:t>
            </w:r>
          </w:p>
        </w:tc>
        <w:tc>
          <w:tcPr>
            <w:tcW w:w="1203" w:type="dxa"/>
            <w:tcBorders>
              <w:top w:val="nil"/>
              <w:left w:val="nil"/>
              <w:bottom w:val="single" w:sz="4" w:space="0" w:color="auto"/>
              <w:right w:val="nil"/>
            </w:tcBorders>
            <w:shd w:val="clear" w:color="000000" w:fill="FDE9D9"/>
            <w:vAlign w:val="center"/>
            <w:hideMark/>
          </w:tcPr>
          <w:p w14:paraId="7DBC1A03"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eastAsia="en-US"/>
              </w:rPr>
              <w:t>MD/MD/OSHC/Partnere vendas dhe të huaj/DNJF/SHM/ DHASH/DHKN/MSHMS/KLGJ/KLP/DPP/DHKN/SHM/MSHMS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343ED4A6" w14:textId="5957624A" w:rsidR="004D73D3" w:rsidRPr="00807F1C" w:rsidRDefault="004D73D3" w:rsidP="004D73D3">
            <w:pPr>
              <w:jc w:val="center"/>
              <w:rPr>
                <w:rFonts w:eastAsia="Times New Roman"/>
                <w:b/>
                <w:bCs/>
                <w:sz w:val="10"/>
                <w:szCs w:val="10"/>
                <w:lang w:val="en-US" w:eastAsia="en-US"/>
              </w:rPr>
            </w:pPr>
            <w:r w:rsidRPr="00807F1C">
              <w:rPr>
                <w:rFonts w:eastAsia="Times New Roman"/>
                <w:b/>
                <w:bCs/>
                <w:sz w:val="10"/>
                <w:szCs w:val="10"/>
                <w:lang w:val="en-US" w:eastAsia="en-US"/>
              </w:rPr>
              <w:t>186,255</w:t>
            </w:r>
          </w:p>
        </w:tc>
        <w:tc>
          <w:tcPr>
            <w:tcW w:w="847" w:type="dxa"/>
            <w:tcBorders>
              <w:top w:val="nil"/>
              <w:left w:val="nil"/>
              <w:bottom w:val="single" w:sz="4" w:space="0" w:color="auto"/>
              <w:right w:val="single" w:sz="4" w:space="0" w:color="auto"/>
            </w:tcBorders>
            <w:shd w:val="clear" w:color="000000" w:fill="FDE9D9"/>
            <w:vAlign w:val="center"/>
            <w:hideMark/>
          </w:tcPr>
          <w:p w14:paraId="6970C0B0" w14:textId="4B86FDC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184,355</w:t>
            </w:r>
          </w:p>
        </w:tc>
        <w:tc>
          <w:tcPr>
            <w:tcW w:w="720" w:type="dxa"/>
            <w:tcBorders>
              <w:top w:val="nil"/>
              <w:left w:val="nil"/>
              <w:bottom w:val="single" w:sz="4" w:space="0" w:color="auto"/>
              <w:right w:val="single" w:sz="4" w:space="0" w:color="auto"/>
            </w:tcBorders>
            <w:shd w:val="clear" w:color="000000" w:fill="FDE9D9"/>
            <w:vAlign w:val="center"/>
            <w:hideMark/>
          </w:tcPr>
          <w:p w14:paraId="259D1EB8" w14:textId="2F77830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184,963</w:t>
            </w:r>
          </w:p>
        </w:tc>
        <w:tc>
          <w:tcPr>
            <w:tcW w:w="810" w:type="dxa"/>
            <w:tcBorders>
              <w:top w:val="nil"/>
              <w:left w:val="nil"/>
              <w:bottom w:val="single" w:sz="4" w:space="0" w:color="auto"/>
              <w:right w:val="single" w:sz="4" w:space="0" w:color="auto"/>
            </w:tcBorders>
            <w:shd w:val="clear" w:color="000000" w:fill="FDE9D9"/>
            <w:vAlign w:val="center"/>
            <w:hideMark/>
          </w:tcPr>
          <w:p w14:paraId="17B03936" w14:textId="329B603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183,666</w:t>
            </w:r>
          </w:p>
        </w:tc>
        <w:tc>
          <w:tcPr>
            <w:tcW w:w="646" w:type="dxa"/>
            <w:tcBorders>
              <w:top w:val="nil"/>
              <w:left w:val="nil"/>
              <w:bottom w:val="single" w:sz="4" w:space="0" w:color="auto"/>
              <w:right w:val="single" w:sz="4" w:space="0" w:color="auto"/>
            </w:tcBorders>
            <w:shd w:val="clear" w:color="000000" w:fill="FDE9D9"/>
            <w:vAlign w:val="center"/>
            <w:hideMark/>
          </w:tcPr>
          <w:p w14:paraId="5E8F8137" w14:textId="2A9E859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183,286</w:t>
            </w:r>
          </w:p>
        </w:tc>
        <w:tc>
          <w:tcPr>
            <w:tcW w:w="974" w:type="dxa"/>
            <w:tcBorders>
              <w:top w:val="nil"/>
              <w:left w:val="nil"/>
              <w:bottom w:val="single" w:sz="4" w:space="0" w:color="auto"/>
              <w:right w:val="nil"/>
            </w:tcBorders>
            <w:shd w:val="clear" w:color="000000" w:fill="FDE9D9"/>
            <w:vAlign w:val="center"/>
            <w:hideMark/>
          </w:tcPr>
          <w:p w14:paraId="425D0873" w14:textId="76D3A6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922,526</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061A0C15" w14:textId="1305AAA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894,630</w:t>
            </w:r>
          </w:p>
        </w:tc>
        <w:tc>
          <w:tcPr>
            <w:tcW w:w="990" w:type="dxa"/>
            <w:tcBorders>
              <w:top w:val="nil"/>
              <w:left w:val="nil"/>
              <w:bottom w:val="single" w:sz="4" w:space="0" w:color="auto"/>
              <w:right w:val="single" w:sz="4" w:space="0" w:color="auto"/>
            </w:tcBorders>
            <w:shd w:val="clear" w:color="000000" w:fill="FDE9D9"/>
            <w:vAlign w:val="center"/>
            <w:hideMark/>
          </w:tcPr>
          <w:p w14:paraId="304E2F1D" w14:textId="0703B5D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6,767</w:t>
            </w:r>
          </w:p>
        </w:tc>
        <w:tc>
          <w:tcPr>
            <w:tcW w:w="953" w:type="dxa"/>
            <w:tcBorders>
              <w:top w:val="nil"/>
              <w:left w:val="nil"/>
              <w:bottom w:val="single" w:sz="4" w:space="0" w:color="auto"/>
              <w:right w:val="single" w:sz="8" w:space="0" w:color="auto"/>
            </w:tcBorders>
            <w:shd w:val="clear" w:color="000000" w:fill="FDE9D9"/>
            <w:vAlign w:val="center"/>
            <w:hideMark/>
          </w:tcPr>
          <w:p w14:paraId="427228D4" w14:textId="7A463E8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21,129</w:t>
            </w:r>
          </w:p>
        </w:tc>
      </w:tr>
      <w:tr w:rsidR="004D73D3" w:rsidRPr="004D73D3" w14:paraId="6C0F8836"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2994CE8" w14:textId="10677E10" w:rsidR="004D73D3" w:rsidRPr="004D73D3" w:rsidRDefault="00817FC2" w:rsidP="00817FC2">
            <w:pPr>
              <w:jc w:val="both"/>
              <w:rPr>
                <w:rFonts w:eastAsia="Times New Roman"/>
                <w:b/>
                <w:bCs/>
                <w:color w:val="000000"/>
                <w:sz w:val="16"/>
                <w:szCs w:val="16"/>
                <w:lang w:val="en-US" w:eastAsia="en-US"/>
              </w:rPr>
            </w:pPr>
            <w:r>
              <w:rPr>
                <w:rFonts w:eastAsia="Times New Roman"/>
                <w:b/>
                <w:bCs/>
                <w:color w:val="000000"/>
                <w:sz w:val="16"/>
                <w:szCs w:val="16"/>
                <w:lang w:val="en-US" w:eastAsia="en-US"/>
              </w:rPr>
              <w:t xml:space="preserve">Masa Prioritare 1.1. </w:t>
            </w:r>
            <w:r w:rsidR="004D73D3" w:rsidRPr="00817FC2">
              <w:rPr>
                <w:rFonts w:eastAsia="Times New Roman"/>
                <w:bCs/>
                <w:color w:val="000000"/>
                <w:sz w:val="16"/>
                <w:szCs w:val="16"/>
                <w:lang w:val="en-US" w:eastAsia="en-US"/>
              </w:rPr>
              <w:t>Rishikimi i kuadrit ligjor për të mundësuar akses të barabartë në drejtësi për personat me aftësi të kufizuara</w:t>
            </w:r>
            <w:r w:rsidR="004D73D3"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2E28393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58280A7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13271B8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w:t>
            </w:r>
          </w:p>
        </w:tc>
        <w:tc>
          <w:tcPr>
            <w:tcW w:w="1203" w:type="dxa"/>
            <w:tcBorders>
              <w:top w:val="nil"/>
              <w:left w:val="nil"/>
              <w:bottom w:val="single" w:sz="4" w:space="0" w:color="auto"/>
              <w:right w:val="single" w:sz="8" w:space="0" w:color="auto"/>
            </w:tcBorders>
            <w:shd w:val="clear" w:color="000000" w:fill="DCE6F1"/>
            <w:vAlign w:val="center"/>
            <w:hideMark/>
          </w:tcPr>
          <w:p w14:paraId="5E57D3C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6A642294" w14:textId="0955005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1,455</w:t>
            </w:r>
          </w:p>
        </w:tc>
        <w:tc>
          <w:tcPr>
            <w:tcW w:w="847" w:type="dxa"/>
            <w:tcBorders>
              <w:top w:val="nil"/>
              <w:left w:val="nil"/>
              <w:bottom w:val="single" w:sz="4" w:space="0" w:color="auto"/>
              <w:right w:val="single" w:sz="4" w:space="0" w:color="auto"/>
            </w:tcBorders>
            <w:shd w:val="clear" w:color="000000" w:fill="DCE6F1"/>
            <w:vAlign w:val="center"/>
            <w:hideMark/>
          </w:tcPr>
          <w:p w14:paraId="1E8F64D4" w14:textId="401C4CD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555</w:t>
            </w:r>
          </w:p>
        </w:tc>
        <w:tc>
          <w:tcPr>
            <w:tcW w:w="720" w:type="dxa"/>
            <w:tcBorders>
              <w:top w:val="nil"/>
              <w:left w:val="nil"/>
              <w:bottom w:val="single" w:sz="4" w:space="0" w:color="auto"/>
              <w:right w:val="single" w:sz="4" w:space="0" w:color="auto"/>
            </w:tcBorders>
            <w:shd w:val="clear" w:color="000000" w:fill="DCE6F1"/>
            <w:vAlign w:val="center"/>
            <w:hideMark/>
          </w:tcPr>
          <w:p w14:paraId="7E1BE36A" w14:textId="2E523DC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1,162</w:t>
            </w:r>
          </w:p>
        </w:tc>
        <w:tc>
          <w:tcPr>
            <w:tcW w:w="810" w:type="dxa"/>
            <w:tcBorders>
              <w:top w:val="nil"/>
              <w:left w:val="nil"/>
              <w:bottom w:val="single" w:sz="4" w:space="0" w:color="auto"/>
              <w:right w:val="single" w:sz="4" w:space="0" w:color="auto"/>
            </w:tcBorders>
            <w:shd w:val="clear" w:color="000000" w:fill="DCE6F1"/>
            <w:vAlign w:val="center"/>
            <w:hideMark/>
          </w:tcPr>
          <w:p w14:paraId="0EF067E0" w14:textId="6D470AE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982</w:t>
            </w:r>
          </w:p>
        </w:tc>
        <w:tc>
          <w:tcPr>
            <w:tcW w:w="646" w:type="dxa"/>
            <w:tcBorders>
              <w:top w:val="nil"/>
              <w:left w:val="nil"/>
              <w:bottom w:val="single" w:sz="4" w:space="0" w:color="auto"/>
              <w:right w:val="single" w:sz="4" w:space="0" w:color="auto"/>
            </w:tcBorders>
            <w:shd w:val="clear" w:color="000000" w:fill="DCE6F1"/>
            <w:vAlign w:val="center"/>
            <w:hideMark/>
          </w:tcPr>
          <w:p w14:paraId="37CDB459" w14:textId="180D59E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602</w:t>
            </w:r>
          </w:p>
        </w:tc>
        <w:tc>
          <w:tcPr>
            <w:tcW w:w="974" w:type="dxa"/>
            <w:tcBorders>
              <w:top w:val="nil"/>
              <w:left w:val="nil"/>
              <w:bottom w:val="single" w:sz="4" w:space="0" w:color="auto"/>
              <w:right w:val="nil"/>
            </w:tcBorders>
            <w:shd w:val="clear" w:color="000000" w:fill="DCE6F1"/>
            <w:vAlign w:val="center"/>
            <w:hideMark/>
          </w:tcPr>
          <w:p w14:paraId="698C881B" w14:textId="386248F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4,755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F4E627A" w14:textId="71BF086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3,495</w:t>
            </w:r>
          </w:p>
        </w:tc>
        <w:tc>
          <w:tcPr>
            <w:tcW w:w="990" w:type="dxa"/>
            <w:tcBorders>
              <w:top w:val="nil"/>
              <w:left w:val="nil"/>
              <w:bottom w:val="single" w:sz="4" w:space="0" w:color="auto"/>
              <w:right w:val="single" w:sz="4" w:space="0" w:color="auto"/>
            </w:tcBorders>
            <w:shd w:val="clear" w:color="000000" w:fill="DCE6F1"/>
            <w:vAlign w:val="center"/>
            <w:hideMark/>
          </w:tcPr>
          <w:p w14:paraId="0D24C707" w14:textId="15B1823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w:t>
            </w:r>
          </w:p>
        </w:tc>
        <w:tc>
          <w:tcPr>
            <w:tcW w:w="953" w:type="dxa"/>
            <w:tcBorders>
              <w:top w:val="nil"/>
              <w:left w:val="nil"/>
              <w:bottom w:val="single" w:sz="4" w:space="0" w:color="auto"/>
              <w:right w:val="single" w:sz="8" w:space="0" w:color="auto"/>
            </w:tcBorders>
            <w:shd w:val="clear" w:color="000000" w:fill="DCE6F1"/>
            <w:vAlign w:val="center"/>
            <w:hideMark/>
          </w:tcPr>
          <w:p w14:paraId="56F40FD0" w14:textId="44DB7A6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560</w:t>
            </w:r>
          </w:p>
        </w:tc>
      </w:tr>
      <w:tr w:rsidR="004D73D3" w:rsidRPr="004D73D3" w14:paraId="528BD19E"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AE95DCE"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lastRenderedPageBreak/>
              <w:t xml:space="preserve">Masa Prioritare 1.2. </w:t>
            </w:r>
            <w:r w:rsidRPr="00817FC2">
              <w:rPr>
                <w:rFonts w:eastAsia="Times New Roman"/>
                <w:bCs/>
                <w:color w:val="000000"/>
                <w:sz w:val="16"/>
                <w:szCs w:val="16"/>
                <w:lang w:val="en-US" w:eastAsia="en-US"/>
              </w:rPr>
              <w:t>Ofrimi i shërbimeve të aksesueshme të ndihmës juridike falas për personat me aftësi të kufizuara</w:t>
            </w:r>
            <w:r w:rsidRPr="004D73D3">
              <w:rPr>
                <w:rFonts w:eastAsia="Times New Roman"/>
                <w:b/>
                <w:bCs/>
                <w:color w:val="000000"/>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DCE6F1"/>
            <w:vAlign w:val="center"/>
            <w:hideMark/>
          </w:tcPr>
          <w:p w14:paraId="55C067C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5159084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F9EF88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DNJF/KLGJ/Gjykatat/DHKA/DHAAH</w:t>
            </w:r>
          </w:p>
        </w:tc>
        <w:tc>
          <w:tcPr>
            <w:tcW w:w="1203" w:type="dxa"/>
            <w:tcBorders>
              <w:top w:val="nil"/>
              <w:left w:val="nil"/>
              <w:bottom w:val="single" w:sz="4" w:space="0" w:color="auto"/>
              <w:right w:val="single" w:sz="8" w:space="0" w:color="auto"/>
            </w:tcBorders>
            <w:shd w:val="clear" w:color="000000" w:fill="DCE6F1"/>
            <w:vAlign w:val="center"/>
            <w:hideMark/>
          </w:tcPr>
          <w:p w14:paraId="70B185D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MD/OSHC/Partnere vendas dhe të huaj/DNJF</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6567B243" w14:textId="6BE237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178,734</w:t>
            </w:r>
          </w:p>
        </w:tc>
        <w:tc>
          <w:tcPr>
            <w:tcW w:w="847" w:type="dxa"/>
            <w:tcBorders>
              <w:top w:val="nil"/>
              <w:left w:val="nil"/>
              <w:bottom w:val="single" w:sz="4" w:space="0" w:color="auto"/>
              <w:right w:val="single" w:sz="4" w:space="0" w:color="auto"/>
            </w:tcBorders>
            <w:shd w:val="clear" w:color="000000" w:fill="DCE6F1"/>
            <w:vAlign w:val="center"/>
            <w:hideMark/>
          </w:tcPr>
          <w:p w14:paraId="562EA09C" w14:textId="7E9D454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178,734</w:t>
            </w:r>
          </w:p>
        </w:tc>
        <w:tc>
          <w:tcPr>
            <w:tcW w:w="720" w:type="dxa"/>
            <w:tcBorders>
              <w:top w:val="nil"/>
              <w:left w:val="nil"/>
              <w:bottom w:val="single" w:sz="4" w:space="0" w:color="auto"/>
              <w:right w:val="single" w:sz="4" w:space="0" w:color="auto"/>
            </w:tcBorders>
            <w:shd w:val="clear" w:color="000000" w:fill="DCE6F1"/>
            <w:vAlign w:val="center"/>
            <w:hideMark/>
          </w:tcPr>
          <w:p w14:paraId="55D46C91" w14:textId="6E5D1D6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178,734</w:t>
            </w:r>
          </w:p>
        </w:tc>
        <w:tc>
          <w:tcPr>
            <w:tcW w:w="810" w:type="dxa"/>
            <w:tcBorders>
              <w:top w:val="nil"/>
              <w:left w:val="nil"/>
              <w:bottom w:val="single" w:sz="4" w:space="0" w:color="auto"/>
              <w:right w:val="single" w:sz="4" w:space="0" w:color="auto"/>
            </w:tcBorders>
            <w:shd w:val="clear" w:color="000000" w:fill="DCE6F1"/>
            <w:vAlign w:val="center"/>
            <w:hideMark/>
          </w:tcPr>
          <w:p w14:paraId="5155E618" w14:textId="26326D6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178,734</w:t>
            </w:r>
          </w:p>
        </w:tc>
        <w:tc>
          <w:tcPr>
            <w:tcW w:w="646" w:type="dxa"/>
            <w:tcBorders>
              <w:top w:val="nil"/>
              <w:left w:val="nil"/>
              <w:bottom w:val="single" w:sz="4" w:space="0" w:color="auto"/>
              <w:right w:val="single" w:sz="4" w:space="0" w:color="auto"/>
            </w:tcBorders>
            <w:shd w:val="clear" w:color="000000" w:fill="DCE6F1"/>
            <w:vAlign w:val="center"/>
            <w:hideMark/>
          </w:tcPr>
          <w:p w14:paraId="67690461" w14:textId="2288A4D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178,734</w:t>
            </w:r>
          </w:p>
        </w:tc>
        <w:tc>
          <w:tcPr>
            <w:tcW w:w="974" w:type="dxa"/>
            <w:tcBorders>
              <w:top w:val="nil"/>
              <w:left w:val="nil"/>
              <w:bottom w:val="single" w:sz="4" w:space="0" w:color="auto"/>
              <w:right w:val="nil"/>
            </w:tcBorders>
            <w:shd w:val="clear" w:color="000000" w:fill="DCE6F1"/>
            <w:vAlign w:val="center"/>
            <w:hideMark/>
          </w:tcPr>
          <w:p w14:paraId="42D9D907" w14:textId="7CC22AA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893,670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A67A893" w14:textId="69590C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891,134</w:t>
            </w:r>
          </w:p>
        </w:tc>
        <w:tc>
          <w:tcPr>
            <w:tcW w:w="990" w:type="dxa"/>
            <w:tcBorders>
              <w:top w:val="nil"/>
              <w:left w:val="nil"/>
              <w:bottom w:val="single" w:sz="4" w:space="0" w:color="auto"/>
              <w:right w:val="single" w:sz="4" w:space="0" w:color="auto"/>
            </w:tcBorders>
            <w:shd w:val="clear" w:color="000000" w:fill="DCE6F1"/>
            <w:vAlign w:val="center"/>
            <w:hideMark/>
          </w:tcPr>
          <w:p w14:paraId="35BAF0BC" w14:textId="656F6E5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5FB23443" w14:textId="53B77D2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2,536</w:t>
            </w:r>
          </w:p>
        </w:tc>
      </w:tr>
      <w:tr w:rsidR="004D73D3" w:rsidRPr="004D73D3" w14:paraId="798D91FD"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8F58E16"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1.3. </w:t>
            </w:r>
            <w:r w:rsidRPr="00817FC2">
              <w:rPr>
                <w:rFonts w:eastAsia="Times New Roman"/>
                <w:bCs/>
                <w:color w:val="000000"/>
                <w:sz w:val="16"/>
                <w:szCs w:val="16"/>
                <w:lang w:val="en-US" w:eastAsia="en-US"/>
              </w:rPr>
              <w:t>Ndërgjegjësimi i profesionistëve të sisitemit të drejtësisë mbi të drejtën për të patur akses në drejtësi të personave me aftësi të kufizuara, bazuar në praktikat dhe standartet më të mira ndërkombëtare.</w:t>
            </w:r>
          </w:p>
        </w:tc>
        <w:tc>
          <w:tcPr>
            <w:tcW w:w="1160" w:type="dxa"/>
            <w:tcBorders>
              <w:top w:val="nil"/>
              <w:left w:val="nil"/>
              <w:bottom w:val="single" w:sz="4" w:space="0" w:color="auto"/>
              <w:right w:val="single" w:sz="4" w:space="0" w:color="auto"/>
            </w:tcBorders>
            <w:shd w:val="clear" w:color="000000" w:fill="DCE6F1"/>
            <w:vAlign w:val="center"/>
            <w:hideMark/>
          </w:tcPr>
          <w:p w14:paraId="5F58CD3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6CC58E0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2028</w:t>
            </w:r>
          </w:p>
        </w:tc>
        <w:tc>
          <w:tcPr>
            <w:tcW w:w="821" w:type="dxa"/>
            <w:tcBorders>
              <w:top w:val="nil"/>
              <w:left w:val="nil"/>
              <w:bottom w:val="single" w:sz="4" w:space="0" w:color="auto"/>
              <w:right w:val="single" w:sz="4" w:space="0" w:color="auto"/>
            </w:tcBorders>
            <w:shd w:val="clear" w:color="000000" w:fill="DCE6F1"/>
            <w:vAlign w:val="center"/>
            <w:hideMark/>
          </w:tcPr>
          <w:p w14:paraId="71E73EB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SHM/DHASH/DHKN</w:t>
            </w:r>
          </w:p>
        </w:tc>
        <w:tc>
          <w:tcPr>
            <w:tcW w:w="1203" w:type="dxa"/>
            <w:tcBorders>
              <w:top w:val="nil"/>
              <w:left w:val="nil"/>
              <w:bottom w:val="single" w:sz="4" w:space="0" w:color="auto"/>
              <w:right w:val="single" w:sz="8" w:space="0" w:color="auto"/>
            </w:tcBorders>
            <w:shd w:val="clear" w:color="000000" w:fill="DCE6F1"/>
            <w:vAlign w:val="center"/>
            <w:hideMark/>
          </w:tcPr>
          <w:p w14:paraId="4F5EFDE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A3E6826" w14:textId="20F073E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2,467</w:t>
            </w:r>
          </w:p>
        </w:tc>
        <w:tc>
          <w:tcPr>
            <w:tcW w:w="847" w:type="dxa"/>
            <w:tcBorders>
              <w:top w:val="nil"/>
              <w:left w:val="nil"/>
              <w:bottom w:val="single" w:sz="4" w:space="0" w:color="auto"/>
              <w:right w:val="single" w:sz="4" w:space="0" w:color="auto"/>
            </w:tcBorders>
            <w:shd w:val="clear" w:color="000000" w:fill="DCE6F1"/>
            <w:vAlign w:val="center"/>
            <w:hideMark/>
          </w:tcPr>
          <w:p w14:paraId="172E3141" w14:textId="2E547FC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1,467</w:t>
            </w:r>
          </w:p>
        </w:tc>
        <w:tc>
          <w:tcPr>
            <w:tcW w:w="720" w:type="dxa"/>
            <w:tcBorders>
              <w:top w:val="nil"/>
              <w:left w:val="nil"/>
              <w:bottom w:val="single" w:sz="4" w:space="0" w:color="auto"/>
              <w:right w:val="single" w:sz="4" w:space="0" w:color="auto"/>
            </w:tcBorders>
            <w:shd w:val="clear" w:color="000000" w:fill="DCE6F1"/>
            <w:vAlign w:val="center"/>
            <w:hideMark/>
          </w:tcPr>
          <w:p w14:paraId="62244DF9" w14:textId="3BCB9F2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1,467</w:t>
            </w:r>
          </w:p>
        </w:tc>
        <w:tc>
          <w:tcPr>
            <w:tcW w:w="810" w:type="dxa"/>
            <w:tcBorders>
              <w:top w:val="nil"/>
              <w:left w:val="nil"/>
              <w:bottom w:val="single" w:sz="4" w:space="0" w:color="auto"/>
              <w:right w:val="single" w:sz="4" w:space="0" w:color="auto"/>
            </w:tcBorders>
            <w:shd w:val="clear" w:color="000000" w:fill="DCE6F1"/>
            <w:vAlign w:val="center"/>
            <w:hideMark/>
          </w:tcPr>
          <w:p w14:paraId="25D02E9D" w14:textId="2796828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3,950</w:t>
            </w:r>
          </w:p>
        </w:tc>
        <w:tc>
          <w:tcPr>
            <w:tcW w:w="646" w:type="dxa"/>
            <w:tcBorders>
              <w:top w:val="nil"/>
              <w:left w:val="nil"/>
              <w:bottom w:val="single" w:sz="4" w:space="0" w:color="auto"/>
              <w:right w:val="single" w:sz="4" w:space="0" w:color="auto"/>
            </w:tcBorders>
            <w:shd w:val="clear" w:color="000000" w:fill="DCE6F1"/>
            <w:vAlign w:val="center"/>
            <w:hideMark/>
          </w:tcPr>
          <w:p w14:paraId="3E98F8C1" w14:textId="2681063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3,950</w:t>
            </w:r>
          </w:p>
        </w:tc>
        <w:tc>
          <w:tcPr>
            <w:tcW w:w="974" w:type="dxa"/>
            <w:tcBorders>
              <w:top w:val="nil"/>
              <w:left w:val="nil"/>
              <w:bottom w:val="single" w:sz="4" w:space="0" w:color="auto"/>
              <w:right w:val="nil"/>
            </w:tcBorders>
            <w:shd w:val="clear" w:color="000000" w:fill="DCE6F1"/>
            <w:vAlign w:val="center"/>
            <w:hideMark/>
          </w:tcPr>
          <w:p w14:paraId="0D8BD50A" w14:textId="19A266A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13,300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8789AB4" w14:textId="6095635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55D3BC76" w14:textId="626F23F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2,467</w:t>
            </w:r>
          </w:p>
        </w:tc>
        <w:tc>
          <w:tcPr>
            <w:tcW w:w="953" w:type="dxa"/>
            <w:tcBorders>
              <w:top w:val="nil"/>
              <w:left w:val="nil"/>
              <w:bottom w:val="single" w:sz="4" w:space="0" w:color="auto"/>
              <w:right w:val="single" w:sz="8" w:space="0" w:color="auto"/>
            </w:tcBorders>
            <w:shd w:val="clear" w:color="000000" w:fill="DCE6F1"/>
            <w:vAlign w:val="center"/>
            <w:hideMark/>
          </w:tcPr>
          <w:p w14:paraId="36F1E93D" w14:textId="0595547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10,833</w:t>
            </w:r>
          </w:p>
        </w:tc>
      </w:tr>
      <w:tr w:rsidR="004D73D3" w:rsidRPr="004D73D3" w14:paraId="19A38952"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47268607"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1.4. </w:t>
            </w:r>
            <w:r w:rsidRPr="00817FC2">
              <w:rPr>
                <w:rFonts w:eastAsia="Times New Roman"/>
                <w:bCs/>
                <w:color w:val="000000"/>
                <w:sz w:val="16"/>
                <w:szCs w:val="16"/>
                <w:lang w:val="en-US" w:eastAsia="en-US"/>
              </w:rPr>
              <w:t>Garantimi i aksesueshmërisë në mjedise, informacion e komunikim për personat me aftësi të kufizuara në institucione të sistemit të drejtësisë, apo të lidhura me të.</w:t>
            </w:r>
          </w:p>
        </w:tc>
        <w:tc>
          <w:tcPr>
            <w:tcW w:w="1160" w:type="dxa"/>
            <w:tcBorders>
              <w:top w:val="nil"/>
              <w:left w:val="nil"/>
              <w:bottom w:val="single" w:sz="4" w:space="0" w:color="auto"/>
              <w:right w:val="single" w:sz="4" w:space="0" w:color="auto"/>
            </w:tcBorders>
            <w:shd w:val="clear" w:color="000000" w:fill="DCE6F1"/>
            <w:vAlign w:val="center"/>
            <w:hideMark/>
          </w:tcPr>
          <w:p w14:paraId="2BF0A2C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9A12C7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4732D2D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KLGJ/KLP/DPP/DHKA/DHKN/SHM</w:t>
            </w:r>
          </w:p>
        </w:tc>
        <w:tc>
          <w:tcPr>
            <w:tcW w:w="1203" w:type="dxa"/>
            <w:tcBorders>
              <w:top w:val="nil"/>
              <w:left w:val="nil"/>
              <w:bottom w:val="single" w:sz="4" w:space="0" w:color="auto"/>
              <w:right w:val="single" w:sz="8" w:space="0" w:color="auto"/>
            </w:tcBorders>
            <w:shd w:val="clear" w:color="000000" w:fill="DCE6F1"/>
            <w:vAlign w:val="center"/>
            <w:hideMark/>
          </w:tcPr>
          <w:p w14:paraId="03CED873"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152678E" w14:textId="29928AF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3,600</w:t>
            </w:r>
          </w:p>
        </w:tc>
        <w:tc>
          <w:tcPr>
            <w:tcW w:w="847" w:type="dxa"/>
            <w:tcBorders>
              <w:top w:val="nil"/>
              <w:left w:val="nil"/>
              <w:bottom w:val="single" w:sz="4" w:space="0" w:color="auto"/>
              <w:right w:val="single" w:sz="4" w:space="0" w:color="auto"/>
            </w:tcBorders>
            <w:shd w:val="clear" w:color="000000" w:fill="DCE6F1"/>
            <w:vAlign w:val="center"/>
            <w:hideMark/>
          </w:tcPr>
          <w:p w14:paraId="415B79C5" w14:textId="0413ACF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3,600</w:t>
            </w:r>
          </w:p>
        </w:tc>
        <w:tc>
          <w:tcPr>
            <w:tcW w:w="720" w:type="dxa"/>
            <w:tcBorders>
              <w:top w:val="nil"/>
              <w:left w:val="nil"/>
              <w:bottom w:val="single" w:sz="4" w:space="0" w:color="auto"/>
              <w:right w:val="single" w:sz="4" w:space="0" w:color="auto"/>
            </w:tcBorders>
            <w:shd w:val="clear" w:color="000000" w:fill="DCE6F1"/>
            <w:vAlign w:val="center"/>
            <w:hideMark/>
          </w:tcPr>
          <w:p w14:paraId="6D5B4378" w14:textId="7E79A69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3,600</w:t>
            </w:r>
          </w:p>
        </w:tc>
        <w:tc>
          <w:tcPr>
            <w:tcW w:w="810" w:type="dxa"/>
            <w:tcBorders>
              <w:top w:val="nil"/>
              <w:left w:val="nil"/>
              <w:bottom w:val="single" w:sz="4" w:space="0" w:color="auto"/>
              <w:right w:val="single" w:sz="4" w:space="0" w:color="auto"/>
            </w:tcBorders>
            <w:shd w:val="clear" w:color="000000" w:fill="DCE6F1"/>
            <w:vAlign w:val="center"/>
            <w:hideMark/>
          </w:tcPr>
          <w:p w14:paraId="613848AE" w14:textId="16487F1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47491F3D" w14:textId="324FBB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5B4053CE" w14:textId="621760B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10,800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DDBEE36" w14:textId="631DB8F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094E686F" w14:textId="548A9B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3,600</w:t>
            </w:r>
          </w:p>
        </w:tc>
        <w:tc>
          <w:tcPr>
            <w:tcW w:w="953" w:type="dxa"/>
            <w:tcBorders>
              <w:top w:val="nil"/>
              <w:left w:val="nil"/>
              <w:bottom w:val="single" w:sz="4" w:space="0" w:color="auto"/>
              <w:right w:val="single" w:sz="8" w:space="0" w:color="auto"/>
            </w:tcBorders>
            <w:shd w:val="clear" w:color="000000" w:fill="DCE6F1"/>
            <w:vAlign w:val="center"/>
            <w:hideMark/>
          </w:tcPr>
          <w:p w14:paraId="2009237F" w14:textId="30D5078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7,200</w:t>
            </w:r>
          </w:p>
        </w:tc>
      </w:tr>
      <w:tr w:rsidR="004D73D3" w:rsidRPr="004D73D3" w14:paraId="256059D7" w14:textId="77777777" w:rsidTr="004B31D6">
        <w:trPr>
          <w:trHeight w:val="1583"/>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31D7BB86"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2. Të garantohet njohja e barabartë para ligjit dhe ushtrimi i plotë i zotësisë për të vepruar për personat me aftësi të kufizuara, duke zëvendësuar kujdestarinë me mekanizma të vendimmarrjes së mbështetur.</w:t>
            </w:r>
          </w:p>
        </w:tc>
        <w:tc>
          <w:tcPr>
            <w:tcW w:w="1160" w:type="dxa"/>
            <w:tcBorders>
              <w:top w:val="nil"/>
              <w:left w:val="nil"/>
              <w:bottom w:val="single" w:sz="4" w:space="0" w:color="auto"/>
              <w:right w:val="single" w:sz="4" w:space="0" w:color="auto"/>
            </w:tcBorders>
            <w:shd w:val="clear" w:color="000000" w:fill="FDE9D9"/>
            <w:vAlign w:val="center"/>
            <w:hideMark/>
          </w:tcPr>
          <w:p w14:paraId="3C41C804" w14:textId="3762585E" w:rsidR="004D73D3" w:rsidRPr="004D73D3" w:rsidRDefault="005B77E1"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42A30E1B"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0460F4A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MD/MSHMS</w:t>
            </w:r>
          </w:p>
        </w:tc>
        <w:tc>
          <w:tcPr>
            <w:tcW w:w="1203" w:type="dxa"/>
            <w:tcBorders>
              <w:top w:val="nil"/>
              <w:left w:val="nil"/>
              <w:bottom w:val="single" w:sz="4" w:space="0" w:color="auto"/>
              <w:right w:val="single" w:sz="8" w:space="0" w:color="auto"/>
            </w:tcBorders>
            <w:shd w:val="clear" w:color="000000" w:fill="FDE9D9"/>
            <w:vAlign w:val="center"/>
            <w:hideMark/>
          </w:tcPr>
          <w:p w14:paraId="16978D02"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4F093861" w14:textId="2DEA4B3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9,847</w:t>
            </w:r>
          </w:p>
        </w:tc>
        <w:tc>
          <w:tcPr>
            <w:tcW w:w="847" w:type="dxa"/>
            <w:tcBorders>
              <w:top w:val="nil"/>
              <w:left w:val="nil"/>
              <w:bottom w:val="single" w:sz="4" w:space="0" w:color="auto"/>
              <w:right w:val="single" w:sz="4" w:space="0" w:color="auto"/>
            </w:tcBorders>
            <w:shd w:val="clear" w:color="000000" w:fill="FDE9D9"/>
            <w:vAlign w:val="center"/>
            <w:hideMark/>
          </w:tcPr>
          <w:p w14:paraId="2FC4B2FD" w14:textId="283EA05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9,847</w:t>
            </w:r>
          </w:p>
        </w:tc>
        <w:tc>
          <w:tcPr>
            <w:tcW w:w="720" w:type="dxa"/>
            <w:tcBorders>
              <w:top w:val="nil"/>
              <w:left w:val="nil"/>
              <w:bottom w:val="single" w:sz="4" w:space="0" w:color="auto"/>
              <w:right w:val="single" w:sz="4" w:space="0" w:color="auto"/>
            </w:tcBorders>
            <w:shd w:val="clear" w:color="000000" w:fill="FDE9D9"/>
            <w:vAlign w:val="center"/>
            <w:hideMark/>
          </w:tcPr>
          <w:p w14:paraId="28134DE8" w14:textId="66312D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11,347</w:t>
            </w:r>
          </w:p>
        </w:tc>
        <w:tc>
          <w:tcPr>
            <w:tcW w:w="810" w:type="dxa"/>
            <w:tcBorders>
              <w:top w:val="nil"/>
              <w:left w:val="nil"/>
              <w:bottom w:val="single" w:sz="4" w:space="0" w:color="auto"/>
              <w:right w:val="single" w:sz="4" w:space="0" w:color="auto"/>
            </w:tcBorders>
            <w:shd w:val="clear" w:color="000000" w:fill="FDE9D9"/>
            <w:vAlign w:val="center"/>
            <w:hideMark/>
          </w:tcPr>
          <w:p w14:paraId="07A08764" w14:textId="4118018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12,180</w:t>
            </w:r>
          </w:p>
        </w:tc>
        <w:tc>
          <w:tcPr>
            <w:tcW w:w="646" w:type="dxa"/>
            <w:tcBorders>
              <w:top w:val="nil"/>
              <w:left w:val="nil"/>
              <w:bottom w:val="single" w:sz="4" w:space="0" w:color="auto"/>
              <w:right w:val="single" w:sz="4" w:space="0" w:color="auto"/>
            </w:tcBorders>
            <w:shd w:val="clear" w:color="000000" w:fill="FDE9D9"/>
            <w:vAlign w:val="center"/>
            <w:hideMark/>
          </w:tcPr>
          <w:p w14:paraId="3476AD18" w14:textId="08A040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9,180</w:t>
            </w:r>
          </w:p>
        </w:tc>
        <w:tc>
          <w:tcPr>
            <w:tcW w:w="974" w:type="dxa"/>
            <w:tcBorders>
              <w:top w:val="nil"/>
              <w:left w:val="nil"/>
              <w:bottom w:val="single" w:sz="4" w:space="0" w:color="auto"/>
              <w:right w:val="nil"/>
            </w:tcBorders>
            <w:shd w:val="clear" w:color="000000" w:fill="FDE9D9"/>
            <w:vAlign w:val="center"/>
            <w:hideMark/>
          </w:tcPr>
          <w:p w14:paraId="47DB3A2D" w14:textId="0A1B500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52,400</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40539CA0" w14:textId="253B78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w:t>
            </w:r>
          </w:p>
        </w:tc>
        <w:tc>
          <w:tcPr>
            <w:tcW w:w="990" w:type="dxa"/>
            <w:tcBorders>
              <w:top w:val="nil"/>
              <w:left w:val="nil"/>
              <w:bottom w:val="single" w:sz="4" w:space="0" w:color="auto"/>
              <w:right w:val="single" w:sz="4" w:space="0" w:color="auto"/>
            </w:tcBorders>
            <w:shd w:val="clear" w:color="000000" w:fill="FDE9D9"/>
            <w:vAlign w:val="center"/>
            <w:hideMark/>
          </w:tcPr>
          <w:p w14:paraId="62AC7C84" w14:textId="2151192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9,847</w:t>
            </w:r>
          </w:p>
        </w:tc>
        <w:tc>
          <w:tcPr>
            <w:tcW w:w="953" w:type="dxa"/>
            <w:tcBorders>
              <w:top w:val="nil"/>
              <w:left w:val="nil"/>
              <w:bottom w:val="single" w:sz="4" w:space="0" w:color="auto"/>
              <w:right w:val="single" w:sz="8" w:space="0" w:color="auto"/>
            </w:tcBorders>
            <w:shd w:val="clear" w:color="000000" w:fill="FDE9D9"/>
            <w:vAlign w:val="center"/>
            <w:hideMark/>
          </w:tcPr>
          <w:p w14:paraId="0E31BE5B" w14:textId="63350E2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39,553</w:t>
            </w:r>
          </w:p>
        </w:tc>
      </w:tr>
      <w:tr w:rsidR="004D73D3" w:rsidRPr="004D73D3" w14:paraId="1A384F85"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7C634A18"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2.1: </w:t>
            </w:r>
            <w:r w:rsidRPr="00817FC2">
              <w:rPr>
                <w:rFonts w:eastAsia="Times New Roman"/>
                <w:bCs/>
                <w:color w:val="000000"/>
                <w:sz w:val="16"/>
                <w:szCs w:val="16"/>
                <w:lang w:val="en-US" w:eastAsia="en-US"/>
              </w:rPr>
              <w:t>Përgatitja e kuadrit ligjor dhe fuqizimi i kapaciteteve për të mundësuar vendimmarrjen e mbështetur</w:t>
            </w:r>
          </w:p>
        </w:tc>
        <w:tc>
          <w:tcPr>
            <w:tcW w:w="1160" w:type="dxa"/>
            <w:tcBorders>
              <w:top w:val="nil"/>
              <w:left w:val="nil"/>
              <w:bottom w:val="single" w:sz="4" w:space="0" w:color="auto"/>
              <w:right w:val="single" w:sz="4" w:space="0" w:color="auto"/>
            </w:tcBorders>
            <w:shd w:val="clear" w:color="000000" w:fill="DCE6F1"/>
            <w:vAlign w:val="center"/>
            <w:hideMark/>
          </w:tcPr>
          <w:p w14:paraId="081E7561"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389CB0E" w14:textId="77777777" w:rsidR="004D73D3" w:rsidRPr="005B77E1" w:rsidRDefault="004D73D3" w:rsidP="004D73D3">
            <w:pPr>
              <w:jc w:val="center"/>
              <w:rPr>
                <w:rFonts w:eastAsia="Times New Roman"/>
                <w:color w:val="000000"/>
                <w:sz w:val="16"/>
                <w:szCs w:val="16"/>
                <w:lang w:val="en-US" w:eastAsia="en-US"/>
              </w:rPr>
            </w:pPr>
            <w:r w:rsidRPr="005B77E1">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283F902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MD/MSHMS</w:t>
            </w:r>
          </w:p>
        </w:tc>
        <w:tc>
          <w:tcPr>
            <w:tcW w:w="1203" w:type="dxa"/>
            <w:tcBorders>
              <w:top w:val="nil"/>
              <w:left w:val="nil"/>
              <w:bottom w:val="single" w:sz="4" w:space="0" w:color="auto"/>
              <w:right w:val="single" w:sz="8" w:space="0" w:color="auto"/>
            </w:tcBorders>
            <w:shd w:val="clear" w:color="000000" w:fill="DCE6F1"/>
            <w:vAlign w:val="center"/>
            <w:hideMark/>
          </w:tcPr>
          <w:p w14:paraId="29893D19"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10F9AC45" w14:textId="13DDB5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9,847</w:t>
            </w:r>
          </w:p>
        </w:tc>
        <w:tc>
          <w:tcPr>
            <w:tcW w:w="847" w:type="dxa"/>
            <w:tcBorders>
              <w:top w:val="nil"/>
              <w:left w:val="nil"/>
              <w:bottom w:val="single" w:sz="4" w:space="0" w:color="auto"/>
              <w:right w:val="single" w:sz="4" w:space="0" w:color="auto"/>
            </w:tcBorders>
            <w:shd w:val="clear" w:color="000000" w:fill="DCE6F1"/>
            <w:vAlign w:val="center"/>
            <w:hideMark/>
          </w:tcPr>
          <w:p w14:paraId="555291C8" w14:textId="7889706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9,847</w:t>
            </w:r>
          </w:p>
        </w:tc>
        <w:tc>
          <w:tcPr>
            <w:tcW w:w="720" w:type="dxa"/>
            <w:tcBorders>
              <w:top w:val="nil"/>
              <w:left w:val="nil"/>
              <w:bottom w:val="single" w:sz="4" w:space="0" w:color="auto"/>
              <w:right w:val="single" w:sz="4" w:space="0" w:color="auto"/>
            </w:tcBorders>
            <w:shd w:val="clear" w:color="000000" w:fill="DCE6F1"/>
            <w:vAlign w:val="center"/>
            <w:hideMark/>
          </w:tcPr>
          <w:p w14:paraId="5BAF80C5" w14:textId="771C487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11,347</w:t>
            </w:r>
          </w:p>
        </w:tc>
        <w:tc>
          <w:tcPr>
            <w:tcW w:w="810" w:type="dxa"/>
            <w:tcBorders>
              <w:top w:val="nil"/>
              <w:left w:val="nil"/>
              <w:bottom w:val="single" w:sz="4" w:space="0" w:color="auto"/>
              <w:right w:val="single" w:sz="4" w:space="0" w:color="auto"/>
            </w:tcBorders>
            <w:shd w:val="clear" w:color="000000" w:fill="DCE6F1"/>
            <w:vAlign w:val="center"/>
            <w:hideMark/>
          </w:tcPr>
          <w:p w14:paraId="76EBDA9B" w14:textId="3CF4438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12,180</w:t>
            </w:r>
          </w:p>
        </w:tc>
        <w:tc>
          <w:tcPr>
            <w:tcW w:w="646" w:type="dxa"/>
            <w:tcBorders>
              <w:top w:val="nil"/>
              <w:left w:val="nil"/>
              <w:bottom w:val="single" w:sz="4" w:space="0" w:color="auto"/>
              <w:right w:val="single" w:sz="4" w:space="0" w:color="auto"/>
            </w:tcBorders>
            <w:shd w:val="clear" w:color="000000" w:fill="DCE6F1"/>
            <w:vAlign w:val="center"/>
            <w:hideMark/>
          </w:tcPr>
          <w:p w14:paraId="512E72BB" w14:textId="0C1A3DE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9,180</w:t>
            </w:r>
          </w:p>
        </w:tc>
        <w:tc>
          <w:tcPr>
            <w:tcW w:w="974" w:type="dxa"/>
            <w:tcBorders>
              <w:top w:val="nil"/>
              <w:left w:val="nil"/>
              <w:bottom w:val="single" w:sz="4" w:space="0" w:color="auto"/>
              <w:right w:val="nil"/>
            </w:tcBorders>
            <w:shd w:val="clear" w:color="000000" w:fill="DCE6F1"/>
            <w:vAlign w:val="center"/>
            <w:hideMark/>
          </w:tcPr>
          <w:p w14:paraId="7DF44486" w14:textId="6CE8564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52,400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EF5CBA8" w14:textId="2D23548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w:t>
            </w:r>
          </w:p>
        </w:tc>
        <w:tc>
          <w:tcPr>
            <w:tcW w:w="990" w:type="dxa"/>
            <w:tcBorders>
              <w:top w:val="nil"/>
              <w:left w:val="nil"/>
              <w:bottom w:val="single" w:sz="4" w:space="0" w:color="auto"/>
              <w:right w:val="single" w:sz="4" w:space="0" w:color="auto"/>
            </w:tcBorders>
            <w:shd w:val="clear" w:color="000000" w:fill="DCE6F1"/>
            <w:vAlign w:val="center"/>
            <w:hideMark/>
          </w:tcPr>
          <w:p w14:paraId="5692B2FD" w14:textId="662CB41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9,847</w:t>
            </w:r>
          </w:p>
        </w:tc>
        <w:tc>
          <w:tcPr>
            <w:tcW w:w="953" w:type="dxa"/>
            <w:tcBorders>
              <w:top w:val="nil"/>
              <w:left w:val="nil"/>
              <w:bottom w:val="single" w:sz="4" w:space="0" w:color="auto"/>
              <w:right w:val="single" w:sz="8" w:space="0" w:color="auto"/>
            </w:tcBorders>
            <w:shd w:val="clear" w:color="000000" w:fill="DCE6F1"/>
            <w:vAlign w:val="center"/>
            <w:hideMark/>
          </w:tcPr>
          <w:p w14:paraId="54E96E46" w14:textId="093014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39,553</w:t>
            </w:r>
          </w:p>
        </w:tc>
      </w:tr>
      <w:tr w:rsidR="004D73D3" w:rsidRPr="004D73D3" w14:paraId="6D1FDB2D" w14:textId="77777777" w:rsidTr="004B31D6">
        <w:trPr>
          <w:trHeight w:val="62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7D4F5DDB"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 xml:space="preserve"> Objektivi specifik 3.Të sigurohet që personat me aftësi të kufizuara në paraburgim dhe në institucionet e vuajtjes së dënimit të kenë ambiente të aksesueshme, shërbime shëndetësore e psikosociale dhe plane individuale mbështetjeje, për të garantuar trajtim dinjitoz dhe të barabartë.</w:t>
            </w:r>
          </w:p>
        </w:tc>
        <w:tc>
          <w:tcPr>
            <w:tcW w:w="1160" w:type="dxa"/>
            <w:tcBorders>
              <w:top w:val="nil"/>
              <w:left w:val="nil"/>
              <w:bottom w:val="single" w:sz="4" w:space="0" w:color="auto"/>
              <w:right w:val="single" w:sz="4" w:space="0" w:color="auto"/>
            </w:tcBorders>
            <w:shd w:val="clear" w:color="000000" w:fill="FDE9D9"/>
            <w:vAlign w:val="center"/>
            <w:hideMark/>
          </w:tcPr>
          <w:p w14:paraId="68D091C4" w14:textId="17AC3A72" w:rsidR="004D73D3" w:rsidRPr="004D73D3" w:rsidRDefault="005B77E1"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24750C1C"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395E43F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DPB</w:t>
            </w:r>
          </w:p>
        </w:tc>
        <w:tc>
          <w:tcPr>
            <w:tcW w:w="1203" w:type="dxa"/>
            <w:tcBorders>
              <w:top w:val="nil"/>
              <w:left w:val="nil"/>
              <w:bottom w:val="single" w:sz="4" w:space="0" w:color="auto"/>
              <w:right w:val="nil"/>
            </w:tcBorders>
            <w:shd w:val="clear" w:color="000000" w:fill="FDE9D9"/>
            <w:vAlign w:val="center"/>
            <w:hideMark/>
          </w:tcPr>
          <w:p w14:paraId="70626AF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xml:space="preserve">MD/MSHMS </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0AAE78D3" w14:textId="71E47D6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2,085</w:t>
            </w:r>
          </w:p>
        </w:tc>
        <w:tc>
          <w:tcPr>
            <w:tcW w:w="847" w:type="dxa"/>
            <w:tcBorders>
              <w:top w:val="nil"/>
              <w:left w:val="nil"/>
              <w:bottom w:val="single" w:sz="4" w:space="0" w:color="auto"/>
              <w:right w:val="single" w:sz="4" w:space="0" w:color="auto"/>
            </w:tcBorders>
            <w:shd w:val="clear" w:color="000000" w:fill="FDE9D9"/>
            <w:vAlign w:val="center"/>
            <w:hideMark/>
          </w:tcPr>
          <w:p w14:paraId="625DEA20" w14:textId="1413E7B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2,085</w:t>
            </w:r>
          </w:p>
        </w:tc>
        <w:tc>
          <w:tcPr>
            <w:tcW w:w="720" w:type="dxa"/>
            <w:tcBorders>
              <w:top w:val="nil"/>
              <w:left w:val="nil"/>
              <w:bottom w:val="single" w:sz="4" w:space="0" w:color="auto"/>
              <w:right w:val="single" w:sz="4" w:space="0" w:color="auto"/>
            </w:tcBorders>
            <w:shd w:val="clear" w:color="000000" w:fill="FDE9D9"/>
            <w:vAlign w:val="center"/>
            <w:hideMark/>
          </w:tcPr>
          <w:p w14:paraId="47EBC5A9" w14:textId="1D75652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c>
          <w:tcPr>
            <w:tcW w:w="810" w:type="dxa"/>
            <w:tcBorders>
              <w:top w:val="nil"/>
              <w:left w:val="nil"/>
              <w:bottom w:val="single" w:sz="4" w:space="0" w:color="auto"/>
              <w:right w:val="single" w:sz="4" w:space="0" w:color="auto"/>
            </w:tcBorders>
            <w:shd w:val="clear" w:color="000000" w:fill="FDE9D9"/>
            <w:vAlign w:val="center"/>
            <w:hideMark/>
          </w:tcPr>
          <w:p w14:paraId="3B0ABDC9" w14:textId="4C718B2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11,500</w:t>
            </w:r>
          </w:p>
        </w:tc>
        <w:tc>
          <w:tcPr>
            <w:tcW w:w="646" w:type="dxa"/>
            <w:tcBorders>
              <w:top w:val="nil"/>
              <w:left w:val="nil"/>
              <w:bottom w:val="single" w:sz="4" w:space="0" w:color="auto"/>
              <w:right w:val="single" w:sz="4" w:space="0" w:color="auto"/>
            </w:tcBorders>
            <w:shd w:val="clear" w:color="000000" w:fill="FDE9D9"/>
            <w:vAlign w:val="center"/>
            <w:hideMark/>
          </w:tcPr>
          <w:p w14:paraId="261F963F" w14:textId="64FADB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11,500</w:t>
            </w:r>
          </w:p>
        </w:tc>
        <w:tc>
          <w:tcPr>
            <w:tcW w:w="974" w:type="dxa"/>
            <w:tcBorders>
              <w:top w:val="nil"/>
              <w:left w:val="nil"/>
              <w:bottom w:val="single" w:sz="4" w:space="0" w:color="auto"/>
              <w:right w:val="nil"/>
            </w:tcBorders>
            <w:shd w:val="clear" w:color="000000" w:fill="FDE9D9"/>
            <w:vAlign w:val="center"/>
            <w:hideMark/>
          </w:tcPr>
          <w:p w14:paraId="24D3BAA4" w14:textId="66F9118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29,170</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69ABF18E" w14:textId="2F3C58A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170</w:t>
            </w:r>
          </w:p>
        </w:tc>
        <w:tc>
          <w:tcPr>
            <w:tcW w:w="990" w:type="dxa"/>
            <w:tcBorders>
              <w:top w:val="nil"/>
              <w:left w:val="nil"/>
              <w:bottom w:val="single" w:sz="4" w:space="0" w:color="auto"/>
              <w:right w:val="single" w:sz="4" w:space="0" w:color="auto"/>
            </w:tcBorders>
            <w:shd w:val="clear" w:color="000000" w:fill="FDE9D9"/>
            <w:vAlign w:val="center"/>
            <w:hideMark/>
          </w:tcPr>
          <w:p w14:paraId="045EB579" w14:textId="0B4F6EA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c>
          <w:tcPr>
            <w:tcW w:w="953" w:type="dxa"/>
            <w:tcBorders>
              <w:top w:val="nil"/>
              <w:left w:val="nil"/>
              <w:bottom w:val="single" w:sz="4" w:space="0" w:color="auto"/>
              <w:right w:val="single" w:sz="8" w:space="0" w:color="auto"/>
            </w:tcBorders>
            <w:shd w:val="clear" w:color="000000" w:fill="FDE9D9"/>
            <w:vAlign w:val="center"/>
            <w:hideMark/>
          </w:tcPr>
          <w:p w14:paraId="4064911D" w14:textId="4805276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27,000</w:t>
            </w:r>
          </w:p>
        </w:tc>
      </w:tr>
      <w:tr w:rsidR="004D73D3" w:rsidRPr="004D73D3" w14:paraId="4538CE97" w14:textId="77777777" w:rsidTr="004B31D6">
        <w:trPr>
          <w:trHeight w:val="26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7A283EC9"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3.1</w:t>
            </w:r>
            <w:r w:rsidRPr="00817FC2">
              <w:rPr>
                <w:rFonts w:eastAsia="Times New Roman"/>
                <w:bCs/>
                <w:color w:val="000000"/>
                <w:sz w:val="16"/>
                <w:szCs w:val="16"/>
                <w:lang w:val="en-US" w:eastAsia="en-US"/>
              </w:rPr>
              <w:t xml:space="preserve">: Realizimi i aksesueshmërisë fizike dhe aksesueshmërisë në informacion e komunikim për të gjitha kategoritë e personave me aftësi të kufizuara në të gjitha institucionet e vuajtjes së dënimeve. </w:t>
            </w:r>
          </w:p>
        </w:tc>
        <w:tc>
          <w:tcPr>
            <w:tcW w:w="1160" w:type="dxa"/>
            <w:tcBorders>
              <w:top w:val="nil"/>
              <w:left w:val="nil"/>
              <w:bottom w:val="single" w:sz="4" w:space="0" w:color="auto"/>
              <w:right w:val="single" w:sz="4" w:space="0" w:color="auto"/>
            </w:tcBorders>
            <w:shd w:val="clear" w:color="000000" w:fill="DCE6F1"/>
            <w:vAlign w:val="center"/>
            <w:hideMark/>
          </w:tcPr>
          <w:p w14:paraId="74FDA55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1BE0D3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30D0F5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DPB</w:t>
            </w:r>
          </w:p>
        </w:tc>
        <w:tc>
          <w:tcPr>
            <w:tcW w:w="1203" w:type="dxa"/>
            <w:tcBorders>
              <w:top w:val="nil"/>
              <w:left w:val="nil"/>
              <w:bottom w:val="single" w:sz="4" w:space="0" w:color="auto"/>
              <w:right w:val="single" w:sz="8" w:space="0" w:color="auto"/>
            </w:tcBorders>
            <w:shd w:val="clear" w:color="000000" w:fill="DCE6F1"/>
            <w:vAlign w:val="center"/>
            <w:hideMark/>
          </w:tcPr>
          <w:p w14:paraId="1712E7E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B568A10" w14:textId="137B30A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847" w:type="dxa"/>
            <w:tcBorders>
              <w:top w:val="nil"/>
              <w:left w:val="nil"/>
              <w:bottom w:val="single" w:sz="4" w:space="0" w:color="auto"/>
              <w:right w:val="single" w:sz="4" w:space="0" w:color="auto"/>
            </w:tcBorders>
            <w:shd w:val="clear" w:color="000000" w:fill="DCE6F1"/>
            <w:vAlign w:val="center"/>
            <w:hideMark/>
          </w:tcPr>
          <w:p w14:paraId="51FB7428" w14:textId="114063C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720" w:type="dxa"/>
            <w:tcBorders>
              <w:top w:val="nil"/>
              <w:left w:val="nil"/>
              <w:bottom w:val="single" w:sz="4" w:space="0" w:color="auto"/>
              <w:right w:val="single" w:sz="4" w:space="0" w:color="auto"/>
            </w:tcBorders>
            <w:shd w:val="clear" w:color="000000" w:fill="DCE6F1"/>
            <w:vAlign w:val="center"/>
            <w:hideMark/>
          </w:tcPr>
          <w:p w14:paraId="36A41566" w14:textId="114004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810" w:type="dxa"/>
            <w:tcBorders>
              <w:top w:val="nil"/>
              <w:left w:val="nil"/>
              <w:bottom w:val="single" w:sz="4" w:space="0" w:color="auto"/>
              <w:right w:val="single" w:sz="4" w:space="0" w:color="auto"/>
            </w:tcBorders>
            <w:shd w:val="clear" w:color="000000" w:fill="DCE6F1"/>
            <w:vAlign w:val="center"/>
            <w:hideMark/>
          </w:tcPr>
          <w:p w14:paraId="4FD5AEFD" w14:textId="0AF3C19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646" w:type="dxa"/>
            <w:tcBorders>
              <w:top w:val="nil"/>
              <w:left w:val="nil"/>
              <w:bottom w:val="single" w:sz="4" w:space="0" w:color="auto"/>
              <w:right w:val="single" w:sz="4" w:space="0" w:color="auto"/>
            </w:tcBorders>
            <w:shd w:val="clear" w:color="000000" w:fill="DCE6F1"/>
            <w:vAlign w:val="center"/>
            <w:hideMark/>
          </w:tcPr>
          <w:p w14:paraId="53A6FDF2" w14:textId="20666D3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974" w:type="dxa"/>
            <w:tcBorders>
              <w:top w:val="nil"/>
              <w:left w:val="nil"/>
              <w:bottom w:val="single" w:sz="4" w:space="0" w:color="auto"/>
              <w:right w:val="nil"/>
            </w:tcBorders>
            <w:shd w:val="clear" w:color="000000" w:fill="DCE6F1"/>
            <w:vAlign w:val="center"/>
            <w:hideMark/>
          </w:tcPr>
          <w:p w14:paraId="4869052E" w14:textId="1591C47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8,000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FF88E7F" w14:textId="50AB894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7D7FA7B4" w14:textId="3550A93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953" w:type="dxa"/>
            <w:tcBorders>
              <w:top w:val="nil"/>
              <w:left w:val="nil"/>
              <w:bottom w:val="single" w:sz="4" w:space="0" w:color="auto"/>
              <w:right w:val="single" w:sz="8" w:space="0" w:color="auto"/>
            </w:tcBorders>
            <w:shd w:val="clear" w:color="000000" w:fill="DCE6F1"/>
            <w:vAlign w:val="center"/>
            <w:hideMark/>
          </w:tcPr>
          <w:p w14:paraId="2551911D" w14:textId="1A3E468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7,000</w:t>
            </w:r>
          </w:p>
        </w:tc>
      </w:tr>
      <w:tr w:rsidR="004D73D3" w:rsidRPr="004D73D3" w14:paraId="1C96555C"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F5A5484"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lastRenderedPageBreak/>
              <w:t xml:space="preserve">Masa Prioritare 3.2.: </w:t>
            </w:r>
            <w:r w:rsidRPr="00817FC2">
              <w:rPr>
                <w:rFonts w:eastAsia="Times New Roman"/>
                <w:bCs/>
                <w:color w:val="000000"/>
                <w:sz w:val="16"/>
                <w:szCs w:val="16"/>
                <w:lang w:val="en-US" w:eastAsia="en-US"/>
              </w:rPr>
              <w:t xml:space="preserve">Fuqizimi i kapaciteteve në institucionet e paraburgimit dhe ato të vuajtjes së dënimit, duke mundësuar mbështetjen bazuar në nevojat e personave me aftësi të kufizuara. </w:t>
            </w:r>
          </w:p>
        </w:tc>
        <w:tc>
          <w:tcPr>
            <w:tcW w:w="1160" w:type="dxa"/>
            <w:tcBorders>
              <w:top w:val="nil"/>
              <w:left w:val="nil"/>
              <w:bottom w:val="single" w:sz="4" w:space="0" w:color="auto"/>
              <w:right w:val="single" w:sz="4" w:space="0" w:color="auto"/>
            </w:tcBorders>
            <w:shd w:val="clear" w:color="000000" w:fill="DCE6F1"/>
            <w:vAlign w:val="center"/>
            <w:hideMark/>
          </w:tcPr>
          <w:p w14:paraId="376927B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58266B0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4E5D96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DPB</w:t>
            </w:r>
          </w:p>
        </w:tc>
        <w:tc>
          <w:tcPr>
            <w:tcW w:w="1203" w:type="dxa"/>
            <w:tcBorders>
              <w:top w:val="nil"/>
              <w:left w:val="nil"/>
              <w:bottom w:val="single" w:sz="4" w:space="0" w:color="auto"/>
              <w:right w:val="single" w:sz="8" w:space="0" w:color="auto"/>
            </w:tcBorders>
            <w:shd w:val="clear" w:color="000000" w:fill="DCE6F1"/>
            <w:vAlign w:val="center"/>
            <w:hideMark/>
          </w:tcPr>
          <w:p w14:paraId="10D2B5D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E96B605" w14:textId="562A183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1,085</w:t>
            </w:r>
          </w:p>
        </w:tc>
        <w:tc>
          <w:tcPr>
            <w:tcW w:w="847" w:type="dxa"/>
            <w:tcBorders>
              <w:top w:val="nil"/>
              <w:left w:val="nil"/>
              <w:bottom w:val="single" w:sz="4" w:space="0" w:color="auto"/>
              <w:right w:val="single" w:sz="4" w:space="0" w:color="auto"/>
            </w:tcBorders>
            <w:shd w:val="clear" w:color="000000" w:fill="DCE6F1"/>
            <w:vAlign w:val="center"/>
            <w:hideMark/>
          </w:tcPr>
          <w:p w14:paraId="76D1D181" w14:textId="209233F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1,085</w:t>
            </w:r>
          </w:p>
        </w:tc>
        <w:tc>
          <w:tcPr>
            <w:tcW w:w="720" w:type="dxa"/>
            <w:tcBorders>
              <w:top w:val="nil"/>
              <w:left w:val="nil"/>
              <w:bottom w:val="single" w:sz="4" w:space="0" w:color="auto"/>
              <w:right w:val="single" w:sz="4" w:space="0" w:color="auto"/>
            </w:tcBorders>
            <w:shd w:val="clear" w:color="000000" w:fill="DCE6F1"/>
            <w:vAlign w:val="center"/>
            <w:hideMark/>
          </w:tcPr>
          <w:p w14:paraId="6A5F2D15" w14:textId="7EEFF76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810" w:type="dxa"/>
            <w:tcBorders>
              <w:top w:val="nil"/>
              <w:left w:val="nil"/>
              <w:bottom w:val="single" w:sz="4" w:space="0" w:color="auto"/>
              <w:right w:val="single" w:sz="4" w:space="0" w:color="auto"/>
            </w:tcBorders>
            <w:shd w:val="clear" w:color="000000" w:fill="DCE6F1"/>
            <w:vAlign w:val="center"/>
            <w:hideMark/>
          </w:tcPr>
          <w:p w14:paraId="60517C22" w14:textId="5AC2633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9,000</w:t>
            </w:r>
          </w:p>
        </w:tc>
        <w:tc>
          <w:tcPr>
            <w:tcW w:w="646" w:type="dxa"/>
            <w:tcBorders>
              <w:top w:val="nil"/>
              <w:left w:val="nil"/>
              <w:bottom w:val="single" w:sz="4" w:space="0" w:color="auto"/>
              <w:right w:val="single" w:sz="4" w:space="0" w:color="auto"/>
            </w:tcBorders>
            <w:shd w:val="clear" w:color="000000" w:fill="DCE6F1"/>
            <w:vAlign w:val="center"/>
            <w:hideMark/>
          </w:tcPr>
          <w:p w14:paraId="311407B5" w14:textId="1410466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9,000</w:t>
            </w:r>
          </w:p>
        </w:tc>
        <w:tc>
          <w:tcPr>
            <w:tcW w:w="974" w:type="dxa"/>
            <w:tcBorders>
              <w:top w:val="nil"/>
              <w:left w:val="nil"/>
              <w:bottom w:val="single" w:sz="4" w:space="0" w:color="auto"/>
              <w:right w:val="nil"/>
            </w:tcBorders>
            <w:shd w:val="clear" w:color="000000" w:fill="DCE6F1"/>
            <w:vAlign w:val="center"/>
            <w:hideMark/>
          </w:tcPr>
          <w:p w14:paraId="68787F0C" w14:textId="1BDDA16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21,170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1AED675" w14:textId="61DE2F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170</w:t>
            </w:r>
          </w:p>
        </w:tc>
        <w:tc>
          <w:tcPr>
            <w:tcW w:w="990" w:type="dxa"/>
            <w:tcBorders>
              <w:top w:val="nil"/>
              <w:left w:val="nil"/>
              <w:bottom w:val="single" w:sz="4" w:space="0" w:color="auto"/>
              <w:right w:val="single" w:sz="4" w:space="0" w:color="auto"/>
            </w:tcBorders>
            <w:shd w:val="clear" w:color="000000" w:fill="DCE6F1"/>
            <w:vAlign w:val="center"/>
            <w:hideMark/>
          </w:tcPr>
          <w:p w14:paraId="5B66444F" w14:textId="39572EB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953" w:type="dxa"/>
            <w:tcBorders>
              <w:top w:val="nil"/>
              <w:left w:val="nil"/>
              <w:bottom w:val="single" w:sz="4" w:space="0" w:color="auto"/>
              <w:right w:val="single" w:sz="8" w:space="0" w:color="auto"/>
            </w:tcBorders>
            <w:shd w:val="clear" w:color="000000" w:fill="DCE6F1"/>
            <w:vAlign w:val="center"/>
            <w:hideMark/>
          </w:tcPr>
          <w:p w14:paraId="7D5763A3" w14:textId="02C48EE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20,000</w:t>
            </w:r>
          </w:p>
        </w:tc>
      </w:tr>
      <w:tr w:rsidR="004D73D3" w:rsidRPr="004D73D3" w14:paraId="7AB6CB60"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4E556889" w14:textId="77777777"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III. PUNËSIMI DHE AFTËSIMI</w:t>
            </w:r>
          </w:p>
        </w:tc>
        <w:tc>
          <w:tcPr>
            <w:tcW w:w="1160" w:type="dxa"/>
            <w:tcBorders>
              <w:top w:val="nil"/>
              <w:left w:val="nil"/>
              <w:bottom w:val="single" w:sz="4" w:space="0" w:color="auto"/>
              <w:right w:val="single" w:sz="4" w:space="0" w:color="auto"/>
            </w:tcBorders>
            <w:shd w:val="clear" w:color="000000" w:fill="F276AB"/>
            <w:vAlign w:val="center"/>
            <w:hideMark/>
          </w:tcPr>
          <w:p w14:paraId="3D983FDD"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14D6D0F0"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101A3DE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59C4F7D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7465E7A5" w14:textId="1831815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366,299</w:t>
            </w:r>
          </w:p>
        </w:tc>
        <w:tc>
          <w:tcPr>
            <w:tcW w:w="847" w:type="dxa"/>
            <w:tcBorders>
              <w:top w:val="nil"/>
              <w:left w:val="nil"/>
              <w:bottom w:val="single" w:sz="4" w:space="0" w:color="auto"/>
              <w:right w:val="single" w:sz="4" w:space="0" w:color="auto"/>
            </w:tcBorders>
            <w:shd w:val="clear" w:color="000000" w:fill="F276AB"/>
            <w:vAlign w:val="center"/>
            <w:hideMark/>
          </w:tcPr>
          <w:p w14:paraId="0474A9A5" w14:textId="1F87918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385,865</w:t>
            </w:r>
          </w:p>
        </w:tc>
        <w:tc>
          <w:tcPr>
            <w:tcW w:w="720" w:type="dxa"/>
            <w:tcBorders>
              <w:top w:val="nil"/>
              <w:left w:val="nil"/>
              <w:bottom w:val="single" w:sz="4" w:space="0" w:color="auto"/>
              <w:right w:val="single" w:sz="4" w:space="0" w:color="auto"/>
            </w:tcBorders>
            <w:shd w:val="clear" w:color="000000" w:fill="F276AB"/>
            <w:vAlign w:val="center"/>
            <w:hideMark/>
          </w:tcPr>
          <w:p w14:paraId="0A9CC66F" w14:textId="679FD62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346,515</w:t>
            </w:r>
          </w:p>
        </w:tc>
        <w:tc>
          <w:tcPr>
            <w:tcW w:w="810" w:type="dxa"/>
            <w:tcBorders>
              <w:top w:val="nil"/>
              <w:left w:val="nil"/>
              <w:bottom w:val="single" w:sz="4" w:space="0" w:color="auto"/>
              <w:right w:val="single" w:sz="4" w:space="0" w:color="auto"/>
            </w:tcBorders>
            <w:shd w:val="clear" w:color="000000" w:fill="F276AB"/>
            <w:vAlign w:val="center"/>
            <w:hideMark/>
          </w:tcPr>
          <w:p w14:paraId="3B75393C" w14:textId="2E98688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349,002</w:t>
            </w:r>
          </w:p>
        </w:tc>
        <w:tc>
          <w:tcPr>
            <w:tcW w:w="646" w:type="dxa"/>
            <w:tcBorders>
              <w:top w:val="nil"/>
              <w:left w:val="nil"/>
              <w:bottom w:val="single" w:sz="4" w:space="0" w:color="auto"/>
              <w:right w:val="single" w:sz="4" w:space="0" w:color="auto"/>
            </w:tcBorders>
            <w:shd w:val="clear" w:color="000000" w:fill="F276AB"/>
            <w:vAlign w:val="center"/>
            <w:hideMark/>
          </w:tcPr>
          <w:p w14:paraId="1B219362" w14:textId="66E607B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356,300</w:t>
            </w:r>
          </w:p>
        </w:tc>
        <w:tc>
          <w:tcPr>
            <w:tcW w:w="974" w:type="dxa"/>
            <w:tcBorders>
              <w:top w:val="nil"/>
              <w:left w:val="nil"/>
              <w:bottom w:val="single" w:sz="4" w:space="0" w:color="auto"/>
              <w:right w:val="nil"/>
            </w:tcBorders>
            <w:shd w:val="clear" w:color="000000" w:fill="F276AB"/>
            <w:vAlign w:val="center"/>
            <w:hideMark/>
          </w:tcPr>
          <w:p w14:paraId="721FCF3F" w14:textId="5EB658B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1,803,980</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495E8A04" w14:textId="73C63A2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1,551,414</w:t>
            </w:r>
          </w:p>
        </w:tc>
        <w:tc>
          <w:tcPr>
            <w:tcW w:w="990" w:type="dxa"/>
            <w:tcBorders>
              <w:top w:val="nil"/>
              <w:left w:val="nil"/>
              <w:bottom w:val="single" w:sz="4" w:space="0" w:color="auto"/>
              <w:right w:val="single" w:sz="4" w:space="0" w:color="auto"/>
            </w:tcBorders>
            <w:shd w:val="clear" w:color="000000" w:fill="F276AB"/>
            <w:vAlign w:val="center"/>
            <w:hideMark/>
          </w:tcPr>
          <w:p w14:paraId="4AE1851B" w14:textId="1CC4828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276AB"/>
            <w:vAlign w:val="center"/>
            <w:hideMark/>
          </w:tcPr>
          <w:p w14:paraId="48BC4BDA" w14:textId="125068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252,565</w:t>
            </w:r>
          </w:p>
        </w:tc>
      </w:tr>
      <w:tr w:rsidR="004D73D3" w:rsidRPr="004D73D3" w14:paraId="724151C2"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51A51244"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Nxitja e pjesëmarrjes, zgjerimi i aksesit dhe përfitimit të nxënësve dhe kursantëve me aftësi të kufizuara nga programet e arsimit dhe formimit profesional, në përputhje me nevojat e tregut të punës dhe parimet e arsimit gjithëpërfshirës.</w:t>
            </w:r>
          </w:p>
        </w:tc>
        <w:tc>
          <w:tcPr>
            <w:tcW w:w="1160" w:type="dxa"/>
            <w:tcBorders>
              <w:top w:val="nil"/>
              <w:left w:val="nil"/>
              <w:bottom w:val="single" w:sz="4" w:space="0" w:color="auto"/>
              <w:right w:val="single" w:sz="4" w:space="0" w:color="auto"/>
            </w:tcBorders>
            <w:shd w:val="clear" w:color="000000" w:fill="FDE9D9"/>
            <w:vAlign w:val="center"/>
            <w:hideMark/>
          </w:tcPr>
          <w:p w14:paraId="44BAA63A"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4787CBA6"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3F9C6B3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 MA, AKPA AKAFPK,IOAFP</w:t>
            </w:r>
          </w:p>
        </w:tc>
        <w:tc>
          <w:tcPr>
            <w:tcW w:w="1203" w:type="dxa"/>
            <w:tcBorders>
              <w:top w:val="nil"/>
              <w:left w:val="nil"/>
              <w:bottom w:val="single" w:sz="4" w:space="0" w:color="auto"/>
              <w:right w:val="single" w:sz="8" w:space="0" w:color="auto"/>
            </w:tcBorders>
            <w:shd w:val="clear" w:color="000000" w:fill="FDE9D9"/>
            <w:vAlign w:val="center"/>
            <w:hideMark/>
          </w:tcPr>
          <w:p w14:paraId="6EC9AA2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AKPA/ASCAP/AKAFPK/AKAP/ASCAP/IOAFP/MEI/NJVV</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49920C43" w14:textId="4D00EA7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126,789</w:t>
            </w:r>
          </w:p>
        </w:tc>
        <w:tc>
          <w:tcPr>
            <w:tcW w:w="847" w:type="dxa"/>
            <w:tcBorders>
              <w:top w:val="nil"/>
              <w:left w:val="nil"/>
              <w:bottom w:val="single" w:sz="4" w:space="0" w:color="auto"/>
              <w:right w:val="single" w:sz="4" w:space="0" w:color="auto"/>
            </w:tcBorders>
            <w:shd w:val="clear" w:color="000000" w:fill="FDE9D9"/>
            <w:vAlign w:val="center"/>
            <w:hideMark/>
          </w:tcPr>
          <w:p w14:paraId="02ED3BB0" w14:textId="67D2349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134,665</w:t>
            </w:r>
          </w:p>
        </w:tc>
        <w:tc>
          <w:tcPr>
            <w:tcW w:w="720" w:type="dxa"/>
            <w:tcBorders>
              <w:top w:val="nil"/>
              <w:left w:val="nil"/>
              <w:bottom w:val="single" w:sz="4" w:space="0" w:color="auto"/>
              <w:right w:val="single" w:sz="4" w:space="0" w:color="auto"/>
            </w:tcBorders>
            <w:shd w:val="clear" w:color="000000" w:fill="FDE9D9"/>
            <w:vAlign w:val="center"/>
            <w:hideMark/>
          </w:tcPr>
          <w:p w14:paraId="62177E24" w14:textId="21B3EE6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96,051</w:t>
            </w:r>
          </w:p>
        </w:tc>
        <w:tc>
          <w:tcPr>
            <w:tcW w:w="810" w:type="dxa"/>
            <w:tcBorders>
              <w:top w:val="nil"/>
              <w:left w:val="nil"/>
              <w:bottom w:val="single" w:sz="4" w:space="0" w:color="auto"/>
              <w:right w:val="single" w:sz="4" w:space="0" w:color="auto"/>
            </w:tcBorders>
            <w:shd w:val="clear" w:color="000000" w:fill="FDE9D9"/>
            <w:vAlign w:val="center"/>
            <w:hideMark/>
          </w:tcPr>
          <w:p w14:paraId="3A4F158E" w14:textId="31DA01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95,588</w:t>
            </w:r>
          </w:p>
        </w:tc>
        <w:tc>
          <w:tcPr>
            <w:tcW w:w="646" w:type="dxa"/>
            <w:tcBorders>
              <w:top w:val="nil"/>
              <w:left w:val="nil"/>
              <w:bottom w:val="single" w:sz="4" w:space="0" w:color="auto"/>
              <w:right w:val="single" w:sz="4" w:space="0" w:color="auto"/>
            </w:tcBorders>
            <w:shd w:val="clear" w:color="000000" w:fill="FDE9D9"/>
            <w:vAlign w:val="center"/>
            <w:hideMark/>
          </w:tcPr>
          <w:p w14:paraId="06FAB757" w14:textId="3351EC7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95,588</w:t>
            </w:r>
          </w:p>
        </w:tc>
        <w:tc>
          <w:tcPr>
            <w:tcW w:w="974" w:type="dxa"/>
            <w:tcBorders>
              <w:top w:val="nil"/>
              <w:left w:val="nil"/>
              <w:bottom w:val="single" w:sz="4" w:space="0" w:color="auto"/>
              <w:right w:val="nil"/>
            </w:tcBorders>
            <w:shd w:val="clear" w:color="000000" w:fill="FDE9D9"/>
            <w:vAlign w:val="center"/>
            <w:hideMark/>
          </w:tcPr>
          <w:p w14:paraId="5B583469" w14:textId="44A4E44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548,680</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61DF75A3" w14:textId="0AF82D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497,340</w:t>
            </w:r>
          </w:p>
        </w:tc>
        <w:tc>
          <w:tcPr>
            <w:tcW w:w="990" w:type="dxa"/>
            <w:tcBorders>
              <w:top w:val="nil"/>
              <w:left w:val="nil"/>
              <w:bottom w:val="single" w:sz="4" w:space="0" w:color="auto"/>
              <w:right w:val="single" w:sz="4" w:space="0" w:color="auto"/>
            </w:tcBorders>
            <w:shd w:val="clear" w:color="000000" w:fill="FDE9D9"/>
            <w:vAlign w:val="center"/>
            <w:hideMark/>
          </w:tcPr>
          <w:p w14:paraId="54B0D1B8" w14:textId="2B872C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1E6A6214" w14:textId="1648B09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51,340</w:t>
            </w:r>
          </w:p>
        </w:tc>
      </w:tr>
      <w:tr w:rsidR="004D73D3" w:rsidRPr="004D73D3" w14:paraId="2A3FBE9C"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4EEA7E08"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Masa Prioritare 1.1</w:t>
            </w:r>
            <w:r w:rsidRPr="00817FC2">
              <w:rPr>
                <w:rFonts w:eastAsia="Times New Roman"/>
                <w:bCs/>
                <w:color w:val="000000"/>
                <w:sz w:val="16"/>
                <w:szCs w:val="16"/>
                <w:lang w:val="en-US" w:eastAsia="en-US"/>
              </w:rPr>
              <w:t>: Përmirësimi i kornizës politike, ligjore dhe institucionale për arsim e formim profesional gjithëpërfshirës për nxënësit e kursantët me aftësi të kufizuara</w:t>
            </w:r>
          </w:p>
        </w:tc>
        <w:tc>
          <w:tcPr>
            <w:tcW w:w="1160" w:type="dxa"/>
            <w:tcBorders>
              <w:top w:val="nil"/>
              <w:left w:val="nil"/>
              <w:bottom w:val="single" w:sz="4" w:space="0" w:color="auto"/>
              <w:right w:val="single" w:sz="4" w:space="0" w:color="auto"/>
            </w:tcBorders>
            <w:shd w:val="clear" w:color="000000" w:fill="DCE6F1"/>
            <w:vAlign w:val="center"/>
            <w:hideMark/>
          </w:tcPr>
          <w:p w14:paraId="14F1CAC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AFE08C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BE5F1"/>
            <w:vAlign w:val="center"/>
            <w:hideMark/>
          </w:tcPr>
          <w:p w14:paraId="1EA32F6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 MA, AKAFPK</w:t>
            </w:r>
          </w:p>
        </w:tc>
        <w:tc>
          <w:tcPr>
            <w:tcW w:w="1203" w:type="dxa"/>
            <w:tcBorders>
              <w:top w:val="nil"/>
              <w:left w:val="nil"/>
              <w:bottom w:val="single" w:sz="4" w:space="0" w:color="auto"/>
              <w:right w:val="single" w:sz="8" w:space="0" w:color="auto"/>
            </w:tcBorders>
            <w:shd w:val="clear" w:color="000000" w:fill="DBE5F1"/>
            <w:vAlign w:val="center"/>
            <w:hideMark/>
          </w:tcPr>
          <w:p w14:paraId="755F5BD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 ASCAP,AKAFPK; AKAP, ASCAP/IoAFP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66530884" w14:textId="5C4A722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38,773</w:t>
            </w:r>
          </w:p>
        </w:tc>
        <w:tc>
          <w:tcPr>
            <w:tcW w:w="847" w:type="dxa"/>
            <w:tcBorders>
              <w:top w:val="nil"/>
              <w:left w:val="nil"/>
              <w:bottom w:val="single" w:sz="4" w:space="0" w:color="auto"/>
              <w:right w:val="single" w:sz="4" w:space="0" w:color="auto"/>
            </w:tcBorders>
            <w:shd w:val="clear" w:color="000000" w:fill="DCE6F1"/>
            <w:vAlign w:val="center"/>
            <w:hideMark/>
          </w:tcPr>
          <w:p w14:paraId="1A7A9FD3" w14:textId="09FF15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46,377</w:t>
            </w:r>
          </w:p>
        </w:tc>
        <w:tc>
          <w:tcPr>
            <w:tcW w:w="720" w:type="dxa"/>
            <w:tcBorders>
              <w:top w:val="nil"/>
              <w:left w:val="nil"/>
              <w:bottom w:val="single" w:sz="4" w:space="0" w:color="auto"/>
              <w:right w:val="single" w:sz="4" w:space="0" w:color="auto"/>
            </w:tcBorders>
            <w:shd w:val="clear" w:color="000000" w:fill="DCE6F1"/>
            <w:vAlign w:val="center"/>
            <w:hideMark/>
          </w:tcPr>
          <w:p w14:paraId="6D521C65" w14:textId="120E876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7,088</w:t>
            </w:r>
          </w:p>
        </w:tc>
        <w:tc>
          <w:tcPr>
            <w:tcW w:w="810" w:type="dxa"/>
            <w:tcBorders>
              <w:top w:val="nil"/>
              <w:left w:val="nil"/>
              <w:bottom w:val="single" w:sz="4" w:space="0" w:color="auto"/>
              <w:right w:val="single" w:sz="4" w:space="0" w:color="auto"/>
            </w:tcBorders>
            <w:shd w:val="clear" w:color="000000" w:fill="DCE6F1"/>
            <w:vAlign w:val="center"/>
            <w:hideMark/>
          </w:tcPr>
          <w:p w14:paraId="0218381F" w14:textId="56C5072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6,843</w:t>
            </w:r>
          </w:p>
        </w:tc>
        <w:tc>
          <w:tcPr>
            <w:tcW w:w="646" w:type="dxa"/>
            <w:tcBorders>
              <w:top w:val="nil"/>
              <w:left w:val="nil"/>
              <w:bottom w:val="single" w:sz="4" w:space="0" w:color="auto"/>
              <w:right w:val="single" w:sz="4" w:space="0" w:color="auto"/>
            </w:tcBorders>
            <w:shd w:val="clear" w:color="000000" w:fill="DCE6F1"/>
            <w:vAlign w:val="center"/>
            <w:hideMark/>
          </w:tcPr>
          <w:p w14:paraId="762DA040" w14:textId="2DE9C8B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6,843</w:t>
            </w:r>
          </w:p>
        </w:tc>
        <w:tc>
          <w:tcPr>
            <w:tcW w:w="974" w:type="dxa"/>
            <w:tcBorders>
              <w:top w:val="nil"/>
              <w:left w:val="nil"/>
              <w:bottom w:val="single" w:sz="4" w:space="0" w:color="auto"/>
              <w:right w:val="nil"/>
            </w:tcBorders>
            <w:shd w:val="clear" w:color="000000" w:fill="DCE6F1"/>
            <w:vAlign w:val="center"/>
            <w:hideMark/>
          </w:tcPr>
          <w:p w14:paraId="4F69B0C9" w14:textId="449018F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105,924</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4AFF141" w14:textId="2D689E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64,231</w:t>
            </w:r>
          </w:p>
        </w:tc>
        <w:tc>
          <w:tcPr>
            <w:tcW w:w="990" w:type="dxa"/>
            <w:tcBorders>
              <w:top w:val="nil"/>
              <w:left w:val="nil"/>
              <w:bottom w:val="single" w:sz="4" w:space="0" w:color="auto"/>
              <w:right w:val="single" w:sz="4" w:space="0" w:color="auto"/>
            </w:tcBorders>
            <w:shd w:val="clear" w:color="000000" w:fill="DCE6F1"/>
            <w:vAlign w:val="center"/>
            <w:hideMark/>
          </w:tcPr>
          <w:p w14:paraId="0CC7031D" w14:textId="26B7E8F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49CF215D" w14:textId="2D8C20B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41,693</w:t>
            </w:r>
          </w:p>
        </w:tc>
      </w:tr>
      <w:tr w:rsidR="004D73D3" w:rsidRPr="004D73D3" w14:paraId="49B1465E"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A8027A2"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1.2</w:t>
            </w:r>
            <w:r w:rsidRPr="00817FC2">
              <w:rPr>
                <w:rFonts w:eastAsia="Times New Roman"/>
                <w:bCs/>
                <w:color w:val="000000"/>
                <w:sz w:val="16"/>
                <w:szCs w:val="16"/>
                <w:lang w:val="en-US" w:eastAsia="en-US"/>
              </w:rPr>
              <w:t>: Përmirësimi i infrastrukturës dhe teknologjisë assistive: Krijimi i mjediseve mësimore të aksesueshme dhe të pajisura me teknologji mbështetëse.</w:t>
            </w:r>
          </w:p>
        </w:tc>
        <w:tc>
          <w:tcPr>
            <w:tcW w:w="1160" w:type="dxa"/>
            <w:tcBorders>
              <w:top w:val="nil"/>
              <w:left w:val="nil"/>
              <w:bottom w:val="single" w:sz="4" w:space="0" w:color="auto"/>
              <w:right w:val="single" w:sz="4" w:space="0" w:color="auto"/>
            </w:tcBorders>
            <w:shd w:val="clear" w:color="000000" w:fill="DCE6F1"/>
            <w:vAlign w:val="center"/>
            <w:hideMark/>
          </w:tcPr>
          <w:p w14:paraId="517D5E3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5193970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BE5F1"/>
            <w:vAlign w:val="center"/>
            <w:hideMark/>
          </w:tcPr>
          <w:p w14:paraId="2615D2D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AKPA/AKAFPK</w:t>
            </w:r>
          </w:p>
        </w:tc>
        <w:tc>
          <w:tcPr>
            <w:tcW w:w="1203" w:type="dxa"/>
            <w:tcBorders>
              <w:top w:val="nil"/>
              <w:left w:val="nil"/>
              <w:bottom w:val="single" w:sz="4" w:space="0" w:color="auto"/>
              <w:right w:val="single" w:sz="8" w:space="0" w:color="auto"/>
            </w:tcBorders>
            <w:shd w:val="clear" w:color="000000" w:fill="DBE5F1"/>
            <w:vAlign w:val="center"/>
            <w:hideMark/>
          </w:tcPr>
          <w:p w14:paraId="2E46602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xml:space="preserve">MEI /AKPA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CE31D58" w14:textId="117D507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1,875</w:t>
            </w:r>
          </w:p>
        </w:tc>
        <w:tc>
          <w:tcPr>
            <w:tcW w:w="847" w:type="dxa"/>
            <w:tcBorders>
              <w:top w:val="nil"/>
              <w:left w:val="nil"/>
              <w:bottom w:val="single" w:sz="4" w:space="0" w:color="auto"/>
              <w:right w:val="single" w:sz="4" w:space="0" w:color="auto"/>
            </w:tcBorders>
            <w:shd w:val="clear" w:color="000000" w:fill="DCE6F1"/>
            <w:vAlign w:val="center"/>
            <w:hideMark/>
          </w:tcPr>
          <w:p w14:paraId="0FE991C3" w14:textId="0FDA56B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2,148</w:t>
            </w:r>
          </w:p>
        </w:tc>
        <w:tc>
          <w:tcPr>
            <w:tcW w:w="720" w:type="dxa"/>
            <w:tcBorders>
              <w:top w:val="nil"/>
              <w:left w:val="nil"/>
              <w:bottom w:val="single" w:sz="4" w:space="0" w:color="auto"/>
              <w:right w:val="single" w:sz="4" w:space="0" w:color="auto"/>
            </w:tcBorders>
            <w:shd w:val="clear" w:color="000000" w:fill="DCE6F1"/>
            <w:vAlign w:val="center"/>
            <w:hideMark/>
          </w:tcPr>
          <w:p w14:paraId="0E89A2AF" w14:textId="3288368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1,875</w:t>
            </w:r>
          </w:p>
        </w:tc>
        <w:tc>
          <w:tcPr>
            <w:tcW w:w="810" w:type="dxa"/>
            <w:tcBorders>
              <w:top w:val="nil"/>
              <w:left w:val="nil"/>
              <w:bottom w:val="single" w:sz="4" w:space="0" w:color="auto"/>
              <w:right w:val="single" w:sz="4" w:space="0" w:color="auto"/>
            </w:tcBorders>
            <w:shd w:val="clear" w:color="000000" w:fill="DCE6F1"/>
            <w:vAlign w:val="center"/>
            <w:hideMark/>
          </w:tcPr>
          <w:p w14:paraId="5132D9EE" w14:textId="07321B3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2,525</w:t>
            </w:r>
          </w:p>
        </w:tc>
        <w:tc>
          <w:tcPr>
            <w:tcW w:w="646" w:type="dxa"/>
            <w:tcBorders>
              <w:top w:val="nil"/>
              <w:left w:val="nil"/>
              <w:bottom w:val="single" w:sz="4" w:space="0" w:color="auto"/>
              <w:right w:val="single" w:sz="4" w:space="0" w:color="auto"/>
            </w:tcBorders>
            <w:shd w:val="clear" w:color="000000" w:fill="DCE6F1"/>
            <w:vAlign w:val="center"/>
            <w:hideMark/>
          </w:tcPr>
          <w:p w14:paraId="26DF6ECE" w14:textId="6F1E01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2,525</w:t>
            </w:r>
          </w:p>
        </w:tc>
        <w:tc>
          <w:tcPr>
            <w:tcW w:w="974" w:type="dxa"/>
            <w:tcBorders>
              <w:top w:val="nil"/>
              <w:left w:val="nil"/>
              <w:bottom w:val="single" w:sz="4" w:space="0" w:color="auto"/>
              <w:right w:val="nil"/>
            </w:tcBorders>
            <w:shd w:val="clear" w:color="000000" w:fill="DCE6F1"/>
            <w:vAlign w:val="center"/>
            <w:hideMark/>
          </w:tcPr>
          <w:p w14:paraId="64AAAB87" w14:textId="10B49D9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10,948</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28339F5" w14:textId="24BBF4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c>
          <w:tcPr>
            <w:tcW w:w="990" w:type="dxa"/>
            <w:tcBorders>
              <w:top w:val="nil"/>
              <w:left w:val="nil"/>
              <w:bottom w:val="single" w:sz="4" w:space="0" w:color="auto"/>
              <w:right w:val="single" w:sz="4" w:space="0" w:color="auto"/>
            </w:tcBorders>
            <w:shd w:val="clear" w:color="000000" w:fill="DCE6F1"/>
            <w:vAlign w:val="center"/>
            <w:hideMark/>
          </w:tcPr>
          <w:p w14:paraId="7F530C4B" w14:textId="67A3AAD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300BA477" w14:textId="57916F8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8,948</w:t>
            </w:r>
          </w:p>
        </w:tc>
      </w:tr>
      <w:tr w:rsidR="004D73D3" w:rsidRPr="004D73D3" w14:paraId="535BF150"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0E55586"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1.3:</w:t>
            </w:r>
            <w:r w:rsidRPr="00817FC2">
              <w:rPr>
                <w:rFonts w:eastAsia="Times New Roman"/>
                <w:bCs/>
                <w:color w:val="000000"/>
                <w:sz w:val="16"/>
                <w:szCs w:val="16"/>
                <w:lang w:val="en-US" w:eastAsia="en-US"/>
              </w:rPr>
              <w:t xml:space="preserve"> Përshtatja e kurrikulave dhe programeve mësimore - Sigurimi që programet përfshirë programet digjitale dhe të gjelbra në AFP janë të aksesueshme dhe gjithëpërfshirëse:</w:t>
            </w:r>
          </w:p>
        </w:tc>
        <w:tc>
          <w:tcPr>
            <w:tcW w:w="1160" w:type="dxa"/>
            <w:tcBorders>
              <w:top w:val="nil"/>
              <w:left w:val="nil"/>
              <w:bottom w:val="single" w:sz="4" w:space="0" w:color="auto"/>
              <w:right w:val="single" w:sz="4" w:space="0" w:color="auto"/>
            </w:tcBorders>
            <w:shd w:val="clear" w:color="000000" w:fill="DCE6F1"/>
            <w:vAlign w:val="center"/>
            <w:hideMark/>
          </w:tcPr>
          <w:p w14:paraId="690EB33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3FD63D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BE5F1"/>
            <w:vAlign w:val="center"/>
            <w:hideMark/>
          </w:tcPr>
          <w:p w14:paraId="5AED52A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AKAFPK/AKPA</w:t>
            </w:r>
          </w:p>
        </w:tc>
        <w:tc>
          <w:tcPr>
            <w:tcW w:w="1203" w:type="dxa"/>
            <w:tcBorders>
              <w:top w:val="nil"/>
              <w:left w:val="nil"/>
              <w:bottom w:val="single" w:sz="4" w:space="0" w:color="auto"/>
              <w:right w:val="single" w:sz="8" w:space="0" w:color="auto"/>
            </w:tcBorders>
            <w:shd w:val="clear" w:color="000000" w:fill="DBE5F1"/>
            <w:vAlign w:val="center"/>
            <w:hideMark/>
          </w:tcPr>
          <w:p w14:paraId="5D87C4A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 / MEI /A, AKAFPK, ASCAP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C8F1BAC" w14:textId="79B73DD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847" w:type="dxa"/>
            <w:tcBorders>
              <w:top w:val="nil"/>
              <w:left w:val="nil"/>
              <w:bottom w:val="single" w:sz="4" w:space="0" w:color="auto"/>
              <w:right w:val="single" w:sz="4" w:space="0" w:color="auto"/>
            </w:tcBorders>
            <w:shd w:val="clear" w:color="000000" w:fill="DCE6F1"/>
            <w:vAlign w:val="center"/>
            <w:hideMark/>
          </w:tcPr>
          <w:p w14:paraId="59255E63" w14:textId="69314A4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720" w:type="dxa"/>
            <w:tcBorders>
              <w:top w:val="nil"/>
              <w:left w:val="nil"/>
              <w:bottom w:val="single" w:sz="4" w:space="0" w:color="auto"/>
              <w:right w:val="single" w:sz="4" w:space="0" w:color="auto"/>
            </w:tcBorders>
            <w:shd w:val="clear" w:color="000000" w:fill="DCE6F1"/>
            <w:vAlign w:val="center"/>
            <w:hideMark/>
          </w:tcPr>
          <w:p w14:paraId="09A2F20E" w14:textId="259B41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810" w:type="dxa"/>
            <w:tcBorders>
              <w:top w:val="nil"/>
              <w:left w:val="nil"/>
              <w:bottom w:val="single" w:sz="4" w:space="0" w:color="auto"/>
              <w:right w:val="single" w:sz="4" w:space="0" w:color="auto"/>
            </w:tcBorders>
            <w:shd w:val="clear" w:color="000000" w:fill="DCE6F1"/>
            <w:vAlign w:val="center"/>
            <w:hideMark/>
          </w:tcPr>
          <w:p w14:paraId="4B2CC0C0" w14:textId="1B2B54C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646" w:type="dxa"/>
            <w:tcBorders>
              <w:top w:val="nil"/>
              <w:left w:val="nil"/>
              <w:bottom w:val="single" w:sz="4" w:space="0" w:color="auto"/>
              <w:right w:val="single" w:sz="4" w:space="0" w:color="auto"/>
            </w:tcBorders>
            <w:shd w:val="clear" w:color="000000" w:fill="DCE6F1"/>
            <w:vAlign w:val="center"/>
            <w:hideMark/>
          </w:tcPr>
          <w:p w14:paraId="0EEB7266" w14:textId="77C5CEF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974" w:type="dxa"/>
            <w:tcBorders>
              <w:top w:val="nil"/>
              <w:left w:val="nil"/>
              <w:bottom w:val="single" w:sz="4" w:space="0" w:color="auto"/>
              <w:right w:val="nil"/>
            </w:tcBorders>
            <w:shd w:val="clear" w:color="000000" w:fill="DCE6F1"/>
            <w:vAlign w:val="center"/>
            <w:hideMark/>
          </w:tcPr>
          <w:p w14:paraId="79907510" w14:textId="34904E2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5E7E7FD" w14:textId="4F9EB81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4,000</w:t>
            </w:r>
          </w:p>
        </w:tc>
        <w:tc>
          <w:tcPr>
            <w:tcW w:w="990" w:type="dxa"/>
            <w:tcBorders>
              <w:top w:val="nil"/>
              <w:left w:val="nil"/>
              <w:bottom w:val="single" w:sz="4" w:space="0" w:color="auto"/>
              <w:right w:val="single" w:sz="4" w:space="0" w:color="auto"/>
            </w:tcBorders>
            <w:shd w:val="clear" w:color="000000" w:fill="DCE6F1"/>
            <w:vAlign w:val="center"/>
            <w:hideMark/>
          </w:tcPr>
          <w:p w14:paraId="1CBBB472" w14:textId="6E7ABB6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68064397" w14:textId="2216116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1CAB407F"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94574C4"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Cs/>
                <w:color w:val="000000"/>
                <w:sz w:val="16"/>
                <w:szCs w:val="16"/>
                <w:lang w:val="en-US" w:eastAsia="en-US"/>
              </w:rPr>
              <w:t xml:space="preserve">Masa prioritare 1.4. Mbështetja e nxënësve dhe kursantëve me aftësi të kufizuara - Sigurimi i pjesëmarrjes së barabartë dhe përfundimit me sukses të programeve mësimore në institucionet ofruese të AFP-së </w:t>
            </w:r>
          </w:p>
        </w:tc>
        <w:tc>
          <w:tcPr>
            <w:tcW w:w="1160" w:type="dxa"/>
            <w:tcBorders>
              <w:top w:val="nil"/>
              <w:left w:val="nil"/>
              <w:bottom w:val="single" w:sz="4" w:space="0" w:color="auto"/>
              <w:right w:val="single" w:sz="4" w:space="0" w:color="auto"/>
            </w:tcBorders>
            <w:shd w:val="clear" w:color="000000" w:fill="DCE6F1"/>
            <w:vAlign w:val="center"/>
            <w:hideMark/>
          </w:tcPr>
          <w:p w14:paraId="489D297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504D99A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BE5F1"/>
            <w:vAlign w:val="center"/>
            <w:hideMark/>
          </w:tcPr>
          <w:p w14:paraId="4C0C24B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IOAFP/AKPA</w:t>
            </w:r>
          </w:p>
        </w:tc>
        <w:tc>
          <w:tcPr>
            <w:tcW w:w="1203" w:type="dxa"/>
            <w:tcBorders>
              <w:top w:val="nil"/>
              <w:left w:val="nil"/>
              <w:bottom w:val="single" w:sz="4" w:space="0" w:color="auto"/>
              <w:right w:val="single" w:sz="8" w:space="0" w:color="auto"/>
            </w:tcBorders>
            <w:shd w:val="clear" w:color="000000" w:fill="DBE5F1"/>
            <w:vAlign w:val="center"/>
            <w:hideMark/>
          </w:tcPr>
          <w:p w14:paraId="08EA195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MEI/MA/AKAFPK/ASCAP/NJVV/AKPA</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17D9E3D0" w14:textId="553B7E9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84,580</w:t>
            </w:r>
          </w:p>
        </w:tc>
        <w:tc>
          <w:tcPr>
            <w:tcW w:w="847" w:type="dxa"/>
            <w:tcBorders>
              <w:top w:val="nil"/>
              <w:left w:val="nil"/>
              <w:bottom w:val="single" w:sz="4" w:space="0" w:color="auto"/>
              <w:right w:val="single" w:sz="4" w:space="0" w:color="auto"/>
            </w:tcBorders>
            <w:shd w:val="clear" w:color="000000" w:fill="DCE6F1"/>
            <w:vAlign w:val="center"/>
            <w:hideMark/>
          </w:tcPr>
          <w:p w14:paraId="1D055C8F" w14:textId="3D20EED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84,580</w:t>
            </w:r>
          </w:p>
        </w:tc>
        <w:tc>
          <w:tcPr>
            <w:tcW w:w="720" w:type="dxa"/>
            <w:tcBorders>
              <w:top w:val="nil"/>
              <w:left w:val="nil"/>
              <w:bottom w:val="single" w:sz="4" w:space="0" w:color="auto"/>
              <w:right w:val="single" w:sz="4" w:space="0" w:color="auto"/>
            </w:tcBorders>
            <w:shd w:val="clear" w:color="000000" w:fill="DCE6F1"/>
            <w:vAlign w:val="center"/>
            <w:hideMark/>
          </w:tcPr>
          <w:p w14:paraId="71BCA40D" w14:textId="001665C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84,580</w:t>
            </w:r>
          </w:p>
        </w:tc>
        <w:tc>
          <w:tcPr>
            <w:tcW w:w="810" w:type="dxa"/>
            <w:tcBorders>
              <w:top w:val="nil"/>
              <w:left w:val="nil"/>
              <w:bottom w:val="single" w:sz="4" w:space="0" w:color="auto"/>
              <w:right w:val="single" w:sz="4" w:space="0" w:color="auto"/>
            </w:tcBorders>
            <w:shd w:val="clear" w:color="000000" w:fill="DCE6F1"/>
            <w:vAlign w:val="center"/>
            <w:hideMark/>
          </w:tcPr>
          <w:p w14:paraId="6CEE7936" w14:textId="592342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84,580</w:t>
            </w:r>
          </w:p>
        </w:tc>
        <w:tc>
          <w:tcPr>
            <w:tcW w:w="646" w:type="dxa"/>
            <w:tcBorders>
              <w:top w:val="nil"/>
              <w:left w:val="nil"/>
              <w:bottom w:val="single" w:sz="4" w:space="0" w:color="auto"/>
              <w:right w:val="single" w:sz="4" w:space="0" w:color="auto"/>
            </w:tcBorders>
            <w:shd w:val="clear" w:color="000000" w:fill="DCE6F1"/>
            <w:vAlign w:val="center"/>
            <w:hideMark/>
          </w:tcPr>
          <w:p w14:paraId="13ACFB70" w14:textId="59F07ED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84,580</w:t>
            </w:r>
          </w:p>
        </w:tc>
        <w:tc>
          <w:tcPr>
            <w:tcW w:w="974" w:type="dxa"/>
            <w:tcBorders>
              <w:top w:val="nil"/>
              <w:left w:val="nil"/>
              <w:bottom w:val="single" w:sz="4" w:space="0" w:color="auto"/>
              <w:right w:val="nil"/>
            </w:tcBorders>
            <w:shd w:val="clear" w:color="000000" w:fill="DCE6F1"/>
            <w:vAlign w:val="center"/>
            <w:hideMark/>
          </w:tcPr>
          <w:p w14:paraId="6E36C409" w14:textId="07E1485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422,900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60B90FE" w14:textId="2974452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422,900</w:t>
            </w:r>
          </w:p>
        </w:tc>
        <w:tc>
          <w:tcPr>
            <w:tcW w:w="990" w:type="dxa"/>
            <w:tcBorders>
              <w:top w:val="nil"/>
              <w:left w:val="nil"/>
              <w:bottom w:val="single" w:sz="4" w:space="0" w:color="auto"/>
              <w:right w:val="single" w:sz="4" w:space="0" w:color="auto"/>
            </w:tcBorders>
            <w:shd w:val="clear" w:color="000000" w:fill="DCE6F1"/>
            <w:vAlign w:val="center"/>
            <w:hideMark/>
          </w:tcPr>
          <w:p w14:paraId="44C6468D" w14:textId="024B928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058D66BE" w14:textId="0031DFE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58D5ACC2"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70D607D3"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1.5</w:t>
            </w:r>
            <w:r w:rsidRPr="00817FC2">
              <w:rPr>
                <w:rFonts w:eastAsia="Times New Roman"/>
                <w:bCs/>
                <w:color w:val="000000"/>
                <w:sz w:val="16"/>
                <w:szCs w:val="16"/>
                <w:lang w:val="en-US" w:eastAsia="en-US"/>
              </w:rPr>
              <w:t>: Bashkëpunimi me sektorin privat dhe tregun e punës - Lidhja e aftësive të fituara me punësimin real.</w:t>
            </w:r>
          </w:p>
        </w:tc>
        <w:tc>
          <w:tcPr>
            <w:tcW w:w="1160" w:type="dxa"/>
            <w:tcBorders>
              <w:top w:val="nil"/>
              <w:left w:val="nil"/>
              <w:bottom w:val="single" w:sz="4" w:space="0" w:color="auto"/>
              <w:right w:val="single" w:sz="4" w:space="0" w:color="auto"/>
            </w:tcBorders>
            <w:shd w:val="clear" w:color="000000" w:fill="DCE6F1"/>
            <w:vAlign w:val="center"/>
            <w:hideMark/>
          </w:tcPr>
          <w:p w14:paraId="5DF712A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6A92706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BE5F1"/>
            <w:vAlign w:val="center"/>
            <w:hideMark/>
          </w:tcPr>
          <w:p w14:paraId="0EEEBE9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IOAFP</w:t>
            </w:r>
          </w:p>
        </w:tc>
        <w:tc>
          <w:tcPr>
            <w:tcW w:w="1203" w:type="dxa"/>
            <w:tcBorders>
              <w:top w:val="nil"/>
              <w:left w:val="nil"/>
              <w:bottom w:val="single" w:sz="4" w:space="0" w:color="auto"/>
              <w:right w:val="single" w:sz="8" w:space="0" w:color="auto"/>
            </w:tcBorders>
            <w:shd w:val="clear" w:color="000000" w:fill="DBE5F1"/>
            <w:vAlign w:val="center"/>
            <w:hideMark/>
          </w:tcPr>
          <w:p w14:paraId="78126FE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IOAFP/AKPA/MEI/MA/ASCAP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65C1B4D" w14:textId="6D8A842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520</w:t>
            </w:r>
          </w:p>
        </w:tc>
        <w:tc>
          <w:tcPr>
            <w:tcW w:w="847" w:type="dxa"/>
            <w:tcBorders>
              <w:top w:val="nil"/>
              <w:left w:val="nil"/>
              <w:bottom w:val="single" w:sz="4" w:space="0" w:color="auto"/>
              <w:right w:val="single" w:sz="4" w:space="0" w:color="auto"/>
            </w:tcBorders>
            <w:shd w:val="clear" w:color="000000" w:fill="DCE6F1"/>
            <w:vAlign w:val="center"/>
            <w:hideMark/>
          </w:tcPr>
          <w:p w14:paraId="46905B1F" w14:textId="67B515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520</w:t>
            </w:r>
          </w:p>
        </w:tc>
        <w:tc>
          <w:tcPr>
            <w:tcW w:w="720" w:type="dxa"/>
            <w:tcBorders>
              <w:top w:val="nil"/>
              <w:left w:val="nil"/>
              <w:bottom w:val="single" w:sz="4" w:space="0" w:color="auto"/>
              <w:right w:val="single" w:sz="4" w:space="0" w:color="auto"/>
            </w:tcBorders>
            <w:shd w:val="clear" w:color="000000" w:fill="DCE6F1"/>
            <w:vAlign w:val="center"/>
            <w:hideMark/>
          </w:tcPr>
          <w:p w14:paraId="2B04A1BC" w14:textId="41DF475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373</w:t>
            </w:r>
          </w:p>
        </w:tc>
        <w:tc>
          <w:tcPr>
            <w:tcW w:w="810" w:type="dxa"/>
            <w:tcBorders>
              <w:top w:val="nil"/>
              <w:left w:val="nil"/>
              <w:bottom w:val="single" w:sz="4" w:space="0" w:color="auto"/>
              <w:right w:val="single" w:sz="4" w:space="0" w:color="auto"/>
            </w:tcBorders>
            <w:shd w:val="clear" w:color="000000" w:fill="DCE6F1"/>
            <w:vAlign w:val="center"/>
            <w:hideMark/>
          </w:tcPr>
          <w:p w14:paraId="6BBD6B3B" w14:textId="295D077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w:t>
            </w:r>
          </w:p>
        </w:tc>
        <w:tc>
          <w:tcPr>
            <w:tcW w:w="646" w:type="dxa"/>
            <w:tcBorders>
              <w:top w:val="nil"/>
              <w:left w:val="nil"/>
              <w:bottom w:val="single" w:sz="4" w:space="0" w:color="auto"/>
              <w:right w:val="single" w:sz="4" w:space="0" w:color="auto"/>
            </w:tcBorders>
            <w:shd w:val="clear" w:color="000000" w:fill="DCE6F1"/>
            <w:vAlign w:val="center"/>
            <w:hideMark/>
          </w:tcPr>
          <w:p w14:paraId="5CC7B0A4" w14:textId="08CBB2F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w:t>
            </w:r>
          </w:p>
        </w:tc>
        <w:tc>
          <w:tcPr>
            <w:tcW w:w="974" w:type="dxa"/>
            <w:tcBorders>
              <w:top w:val="nil"/>
              <w:left w:val="nil"/>
              <w:bottom w:val="single" w:sz="4" w:space="0" w:color="auto"/>
              <w:right w:val="nil"/>
            </w:tcBorders>
            <w:shd w:val="clear" w:color="000000" w:fill="DCE6F1"/>
            <w:vAlign w:val="center"/>
            <w:hideMark/>
          </w:tcPr>
          <w:p w14:paraId="73D0674E" w14:textId="51961F5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1,614</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D181279" w14:textId="33623E5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1,264</w:t>
            </w:r>
          </w:p>
        </w:tc>
        <w:tc>
          <w:tcPr>
            <w:tcW w:w="990" w:type="dxa"/>
            <w:tcBorders>
              <w:top w:val="nil"/>
              <w:left w:val="nil"/>
              <w:bottom w:val="single" w:sz="4" w:space="0" w:color="auto"/>
              <w:right w:val="single" w:sz="4" w:space="0" w:color="auto"/>
            </w:tcBorders>
            <w:shd w:val="clear" w:color="000000" w:fill="DCE6F1"/>
            <w:vAlign w:val="center"/>
            <w:hideMark/>
          </w:tcPr>
          <w:p w14:paraId="3F897E74" w14:textId="7B68679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18C50175" w14:textId="03AADC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350</w:t>
            </w:r>
          </w:p>
        </w:tc>
      </w:tr>
      <w:tr w:rsidR="004D73D3" w:rsidRPr="004D73D3" w14:paraId="7EFCC491"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85184B7"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1.6:</w:t>
            </w:r>
            <w:r w:rsidRPr="00817FC2">
              <w:rPr>
                <w:rFonts w:eastAsia="Times New Roman"/>
                <w:bCs/>
                <w:color w:val="000000"/>
                <w:sz w:val="16"/>
                <w:szCs w:val="16"/>
                <w:lang w:val="en-US" w:eastAsia="en-US"/>
              </w:rPr>
              <w:t xml:space="preserve"> Monitorimi, vlerësimi dhe administrimi i të dhënave- Matja e progresit dhe përmirësimi i vazhdueshëm i masave të parashikuara në këtë sektor/objektiv të planit të veprimit</w:t>
            </w:r>
          </w:p>
        </w:tc>
        <w:tc>
          <w:tcPr>
            <w:tcW w:w="1160" w:type="dxa"/>
            <w:tcBorders>
              <w:top w:val="nil"/>
              <w:left w:val="nil"/>
              <w:bottom w:val="single" w:sz="4" w:space="0" w:color="auto"/>
              <w:right w:val="single" w:sz="4" w:space="0" w:color="auto"/>
            </w:tcBorders>
            <w:shd w:val="clear" w:color="000000" w:fill="DCE6F1"/>
            <w:vAlign w:val="center"/>
            <w:hideMark/>
          </w:tcPr>
          <w:p w14:paraId="0A5D2C1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3371060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BE5F1"/>
            <w:vAlign w:val="center"/>
            <w:hideMark/>
          </w:tcPr>
          <w:p w14:paraId="12014A0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IOAFP/AKPA</w:t>
            </w:r>
          </w:p>
        </w:tc>
        <w:tc>
          <w:tcPr>
            <w:tcW w:w="1203" w:type="dxa"/>
            <w:tcBorders>
              <w:top w:val="nil"/>
              <w:left w:val="nil"/>
              <w:bottom w:val="single" w:sz="4" w:space="0" w:color="auto"/>
              <w:right w:val="single" w:sz="8" w:space="0" w:color="auto"/>
            </w:tcBorders>
            <w:shd w:val="clear" w:color="000000" w:fill="DBE5F1"/>
            <w:vAlign w:val="center"/>
            <w:hideMark/>
          </w:tcPr>
          <w:p w14:paraId="5681E8A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IOAFP/AKPA</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0C81189" w14:textId="383506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540</w:t>
            </w:r>
          </w:p>
        </w:tc>
        <w:tc>
          <w:tcPr>
            <w:tcW w:w="847" w:type="dxa"/>
            <w:tcBorders>
              <w:top w:val="nil"/>
              <w:left w:val="nil"/>
              <w:bottom w:val="single" w:sz="4" w:space="0" w:color="auto"/>
              <w:right w:val="single" w:sz="4" w:space="0" w:color="auto"/>
            </w:tcBorders>
            <w:shd w:val="clear" w:color="000000" w:fill="DCE6F1"/>
            <w:vAlign w:val="center"/>
            <w:hideMark/>
          </w:tcPr>
          <w:p w14:paraId="265582B2" w14:textId="4E295F8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540</w:t>
            </w:r>
          </w:p>
        </w:tc>
        <w:tc>
          <w:tcPr>
            <w:tcW w:w="720" w:type="dxa"/>
            <w:tcBorders>
              <w:top w:val="nil"/>
              <w:left w:val="nil"/>
              <w:bottom w:val="single" w:sz="4" w:space="0" w:color="auto"/>
              <w:right w:val="single" w:sz="4" w:space="0" w:color="auto"/>
            </w:tcBorders>
            <w:shd w:val="clear" w:color="000000" w:fill="DCE6F1"/>
            <w:vAlign w:val="center"/>
            <w:hideMark/>
          </w:tcPr>
          <w:p w14:paraId="3983BCE8" w14:textId="19F4812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1,135</w:t>
            </w:r>
          </w:p>
        </w:tc>
        <w:tc>
          <w:tcPr>
            <w:tcW w:w="810" w:type="dxa"/>
            <w:tcBorders>
              <w:top w:val="nil"/>
              <w:left w:val="nil"/>
              <w:bottom w:val="single" w:sz="4" w:space="0" w:color="auto"/>
              <w:right w:val="single" w:sz="4" w:space="0" w:color="auto"/>
            </w:tcBorders>
            <w:shd w:val="clear" w:color="000000" w:fill="DCE6F1"/>
            <w:vAlign w:val="center"/>
            <w:hideMark/>
          </w:tcPr>
          <w:p w14:paraId="0DF2ECBF" w14:textId="2F17051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540</w:t>
            </w:r>
          </w:p>
        </w:tc>
        <w:tc>
          <w:tcPr>
            <w:tcW w:w="646" w:type="dxa"/>
            <w:tcBorders>
              <w:top w:val="nil"/>
              <w:left w:val="nil"/>
              <w:bottom w:val="single" w:sz="4" w:space="0" w:color="auto"/>
              <w:right w:val="single" w:sz="4" w:space="0" w:color="auto"/>
            </w:tcBorders>
            <w:shd w:val="clear" w:color="000000" w:fill="DCE6F1"/>
            <w:vAlign w:val="center"/>
            <w:hideMark/>
          </w:tcPr>
          <w:p w14:paraId="3B711468" w14:textId="30EC072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540</w:t>
            </w:r>
          </w:p>
        </w:tc>
        <w:tc>
          <w:tcPr>
            <w:tcW w:w="974" w:type="dxa"/>
            <w:tcBorders>
              <w:top w:val="nil"/>
              <w:left w:val="nil"/>
              <w:bottom w:val="single" w:sz="4" w:space="0" w:color="auto"/>
              <w:right w:val="nil"/>
            </w:tcBorders>
            <w:shd w:val="clear" w:color="000000" w:fill="DCE6F1"/>
            <w:vAlign w:val="center"/>
            <w:hideMark/>
          </w:tcPr>
          <w:p w14:paraId="7C28BC62" w14:textId="16EEF35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3,295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1CFFD4D" w14:textId="2E6A77B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2,945</w:t>
            </w:r>
          </w:p>
        </w:tc>
        <w:tc>
          <w:tcPr>
            <w:tcW w:w="990" w:type="dxa"/>
            <w:tcBorders>
              <w:top w:val="nil"/>
              <w:left w:val="nil"/>
              <w:bottom w:val="single" w:sz="4" w:space="0" w:color="auto"/>
              <w:right w:val="single" w:sz="4" w:space="0" w:color="auto"/>
            </w:tcBorders>
            <w:shd w:val="clear" w:color="000000" w:fill="DCE6F1"/>
            <w:vAlign w:val="center"/>
            <w:hideMark/>
          </w:tcPr>
          <w:p w14:paraId="63355CFF" w14:textId="2FAC0BA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113D7D4E" w14:textId="52EE22B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350</w:t>
            </w:r>
          </w:p>
        </w:tc>
      </w:tr>
      <w:tr w:rsidR="004D73D3" w:rsidRPr="004D73D3" w14:paraId="0454AD43"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420DE776"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lastRenderedPageBreak/>
              <w:t xml:space="preserve">Objektivi Specifik  2.Zgjerimi dhe konsolidimi i shërbimeve të punësimit që synojnë fuqizimin ekonomik dhe përfshirjen në tregun e punës të personave me aftësi të kufizuara, përmes programeve gjithëpërfshirëse dhe atyre specifike të aftësimit dhe punësimit dhe ngritjes dhe konsolidimit të  Fondit Social të Punësimit. </w:t>
            </w:r>
          </w:p>
        </w:tc>
        <w:tc>
          <w:tcPr>
            <w:tcW w:w="1160" w:type="dxa"/>
            <w:tcBorders>
              <w:top w:val="nil"/>
              <w:left w:val="nil"/>
              <w:bottom w:val="single" w:sz="4" w:space="0" w:color="auto"/>
              <w:right w:val="single" w:sz="4" w:space="0" w:color="auto"/>
            </w:tcBorders>
            <w:shd w:val="clear" w:color="000000" w:fill="FDE9D9"/>
            <w:vAlign w:val="center"/>
            <w:hideMark/>
          </w:tcPr>
          <w:p w14:paraId="2A756C37" w14:textId="77777777" w:rsidR="004D73D3" w:rsidRPr="004D73D3" w:rsidRDefault="004D73D3" w:rsidP="004B31D6">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75C5455B" w14:textId="77777777" w:rsidR="004D73D3" w:rsidRPr="004D73D3" w:rsidRDefault="004D73D3" w:rsidP="004B31D6">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2C02A9E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MEI/MF/AKPA</w:t>
            </w:r>
          </w:p>
        </w:tc>
        <w:tc>
          <w:tcPr>
            <w:tcW w:w="1203" w:type="dxa"/>
            <w:tcBorders>
              <w:top w:val="nil"/>
              <w:left w:val="nil"/>
              <w:bottom w:val="single" w:sz="4" w:space="0" w:color="auto"/>
              <w:right w:val="single" w:sz="8" w:space="0" w:color="auto"/>
            </w:tcBorders>
            <w:shd w:val="clear" w:color="000000" w:fill="FDE9D9"/>
            <w:vAlign w:val="center"/>
            <w:hideMark/>
          </w:tcPr>
          <w:p w14:paraId="7D3D91E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AKPA/ISSH/MF/DPT/MEI/AKAFPK</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3E145770" w14:textId="3D0EBD0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239,510</w:t>
            </w:r>
          </w:p>
        </w:tc>
        <w:tc>
          <w:tcPr>
            <w:tcW w:w="847" w:type="dxa"/>
            <w:tcBorders>
              <w:top w:val="nil"/>
              <w:left w:val="nil"/>
              <w:bottom w:val="single" w:sz="4" w:space="0" w:color="auto"/>
              <w:right w:val="single" w:sz="4" w:space="0" w:color="auto"/>
            </w:tcBorders>
            <w:shd w:val="clear" w:color="000000" w:fill="FDE9D9"/>
            <w:vAlign w:val="center"/>
            <w:hideMark/>
          </w:tcPr>
          <w:p w14:paraId="2D6B46D2" w14:textId="3F00AA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251,200</w:t>
            </w:r>
          </w:p>
        </w:tc>
        <w:tc>
          <w:tcPr>
            <w:tcW w:w="720" w:type="dxa"/>
            <w:tcBorders>
              <w:top w:val="nil"/>
              <w:left w:val="nil"/>
              <w:bottom w:val="single" w:sz="4" w:space="0" w:color="auto"/>
              <w:right w:val="single" w:sz="4" w:space="0" w:color="auto"/>
            </w:tcBorders>
            <w:shd w:val="clear" w:color="000000" w:fill="FDE9D9"/>
            <w:vAlign w:val="center"/>
            <w:hideMark/>
          </w:tcPr>
          <w:p w14:paraId="0788A5AF" w14:textId="0D1B760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250,463</w:t>
            </w:r>
          </w:p>
        </w:tc>
        <w:tc>
          <w:tcPr>
            <w:tcW w:w="810" w:type="dxa"/>
            <w:tcBorders>
              <w:top w:val="nil"/>
              <w:left w:val="nil"/>
              <w:bottom w:val="single" w:sz="4" w:space="0" w:color="auto"/>
              <w:right w:val="single" w:sz="4" w:space="0" w:color="auto"/>
            </w:tcBorders>
            <w:shd w:val="clear" w:color="000000" w:fill="FDE9D9"/>
            <w:vAlign w:val="center"/>
            <w:hideMark/>
          </w:tcPr>
          <w:p w14:paraId="2048D150" w14:textId="2EA887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253,414</w:t>
            </w:r>
          </w:p>
        </w:tc>
        <w:tc>
          <w:tcPr>
            <w:tcW w:w="646" w:type="dxa"/>
            <w:tcBorders>
              <w:top w:val="nil"/>
              <w:left w:val="nil"/>
              <w:bottom w:val="single" w:sz="4" w:space="0" w:color="auto"/>
              <w:right w:val="single" w:sz="4" w:space="0" w:color="auto"/>
            </w:tcBorders>
            <w:shd w:val="clear" w:color="000000" w:fill="FDE9D9"/>
            <w:vAlign w:val="center"/>
            <w:hideMark/>
          </w:tcPr>
          <w:p w14:paraId="2492C062" w14:textId="6F33B70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260,712</w:t>
            </w:r>
          </w:p>
        </w:tc>
        <w:tc>
          <w:tcPr>
            <w:tcW w:w="974" w:type="dxa"/>
            <w:tcBorders>
              <w:top w:val="nil"/>
              <w:left w:val="nil"/>
              <w:bottom w:val="single" w:sz="4" w:space="0" w:color="auto"/>
              <w:right w:val="nil"/>
            </w:tcBorders>
            <w:shd w:val="clear" w:color="000000" w:fill="FDE9D9"/>
            <w:vAlign w:val="center"/>
            <w:hideMark/>
          </w:tcPr>
          <w:p w14:paraId="2CEB2CAB" w14:textId="6C62257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1,255,299</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551D7762" w14:textId="34122DB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1,054,074</w:t>
            </w:r>
          </w:p>
        </w:tc>
        <w:tc>
          <w:tcPr>
            <w:tcW w:w="990" w:type="dxa"/>
            <w:tcBorders>
              <w:top w:val="nil"/>
              <w:left w:val="nil"/>
              <w:bottom w:val="single" w:sz="4" w:space="0" w:color="auto"/>
              <w:right w:val="single" w:sz="4" w:space="0" w:color="auto"/>
            </w:tcBorders>
            <w:shd w:val="clear" w:color="000000" w:fill="FDE9D9"/>
            <w:vAlign w:val="center"/>
            <w:hideMark/>
          </w:tcPr>
          <w:p w14:paraId="6679CD94" w14:textId="31D3839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69D0A4F1" w14:textId="5173B61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201,225</w:t>
            </w:r>
          </w:p>
        </w:tc>
      </w:tr>
      <w:tr w:rsidR="004D73D3" w:rsidRPr="004D73D3" w14:paraId="41F95F03"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F87928C"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2.1:</w:t>
            </w:r>
            <w:r w:rsidRPr="00817FC2">
              <w:rPr>
                <w:rFonts w:eastAsia="Times New Roman"/>
                <w:bCs/>
                <w:color w:val="000000"/>
                <w:sz w:val="16"/>
                <w:szCs w:val="16"/>
                <w:lang w:val="en-US" w:eastAsia="en-US"/>
              </w:rPr>
              <w:t xml:space="preserve"> Plotësimi i kuadrit ligjor dhe institucional për të nxitur punësimin e punëkërkuesve me aftësi të kufizuara.</w:t>
            </w:r>
          </w:p>
        </w:tc>
        <w:tc>
          <w:tcPr>
            <w:tcW w:w="1160" w:type="dxa"/>
            <w:tcBorders>
              <w:top w:val="nil"/>
              <w:left w:val="nil"/>
              <w:bottom w:val="single" w:sz="4" w:space="0" w:color="auto"/>
              <w:right w:val="single" w:sz="4" w:space="0" w:color="auto"/>
            </w:tcBorders>
            <w:shd w:val="clear" w:color="000000" w:fill="C5D9F1"/>
            <w:vAlign w:val="center"/>
            <w:hideMark/>
          </w:tcPr>
          <w:p w14:paraId="4F0DC8F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C5D9F1"/>
            <w:vAlign w:val="center"/>
            <w:hideMark/>
          </w:tcPr>
          <w:p w14:paraId="5EE3B03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C5D9F1"/>
            <w:vAlign w:val="center"/>
            <w:hideMark/>
          </w:tcPr>
          <w:p w14:paraId="5FEB9A1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MEI/MF/AKPA</w:t>
            </w:r>
          </w:p>
        </w:tc>
        <w:tc>
          <w:tcPr>
            <w:tcW w:w="1203" w:type="dxa"/>
            <w:tcBorders>
              <w:top w:val="nil"/>
              <w:left w:val="nil"/>
              <w:bottom w:val="single" w:sz="4" w:space="0" w:color="auto"/>
              <w:right w:val="single" w:sz="8" w:space="0" w:color="auto"/>
            </w:tcBorders>
            <w:shd w:val="clear" w:color="000000" w:fill="C5D9F1"/>
            <w:vAlign w:val="center"/>
            <w:hideMark/>
          </w:tcPr>
          <w:p w14:paraId="6C84924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AKPA/ISSH/MF/DPT/MEI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4ED2AD4" w14:textId="7463427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3,645</w:t>
            </w:r>
          </w:p>
        </w:tc>
        <w:tc>
          <w:tcPr>
            <w:tcW w:w="847" w:type="dxa"/>
            <w:tcBorders>
              <w:top w:val="nil"/>
              <w:left w:val="nil"/>
              <w:bottom w:val="single" w:sz="4" w:space="0" w:color="auto"/>
              <w:right w:val="single" w:sz="4" w:space="0" w:color="auto"/>
            </w:tcBorders>
            <w:shd w:val="clear" w:color="000000" w:fill="DCE6F1"/>
            <w:vAlign w:val="center"/>
            <w:hideMark/>
          </w:tcPr>
          <w:p w14:paraId="0990C9EE" w14:textId="4418078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5,031</w:t>
            </w:r>
          </w:p>
        </w:tc>
        <w:tc>
          <w:tcPr>
            <w:tcW w:w="720" w:type="dxa"/>
            <w:tcBorders>
              <w:top w:val="nil"/>
              <w:left w:val="nil"/>
              <w:bottom w:val="single" w:sz="4" w:space="0" w:color="auto"/>
              <w:right w:val="single" w:sz="4" w:space="0" w:color="auto"/>
            </w:tcBorders>
            <w:shd w:val="clear" w:color="000000" w:fill="DCE6F1"/>
            <w:vAlign w:val="center"/>
            <w:hideMark/>
          </w:tcPr>
          <w:p w14:paraId="129F6ACF" w14:textId="393C6D3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08D13549" w14:textId="645AC48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5CF5D9D4" w14:textId="7E47844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5EB28F94" w14:textId="39B125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8,676</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33AFA62" w14:textId="423987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6,776</w:t>
            </w:r>
          </w:p>
        </w:tc>
        <w:tc>
          <w:tcPr>
            <w:tcW w:w="990" w:type="dxa"/>
            <w:tcBorders>
              <w:top w:val="nil"/>
              <w:left w:val="nil"/>
              <w:bottom w:val="single" w:sz="4" w:space="0" w:color="auto"/>
              <w:right w:val="single" w:sz="4" w:space="0" w:color="auto"/>
            </w:tcBorders>
            <w:shd w:val="clear" w:color="000000" w:fill="DCE6F1"/>
            <w:vAlign w:val="center"/>
            <w:hideMark/>
          </w:tcPr>
          <w:p w14:paraId="08A43E5F" w14:textId="5EDAD4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1FF981E8" w14:textId="65E11E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1,900</w:t>
            </w:r>
          </w:p>
        </w:tc>
      </w:tr>
      <w:tr w:rsidR="004D73D3" w:rsidRPr="004D73D3" w14:paraId="5AEF6592"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6BEDA76"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2.2.</w:t>
            </w:r>
            <w:r w:rsidRPr="00817FC2">
              <w:rPr>
                <w:rFonts w:eastAsia="Times New Roman"/>
                <w:bCs/>
                <w:color w:val="000000"/>
                <w:sz w:val="16"/>
                <w:szCs w:val="16"/>
                <w:lang w:val="en-US" w:eastAsia="en-US"/>
              </w:rPr>
              <w:t xml:space="preserve"> Përmirësimi i aksesueshmërisë dhe kapaciteteve institucionale të AKPA-s dhe zyrave të punësimit për të garantuar akses dhe shërbime gjithëpërfshirëse punësimi për punëkërkuesit me aftësi të kufizuara</w:t>
            </w:r>
          </w:p>
        </w:tc>
        <w:tc>
          <w:tcPr>
            <w:tcW w:w="1160" w:type="dxa"/>
            <w:tcBorders>
              <w:top w:val="nil"/>
              <w:left w:val="nil"/>
              <w:bottom w:val="single" w:sz="4" w:space="0" w:color="auto"/>
              <w:right w:val="single" w:sz="4" w:space="0" w:color="auto"/>
            </w:tcBorders>
            <w:shd w:val="clear" w:color="000000" w:fill="C5D9F1"/>
            <w:vAlign w:val="center"/>
            <w:hideMark/>
          </w:tcPr>
          <w:p w14:paraId="32CF8D0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C5D9F1"/>
            <w:vAlign w:val="center"/>
            <w:hideMark/>
          </w:tcPr>
          <w:p w14:paraId="5F61125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C5D9F1"/>
            <w:vAlign w:val="center"/>
            <w:hideMark/>
          </w:tcPr>
          <w:p w14:paraId="2A0874A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w:t>
            </w:r>
          </w:p>
        </w:tc>
        <w:tc>
          <w:tcPr>
            <w:tcW w:w="1203" w:type="dxa"/>
            <w:tcBorders>
              <w:top w:val="nil"/>
              <w:left w:val="nil"/>
              <w:bottom w:val="single" w:sz="4" w:space="0" w:color="auto"/>
              <w:right w:val="single" w:sz="8" w:space="0" w:color="auto"/>
            </w:tcBorders>
            <w:shd w:val="clear" w:color="000000" w:fill="C5D9F1"/>
            <w:vAlign w:val="center"/>
            <w:hideMark/>
          </w:tcPr>
          <w:p w14:paraId="21712D7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DE96062" w14:textId="3579E26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7,100</w:t>
            </w:r>
          </w:p>
        </w:tc>
        <w:tc>
          <w:tcPr>
            <w:tcW w:w="847" w:type="dxa"/>
            <w:tcBorders>
              <w:top w:val="nil"/>
              <w:left w:val="nil"/>
              <w:bottom w:val="single" w:sz="4" w:space="0" w:color="auto"/>
              <w:right w:val="single" w:sz="4" w:space="0" w:color="auto"/>
            </w:tcBorders>
            <w:shd w:val="clear" w:color="000000" w:fill="DCE6F1"/>
            <w:vAlign w:val="center"/>
            <w:hideMark/>
          </w:tcPr>
          <w:p w14:paraId="4D234DA4" w14:textId="680BE5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9,650</w:t>
            </w:r>
          </w:p>
        </w:tc>
        <w:tc>
          <w:tcPr>
            <w:tcW w:w="720" w:type="dxa"/>
            <w:tcBorders>
              <w:top w:val="nil"/>
              <w:left w:val="nil"/>
              <w:bottom w:val="single" w:sz="4" w:space="0" w:color="auto"/>
              <w:right w:val="single" w:sz="4" w:space="0" w:color="auto"/>
            </w:tcBorders>
            <w:shd w:val="clear" w:color="000000" w:fill="DCE6F1"/>
            <w:vAlign w:val="center"/>
            <w:hideMark/>
          </w:tcPr>
          <w:p w14:paraId="5E6675B3" w14:textId="6ABBE7B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9,650</w:t>
            </w:r>
          </w:p>
        </w:tc>
        <w:tc>
          <w:tcPr>
            <w:tcW w:w="810" w:type="dxa"/>
            <w:tcBorders>
              <w:top w:val="nil"/>
              <w:left w:val="nil"/>
              <w:bottom w:val="single" w:sz="4" w:space="0" w:color="auto"/>
              <w:right w:val="single" w:sz="4" w:space="0" w:color="auto"/>
            </w:tcBorders>
            <w:shd w:val="clear" w:color="000000" w:fill="DCE6F1"/>
            <w:vAlign w:val="center"/>
            <w:hideMark/>
          </w:tcPr>
          <w:p w14:paraId="1BBE4E2A" w14:textId="4C7DD5A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6,900</w:t>
            </w:r>
          </w:p>
        </w:tc>
        <w:tc>
          <w:tcPr>
            <w:tcW w:w="646" w:type="dxa"/>
            <w:tcBorders>
              <w:top w:val="nil"/>
              <w:left w:val="nil"/>
              <w:bottom w:val="single" w:sz="4" w:space="0" w:color="auto"/>
              <w:right w:val="single" w:sz="4" w:space="0" w:color="auto"/>
            </w:tcBorders>
            <w:shd w:val="clear" w:color="000000" w:fill="DCE6F1"/>
            <w:vAlign w:val="center"/>
            <w:hideMark/>
          </w:tcPr>
          <w:p w14:paraId="6EC95794" w14:textId="0EDE392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6,900</w:t>
            </w:r>
          </w:p>
        </w:tc>
        <w:tc>
          <w:tcPr>
            <w:tcW w:w="974" w:type="dxa"/>
            <w:tcBorders>
              <w:top w:val="nil"/>
              <w:left w:val="nil"/>
              <w:bottom w:val="single" w:sz="4" w:space="0" w:color="auto"/>
              <w:right w:val="nil"/>
            </w:tcBorders>
            <w:shd w:val="clear" w:color="000000" w:fill="DCE6F1"/>
            <w:vAlign w:val="center"/>
            <w:hideMark/>
          </w:tcPr>
          <w:p w14:paraId="3D31BD0E" w14:textId="7794CE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40,200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82E9854" w14:textId="3B7A23F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6E96AAFA" w14:textId="7CE4FBF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252A1835" w14:textId="6796221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40,200</w:t>
            </w:r>
          </w:p>
        </w:tc>
      </w:tr>
      <w:tr w:rsidR="004D73D3" w:rsidRPr="004D73D3" w14:paraId="436F095E"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D187459"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2.3</w:t>
            </w:r>
            <w:r w:rsidRPr="00817FC2">
              <w:rPr>
                <w:rFonts w:eastAsia="Times New Roman"/>
                <w:bCs/>
                <w:color w:val="000000"/>
                <w:sz w:val="16"/>
                <w:szCs w:val="16"/>
                <w:lang w:val="en-US" w:eastAsia="en-US"/>
              </w:rPr>
              <w:t xml:space="preserve"> Përmirësimi i sistemit të vlerësimit dhe regjistrimit të punëkërkuesve me aftësi të kufizuara, me fokus të veçante të rinjtë dhe gratë me aftësi të kufizuara </w:t>
            </w:r>
          </w:p>
        </w:tc>
        <w:tc>
          <w:tcPr>
            <w:tcW w:w="1160" w:type="dxa"/>
            <w:tcBorders>
              <w:top w:val="nil"/>
              <w:left w:val="nil"/>
              <w:bottom w:val="single" w:sz="4" w:space="0" w:color="auto"/>
              <w:right w:val="single" w:sz="4" w:space="0" w:color="auto"/>
            </w:tcBorders>
            <w:shd w:val="clear" w:color="000000" w:fill="C5D9F1"/>
            <w:vAlign w:val="center"/>
            <w:hideMark/>
          </w:tcPr>
          <w:p w14:paraId="1E3439C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2027</w:t>
            </w:r>
          </w:p>
        </w:tc>
        <w:tc>
          <w:tcPr>
            <w:tcW w:w="1292" w:type="dxa"/>
            <w:tcBorders>
              <w:top w:val="nil"/>
              <w:left w:val="nil"/>
              <w:bottom w:val="single" w:sz="4" w:space="0" w:color="auto"/>
              <w:right w:val="single" w:sz="4" w:space="0" w:color="auto"/>
            </w:tcBorders>
            <w:shd w:val="clear" w:color="000000" w:fill="C5D9F1"/>
            <w:vAlign w:val="center"/>
            <w:hideMark/>
          </w:tcPr>
          <w:p w14:paraId="549A1B2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C5D9F1"/>
            <w:vAlign w:val="center"/>
            <w:hideMark/>
          </w:tcPr>
          <w:p w14:paraId="371185E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w:t>
            </w:r>
          </w:p>
        </w:tc>
        <w:tc>
          <w:tcPr>
            <w:tcW w:w="1203" w:type="dxa"/>
            <w:tcBorders>
              <w:top w:val="nil"/>
              <w:left w:val="nil"/>
              <w:bottom w:val="single" w:sz="4" w:space="0" w:color="auto"/>
              <w:right w:val="single" w:sz="8" w:space="0" w:color="auto"/>
            </w:tcBorders>
            <w:shd w:val="clear" w:color="000000" w:fill="C5D9F1"/>
            <w:vAlign w:val="center"/>
            <w:hideMark/>
          </w:tcPr>
          <w:p w14:paraId="364AF91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54298BB" w14:textId="45CC483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16EA32AD" w14:textId="5E35B26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3,750</w:t>
            </w:r>
          </w:p>
        </w:tc>
        <w:tc>
          <w:tcPr>
            <w:tcW w:w="720" w:type="dxa"/>
            <w:tcBorders>
              <w:top w:val="nil"/>
              <w:left w:val="nil"/>
              <w:bottom w:val="single" w:sz="4" w:space="0" w:color="auto"/>
              <w:right w:val="single" w:sz="4" w:space="0" w:color="auto"/>
            </w:tcBorders>
            <w:shd w:val="clear" w:color="000000" w:fill="DCE6F1"/>
            <w:vAlign w:val="center"/>
            <w:hideMark/>
          </w:tcPr>
          <w:p w14:paraId="31A6CA2D" w14:textId="3364397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1,425</w:t>
            </w:r>
          </w:p>
        </w:tc>
        <w:tc>
          <w:tcPr>
            <w:tcW w:w="810" w:type="dxa"/>
            <w:tcBorders>
              <w:top w:val="nil"/>
              <w:left w:val="nil"/>
              <w:bottom w:val="single" w:sz="4" w:space="0" w:color="auto"/>
              <w:right w:val="single" w:sz="4" w:space="0" w:color="auto"/>
            </w:tcBorders>
            <w:shd w:val="clear" w:color="000000" w:fill="DCE6F1"/>
            <w:vAlign w:val="center"/>
            <w:hideMark/>
          </w:tcPr>
          <w:p w14:paraId="66A6E415" w14:textId="47528AF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w:t>
            </w:r>
          </w:p>
        </w:tc>
        <w:tc>
          <w:tcPr>
            <w:tcW w:w="646" w:type="dxa"/>
            <w:tcBorders>
              <w:top w:val="nil"/>
              <w:left w:val="nil"/>
              <w:bottom w:val="single" w:sz="4" w:space="0" w:color="auto"/>
              <w:right w:val="single" w:sz="4" w:space="0" w:color="auto"/>
            </w:tcBorders>
            <w:shd w:val="clear" w:color="000000" w:fill="DCE6F1"/>
            <w:vAlign w:val="center"/>
            <w:hideMark/>
          </w:tcPr>
          <w:p w14:paraId="2B88DB43" w14:textId="530D1EF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w:t>
            </w:r>
          </w:p>
        </w:tc>
        <w:tc>
          <w:tcPr>
            <w:tcW w:w="974" w:type="dxa"/>
            <w:tcBorders>
              <w:top w:val="nil"/>
              <w:left w:val="nil"/>
              <w:bottom w:val="single" w:sz="4" w:space="0" w:color="auto"/>
              <w:right w:val="nil"/>
            </w:tcBorders>
            <w:shd w:val="clear" w:color="000000" w:fill="DCE6F1"/>
            <w:vAlign w:val="center"/>
            <w:hideMark/>
          </w:tcPr>
          <w:p w14:paraId="3C5066D1" w14:textId="4E26E39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5,525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38532B8" w14:textId="2C5CB34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57F7B208" w14:textId="46F649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5475BA0B" w14:textId="65D40B6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5,525</w:t>
            </w:r>
          </w:p>
        </w:tc>
      </w:tr>
      <w:tr w:rsidR="004D73D3" w:rsidRPr="004D73D3" w14:paraId="1470204C" w14:textId="77777777" w:rsidTr="004B31D6">
        <w:trPr>
          <w:trHeight w:val="35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5C73F08"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Masë prioritare 2.4</w:t>
            </w:r>
            <w:r w:rsidRPr="00817FC2">
              <w:rPr>
                <w:rFonts w:eastAsia="Times New Roman"/>
                <w:bCs/>
                <w:color w:val="000000"/>
                <w:sz w:val="16"/>
                <w:szCs w:val="16"/>
                <w:lang w:val="en-US" w:eastAsia="en-US"/>
              </w:rPr>
              <w:t xml:space="preserve"> Konsolidimi dhe zgjerimi i shërbimeve për punëdhënësit dhe punëkërkuesit dhe përshtatja e vazhdueshme e tyre bazuar në praktikat e monitorimit dhe vlerësimit </w:t>
            </w:r>
          </w:p>
        </w:tc>
        <w:tc>
          <w:tcPr>
            <w:tcW w:w="1160" w:type="dxa"/>
            <w:tcBorders>
              <w:top w:val="nil"/>
              <w:left w:val="nil"/>
              <w:bottom w:val="single" w:sz="4" w:space="0" w:color="auto"/>
              <w:right w:val="single" w:sz="4" w:space="0" w:color="auto"/>
            </w:tcBorders>
            <w:shd w:val="clear" w:color="000000" w:fill="C5D9F1"/>
            <w:vAlign w:val="center"/>
            <w:hideMark/>
          </w:tcPr>
          <w:p w14:paraId="17C9CE4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C5D9F1"/>
            <w:vAlign w:val="center"/>
            <w:hideMark/>
          </w:tcPr>
          <w:p w14:paraId="33FA5DD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C5D9F1"/>
            <w:vAlign w:val="center"/>
            <w:hideMark/>
          </w:tcPr>
          <w:p w14:paraId="26EFE7B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w:t>
            </w:r>
          </w:p>
        </w:tc>
        <w:tc>
          <w:tcPr>
            <w:tcW w:w="1203" w:type="dxa"/>
            <w:tcBorders>
              <w:top w:val="nil"/>
              <w:left w:val="nil"/>
              <w:bottom w:val="single" w:sz="4" w:space="0" w:color="auto"/>
              <w:right w:val="single" w:sz="8" w:space="0" w:color="auto"/>
            </w:tcBorders>
            <w:shd w:val="clear" w:color="000000" w:fill="C5D9F1"/>
            <w:vAlign w:val="center"/>
            <w:hideMark/>
          </w:tcPr>
          <w:p w14:paraId="5C9917B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82ED4B0" w14:textId="4C1692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225,285</w:t>
            </w:r>
          </w:p>
        </w:tc>
        <w:tc>
          <w:tcPr>
            <w:tcW w:w="847" w:type="dxa"/>
            <w:tcBorders>
              <w:top w:val="nil"/>
              <w:left w:val="nil"/>
              <w:bottom w:val="single" w:sz="4" w:space="0" w:color="auto"/>
              <w:right w:val="single" w:sz="4" w:space="0" w:color="auto"/>
            </w:tcBorders>
            <w:shd w:val="clear" w:color="000000" w:fill="DCE6F1"/>
            <w:vAlign w:val="center"/>
            <w:hideMark/>
          </w:tcPr>
          <w:p w14:paraId="37A259A7" w14:textId="398F990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231,389</w:t>
            </w:r>
          </w:p>
        </w:tc>
        <w:tc>
          <w:tcPr>
            <w:tcW w:w="720" w:type="dxa"/>
            <w:tcBorders>
              <w:top w:val="nil"/>
              <w:left w:val="nil"/>
              <w:bottom w:val="single" w:sz="4" w:space="0" w:color="auto"/>
              <w:right w:val="single" w:sz="4" w:space="0" w:color="auto"/>
            </w:tcBorders>
            <w:shd w:val="clear" w:color="000000" w:fill="DCE6F1"/>
            <w:vAlign w:val="center"/>
            <w:hideMark/>
          </w:tcPr>
          <w:p w14:paraId="6A561CEE" w14:textId="4B9B6D1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238,008</w:t>
            </w:r>
          </w:p>
        </w:tc>
        <w:tc>
          <w:tcPr>
            <w:tcW w:w="810" w:type="dxa"/>
            <w:tcBorders>
              <w:top w:val="nil"/>
              <w:left w:val="nil"/>
              <w:bottom w:val="single" w:sz="4" w:space="0" w:color="auto"/>
              <w:right w:val="single" w:sz="4" w:space="0" w:color="auto"/>
            </w:tcBorders>
            <w:shd w:val="clear" w:color="000000" w:fill="DCE6F1"/>
            <w:vAlign w:val="center"/>
            <w:hideMark/>
          </w:tcPr>
          <w:p w14:paraId="04A0B852" w14:textId="49C6CC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244,959</w:t>
            </w:r>
          </w:p>
        </w:tc>
        <w:tc>
          <w:tcPr>
            <w:tcW w:w="646" w:type="dxa"/>
            <w:tcBorders>
              <w:top w:val="nil"/>
              <w:left w:val="nil"/>
              <w:bottom w:val="single" w:sz="4" w:space="0" w:color="auto"/>
              <w:right w:val="single" w:sz="4" w:space="0" w:color="auto"/>
            </w:tcBorders>
            <w:shd w:val="clear" w:color="000000" w:fill="DCE6F1"/>
            <w:vAlign w:val="center"/>
            <w:hideMark/>
          </w:tcPr>
          <w:p w14:paraId="24CBDDCF" w14:textId="7826935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252,257</w:t>
            </w:r>
          </w:p>
        </w:tc>
        <w:tc>
          <w:tcPr>
            <w:tcW w:w="974" w:type="dxa"/>
            <w:tcBorders>
              <w:top w:val="nil"/>
              <w:left w:val="nil"/>
              <w:bottom w:val="single" w:sz="4" w:space="0" w:color="auto"/>
              <w:right w:val="nil"/>
            </w:tcBorders>
            <w:shd w:val="clear" w:color="000000" w:fill="DCE6F1"/>
            <w:vAlign w:val="center"/>
            <w:hideMark/>
          </w:tcPr>
          <w:p w14:paraId="3C0914A2" w14:textId="372D56C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1,191,898</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3695ACD" w14:textId="5547E73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1,040,698</w:t>
            </w:r>
          </w:p>
        </w:tc>
        <w:tc>
          <w:tcPr>
            <w:tcW w:w="990" w:type="dxa"/>
            <w:tcBorders>
              <w:top w:val="nil"/>
              <w:left w:val="nil"/>
              <w:bottom w:val="single" w:sz="4" w:space="0" w:color="auto"/>
              <w:right w:val="single" w:sz="4" w:space="0" w:color="auto"/>
            </w:tcBorders>
            <w:shd w:val="clear" w:color="000000" w:fill="DCE6F1"/>
            <w:vAlign w:val="center"/>
            <w:hideMark/>
          </w:tcPr>
          <w:p w14:paraId="3BCD3D0B" w14:textId="51D532E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4BABAF47" w14:textId="52A9761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151,200</w:t>
            </w:r>
          </w:p>
        </w:tc>
      </w:tr>
      <w:tr w:rsidR="004D73D3" w:rsidRPr="004D73D3" w14:paraId="2C57DFF8"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C93AD7F"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2.5</w:t>
            </w:r>
            <w:r w:rsidRPr="00817FC2">
              <w:rPr>
                <w:rFonts w:eastAsia="Times New Roman"/>
                <w:bCs/>
                <w:color w:val="000000"/>
                <w:sz w:val="16"/>
                <w:szCs w:val="16"/>
                <w:lang w:val="en-US" w:eastAsia="en-US"/>
              </w:rPr>
              <w:t xml:space="preserve"> Forcimi i qeverisjes, koordinimit dhe monitorimit për punësimin e personave me aftësi të kufizuara</w:t>
            </w:r>
          </w:p>
        </w:tc>
        <w:tc>
          <w:tcPr>
            <w:tcW w:w="1160" w:type="dxa"/>
            <w:tcBorders>
              <w:top w:val="nil"/>
              <w:left w:val="nil"/>
              <w:bottom w:val="single" w:sz="4" w:space="0" w:color="auto"/>
              <w:right w:val="single" w:sz="4" w:space="0" w:color="auto"/>
            </w:tcBorders>
            <w:shd w:val="clear" w:color="000000" w:fill="C5D9F1"/>
            <w:vAlign w:val="center"/>
            <w:hideMark/>
          </w:tcPr>
          <w:p w14:paraId="3873A93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C5D9F1"/>
            <w:vAlign w:val="center"/>
            <w:hideMark/>
          </w:tcPr>
          <w:p w14:paraId="482F992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C5D9F1"/>
            <w:vAlign w:val="center"/>
            <w:hideMark/>
          </w:tcPr>
          <w:p w14:paraId="6512E51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AKPA/MEI</w:t>
            </w:r>
          </w:p>
        </w:tc>
        <w:tc>
          <w:tcPr>
            <w:tcW w:w="1203" w:type="dxa"/>
            <w:tcBorders>
              <w:top w:val="nil"/>
              <w:left w:val="nil"/>
              <w:bottom w:val="single" w:sz="4" w:space="0" w:color="auto"/>
              <w:right w:val="single" w:sz="8" w:space="0" w:color="auto"/>
            </w:tcBorders>
            <w:shd w:val="clear" w:color="000000" w:fill="C5D9F1"/>
            <w:vAlign w:val="center"/>
            <w:hideMark/>
          </w:tcPr>
          <w:p w14:paraId="20EAF26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MEI/AKPA/AKAFPK</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0632858" w14:textId="5FD3F5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3,480</w:t>
            </w:r>
          </w:p>
        </w:tc>
        <w:tc>
          <w:tcPr>
            <w:tcW w:w="847" w:type="dxa"/>
            <w:tcBorders>
              <w:top w:val="nil"/>
              <w:left w:val="nil"/>
              <w:bottom w:val="single" w:sz="4" w:space="0" w:color="auto"/>
              <w:right w:val="single" w:sz="4" w:space="0" w:color="auto"/>
            </w:tcBorders>
            <w:shd w:val="clear" w:color="000000" w:fill="DCE6F1"/>
            <w:vAlign w:val="center"/>
            <w:hideMark/>
          </w:tcPr>
          <w:p w14:paraId="270FB5A0" w14:textId="441E82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1,380</w:t>
            </w:r>
          </w:p>
        </w:tc>
        <w:tc>
          <w:tcPr>
            <w:tcW w:w="720" w:type="dxa"/>
            <w:tcBorders>
              <w:top w:val="nil"/>
              <w:left w:val="nil"/>
              <w:bottom w:val="single" w:sz="4" w:space="0" w:color="auto"/>
              <w:right w:val="single" w:sz="4" w:space="0" w:color="auto"/>
            </w:tcBorders>
            <w:shd w:val="clear" w:color="000000" w:fill="DCE6F1"/>
            <w:vAlign w:val="center"/>
            <w:hideMark/>
          </w:tcPr>
          <w:p w14:paraId="20B78621" w14:textId="3D0705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1,380</w:t>
            </w:r>
          </w:p>
        </w:tc>
        <w:tc>
          <w:tcPr>
            <w:tcW w:w="810" w:type="dxa"/>
            <w:tcBorders>
              <w:top w:val="nil"/>
              <w:left w:val="nil"/>
              <w:bottom w:val="single" w:sz="4" w:space="0" w:color="auto"/>
              <w:right w:val="single" w:sz="4" w:space="0" w:color="auto"/>
            </w:tcBorders>
            <w:shd w:val="clear" w:color="000000" w:fill="DCE6F1"/>
            <w:vAlign w:val="center"/>
            <w:hideMark/>
          </w:tcPr>
          <w:p w14:paraId="3BA17302" w14:textId="03E64C9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1,380</w:t>
            </w:r>
          </w:p>
        </w:tc>
        <w:tc>
          <w:tcPr>
            <w:tcW w:w="646" w:type="dxa"/>
            <w:tcBorders>
              <w:top w:val="nil"/>
              <w:left w:val="nil"/>
              <w:bottom w:val="single" w:sz="4" w:space="0" w:color="auto"/>
              <w:right w:val="single" w:sz="4" w:space="0" w:color="auto"/>
            </w:tcBorders>
            <w:shd w:val="clear" w:color="000000" w:fill="DCE6F1"/>
            <w:vAlign w:val="center"/>
            <w:hideMark/>
          </w:tcPr>
          <w:p w14:paraId="3BC5F775" w14:textId="5F1531F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1,380</w:t>
            </w:r>
          </w:p>
        </w:tc>
        <w:tc>
          <w:tcPr>
            <w:tcW w:w="974" w:type="dxa"/>
            <w:tcBorders>
              <w:top w:val="nil"/>
              <w:left w:val="nil"/>
              <w:bottom w:val="single" w:sz="4" w:space="0" w:color="auto"/>
              <w:right w:val="nil"/>
            </w:tcBorders>
            <w:shd w:val="clear" w:color="000000" w:fill="DCE6F1"/>
            <w:vAlign w:val="center"/>
            <w:hideMark/>
          </w:tcPr>
          <w:p w14:paraId="34B31447" w14:textId="4D438EE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551DBA4A" w14:textId="15C4446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6,600</w:t>
            </w:r>
          </w:p>
        </w:tc>
        <w:tc>
          <w:tcPr>
            <w:tcW w:w="990" w:type="dxa"/>
            <w:tcBorders>
              <w:top w:val="nil"/>
              <w:left w:val="nil"/>
              <w:bottom w:val="single" w:sz="4" w:space="0" w:color="auto"/>
              <w:right w:val="single" w:sz="4" w:space="0" w:color="auto"/>
            </w:tcBorders>
            <w:shd w:val="clear" w:color="000000" w:fill="DCE6F1"/>
            <w:vAlign w:val="center"/>
            <w:hideMark/>
          </w:tcPr>
          <w:p w14:paraId="70808232" w14:textId="5A7624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0D0FA5CA" w14:textId="3E9330C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2,400</w:t>
            </w:r>
          </w:p>
        </w:tc>
      </w:tr>
      <w:tr w:rsidR="004D73D3" w:rsidRPr="004D73D3" w14:paraId="65C726D2"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4237FFAA" w14:textId="77777777"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IV. ARSIMI</w:t>
            </w:r>
          </w:p>
        </w:tc>
        <w:tc>
          <w:tcPr>
            <w:tcW w:w="1160" w:type="dxa"/>
            <w:tcBorders>
              <w:top w:val="nil"/>
              <w:left w:val="nil"/>
              <w:bottom w:val="single" w:sz="4" w:space="0" w:color="auto"/>
              <w:right w:val="single" w:sz="4" w:space="0" w:color="auto"/>
            </w:tcBorders>
            <w:shd w:val="clear" w:color="000000" w:fill="F276AB"/>
            <w:vAlign w:val="center"/>
            <w:hideMark/>
          </w:tcPr>
          <w:p w14:paraId="7957FD0A" w14:textId="77777777" w:rsidR="004D73D3" w:rsidRPr="004D73D3" w:rsidRDefault="004D73D3" w:rsidP="004B31D6">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3F935222" w14:textId="77777777" w:rsidR="004D73D3" w:rsidRPr="004D73D3" w:rsidRDefault="004D73D3" w:rsidP="004B31D6">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11C2B29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754A860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47048A57" w14:textId="0DB652E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331,251</w:t>
            </w:r>
          </w:p>
        </w:tc>
        <w:tc>
          <w:tcPr>
            <w:tcW w:w="847" w:type="dxa"/>
            <w:tcBorders>
              <w:top w:val="nil"/>
              <w:left w:val="nil"/>
              <w:bottom w:val="single" w:sz="4" w:space="0" w:color="auto"/>
              <w:right w:val="single" w:sz="4" w:space="0" w:color="auto"/>
            </w:tcBorders>
            <w:shd w:val="clear" w:color="000000" w:fill="F276AB"/>
            <w:vAlign w:val="center"/>
            <w:hideMark/>
          </w:tcPr>
          <w:p w14:paraId="143C16AE" w14:textId="17D032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562,523</w:t>
            </w:r>
          </w:p>
        </w:tc>
        <w:tc>
          <w:tcPr>
            <w:tcW w:w="720" w:type="dxa"/>
            <w:tcBorders>
              <w:top w:val="nil"/>
              <w:left w:val="nil"/>
              <w:bottom w:val="single" w:sz="4" w:space="0" w:color="auto"/>
              <w:right w:val="single" w:sz="4" w:space="0" w:color="auto"/>
            </w:tcBorders>
            <w:shd w:val="clear" w:color="000000" w:fill="F276AB"/>
            <w:vAlign w:val="center"/>
            <w:hideMark/>
          </w:tcPr>
          <w:p w14:paraId="603EDA57" w14:textId="34042D9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633,142</w:t>
            </w:r>
          </w:p>
        </w:tc>
        <w:tc>
          <w:tcPr>
            <w:tcW w:w="810" w:type="dxa"/>
            <w:tcBorders>
              <w:top w:val="nil"/>
              <w:left w:val="nil"/>
              <w:bottom w:val="single" w:sz="4" w:space="0" w:color="auto"/>
              <w:right w:val="single" w:sz="4" w:space="0" w:color="auto"/>
            </w:tcBorders>
            <w:shd w:val="clear" w:color="000000" w:fill="F276AB"/>
            <w:vAlign w:val="center"/>
            <w:hideMark/>
          </w:tcPr>
          <w:p w14:paraId="664B203B" w14:textId="37BEA6D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680,211</w:t>
            </w:r>
          </w:p>
        </w:tc>
        <w:tc>
          <w:tcPr>
            <w:tcW w:w="646" w:type="dxa"/>
            <w:tcBorders>
              <w:top w:val="nil"/>
              <w:left w:val="nil"/>
              <w:bottom w:val="single" w:sz="4" w:space="0" w:color="auto"/>
              <w:right w:val="single" w:sz="4" w:space="0" w:color="auto"/>
            </w:tcBorders>
            <w:shd w:val="clear" w:color="000000" w:fill="F276AB"/>
            <w:vAlign w:val="center"/>
            <w:hideMark/>
          </w:tcPr>
          <w:p w14:paraId="6B207576" w14:textId="7DBE498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733,312</w:t>
            </w:r>
          </w:p>
        </w:tc>
        <w:tc>
          <w:tcPr>
            <w:tcW w:w="974" w:type="dxa"/>
            <w:tcBorders>
              <w:top w:val="nil"/>
              <w:left w:val="nil"/>
              <w:bottom w:val="single" w:sz="4" w:space="0" w:color="auto"/>
              <w:right w:val="nil"/>
            </w:tcBorders>
            <w:shd w:val="clear" w:color="000000" w:fill="F276AB"/>
            <w:vAlign w:val="center"/>
            <w:hideMark/>
          </w:tcPr>
          <w:p w14:paraId="57471DA3" w14:textId="3CCDF8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2,940,438</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5E48D419" w14:textId="527285E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2,256,785</w:t>
            </w:r>
          </w:p>
        </w:tc>
        <w:tc>
          <w:tcPr>
            <w:tcW w:w="990" w:type="dxa"/>
            <w:tcBorders>
              <w:top w:val="nil"/>
              <w:left w:val="nil"/>
              <w:bottom w:val="single" w:sz="4" w:space="0" w:color="auto"/>
              <w:right w:val="single" w:sz="4" w:space="0" w:color="auto"/>
            </w:tcBorders>
            <w:shd w:val="clear" w:color="000000" w:fill="F276AB"/>
            <w:vAlign w:val="center"/>
            <w:hideMark/>
          </w:tcPr>
          <w:p w14:paraId="2AFDB3C7" w14:textId="297E83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16,298</w:t>
            </w:r>
          </w:p>
        </w:tc>
        <w:tc>
          <w:tcPr>
            <w:tcW w:w="953" w:type="dxa"/>
            <w:tcBorders>
              <w:top w:val="nil"/>
              <w:left w:val="nil"/>
              <w:bottom w:val="single" w:sz="4" w:space="0" w:color="auto"/>
              <w:right w:val="single" w:sz="8" w:space="0" w:color="auto"/>
            </w:tcBorders>
            <w:shd w:val="clear" w:color="000000" w:fill="F276AB"/>
            <w:vAlign w:val="center"/>
            <w:hideMark/>
          </w:tcPr>
          <w:p w14:paraId="61E693F6" w14:textId="31F77CE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667,355</w:t>
            </w:r>
          </w:p>
        </w:tc>
      </w:tr>
      <w:tr w:rsidR="004D73D3" w:rsidRPr="004D73D3" w14:paraId="76757C80" w14:textId="77777777" w:rsidTr="004B31D6">
        <w:trPr>
          <w:trHeight w:val="158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24293A0E"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Zhvillimi dhe edukimi gjithëpërfshirës i fëmijëve me aftësi të kufizuara në fëmijërinë e hershme dhe arsimin parashkollor duke investuar në infrastrukturë, shërbime mbështetëse dhe zhvillimin profesional të stafit të kopshteve.</w:t>
            </w:r>
          </w:p>
        </w:tc>
        <w:tc>
          <w:tcPr>
            <w:tcW w:w="1160" w:type="dxa"/>
            <w:tcBorders>
              <w:top w:val="nil"/>
              <w:left w:val="nil"/>
              <w:bottom w:val="single" w:sz="4" w:space="0" w:color="auto"/>
              <w:right w:val="single" w:sz="4" w:space="0" w:color="auto"/>
            </w:tcBorders>
            <w:shd w:val="clear" w:color="000000" w:fill="FDE9D9"/>
            <w:vAlign w:val="center"/>
            <w:hideMark/>
          </w:tcPr>
          <w:p w14:paraId="5CA4F6E9"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3FA141F4"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286C0A6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 /MPV/NJVV/ASCAP/AKAP/ZVA/DRAP/NJPV</w:t>
            </w:r>
          </w:p>
        </w:tc>
        <w:tc>
          <w:tcPr>
            <w:tcW w:w="1203" w:type="dxa"/>
            <w:tcBorders>
              <w:top w:val="nil"/>
              <w:left w:val="nil"/>
              <w:bottom w:val="single" w:sz="4" w:space="0" w:color="auto"/>
              <w:right w:val="single" w:sz="8" w:space="0" w:color="auto"/>
            </w:tcBorders>
            <w:shd w:val="clear" w:color="000000" w:fill="FDE9D9"/>
            <w:vAlign w:val="center"/>
            <w:hideMark/>
          </w:tcPr>
          <w:p w14:paraId="53D7E65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NJVV /  DRAP / ZVAP/  DRSHKSH / INSTITUCIONE ARSIMORE/BASHKI/AKAP/DRAP/ZVA /ASCAP/ 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1CAB5D30" w14:textId="0075128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60,325</w:t>
            </w:r>
          </w:p>
        </w:tc>
        <w:tc>
          <w:tcPr>
            <w:tcW w:w="847" w:type="dxa"/>
            <w:tcBorders>
              <w:top w:val="nil"/>
              <w:left w:val="nil"/>
              <w:bottom w:val="single" w:sz="4" w:space="0" w:color="auto"/>
              <w:right w:val="single" w:sz="4" w:space="0" w:color="auto"/>
            </w:tcBorders>
            <w:shd w:val="clear" w:color="000000" w:fill="FDE9D9"/>
            <w:vAlign w:val="center"/>
            <w:hideMark/>
          </w:tcPr>
          <w:p w14:paraId="7522B0E8" w14:textId="2A1ABE1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91,518</w:t>
            </w:r>
          </w:p>
        </w:tc>
        <w:tc>
          <w:tcPr>
            <w:tcW w:w="720" w:type="dxa"/>
            <w:tcBorders>
              <w:top w:val="nil"/>
              <w:left w:val="nil"/>
              <w:bottom w:val="single" w:sz="4" w:space="0" w:color="auto"/>
              <w:right w:val="single" w:sz="4" w:space="0" w:color="auto"/>
            </w:tcBorders>
            <w:shd w:val="clear" w:color="000000" w:fill="FDE9D9"/>
            <w:vAlign w:val="center"/>
            <w:hideMark/>
          </w:tcPr>
          <w:p w14:paraId="4EE9B682" w14:textId="3D2EB46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90,150</w:t>
            </w:r>
          </w:p>
        </w:tc>
        <w:tc>
          <w:tcPr>
            <w:tcW w:w="810" w:type="dxa"/>
            <w:tcBorders>
              <w:top w:val="nil"/>
              <w:left w:val="nil"/>
              <w:bottom w:val="single" w:sz="4" w:space="0" w:color="auto"/>
              <w:right w:val="single" w:sz="4" w:space="0" w:color="auto"/>
            </w:tcBorders>
            <w:shd w:val="clear" w:color="000000" w:fill="FDE9D9"/>
            <w:vAlign w:val="center"/>
            <w:hideMark/>
          </w:tcPr>
          <w:p w14:paraId="770B6739" w14:textId="528C7B3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90,150</w:t>
            </w:r>
          </w:p>
        </w:tc>
        <w:tc>
          <w:tcPr>
            <w:tcW w:w="646" w:type="dxa"/>
            <w:tcBorders>
              <w:top w:val="nil"/>
              <w:left w:val="nil"/>
              <w:bottom w:val="single" w:sz="4" w:space="0" w:color="auto"/>
              <w:right w:val="single" w:sz="4" w:space="0" w:color="auto"/>
            </w:tcBorders>
            <w:shd w:val="clear" w:color="000000" w:fill="FDE9D9"/>
            <w:vAlign w:val="center"/>
            <w:hideMark/>
          </w:tcPr>
          <w:p w14:paraId="0B83F949" w14:textId="7C02EDE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90,150</w:t>
            </w:r>
          </w:p>
        </w:tc>
        <w:tc>
          <w:tcPr>
            <w:tcW w:w="974" w:type="dxa"/>
            <w:tcBorders>
              <w:top w:val="nil"/>
              <w:left w:val="nil"/>
              <w:bottom w:val="single" w:sz="4" w:space="0" w:color="auto"/>
              <w:right w:val="nil"/>
            </w:tcBorders>
            <w:shd w:val="clear" w:color="000000" w:fill="FDE9D9"/>
            <w:vAlign w:val="center"/>
            <w:hideMark/>
          </w:tcPr>
          <w:p w14:paraId="60FF177F" w14:textId="7D35B33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422,293</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353542E5" w14:textId="3476A08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345,943</w:t>
            </w:r>
          </w:p>
        </w:tc>
        <w:tc>
          <w:tcPr>
            <w:tcW w:w="990" w:type="dxa"/>
            <w:tcBorders>
              <w:top w:val="nil"/>
              <w:left w:val="nil"/>
              <w:bottom w:val="single" w:sz="4" w:space="0" w:color="auto"/>
              <w:right w:val="single" w:sz="4" w:space="0" w:color="auto"/>
            </w:tcBorders>
            <w:shd w:val="clear" w:color="000000" w:fill="FDE9D9"/>
            <w:vAlign w:val="center"/>
            <w:hideMark/>
          </w:tcPr>
          <w:p w14:paraId="57542A46" w14:textId="200AF5C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w:t>
            </w:r>
          </w:p>
        </w:tc>
        <w:tc>
          <w:tcPr>
            <w:tcW w:w="953" w:type="dxa"/>
            <w:tcBorders>
              <w:top w:val="nil"/>
              <w:left w:val="nil"/>
              <w:bottom w:val="single" w:sz="4" w:space="0" w:color="auto"/>
              <w:right w:val="single" w:sz="8" w:space="0" w:color="auto"/>
            </w:tcBorders>
            <w:shd w:val="clear" w:color="000000" w:fill="FDE9D9"/>
            <w:vAlign w:val="center"/>
            <w:hideMark/>
          </w:tcPr>
          <w:p w14:paraId="52E6AC86" w14:textId="41A8369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76,175</w:t>
            </w:r>
          </w:p>
        </w:tc>
      </w:tr>
      <w:tr w:rsidR="004D73D3" w:rsidRPr="004D73D3" w14:paraId="1499B032"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43622F4"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lastRenderedPageBreak/>
              <w:t>Masa Prioritare 1.1:</w:t>
            </w:r>
            <w:r w:rsidRPr="00817FC2">
              <w:rPr>
                <w:rFonts w:eastAsia="Times New Roman"/>
                <w:bCs/>
                <w:color w:val="000000"/>
                <w:sz w:val="16"/>
                <w:szCs w:val="16"/>
                <w:lang w:val="en-US" w:eastAsia="en-US"/>
              </w:rPr>
              <w:t xml:space="preserve"> Përmirësimi i kuadrit të politikave dhe qeverisjes për të garantuar akses të barabartë në edukimin e hershëm për fëmijët me aftësi të kufizuara</w:t>
            </w:r>
          </w:p>
        </w:tc>
        <w:tc>
          <w:tcPr>
            <w:tcW w:w="1160" w:type="dxa"/>
            <w:tcBorders>
              <w:top w:val="nil"/>
              <w:left w:val="nil"/>
              <w:bottom w:val="single" w:sz="4" w:space="0" w:color="auto"/>
              <w:right w:val="single" w:sz="4" w:space="0" w:color="auto"/>
            </w:tcBorders>
            <w:shd w:val="clear" w:color="000000" w:fill="DCE6F1"/>
            <w:vAlign w:val="center"/>
            <w:hideMark/>
          </w:tcPr>
          <w:p w14:paraId="7BE7A60E"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00DA68DE"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2027</w:t>
            </w:r>
          </w:p>
        </w:tc>
        <w:tc>
          <w:tcPr>
            <w:tcW w:w="821" w:type="dxa"/>
            <w:tcBorders>
              <w:top w:val="nil"/>
              <w:left w:val="nil"/>
              <w:bottom w:val="single" w:sz="4" w:space="0" w:color="auto"/>
              <w:right w:val="single" w:sz="4" w:space="0" w:color="auto"/>
            </w:tcBorders>
            <w:shd w:val="clear" w:color="000000" w:fill="DCE6F1"/>
            <w:vAlign w:val="center"/>
            <w:hideMark/>
          </w:tcPr>
          <w:p w14:paraId="55F5B0D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xml:space="preserve">MA, MPV, NJVV </w:t>
            </w:r>
          </w:p>
        </w:tc>
        <w:tc>
          <w:tcPr>
            <w:tcW w:w="1203" w:type="dxa"/>
            <w:tcBorders>
              <w:top w:val="nil"/>
              <w:left w:val="nil"/>
              <w:bottom w:val="single" w:sz="4" w:space="0" w:color="auto"/>
              <w:right w:val="single" w:sz="8" w:space="0" w:color="auto"/>
            </w:tcBorders>
            <w:shd w:val="clear" w:color="000000" w:fill="DCE6F1"/>
            <w:vAlign w:val="center"/>
            <w:hideMark/>
          </w:tcPr>
          <w:p w14:paraId="4D8DF7A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xml:space="preserve">NJVV, DRAP, ZVAP, DRSHKSH, MSHMS,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A63AFC4" w14:textId="69C88D2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w:t>
            </w:r>
          </w:p>
        </w:tc>
        <w:tc>
          <w:tcPr>
            <w:tcW w:w="847" w:type="dxa"/>
            <w:tcBorders>
              <w:top w:val="nil"/>
              <w:left w:val="nil"/>
              <w:bottom w:val="single" w:sz="4" w:space="0" w:color="auto"/>
              <w:right w:val="single" w:sz="4" w:space="0" w:color="auto"/>
            </w:tcBorders>
            <w:shd w:val="clear" w:color="000000" w:fill="DCE6F1"/>
            <w:vAlign w:val="center"/>
            <w:hideMark/>
          </w:tcPr>
          <w:p w14:paraId="3D5ADF13" w14:textId="214823B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868</w:t>
            </w:r>
          </w:p>
        </w:tc>
        <w:tc>
          <w:tcPr>
            <w:tcW w:w="720" w:type="dxa"/>
            <w:tcBorders>
              <w:top w:val="nil"/>
              <w:left w:val="nil"/>
              <w:bottom w:val="single" w:sz="4" w:space="0" w:color="auto"/>
              <w:right w:val="single" w:sz="4" w:space="0" w:color="auto"/>
            </w:tcBorders>
            <w:shd w:val="clear" w:color="000000" w:fill="DCE6F1"/>
            <w:vAlign w:val="center"/>
            <w:hideMark/>
          </w:tcPr>
          <w:p w14:paraId="622CB2D1" w14:textId="04FABC4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67D4F0BD" w14:textId="25EB38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6F246351" w14:textId="08DD451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single" w:sz="4" w:space="0" w:color="auto"/>
            </w:tcBorders>
            <w:shd w:val="clear" w:color="000000" w:fill="DCE6F1"/>
            <w:vAlign w:val="center"/>
            <w:hideMark/>
          </w:tcPr>
          <w:p w14:paraId="62030067" w14:textId="26A0E81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1,043</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8335180" w14:textId="1C7725A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693</w:t>
            </w:r>
          </w:p>
        </w:tc>
        <w:tc>
          <w:tcPr>
            <w:tcW w:w="990" w:type="dxa"/>
            <w:tcBorders>
              <w:top w:val="nil"/>
              <w:left w:val="nil"/>
              <w:bottom w:val="single" w:sz="4" w:space="0" w:color="auto"/>
              <w:right w:val="single" w:sz="4" w:space="0" w:color="auto"/>
            </w:tcBorders>
            <w:shd w:val="clear" w:color="000000" w:fill="DCE6F1"/>
            <w:vAlign w:val="center"/>
            <w:hideMark/>
          </w:tcPr>
          <w:p w14:paraId="53CA6C6C" w14:textId="7EEC1D5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w:t>
            </w:r>
          </w:p>
        </w:tc>
        <w:tc>
          <w:tcPr>
            <w:tcW w:w="953" w:type="dxa"/>
            <w:tcBorders>
              <w:top w:val="nil"/>
              <w:left w:val="nil"/>
              <w:bottom w:val="single" w:sz="4" w:space="0" w:color="auto"/>
              <w:right w:val="single" w:sz="8" w:space="0" w:color="auto"/>
            </w:tcBorders>
            <w:shd w:val="clear" w:color="000000" w:fill="DCE6F1"/>
            <w:vAlign w:val="center"/>
            <w:hideMark/>
          </w:tcPr>
          <w:p w14:paraId="17AE4BAB" w14:textId="5DF08BA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w:t>
            </w:r>
          </w:p>
        </w:tc>
      </w:tr>
      <w:tr w:rsidR="004D73D3" w:rsidRPr="004D73D3" w14:paraId="3591D1BD"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709362B"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1.2</w:t>
            </w:r>
            <w:r w:rsidRPr="00817FC2">
              <w:rPr>
                <w:rFonts w:eastAsia="Times New Roman"/>
                <w:bCs/>
                <w:color w:val="000000"/>
                <w:sz w:val="16"/>
                <w:szCs w:val="16"/>
                <w:lang w:val="en-US" w:eastAsia="en-US"/>
              </w:rPr>
              <w:t>: Krijimi i infrastrukturës dhe mjediseve të aksesueshme, të sigurta, miqësore dhe gjithëpërfshirëse për fëmijët me aftësi të kufizuara në kopshte dhe arsim parashkollor.</w:t>
            </w:r>
          </w:p>
        </w:tc>
        <w:tc>
          <w:tcPr>
            <w:tcW w:w="1160" w:type="dxa"/>
            <w:tcBorders>
              <w:top w:val="nil"/>
              <w:left w:val="nil"/>
              <w:bottom w:val="single" w:sz="4" w:space="0" w:color="auto"/>
              <w:right w:val="single" w:sz="4" w:space="0" w:color="auto"/>
            </w:tcBorders>
            <w:shd w:val="clear" w:color="000000" w:fill="DCE6F1"/>
            <w:vAlign w:val="center"/>
            <w:hideMark/>
          </w:tcPr>
          <w:p w14:paraId="676FFED0"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E8F60AE"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6D7CDB5C"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MA/ MSHPV/ AKAP/DRAP/ZVAP/NJVV</w:t>
            </w:r>
          </w:p>
        </w:tc>
        <w:tc>
          <w:tcPr>
            <w:tcW w:w="1203" w:type="dxa"/>
            <w:tcBorders>
              <w:top w:val="nil"/>
              <w:left w:val="nil"/>
              <w:bottom w:val="single" w:sz="4" w:space="0" w:color="auto"/>
              <w:right w:val="single" w:sz="8" w:space="0" w:color="auto"/>
            </w:tcBorders>
            <w:shd w:val="clear" w:color="000000" w:fill="DCE6F1"/>
            <w:vAlign w:val="center"/>
            <w:hideMark/>
          </w:tcPr>
          <w:p w14:paraId="69F844B1"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NJVV/INSTITUCIONE ARSIMORE/KOPSHTE/BASHKI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4702645" w14:textId="2A2DAFE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59,400</w:t>
            </w:r>
          </w:p>
        </w:tc>
        <w:tc>
          <w:tcPr>
            <w:tcW w:w="847" w:type="dxa"/>
            <w:tcBorders>
              <w:top w:val="nil"/>
              <w:left w:val="nil"/>
              <w:bottom w:val="single" w:sz="4" w:space="0" w:color="auto"/>
              <w:right w:val="single" w:sz="4" w:space="0" w:color="auto"/>
            </w:tcBorders>
            <w:shd w:val="clear" w:color="000000" w:fill="DCE6F1"/>
            <w:vAlign w:val="center"/>
            <w:hideMark/>
          </w:tcPr>
          <w:p w14:paraId="0D791B75" w14:textId="52569D6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59,400</w:t>
            </w:r>
          </w:p>
        </w:tc>
        <w:tc>
          <w:tcPr>
            <w:tcW w:w="720" w:type="dxa"/>
            <w:tcBorders>
              <w:top w:val="nil"/>
              <w:left w:val="nil"/>
              <w:bottom w:val="single" w:sz="4" w:space="0" w:color="auto"/>
              <w:right w:val="single" w:sz="4" w:space="0" w:color="auto"/>
            </w:tcBorders>
            <w:shd w:val="clear" w:color="000000" w:fill="DCE6F1"/>
            <w:vAlign w:val="center"/>
            <w:hideMark/>
          </w:tcPr>
          <w:p w14:paraId="7A1F0AAD" w14:textId="401D87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59,400</w:t>
            </w:r>
          </w:p>
        </w:tc>
        <w:tc>
          <w:tcPr>
            <w:tcW w:w="810" w:type="dxa"/>
            <w:tcBorders>
              <w:top w:val="nil"/>
              <w:left w:val="nil"/>
              <w:bottom w:val="single" w:sz="4" w:space="0" w:color="auto"/>
              <w:right w:val="single" w:sz="4" w:space="0" w:color="auto"/>
            </w:tcBorders>
            <w:shd w:val="clear" w:color="000000" w:fill="DCE6F1"/>
            <w:vAlign w:val="center"/>
            <w:hideMark/>
          </w:tcPr>
          <w:p w14:paraId="13E99160" w14:textId="1F98C0E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59,400</w:t>
            </w:r>
          </w:p>
        </w:tc>
        <w:tc>
          <w:tcPr>
            <w:tcW w:w="646" w:type="dxa"/>
            <w:tcBorders>
              <w:top w:val="nil"/>
              <w:left w:val="nil"/>
              <w:bottom w:val="single" w:sz="4" w:space="0" w:color="auto"/>
              <w:right w:val="single" w:sz="4" w:space="0" w:color="auto"/>
            </w:tcBorders>
            <w:shd w:val="clear" w:color="000000" w:fill="DCE6F1"/>
            <w:vAlign w:val="center"/>
            <w:hideMark/>
          </w:tcPr>
          <w:p w14:paraId="027AD364" w14:textId="6AAA336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59,400</w:t>
            </w:r>
          </w:p>
        </w:tc>
        <w:tc>
          <w:tcPr>
            <w:tcW w:w="974" w:type="dxa"/>
            <w:tcBorders>
              <w:top w:val="nil"/>
              <w:left w:val="nil"/>
              <w:bottom w:val="single" w:sz="4" w:space="0" w:color="auto"/>
              <w:right w:val="nil"/>
            </w:tcBorders>
            <w:shd w:val="clear" w:color="000000" w:fill="DCE6F1"/>
            <w:vAlign w:val="center"/>
            <w:hideMark/>
          </w:tcPr>
          <w:p w14:paraId="3D0C49B1" w14:textId="1D64EFA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297,000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B73E525" w14:textId="10821F5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221,000</w:t>
            </w:r>
          </w:p>
        </w:tc>
        <w:tc>
          <w:tcPr>
            <w:tcW w:w="990" w:type="dxa"/>
            <w:tcBorders>
              <w:top w:val="nil"/>
              <w:left w:val="nil"/>
              <w:bottom w:val="single" w:sz="4" w:space="0" w:color="auto"/>
              <w:right w:val="single" w:sz="4" w:space="0" w:color="auto"/>
            </w:tcBorders>
            <w:shd w:val="clear" w:color="000000" w:fill="DCE6F1"/>
            <w:vAlign w:val="center"/>
            <w:hideMark/>
          </w:tcPr>
          <w:p w14:paraId="482A7EC1" w14:textId="102BA83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214D8270" w14:textId="445875B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76,000</w:t>
            </w:r>
          </w:p>
        </w:tc>
      </w:tr>
      <w:tr w:rsidR="004D73D3" w:rsidRPr="004D73D3" w14:paraId="7EA715D6" w14:textId="77777777" w:rsidTr="004B31D6">
        <w:trPr>
          <w:trHeight w:val="79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6280B57"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1.3.</w:t>
            </w:r>
            <w:r w:rsidRPr="00817FC2">
              <w:rPr>
                <w:rFonts w:eastAsia="Times New Roman"/>
                <w:bCs/>
                <w:color w:val="000000"/>
                <w:sz w:val="16"/>
                <w:szCs w:val="16"/>
                <w:lang w:val="en-US" w:eastAsia="en-US"/>
              </w:rPr>
              <w:t xml:space="preserve"> Shërbime mbështetëse multidisiplinare  dhe edukim i hershëm i individualizuar.</w:t>
            </w:r>
          </w:p>
        </w:tc>
        <w:tc>
          <w:tcPr>
            <w:tcW w:w="1160" w:type="dxa"/>
            <w:tcBorders>
              <w:top w:val="nil"/>
              <w:left w:val="nil"/>
              <w:bottom w:val="single" w:sz="4" w:space="0" w:color="auto"/>
              <w:right w:val="single" w:sz="4" w:space="0" w:color="auto"/>
            </w:tcBorders>
            <w:shd w:val="clear" w:color="000000" w:fill="DCE6F1"/>
            <w:vAlign w:val="center"/>
            <w:hideMark/>
          </w:tcPr>
          <w:p w14:paraId="3947CD9D"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2A7E50B"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4E0A84C7"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MA/MPV/AKAP/DRAP/ZVAP/MPV/NJPV</w:t>
            </w:r>
          </w:p>
        </w:tc>
        <w:tc>
          <w:tcPr>
            <w:tcW w:w="1203" w:type="dxa"/>
            <w:tcBorders>
              <w:top w:val="nil"/>
              <w:left w:val="nil"/>
              <w:bottom w:val="single" w:sz="4" w:space="0" w:color="auto"/>
              <w:right w:val="single" w:sz="8" w:space="0" w:color="auto"/>
            </w:tcBorders>
            <w:shd w:val="clear" w:color="000000" w:fill="DCE6F1"/>
            <w:vAlign w:val="center"/>
            <w:hideMark/>
          </w:tcPr>
          <w:p w14:paraId="04949F76"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NJVV/AKAP/DRAP/ZVA/IAP/AKAP/DRAP/KOPSHTET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4B62B30" w14:textId="65F0FDB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6BA3A88D" w14:textId="35DA32D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720" w:type="dxa"/>
            <w:tcBorders>
              <w:top w:val="nil"/>
              <w:left w:val="nil"/>
              <w:bottom w:val="single" w:sz="4" w:space="0" w:color="auto"/>
              <w:right w:val="single" w:sz="4" w:space="0" w:color="auto"/>
            </w:tcBorders>
            <w:shd w:val="clear" w:color="000000" w:fill="DCE6F1"/>
            <w:vAlign w:val="center"/>
            <w:hideMark/>
          </w:tcPr>
          <w:p w14:paraId="00861A72" w14:textId="4301BA0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33B12636" w14:textId="43FFD6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2E13B232" w14:textId="02821FA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44A7FF91" w14:textId="105DB63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C04463C" w14:textId="5E7AC3C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4B076B40" w14:textId="493BFD4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76AA4F09" w14:textId="7402C3E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22567AE0"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AFD9F76"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1.4:</w:t>
            </w:r>
            <w:r w:rsidRPr="00817FC2">
              <w:rPr>
                <w:rFonts w:eastAsia="Times New Roman"/>
                <w:bCs/>
                <w:color w:val="000000"/>
                <w:sz w:val="16"/>
                <w:szCs w:val="16"/>
                <w:lang w:val="en-US" w:eastAsia="en-US"/>
              </w:rPr>
              <w:t xml:space="preserve"> Zhvillimi i kapaciteteve profesionale dhe sigurimi i cilësisë së edukimit të hershëm gjithëpërfshirës për fëmijët me aftësi të kufizuara.</w:t>
            </w:r>
          </w:p>
        </w:tc>
        <w:tc>
          <w:tcPr>
            <w:tcW w:w="1160" w:type="dxa"/>
            <w:tcBorders>
              <w:top w:val="nil"/>
              <w:left w:val="nil"/>
              <w:bottom w:val="single" w:sz="4" w:space="0" w:color="auto"/>
              <w:right w:val="single" w:sz="4" w:space="0" w:color="auto"/>
            </w:tcBorders>
            <w:shd w:val="clear" w:color="000000" w:fill="DCE6F1"/>
            <w:hideMark/>
          </w:tcPr>
          <w:p w14:paraId="1EDB614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hideMark/>
          </w:tcPr>
          <w:p w14:paraId="61300B4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0B2C9F5F"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ASCAP/MA/AKAP/NJVV</w:t>
            </w:r>
          </w:p>
        </w:tc>
        <w:tc>
          <w:tcPr>
            <w:tcW w:w="1203" w:type="dxa"/>
            <w:tcBorders>
              <w:top w:val="nil"/>
              <w:left w:val="nil"/>
              <w:bottom w:val="single" w:sz="4" w:space="0" w:color="auto"/>
              <w:right w:val="single" w:sz="8" w:space="0" w:color="auto"/>
            </w:tcBorders>
            <w:shd w:val="clear" w:color="000000" w:fill="DCE6F1"/>
            <w:vAlign w:val="center"/>
            <w:hideMark/>
          </w:tcPr>
          <w:p w14:paraId="49EAC26C"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DRAP/ZVAP/NJVV/ASCAP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E318AF1" w14:textId="1BD99A7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750</w:t>
            </w:r>
          </w:p>
        </w:tc>
        <w:tc>
          <w:tcPr>
            <w:tcW w:w="847" w:type="dxa"/>
            <w:tcBorders>
              <w:top w:val="nil"/>
              <w:left w:val="nil"/>
              <w:bottom w:val="single" w:sz="4" w:space="0" w:color="auto"/>
              <w:right w:val="single" w:sz="4" w:space="0" w:color="auto"/>
            </w:tcBorders>
            <w:shd w:val="clear" w:color="000000" w:fill="DCE6F1"/>
            <w:vAlign w:val="center"/>
            <w:hideMark/>
          </w:tcPr>
          <w:p w14:paraId="5DAC13FE" w14:textId="4BC3A86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31,250</w:t>
            </w:r>
          </w:p>
        </w:tc>
        <w:tc>
          <w:tcPr>
            <w:tcW w:w="720" w:type="dxa"/>
            <w:tcBorders>
              <w:top w:val="nil"/>
              <w:left w:val="nil"/>
              <w:bottom w:val="single" w:sz="4" w:space="0" w:color="auto"/>
              <w:right w:val="single" w:sz="4" w:space="0" w:color="auto"/>
            </w:tcBorders>
            <w:shd w:val="clear" w:color="000000" w:fill="DCE6F1"/>
            <w:vAlign w:val="center"/>
            <w:hideMark/>
          </w:tcPr>
          <w:p w14:paraId="2D87EC50" w14:textId="0B3FBB9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30,750</w:t>
            </w:r>
          </w:p>
        </w:tc>
        <w:tc>
          <w:tcPr>
            <w:tcW w:w="810" w:type="dxa"/>
            <w:tcBorders>
              <w:top w:val="nil"/>
              <w:left w:val="nil"/>
              <w:bottom w:val="single" w:sz="4" w:space="0" w:color="auto"/>
              <w:right w:val="single" w:sz="4" w:space="0" w:color="auto"/>
            </w:tcBorders>
            <w:shd w:val="clear" w:color="000000" w:fill="DCE6F1"/>
            <w:vAlign w:val="center"/>
            <w:hideMark/>
          </w:tcPr>
          <w:p w14:paraId="52818843" w14:textId="1894B2B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30,750</w:t>
            </w:r>
          </w:p>
        </w:tc>
        <w:tc>
          <w:tcPr>
            <w:tcW w:w="646" w:type="dxa"/>
            <w:tcBorders>
              <w:top w:val="nil"/>
              <w:left w:val="nil"/>
              <w:bottom w:val="single" w:sz="4" w:space="0" w:color="auto"/>
              <w:right w:val="single" w:sz="4" w:space="0" w:color="auto"/>
            </w:tcBorders>
            <w:shd w:val="clear" w:color="000000" w:fill="DCE6F1"/>
            <w:vAlign w:val="center"/>
            <w:hideMark/>
          </w:tcPr>
          <w:p w14:paraId="4E554BF4" w14:textId="2A0A9D7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30,750</w:t>
            </w:r>
          </w:p>
        </w:tc>
        <w:tc>
          <w:tcPr>
            <w:tcW w:w="974" w:type="dxa"/>
            <w:tcBorders>
              <w:top w:val="nil"/>
              <w:left w:val="nil"/>
              <w:bottom w:val="single" w:sz="4" w:space="0" w:color="auto"/>
              <w:right w:val="nil"/>
            </w:tcBorders>
            <w:shd w:val="clear" w:color="000000" w:fill="DCE6F1"/>
            <w:vAlign w:val="center"/>
            <w:hideMark/>
          </w:tcPr>
          <w:p w14:paraId="394FB2C6" w14:textId="2A85805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124,250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18A1552" w14:textId="49DD10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124,250</w:t>
            </w:r>
          </w:p>
        </w:tc>
        <w:tc>
          <w:tcPr>
            <w:tcW w:w="990" w:type="dxa"/>
            <w:tcBorders>
              <w:top w:val="nil"/>
              <w:left w:val="nil"/>
              <w:bottom w:val="single" w:sz="4" w:space="0" w:color="auto"/>
              <w:right w:val="single" w:sz="4" w:space="0" w:color="auto"/>
            </w:tcBorders>
            <w:shd w:val="clear" w:color="000000" w:fill="DCE6F1"/>
            <w:vAlign w:val="center"/>
            <w:hideMark/>
          </w:tcPr>
          <w:p w14:paraId="6960B7E3" w14:textId="79233B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3E7B7C25" w14:textId="267BB4E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274EB1DA" w14:textId="77777777" w:rsidTr="004B31D6">
        <w:trPr>
          <w:trHeight w:val="1056"/>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6AB49846"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2. Garantimi i arsimit parauniversitar gjithëpërfshirës, cilësor dhe të barabartë për nxënësit me aftësi të kufizuara.</w:t>
            </w:r>
          </w:p>
        </w:tc>
        <w:tc>
          <w:tcPr>
            <w:tcW w:w="1160" w:type="dxa"/>
            <w:tcBorders>
              <w:top w:val="nil"/>
              <w:left w:val="nil"/>
              <w:bottom w:val="single" w:sz="4" w:space="0" w:color="auto"/>
              <w:right w:val="single" w:sz="4" w:space="0" w:color="auto"/>
            </w:tcBorders>
            <w:shd w:val="clear" w:color="000000" w:fill="FDE9D9"/>
            <w:vAlign w:val="center"/>
            <w:hideMark/>
          </w:tcPr>
          <w:p w14:paraId="2D429869" w14:textId="77777777" w:rsidR="004D73D3" w:rsidRPr="004D73D3" w:rsidRDefault="004D73D3" w:rsidP="004B31D6">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6EDDCBF5" w14:textId="77777777" w:rsidR="004D73D3" w:rsidRPr="004D73D3" w:rsidRDefault="004D73D3" w:rsidP="004B31D6">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4DE671B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MA/MPV/ /ASCAP/AKAP/ZVA/MA/MPV</w:t>
            </w:r>
          </w:p>
        </w:tc>
        <w:tc>
          <w:tcPr>
            <w:tcW w:w="1203" w:type="dxa"/>
            <w:tcBorders>
              <w:top w:val="nil"/>
              <w:left w:val="nil"/>
              <w:bottom w:val="single" w:sz="4" w:space="0" w:color="auto"/>
              <w:right w:val="single" w:sz="8" w:space="0" w:color="auto"/>
            </w:tcBorders>
            <w:shd w:val="clear" w:color="000000" w:fill="FDE9D9"/>
            <w:vAlign w:val="center"/>
            <w:hideMark/>
          </w:tcPr>
          <w:p w14:paraId="1CA528C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DRAP/ ZVAP/NJVV/DROSHKSH/KMD /AKAP/NJVV/ASCAP/ZVAP/AP/ 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07198BEC" w14:textId="4CB79B3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242,260</w:t>
            </w:r>
          </w:p>
        </w:tc>
        <w:tc>
          <w:tcPr>
            <w:tcW w:w="847" w:type="dxa"/>
            <w:tcBorders>
              <w:top w:val="nil"/>
              <w:left w:val="nil"/>
              <w:bottom w:val="single" w:sz="4" w:space="0" w:color="auto"/>
              <w:right w:val="single" w:sz="4" w:space="0" w:color="auto"/>
            </w:tcBorders>
            <w:shd w:val="clear" w:color="000000" w:fill="FDE9D9"/>
            <w:vAlign w:val="center"/>
            <w:hideMark/>
          </w:tcPr>
          <w:p w14:paraId="7A19905B" w14:textId="02D44C9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316,465</w:t>
            </w:r>
          </w:p>
        </w:tc>
        <w:tc>
          <w:tcPr>
            <w:tcW w:w="720" w:type="dxa"/>
            <w:tcBorders>
              <w:top w:val="nil"/>
              <w:left w:val="nil"/>
              <w:bottom w:val="single" w:sz="4" w:space="0" w:color="auto"/>
              <w:right w:val="single" w:sz="4" w:space="0" w:color="auto"/>
            </w:tcBorders>
            <w:shd w:val="clear" w:color="000000" w:fill="FDE9D9"/>
            <w:vAlign w:val="center"/>
            <w:hideMark/>
          </w:tcPr>
          <w:p w14:paraId="41C3F908" w14:textId="55C6DF8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390,132</w:t>
            </w:r>
          </w:p>
        </w:tc>
        <w:tc>
          <w:tcPr>
            <w:tcW w:w="810" w:type="dxa"/>
            <w:tcBorders>
              <w:top w:val="nil"/>
              <w:left w:val="nil"/>
              <w:bottom w:val="single" w:sz="4" w:space="0" w:color="auto"/>
              <w:right w:val="single" w:sz="4" w:space="0" w:color="auto"/>
            </w:tcBorders>
            <w:shd w:val="clear" w:color="000000" w:fill="FDE9D9"/>
            <w:vAlign w:val="center"/>
            <w:hideMark/>
          </w:tcPr>
          <w:p w14:paraId="1635790E" w14:textId="0994D57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443,451</w:t>
            </w:r>
          </w:p>
        </w:tc>
        <w:tc>
          <w:tcPr>
            <w:tcW w:w="646" w:type="dxa"/>
            <w:tcBorders>
              <w:top w:val="nil"/>
              <w:left w:val="nil"/>
              <w:bottom w:val="single" w:sz="4" w:space="0" w:color="auto"/>
              <w:right w:val="single" w:sz="4" w:space="0" w:color="auto"/>
            </w:tcBorders>
            <w:shd w:val="clear" w:color="000000" w:fill="FDE9D9"/>
            <w:vAlign w:val="center"/>
            <w:hideMark/>
          </w:tcPr>
          <w:p w14:paraId="1C71DD10" w14:textId="6F2D0A1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496,552</w:t>
            </w:r>
          </w:p>
        </w:tc>
        <w:tc>
          <w:tcPr>
            <w:tcW w:w="974" w:type="dxa"/>
            <w:tcBorders>
              <w:top w:val="nil"/>
              <w:left w:val="nil"/>
              <w:bottom w:val="single" w:sz="4" w:space="0" w:color="auto"/>
              <w:right w:val="nil"/>
            </w:tcBorders>
            <w:shd w:val="clear" w:color="000000" w:fill="FDE9D9"/>
            <w:vAlign w:val="center"/>
            <w:hideMark/>
          </w:tcPr>
          <w:p w14:paraId="573A7385" w14:textId="00B5BF5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1,888,859</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786EA4CE" w14:textId="77EA790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1,402,506</w:t>
            </w:r>
          </w:p>
        </w:tc>
        <w:tc>
          <w:tcPr>
            <w:tcW w:w="990" w:type="dxa"/>
            <w:tcBorders>
              <w:top w:val="nil"/>
              <w:left w:val="nil"/>
              <w:bottom w:val="single" w:sz="4" w:space="0" w:color="auto"/>
              <w:right w:val="single" w:sz="4" w:space="0" w:color="auto"/>
            </w:tcBorders>
            <w:shd w:val="clear" w:color="000000" w:fill="FDE9D9"/>
            <w:vAlign w:val="center"/>
            <w:hideMark/>
          </w:tcPr>
          <w:p w14:paraId="47B57DD4" w14:textId="77A8D4E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13,798</w:t>
            </w:r>
          </w:p>
        </w:tc>
        <w:tc>
          <w:tcPr>
            <w:tcW w:w="953" w:type="dxa"/>
            <w:tcBorders>
              <w:top w:val="nil"/>
              <w:left w:val="nil"/>
              <w:bottom w:val="single" w:sz="4" w:space="0" w:color="auto"/>
              <w:right w:val="single" w:sz="8" w:space="0" w:color="auto"/>
            </w:tcBorders>
            <w:shd w:val="clear" w:color="000000" w:fill="FDE9D9"/>
            <w:vAlign w:val="center"/>
            <w:hideMark/>
          </w:tcPr>
          <w:p w14:paraId="18A905C2" w14:textId="6A7E2A2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472,555</w:t>
            </w:r>
          </w:p>
        </w:tc>
      </w:tr>
      <w:tr w:rsidR="004D73D3" w:rsidRPr="004D73D3" w14:paraId="3893FE79" w14:textId="77777777" w:rsidTr="004B31D6">
        <w:trPr>
          <w:trHeight w:val="79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109D1E3"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2.1: </w:t>
            </w:r>
            <w:r w:rsidRPr="00817FC2">
              <w:rPr>
                <w:rFonts w:eastAsia="Times New Roman"/>
                <w:bCs/>
                <w:color w:val="000000"/>
                <w:sz w:val="16"/>
                <w:szCs w:val="16"/>
                <w:lang w:val="en-US" w:eastAsia="en-US"/>
              </w:rPr>
              <w:t>Kuadër ligjor, institucional dhe mekanizma të qeverisjes për arsimin parauniversitar gjithëpërfshirës</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40C5B533"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BC54728"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A47BD5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MA/MPV/ ASCAP/AKAP/MSHMS</w:t>
            </w:r>
          </w:p>
        </w:tc>
        <w:tc>
          <w:tcPr>
            <w:tcW w:w="1203" w:type="dxa"/>
            <w:tcBorders>
              <w:top w:val="nil"/>
              <w:left w:val="nil"/>
              <w:bottom w:val="single" w:sz="4" w:space="0" w:color="auto"/>
              <w:right w:val="single" w:sz="8" w:space="0" w:color="auto"/>
            </w:tcBorders>
            <w:shd w:val="clear" w:color="000000" w:fill="DCE6F1"/>
            <w:vAlign w:val="center"/>
            <w:hideMark/>
          </w:tcPr>
          <w:p w14:paraId="0D38B85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xml:space="preserve">DRAP/ ZVAP/NJVV/DROSHKSH/KMD/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4037D86" w14:textId="4542566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611</w:t>
            </w:r>
          </w:p>
        </w:tc>
        <w:tc>
          <w:tcPr>
            <w:tcW w:w="847" w:type="dxa"/>
            <w:tcBorders>
              <w:top w:val="nil"/>
              <w:left w:val="nil"/>
              <w:bottom w:val="single" w:sz="4" w:space="0" w:color="auto"/>
              <w:right w:val="single" w:sz="4" w:space="0" w:color="auto"/>
            </w:tcBorders>
            <w:shd w:val="clear" w:color="000000" w:fill="DCE6F1"/>
            <w:vAlign w:val="center"/>
            <w:hideMark/>
          </w:tcPr>
          <w:p w14:paraId="24F35AD1" w14:textId="2DC389C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611</w:t>
            </w:r>
          </w:p>
        </w:tc>
        <w:tc>
          <w:tcPr>
            <w:tcW w:w="720" w:type="dxa"/>
            <w:tcBorders>
              <w:top w:val="nil"/>
              <w:left w:val="nil"/>
              <w:bottom w:val="single" w:sz="4" w:space="0" w:color="auto"/>
              <w:right w:val="single" w:sz="4" w:space="0" w:color="auto"/>
            </w:tcBorders>
            <w:shd w:val="clear" w:color="000000" w:fill="DCE6F1"/>
            <w:vAlign w:val="center"/>
            <w:hideMark/>
          </w:tcPr>
          <w:p w14:paraId="26EFD54D" w14:textId="33E1E3C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73</w:t>
            </w:r>
          </w:p>
        </w:tc>
        <w:tc>
          <w:tcPr>
            <w:tcW w:w="810" w:type="dxa"/>
            <w:tcBorders>
              <w:top w:val="nil"/>
              <w:left w:val="nil"/>
              <w:bottom w:val="single" w:sz="4" w:space="0" w:color="auto"/>
              <w:right w:val="single" w:sz="4" w:space="0" w:color="auto"/>
            </w:tcBorders>
            <w:shd w:val="clear" w:color="000000" w:fill="DCE6F1"/>
            <w:vAlign w:val="center"/>
            <w:hideMark/>
          </w:tcPr>
          <w:p w14:paraId="59D6A87D" w14:textId="2F42E78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73</w:t>
            </w:r>
          </w:p>
        </w:tc>
        <w:tc>
          <w:tcPr>
            <w:tcW w:w="646" w:type="dxa"/>
            <w:tcBorders>
              <w:top w:val="nil"/>
              <w:left w:val="nil"/>
              <w:bottom w:val="single" w:sz="4" w:space="0" w:color="auto"/>
              <w:right w:val="single" w:sz="4" w:space="0" w:color="auto"/>
            </w:tcBorders>
            <w:shd w:val="clear" w:color="000000" w:fill="DCE6F1"/>
            <w:vAlign w:val="center"/>
            <w:hideMark/>
          </w:tcPr>
          <w:p w14:paraId="1B0AA21F" w14:textId="53FF131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73</w:t>
            </w:r>
          </w:p>
        </w:tc>
        <w:tc>
          <w:tcPr>
            <w:tcW w:w="974" w:type="dxa"/>
            <w:tcBorders>
              <w:top w:val="nil"/>
              <w:left w:val="nil"/>
              <w:bottom w:val="single" w:sz="4" w:space="0" w:color="auto"/>
              <w:right w:val="nil"/>
            </w:tcBorders>
            <w:shd w:val="clear" w:color="000000" w:fill="DCE6F1"/>
            <w:vAlign w:val="center"/>
            <w:hideMark/>
          </w:tcPr>
          <w:p w14:paraId="01FA4985" w14:textId="3DDF404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1,439</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9E32704" w14:textId="719CE1F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1,117</w:t>
            </w:r>
          </w:p>
        </w:tc>
        <w:tc>
          <w:tcPr>
            <w:tcW w:w="990" w:type="dxa"/>
            <w:tcBorders>
              <w:top w:val="nil"/>
              <w:left w:val="nil"/>
              <w:bottom w:val="single" w:sz="4" w:space="0" w:color="auto"/>
              <w:right w:val="single" w:sz="4" w:space="0" w:color="auto"/>
            </w:tcBorders>
            <w:shd w:val="clear" w:color="000000" w:fill="DCE6F1"/>
            <w:vAlign w:val="center"/>
            <w:hideMark/>
          </w:tcPr>
          <w:p w14:paraId="1A5CAB09" w14:textId="3671B2E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198</w:t>
            </w:r>
          </w:p>
        </w:tc>
        <w:tc>
          <w:tcPr>
            <w:tcW w:w="953" w:type="dxa"/>
            <w:tcBorders>
              <w:top w:val="nil"/>
              <w:left w:val="nil"/>
              <w:bottom w:val="single" w:sz="4" w:space="0" w:color="auto"/>
              <w:right w:val="single" w:sz="8" w:space="0" w:color="auto"/>
            </w:tcBorders>
            <w:shd w:val="clear" w:color="000000" w:fill="DCE6F1"/>
            <w:vAlign w:val="center"/>
            <w:hideMark/>
          </w:tcPr>
          <w:p w14:paraId="701A35EF" w14:textId="2F4C572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w:t>
            </w:r>
          </w:p>
        </w:tc>
      </w:tr>
      <w:tr w:rsidR="004D73D3" w:rsidRPr="004D73D3" w14:paraId="0AC2444C" w14:textId="77777777" w:rsidTr="004B31D6">
        <w:trPr>
          <w:trHeight w:val="105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09629F9"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Masa Prioritare 2.</w:t>
            </w:r>
            <w:r w:rsidRPr="00817FC2">
              <w:rPr>
                <w:rFonts w:eastAsia="Times New Roman"/>
                <w:bCs/>
                <w:color w:val="000000"/>
                <w:sz w:val="16"/>
                <w:szCs w:val="16"/>
                <w:lang w:val="en-US" w:eastAsia="en-US"/>
              </w:rPr>
              <w:t>2 Identifikim i hershëm, vlerësim multidisiplinar dhe planifikim arsimor i individualizuar për nxënësit me aftësi të kufizuara.</w:t>
            </w:r>
          </w:p>
        </w:tc>
        <w:tc>
          <w:tcPr>
            <w:tcW w:w="1160" w:type="dxa"/>
            <w:tcBorders>
              <w:top w:val="nil"/>
              <w:left w:val="nil"/>
              <w:bottom w:val="single" w:sz="4" w:space="0" w:color="auto"/>
              <w:right w:val="single" w:sz="4" w:space="0" w:color="auto"/>
            </w:tcBorders>
            <w:shd w:val="clear" w:color="000000" w:fill="DCE6F1"/>
            <w:vAlign w:val="center"/>
            <w:hideMark/>
          </w:tcPr>
          <w:p w14:paraId="3BD4E9E8"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21E48D0"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0EDC441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AKAP/ DRAP/ ZVAP/MA</w:t>
            </w:r>
          </w:p>
        </w:tc>
        <w:tc>
          <w:tcPr>
            <w:tcW w:w="1203" w:type="dxa"/>
            <w:tcBorders>
              <w:top w:val="nil"/>
              <w:left w:val="nil"/>
              <w:bottom w:val="single" w:sz="4" w:space="0" w:color="auto"/>
              <w:right w:val="single" w:sz="8" w:space="0" w:color="auto"/>
            </w:tcBorders>
            <w:shd w:val="clear" w:color="000000" w:fill="DCE6F1"/>
            <w:vAlign w:val="center"/>
            <w:hideMark/>
          </w:tcPr>
          <w:p w14:paraId="332D92E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AKAP/DRAP/ ZVAP/NJVV/ DROSHKSH/IAP/AKAP/ASCAP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669929D" w14:textId="027F84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218</w:t>
            </w:r>
          </w:p>
        </w:tc>
        <w:tc>
          <w:tcPr>
            <w:tcW w:w="847" w:type="dxa"/>
            <w:tcBorders>
              <w:top w:val="nil"/>
              <w:left w:val="nil"/>
              <w:bottom w:val="single" w:sz="4" w:space="0" w:color="auto"/>
              <w:right w:val="single" w:sz="4" w:space="0" w:color="auto"/>
            </w:tcBorders>
            <w:shd w:val="clear" w:color="000000" w:fill="DCE6F1"/>
            <w:vAlign w:val="center"/>
            <w:hideMark/>
          </w:tcPr>
          <w:p w14:paraId="4B2A840D" w14:textId="4962F21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218</w:t>
            </w:r>
          </w:p>
        </w:tc>
        <w:tc>
          <w:tcPr>
            <w:tcW w:w="720" w:type="dxa"/>
            <w:tcBorders>
              <w:top w:val="nil"/>
              <w:left w:val="nil"/>
              <w:bottom w:val="single" w:sz="4" w:space="0" w:color="auto"/>
              <w:right w:val="single" w:sz="4" w:space="0" w:color="auto"/>
            </w:tcBorders>
            <w:shd w:val="clear" w:color="000000" w:fill="DCE6F1"/>
            <w:vAlign w:val="center"/>
            <w:hideMark/>
          </w:tcPr>
          <w:p w14:paraId="3918B9AB" w14:textId="35EFAE4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218</w:t>
            </w:r>
          </w:p>
        </w:tc>
        <w:tc>
          <w:tcPr>
            <w:tcW w:w="810" w:type="dxa"/>
            <w:tcBorders>
              <w:top w:val="nil"/>
              <w:left w:val="nil"/>
              <w:bottom w:val="single" w:sz="4" w:space="0" w:color="auto"/>
              <w:right w:val="single" w:sz="4" w:space="0" w:color="auto"/>
            </w:tcBorders>
            <w:shd w:val="clear" w:color="000000" w:fill="DCE6F1"/>
            <w:vAlign w:val="center"/>
            <w:hideMark/>
          </w:tcPr>
          <w:p w14:paraId="0497B1E3" w14:textId="6D8A93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327</w:t>
            </w:r>
          </w:p>
        </w:tc>
        <w:tc>
          <w:tcPr>
            <w:tcW w:w="646" w:type="dxa"/>
            <w:tcBorders>
              <w:top w:val="nil"/>
              <w:left w:val="nil"/>
              <w:bottom w:val="single" w:sz="4" w:space="0" w:color="auto"/>
              <w:right w:val="single" w:sz="4" w:space="0" w:color="auto"/>
            </w:tcBorders>
            <w:shd w:val="clear" w:color="000000" w:fill="DCE6F1"/>
            <w:vAlign w:val="center"/>
            <w:hideMark/>
          </w:tcPr>
          <w:p w14:paraId="4A8FFFFF" w14:textId="797805D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218</w:t>
            </w:r>
          </w:p>
        </w:tc>
        <w:tc>
          <w:tcPr>
            <w:tcW w:w="974" w:type="dxa"/>
            <w:tcBorders>
              <w:top w:val="nil"/>
              <w:left w:val="nil"/>
              <w:bottom w:val="single" w:sz="4" w:space="0" w:color="auto"/>
              <w:right w:val="nil"/>
            </w:tcBorders>
            <w:shd w:val="clear" w:color="000000" w:fill="DCE6F1"/>
            <w:vAlign w:val="center"/>
            <w:hideMark/>
          </w:tcPr>
          <w:p w14:paraId="115CABC3" w14:textId="101AD14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B360E50" w14:textId="4209169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1,200</w:t>
            </w:r>
          </w:p>
        </w:tc>
        <w:tc>
          <w:tcPr>
            <w:tcW w:w="990" w:type="dxa"/>
            <w:tcBorders>
              <w:top w:val="nil"/>
              <w:left w:val="nil"/>
              <w:bottom w:val="single" w:sz="4" w:space="0" w:color="auto"/>
              <w:right w:val="single" w:sz="4" w:space="0" w:color="auto"/>
            </w:tcBorders>
            <w:shd w:val="clear" w:color="000000" w:fill="DCE6F1"/>
            <w:vAlign w:val="center"/>
            <w:hideMark/>
          </w:tcPr>
          <w:p w14:paraId="53CFEEEC" w14:textId="5F7F9BE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6B0DC819" w14:textId="530F811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47EA5BF5"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9C2C996"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2.3 </w:t>
            </w:r>
            <w:r w:rsidRPr="00817FC2">
              <w:rPr>
                <w:rFonts w:eastAsia="Times New Roman"/>
                <w:bCs/>
                <w:color w:val="000000"/>
                <w:sz w:val="16"/>
                <w:szCs w:val="16"/>
                <w:lang w:val="en-US" w:eastAsia="en-US"/>
              </w:rPr>
              <w:t>Mbështetje profesionale, kurrikulare për nxënie gjithëpërfshirëse për nxënëësit me aftësi të kufizuara</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20BC5F41"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59EF955"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6ED01EF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MA/MPV</w:t>
            </w:r>
          </w:p>
        </w:tc>
        <w:tc>
          <w:tcPr>
            <w:tcW w:w="1203" w:type="dxa"/>
            <w:tcBorders>
              <w:top w:val="nil"/>
              <w:left w:val="nil"/>
              <w:bottom w:val="single" w:sz="4" w:space="0" w:color="auto"/>
              <w:right w:val="single" w:sz="8" w:space="0" w:color="auto"/>
            </w:tcBorders>
            <w:shd w:val="clear" w:color="000000" w:fill="DCE6F1"/>
            <w:vAlign w:val="center"/>
            <w:hideMark/>
          </w:tcPr>
          <w:p w14:paraId="4141224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AKAP /DRAP/ ZVAP/ ASCAP/ IAP/ NJVV</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ACCE651" w14:textId="6155DF6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241,431</w:t>
            </w:r>
          </w:p>
        </w:tc>
        <w:tc>
          <w:tcPr>
            <w:tcW w:w="847" w:type="dxa"/>
            <w:tcBorders>
              <w:top w:val="nil"/>
              <w:left w:val="nil"/>
              <w:bottom w:val="single" w:sz="4" w:space="0" w:color="auto"/>
              <w:right w:val="single" w:sz="4" w:space="0" w:color="auto"/>
            </w:tcBorders>
            <w:shd w:val="clear" w:color="000000" w:fill="DCE6F1"/>
            <w:vAlign w:val="center"/>
            <w:hideMark/>
          </w:tcPr>
          <w:p w14:paraId="21AC9A2D" w14:textId="6DC630E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315,636</w:t>
            </w:r>
          </w:p>
        </w:tc>
        <w:tc>
          <w:tcPr>
            <w:tcW w:w="720" w:type="dxa"/>
            <w:tcBorders>
              <w:top w:val="nil"/>
              <w:left w:val="nil"/>
              <w:bottom w:val="single" w:sz="4" w:space="0" w:color="auto"/>
              <w:right w:val="single" w:sz="4" w:space="0" w:color="auto"/>
            </w:tcBorders>
            <w:shd w:val="clear" w:color="000000" w:fill="DCE6F1"/>
            <w:vAlign w:val="center"/>
            <w:hideMark/>
          </w:tcPr>
          <w:p w14:paraId="75A387A3" w14:textId="3848C95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389,841</w:t>
            </w:r>
          </w:p>
        </w:tc>
        <w:tc>
          <w:tcPr>
            <w:tcW w:w="810" w:type="dxa"/>
            <w:tcBorders>
              <w:top w:val="nil"/>
              <w:left w:val="nil"/>
              <w:bottom w:val="single" w:sz="4" w:space="0" w:color="auto"/>
              <w:right w:val="single" w:sz="4" w:space="0" w:color="auto"/>
            </w:tcBorders>
            <w:shd w:val="clear" w:color="000000" w:fill="DCE6F1"/>
            <w:vAlign w:val="center"/>
            <w:hideMark/>
          </w:tcPr>
          <w:p w14:paraId="1D976982" w14:textId="5F4FAB6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443,051</w:t>
            </w:r>
          </w:p>
        </w:tc>
        <w:tc>
          <w:tcPr>
            <w:tcW w:w="646" w:type="dxa"/>
            <w:tcBorders>
              <w:top w:val="nil"/>
              <w:left w:val="nil"/>
              <w:bottom w:val="single" w:sz="4" w:space="0" w:color="auto"/>
              <w:right w:val="single" w:sz="4" w:space="0" w:color="auto"/>
            </w:tcBorders>
            <w:shd w:val="clear" w:color="000000" w:fill="DCE6F1"/>
            <w:vAlign w:val="center"/>
            <w:hideMark/>
          </w:tcPr>
          <w:p w14:paraId="54B76C47" w14:textId="5213A08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496,261</w:t>
            </w:r>
          </w:p>
        </w:tc>
        <w:tc>
          <w:tcPr>
            <w:tcW w:w="974" w:type="dxa"/>
            <w:tcBorders>
              <w:top w:val="nil"/>
              <w:left w:val="nil"/>
              <w:bottom w:val="single" w:sz="4" w:space="0" w:color="auto"/>
              <w:right w:val="nil"/>
            </w:tcBorders>
            <w:shd w:val="clear" w:color="000000" w:fill="DCE6F1"/>
            <w:vAlign w:val="center"/>
            <w:hideMark/>
          </w:tcPr>
          <w:p w14:paraId="1BC1C7A5" w14:textId="43F7B35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1,886,220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414D556" w14:textId="77F0161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1,400,190</w:t>
            </w:r>
          </w:p>
        </w:tc>
        <w:tc>
          <w:tcPr>
            <w:tcW w:w="990" w:type="dxa"/>
            <w:tcBorders>
              <w:top w:val="nil"/>
              <w:left w:val="nil"/>
              <w:bottom w:val="single" w:sz="4" w:space="0" w:color="auto"/>
              <w:right w:val="single" w:sz="4" w:space="0" w:color="auto"/>
            </w:tcBorders>
            <w:shd w:val="clear" w:color="000000" w:fill="DCE6F1"/>
            <w:vAlign w:val="center"/>
            <w:hideMark/>
          </w:tcPr>
          <w:p w14:paraId="5E49409F" w14:textId="3FF925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13,600</w:t>
            </w:r>
          </w:p>
        </w:tc>
        <w:tc>
          <w:tcPr>
            <w:tcW w:w="953" w:type="dxa"/>
            <w:tcBorders>
              <w:top w:val="nil"/>
              <w:left w:val="nil"/>
              <w:bottom w:val="single" w:sz="4" w:space="0" w:color="auto"/>
              <w:right w:val="single" w:sz="8" w:space="0" w:color="auto"/>
            </w:tcBorders>
            <w:shd w:val="clear" w:color="000000" w:fill="DCE6F1"/>
            <w:vAlign w:val="center"/>
            <w:hideMark/>
          </w:tcPr>
          <w:p w14:paraId="3B4101AF" w14:textId="27DCBC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472,430</w:t>
            </w:r>
          </w:p>
        </w:tc>
      </w:tr>
      <w:tr w:rsidR="004D73D3" w:rsidRPr="004D73D3" w14:paraId="66825D58"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4D6A77D"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Masë prioritare 2.4 </w:t>
            </w:r>
            <w:r w:rsidRPr="00817FC2">
              <w:rPr>
                <w:rFonts w:eastAsia="Times New Roman"/>
                <w:bCs/>
                <w:color w:val="000000"/>
                <w:sz w:val="16"/>
                <w:szCs w:val="16"/>
                <w:lang w:val="en-US" w:eastAsia="en-US"/>
              </w:rPr>
              <w:t>Zhvillimi i kapaciteteve njerëzore dhe përfshirja e prindërve dhe komunitetit.</w:t>
            </w:r>
          </w:p>
        </w:tc>
        <w:tc>
          <w:tcPr>
            <w:tcW w:w="1160" w:type="dxa"/>
            <w:tcBorders>
              <w:top w:val="nil"/>
              <w:left w:val="nil"/>
              <w:bottom w:val="single" w:sz="4" w:space="0" w:color="auto"/>
              <w:right w:val="single" w:sz="4" w:space="0" w:color="auto"/>
            </w:tcBorders>
            <w:shd w:val="clear" w:color="000000" w:fill="DCE6F1"/>
            <w:vAlign w:val="center"/>
            <w:hideMark/>
          </w:tcPr>
          <w:p w14:paraId="39E425F3"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0090B652" w14:textId="77777777" w:rsidR="004D73D3" w:rsidRPr="004D73D3" w:rsidRDefault="004D73D3" w:rsidP="004B31D6">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4AAF0F8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DCE6F1"/>
            <w:vAlign w:val="center"/>
            <w:hideMark/>
          </w:tcPr>
          <w:p w14:paraId="38F285A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DRAP/ZVAP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AFF43E5" w14:textId="016339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3DDC804F" w14:textId="1DD7C22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720" w:type="dxa"/>
            <w:tcBorders>
              <w:top w:val="nil"/>
              <w:left w:val="nil"/>
              <w:bottom w:val="single" w:sz="4" w:space="0" w:color="auto"/>
              <w:right w:val="single" w:sz="4" w:space="0" w:color="auto"/>
            </w:tcBorders>
            <w:shd w:val="clear" w:color="000000" w:fill="DCE6F1"/>
            <w:vAlign w:val="center"/>
            <w:hideMark/>
          </w:tcPr>
          <w:p w14:paraId="4F33218D" w14:textId="37D228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779B09AB" w14:textId="17FA9AE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11CED119" w14:textId="2A91342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463855D1" w14:textId="1EE9879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A41136E" w14:textId="272915E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2D93615E" w14:textId="58C30FE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0A0B171D" w14:textId="12E35E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4A84FA57" w14:textId="77777777" w:rsidTr="004B31D6">
        <w:trPr>
          <w:trHeight w:val="197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3243E072"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lastRenderedPageBreak/>
              <w:t>Objektivi Specifik 3.  Transformimi/riorganizimii shkollave specialenë qëndra burimoredhe konsolidimi I rolit dhe veprimtarisë së tyre</w:t>
            </w:r>
          </w:p>
        </w:tc>
        <w:tc>
          <w:tcPr>
            <w:tcW w:w="1160" w:type="dxa"/>
            <w:tcBorders>
              <w:top w:val="nil"/>
              <w:left w:val="nil"/>
              <w:bottom w:val="single" w:sz="4" w:space="0" w:color="auto"/>
              <w:right w:val="single" w:sz="4" w:space="0" w:color="auto"/>
            </w:tcBorders>
            <w:shd w:val="clear" w:color="000000" w:fill="FDE9D9"/>
            <w:vAlign w:val="center"/>
            <w:hideMark/>
          </w:tcPr>
          <w:p w14:paraId="71064955" w14:textId="77777777" w:rsidR="004D73D3" w:rsidRPr="00807F1C" w:rsidRDefault="004D73D3" w:rsidP="004B31D6">
            <w:pPr>
              <w:jc w:val="center"/>
              <w:rPr>
                <w:rFonts w:eastAsia="Times New Roman"/>
                <w:b/>
                <w:bCs/>
                <w:sz w:val="16"/>
                <w:szCs w:val="16"/>
                <w:lang w:val="en-US" w:eastAsia="en-US"/>
              </w:rPr>
            </w:pPr>
            <w:r w:rsidRPr="00807F1C">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19382C81" w14:textId="77777777" w:rsidR="004D73D3" w:rsidRPr="00807F1C" w:rsidRDefault="004D73D3" w:rsidP="004B31D6">
            <w:pPr>
              <w:jc w:val="center"/>
              <w:rPr>
                <w:rFonts w:eastAsia="Times New Roman"/>
                <w:b/>
                <w:bCs/>
                <w:sz w:val="16"/>
                <w:szCs w:val="16"/>
                <w:lang w:val="en-US" w:eastAsia="en-US"/>
              </w:rPr>
            </w:pPr>
            <w:r w:rsidRPr="00807F1C">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1B1016A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MA/ASCAP</w:t>
            </w:r>
          </w:p>
        </w:tc>
        <w:tc>
          <w:tcPr>
            <w:tcW w:w="1203" w:type="dxa"/>
            <w:tcBorders>
              <w:top w:val="nil"/>
              <w:left w:val="nil"/>
              <w:bottom w:val="single" w:sz="4" w:space="0" w:color="auto"/>
              <w:right w:val="single" w:sz="8" w:space="0" w:color="auto"/>
            </w:tcBorders>
            <w:shd w:val="clear" w:color="000000" w:fill="FDE9D9"/>
            <w:vAlign w:val="center"/>
            <w:hideMark/>
          </w:tcPr>
          <w:p w14:paraId="5340AFB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MA/QB për njerëzit që nuk dëgjojnë/MSHMS/INND/INNSH/PEI/IAL/ZVA/DRAP/NJVV/ASCAP/KMVA</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73A21D80" w14:textId="7FF10C5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27,577</w:t>
            </w:r>
          </w:p>
        </w:tc>
        <w:tc>
          <w:tcPr>
            <w:tcW w:w="847" w:type="dxa"/>
            <w:tcBorders>
              <w:top w:val="nil"/>
              <w:left w:val="nil"/>
              <w:bottom w:val="single" w:sz="4" w:space="0" w:color="auto"/>
              <w:right w:val="single" w:sz="4" w:space="0" w:color="auto"/>
            </w:tcBorders>
            <w:shd w:val="clear" w:color="000000" w:fill="FDE9D9"/>
            <w:vAlign w:val="center"/>
            <w:hideMark/>
          </w:tcPr>
          <w:p w14:paraId="2D52BAC7" w14:textId="2ED64A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28,439</w:t>
            </w:r>
          </w:p>
        </w:tc>
        <w:tc>
          <w:tcPr>
            <w:tcW w:w="720" w:type="dxa"/>
            <w:tcBorders>
              <w:top w:val="nil"/>
              <w:left w:val="nil"/>
              <w:bottom w:val="single" w:sz="4" w:space="0" w:color="auto"/>
              <w:right w:val="single" w:sz="4" w:space="0" w:color="auto"/>
            </w:tcBorders>
            <w:shd w:val="clear" w:color="000000" w:fill="FDE9D9"/>
            <w:vAlign w:val="center"/>
            <w:hideMark/>
          </w:tcPr>
          <w:p w14:paraId="59D420C2" w14:textId="144C76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27,827</w:t>
            </w:r>
          </w:p>
        </w:tc>
        <w:tc>
          <w:tcPr>
            <w:tcW w:w="810" w:type="dxa"/>
            <w:tcBorders>
              <w:top w:val="nil"/>
              <w:left w:val="nil"/>
              <w:bottom w:val="single" w:sz="4" w:space="0" w:color="auto"/>
              <w:right w:val="single" w:sz="4" w:space="0" w:color="auto"/>
            </w:tcBorders>
            <w:shd w:val="clear" w:color="000000" w:fill="FDE9D9"/>
            <w:vAlign w:val="center"/>
            <w:hideMark/>
          </w:tcPr>
          <w:p w14:paraId="39F9A2B8" w14:textId="2F8130F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21,577</w:t>
            </w:r>
          </w:p>
        </w:tc>
        <w:tc>
          <w:tcPr>
            <w:tcW w:w="646" w:type="dxa"/>
            <w:tcBorders>
              <w:top w:val="nil"/>
              <w:left w:val="nil"/>
              <w:bottom w:val="single" w:sz="4" w:space="0" w:color="auto"/>
              <w:right w:val="single" w:sz="4" w:space="0" w:color="auto"/>
            </w:tcBorders>
            <w:shd w:val="clear" w:color="000000" w:fill="FDE9D9"/>
            <w:vAlign w:val="center"/>
            <w:hideMark/>
          </w:tcPr>
          <w:p w14:paraId="38E44A6E" w14:textId="3A5A9C7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21,577</w:t>
            </w:r>
          </w:p>
        </w:tc>
        <w:tc>
          <w:tcPr>
            <w:tcW w:w="974" w:type="dxa"/>
            <w:tcBorders>
              <w:top w:val="nil"/>
              <w:left w:val="nil"/>
              <w:bottom w:val="single" w:sz="4" w:space="0" w:color="auto"/>
              <w:right w:val="nil"/>
            </w:tcBorders>
            <w:shd w:val="clear" w:color="000000" w:fill="FDE9D9"/>
            <w:vAlign w:val="center"/>
            <w:hideMark/>
          </w:tcPr>
          <w:p w14:paraId="290832C8" w14:textId="71EE88F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126,998</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3A90EDCF" w14:textId="168080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107,248</w:t>
            </w:r>
          </w:p>
        </w:tc>
        <w:tc>
          <w:tcPr>
            <w:tcW w:w="990" w:type="dxa"/>
            <w:tcBorders>
              <w:top w:val="nil"/>
              <w:left w:val="nil"/>
              <w:bottom w:val="single" w:sz="4" w:space="0" w:color="auto"/>
              <w:right w:val="single" w:sz="4" w:space="0" w:color="auto"/>
            </w:tcBorders>
            <w:shd w:val="clear" w:color="000000" w:fill="FDE9D9"/>
            <w:vAlign w:val="center"/>
            <w:hideMark/>
          </w:tcPr>
          <w:p w14:paraId="64FFFF28" w14:textId="0F8AD99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953" w:type="dxa"/>
            <w:tcBorders>
              <w:top w:val="nil"/>
              <w:left w:val="nil"/>
              <w:bottom w:val="single" w:sz="4" w:space="0" w:color="auto"/>
              <w:right w:val="single" w:sz="8" w:space="0" w:color="auto"/>
            </w:tcBorders>
            <w:shd w:val="clear" w:color="000000" w:fill="FDE9D9"/>
            <w:vAlign w:val="center"/>
            <w:hideMark/>
          </w:tcPr>
          <w:p w14:paraId="4BEC7D05" w14:textId="3A232D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18,250</w:t>
            </w:r>
          </w:p>
        </w:tc>
      </w:tr>
      <w:tr w:rsidR="004D73D3" w:rsidRPr="004D73D3" w14:paraId="2B2D4A3F"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A84A70E" w14:textId="77777777" w:rsidR="004D73D3" w:rsidRPr="00807F1C" w:rsidRDefault="004D73D3" w:rsidP="00817FC2">
            <w:pPr>
              <w:jc w:val="both"/>
              <w:rPr>
                <w:rFonts w:eastAsia="Times New Roman"/>
                <w:bCs/>
                <w:sz w:val="16"/>
                <w:szCs w:val="16"/>
                <w:lang w:val="en-US" w:eastAsia="en-US"/>
              </w:rPr>
            </w:pPr>
            <w:r w:rsidRPr="00807F1C">
              <w:rPr>
                <w:rFonts w:eastAsia="Times New Roman"/>
                <w:b/>
                <w:bCs/>
                <w:sz w:val="16"/>
                <w:szCs w:val="16"/>
                <w:lang w:val="en-US" w:eastAsia="en-US"/>
              </w:rPr>
              <w:t>Masa Prioritare 3.1:</w:t>
            </w:r>
            <w:r w:rsidRPr="00807F1C">
              <w:rPr>
                <w:rFonts w:eastAsia="Times New Roman"/>
                <w:bCs/>
                <w:sz w:val="16"/>
                <w:szCs w:val="16"/>
                <w:lang w:val="en-US" w:eastAsia="en-US"/>
              </w:rPr>
              <w:t xml:space="preserve">  Konsolidimi i kuadrit rregullator për qendrat burimore.</w:t>
            </w:r>
          </w:p>
        </w:tc>
        <w:tc>
          <w:tcPr>
            <w:tcW w:w="1160" w:type="dxa"/>
            <w:tcBorders>
              <w:top w:val="nil"/>
              <w:left w:val="nil"/>
              <w:bottom w:val="single" w:sz="4" w:space="0" w:color="auto"/>
              <w:right w:val="single" w:sz="4" w:space="0" w:color="auto"/>
            </w:tcBorders>
            <w:shd w:val="clear" w:color="000000" w:fill="DCE6F1"/>
            <w:vAlign w:val="center"/>
            <w:hideMark/>
          </w:tcPr>
          <w:p w14:paraId="7E09C0EA"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573AC260"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043FAFF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DCE6F1"/>
            <w:vAlign w:val="center"/>
            <w:hideMark/>
          </w:tcPr>
          <w:p w14:paraId="1A4EA7C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MA/QB për njerëzit që nuk dëgjojnë/MSHMS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687E366" w14:textId="0A52280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362B92ED" w14:textId="186F819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462</w:t>
            </w:r>
          </w:p>
        </w:tc>
        <w:tc>
          <w:tcPr>
            <w:tcW w:w="720" w:type="dxa"/>
            <w:tcBorders>
              <w:top w:val="nil"/>
              <w:left w:val="nil"/>
              <w:bottom w:val="single" w:sz="4" w:space="0" w:color="auto"/>
              <w:right w:val="single" w:sz="4" w:space="0" w:color="auto"/>
            </w:tcBorders>
            <w:shd w:val="clear" w:color="000000" w:fill="DCE6F1"/>
            <w:vAlign w:val="center"/>
            <w:hideMark/>
          </w:tcPr>
          <w:p w14:paraId="40B063E4" w14:textId="2786E34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49F4FAD8" w14:textId="0197353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56480237" w14:textId="01B16F9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2389D857" w14:textId="6B1BC0A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462</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A3D4BB5" w14:textId="625F139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462</w:t>
            </w:r>
          </w:p>
        </w:tc>
        <w:tc>
          <w:tcPr>
            <w:tcW w:w="990" w:type="dxa"/>
            <w:tcBorders>
              <w:top w:val="nil"/>
              <w:left w:val="nil"/>
              <w:bottom w:val="single" w:sz="4" w:space="0" w:color="auto"/>
              <w:right w:val="single" w:sz="4" w:space="0" w:color="auto"/>
            </w:tcBorders>
            <w:shd w:val="clear" w:color="000000" w:fill="DCE6F1"/>
            <w:vAlign w:val="center"/>
            <w:hideMark/>
          </w:tcPr>
          <w:p w14:paraId="1C8E513F" w14:textId="597FB10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1ACFA658" w14:textId="3530864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61577B50"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3862948" w14:textId="2E4D7B21" w:rsidR="004D73D3" w:rsidRPr="00807F1C" w:rsidRDefault="004D73D3" w:rsidP="00817FC2">
            <w:pPr>
              <w:jc w:val="both"/>
              <w:rPr>
                <w:rFonts w:eastAsia="Times New Roman"/>
                <w:bCs/>
                <w:sz w:val="16"/>
                <w:szCs w:val="16"/>
                <w:lang w:val="en-US" w:eastAsia="en-US"/>
              </w:rPr>
            </w:pPr>
            <w:r w:rsidRPr="00807F1C">
              <w:rPr>
                <w:rFonts w:eastAsia="Times New Roman"/>
                <w:bCs/>
                <w:sz w:val="16"/>
                <w:szCs w:val="16"/>
                <w:lang w:val="en-US" w:eastAsia="en-US"/>
              </w:rPr>
              <w:t>Masa Prioritare 3.2 Akreditimi dhe integrimi i moduleve të trajnimit të hartuara nga Q</w:t>
            </w:r>
            <w:r w:rsidR="00807F1C" w:rsidRPr="00807F1C">
              <w:rPr>
                <w:rFonts w:eastAsia="Times New Roman"/>
                <w:bCs/>
                <w:sz w:val="16"/>
                <w:szCs w:val="16"/>
                <w:lang w:val="en-US" w:eastAsia="en-US"/>
              </w:rPr>
              <w:t>e</w:t>
            </w:r>
            <w:r w:rsidRPr="00807F1C">
              <w:rPr>
                <w:rFonts w:eastAsia="Times New Roman"/>
                <w:bCs/>
                <w:sz w:val="16"/>
                <w:szCs w:val="16"/>
                <w:lang w:val="en-US" w:eastAsia="en-US"/>
              </w:rPr>
              <w:t>ndrat Burimore në programet kombëtare të zhvillimit.</w:t>
            </w:r>
          </w:p>
        </w:tc>
        <w:tc>
          <w:tcPr>
            <w:tcW w:w="1160" w:type="dxa"/>
            <w:tcBorders>
              <w:top w:val="nil"/>
              <w:left w:val="nil"/>
              <w:bottom w:val="single" w:sz="4" w:space="0" w:color="auto"/>
              <w:right w:val="single" w:sz="4" w:space="0" w:color="auto"/>
            </w:tcBorders>
            <w:shd w:val="clear" w:color="000000" w:fill="DCE6F1"/>
            <w:noWrap/>
            <w:vAlign w:val="center"/>
            <w:hideMark/>
          </w:tcPr>
          <w:p w14:paraId="4CEA7331"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noWrap/>
            <w:vAlign w:val="center"/>
            <w:hideMark/>
          </w:tcPr>
          <w:p w14:paraId="5951F5F1"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85501E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ASCAP, MA</w:t>
            </w:r>
          </w:p>
        </w:tc>
        <w:tc>
          <w:tcPr>
            <w:tcW w:w="1203" w:type="dxa"/>
            <w:tcBorders>
              <w:top w:val="nil"/>
              <w:left w:val="nil"/>
              <w:bottom w:val="single" w:sz="4" w:space="0" w:color="auto"/>
              <w:right w:val="single" w:sz="8" w:space="0" w:color="auto"/>
            </w:tcBorders>
            <w:shd w:val="clear" w:color="000000" w:fill="DCE6F1"/>
            <w:vAlign w:val="center"/>
            <w:hideMark/>
          </w:tcPr>
          <w:p w14:paraId="3036F59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INND/INNSH/IAP/IAL</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777EF81" w14:textId="59EFE56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5F2BFF4E" w14:textId="3BF543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w:t>
            </w:r>
          </w:p>
        </w:tc>
        <w:tc>
          <w:tcPr>
            <w:tcW w:w="720" w:type="dxa"/>
            <w:tcBorders>
              <w:top w:val="nil"/>
              <w:left w:val="nil"/>
              <w:bottom w:val="single" w:sz="4" w:space="0" w:color="auto"/>
              <w:right w:val="single" w:sz="4" w:space="0" w:color="auto"/>
            </w:tcBorders>
            <w:shd w:val="clear" w:color="000000" w:fill="DCE6F1"/>
            <w:vAlign w:val="center"/>
            <w:hideMark/>
          </w:tcPr>
          <w:p w14:paraId="35EE2C34" w14:textId="654A94F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0D228AB4" w14:textId="70AD73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012FDDA2" w14:textId="62CAD69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245632D8" w14:textId="338F97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9E95BA5" w14:textId="4FB723C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w:t>
            </w:r>
          </w:p>
        </w:tc>
        <w:tc>
          <w:tcPr>
            <w:tcW w:w="990" w:type="dxa"/>
            <w:tcBorders>
              <w:top w:val="nil"/>
              <w:left w:val="nil"/>
              <w:bottom w:val="single" w:sz="4" w:space="0" w:color="auto"/>
              <w:right w:val="single" w:sz="4" w:space="0" w:color="auto"/>
            </w:tcBorders>
            <w:shd w:val="clear" w:color="000000" w:fill="DCE6F1"/>
            <w:vAlign w:val="center"/>
            <w:hideMark/>
          </w:tcPr>
          <w:p w14:paraId="286D7962" w14:textId="36EA0A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0AD67BC9" w14:textId="5F58DC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09032229"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7422917A" w14:textId="77777777" w:rsidR="004D73D3" w:rsidRPr="00807F1C" w:rsidRDefault="004D73D3" w:rsidP="00817FC2">
            <w:pPr>
              <w:jc w:val="both"/>
              <w:rPr>
                <w:rFonts w:eastAsia="Times New Roman"/>
                <w:bCs/>
                <w:sz w:val="16"/>
                <w:szCs w:val="16"/>
                <w:lang w:val="en-US" w:eastAsia="en-US"/>
              </w:rPr>
            </w:pPr>
            <w:r w:rsidRPr="00807F1C">
              <w:rPr>
                <w:rFonts w:eastAsia="Times New Roman"/>
                <w:b/>
                <w:bCs/>
                <w:sz w:val="16"/>
                <w:szCs w:val="16"/>
                <w:lang w:val="en-US" w:eastAsia="en-US"/>
              </w:rPr>
              <w:t>Masa Prioritare 3.3.</w:t>
            </w:r>
            <w:r w:rsidRPr="00807F1C">
              <w:rPr>
                <w:rFonts w:eastAsia="Times New Roman"/>
                <w:bCs/>
                <w:sz w:val="16"/>
                <w:szCs w:val="16"/>
                <w:lang w:val="en-US" w:eastAsia="en-US"/>
              </w:rPr>
              <w:t xml:space="preserve"> Zgjerimi territorial dhe funksional i shërbimeve të qendrave burimore</w:t>
            </w:r>
          </w:p>
        </w:tc>
        <w:tc>
          <w:tcPr>
            <w:tcW w:w="1160" w:type="dxa"/>
            <w:tcBorders>
              <w:top w:val="nil"/>
              <w:left w:val="nil"/>
              <w:bottom w:val="single" w:sz="4" w:space="0" w:color="auto"/>
              <w:right w:val="single" w:sz="4" w:space="0" w:color="auto"/>
            </w:tcBorders>
            <w:shd w:val="clear" w:color="000000" w:fill="DCE6F1"/>
            <w:vAlign w:val="center"/>
            <w:hideMark/>
          </w:tcPr>
          <w:p w14:paraId="6D33DCA5"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9A4925C"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98FCD5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DCE6F1"/>
            <w:vAlign w:val="center"/>
            <w:hideMark/>
          </w:tcPr>
          <w:p w14:paraId="5CC4FDB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ZVAP/ DRAP /NJVV/ ASCAP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C46F68F" w14:textId="1A8B9F5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27,500</w:t>
            </w:r>
          </w:p>
        </w:tc>
        <w:tc>
          <w:tcPr>
            <w:tcW w:w="847" w:type="dxa"/>
            <w:tcBorders>
              <w:top w:val="nil"/>
              <w:left w:val="nil"/>
              <w:bottom w:val="single" w:sz="4" w:space="0" w:color="auto"/>
              <w:right w:val="single" w:sz="4" w:space="0" w:color="auto"/>
            </w:tcBorders>
            <w:shd w:val="clear" w:color="000000" w:fill="DCE6F1"/>
            <w:vAlign w:val="center"/>
            <w:hideMark/>
          </w:tcPr>
          <w:p w14:paraId="196D7696" w14:textId="2DCE5DA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27,500</w:t>
            </w:r>
          </w:p>
        </w:tc>
        <w:tc>
          <w:tcPr>
            <w:tcW w:w="720" w:type="dxa"/>
            <w:tcBorders>
              <w:top w:val="nil"/>
              <w:left w:val="nil"/>
              <w:bottom w:val="single" w:sz="4" w:space="0" w:color="auto"/>
              <w:right w:val="single" w:sz="4" w:space="0" w:color="auto"/>
            </w:tcBorders>
            <w:shd w:val="clear" w:color="000000" w:fill="DCE6F1"/>
            <w:vAlign w:val="center"/>
            <w:hideMark/>
          </w:tcPr>
          <w:p w14:paraId="176B1988" w14:textId="7313ED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27,500</w:t>
            </w:r>
          </w:p>
        </w:tc>
        <w:tc>
          <w:tcPr>
            <w:tcW w:w="810" w:type="dxa"/>
            <w:tcBorders>
              <w:top w:val="nil"/>
              <w:left w:val="nil"/>
              <w:bottom w:val="single" w:sz="4" w:space="0" w:color="auto"/>
              <w:right w:val="single" w:sz="4" w:space="0" w:color="auto"/>
            </w:tcBorders>
            <w:shd w:val="clear" w:color="000000" w:fill="DCE6F1"/>
            <w:vAlign w:val="center"/>
            <w:hideMark/>
          </w:tcPr>
          <w:p w14:paraId="02BF435D" w14:textId="2F8260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21,500</w:t>
            </w:r>
          </w:p>
        </w:tc>
        <w:tc>
          <w:tcPr>
            <w:tcW w:w="646" w:type="dxa"/>
            <w:tcBorders>
              <w:top w:val="nil"/>
              <w:left w:val="nil"/>
              <w:bottom w:val="single" w:sz="4" w:space="0" w:color="auto"/>
              <w:right w:val="single" w:sz="4" w:space="0" w:color="auto"/>
            </w:tcBorders>
            <w:shd w:val="clear" w:color="000000" w:fill="DCE6F1"/>
            <w:vAlign w:val="center"/>
            <w:hideMark/>
          </w:tcPr>
          <w:p w14:paraId="7E87E8CD" w14:textId="0327752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21,500</w:t>
            </w:r>
          </w:p>
        </w:tc>
        <w:tc>
          <w:tcPr>
            <w:tcW w:w="974" w:type="dxa"/>
            <w:tcBorders>
              <w:top w:val="nil"/>
              <w:left w:val="nil"/>
              <w:bottom w:val="single" w:sz="4" w:space="0" w:color="auto"/>
              <w:right w:val="nil"/>
            </w:tcBorders>
            <w:shd w:val="clear" w:color="000000" w:fill="DCE6F1"/>
            <w:vAlign w:val="center"/>
            <w:hideMark/>
          </w:tcPr>
          <w:p w14:paraId="3EFAEC26" w14:textId="2E46859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125,500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B4238F5" w14:textId="7A12DFA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106,000</w:t>
            </w:r>
          </w:p>
        </w:tc>
        <w:tc>
          <w:tcPr>
            <w:tcW w:w="990" w:type="dxa"/>
            <w:tcBorders>
              <w:top w:val="nil"/>
              <w:left w:val="nil"/>
              <w:bottom w:val="single" w:sz="4" w:space="0" w:color="auto"/>
              <w:right w:val="single" w:sz="4" w:space="0" w:color="auto"/>
            </w:tcBorders>
            <w:shd w:val="clear" w:color="000000" w:fill="DCE6F1"/>
            <w:vAlign w:val="center"/>
            <w:hideMark/>
          </w:tcPr>
          <w:p w14:paraId="768FEFF5" w14:textId="2B946A6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953" w:type="dxa"/>
            <w:tcBorders>
              <w:top w:val="nil"/>
              <w:left w:val="nil"/>
              <w:bottom w:val="single" w:sz="4" w:space="0" w:color="auto"/>
              <w:right w:val="single" w:sz="8" w:space="0" w:color="auto"/>
            </w:tcBorders>
            <w:shd w:val="clear" w:color="000000" w:fill="DCE6F1"/>
            <w:vAlign w:val="center"/>
            <w:hideMark/>
          </w:tcPr>
          <w:p w14:paraId="0AF58BDC" w14:textId="32A75D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18,000</w:t>
            </w:r>
          </w:p>
        </w:tc>
      </w:tr>
      <w:tr w:rsidR="004D73D3" w:rsidRPr="004D73D3" w14:paraId="44AAAC4E"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8422AF4" w14:textId="77777777" w:rsidR="004D73D3" w:rsidRPr="00807F1C" w:rsidRDefault="004D73D3" w:rsidP="00817FC2">
            <w:pPr>
              <w:jc w:val="both"/>
              <w:rPr>
                <w:rFonts w:eastAsia="Times New Roman"/>
                <w:bCs/>
                <w:sz w:val="16"/>
                <w:szCs w:val="16"/>
                <w:lang w:val="en-US" w:eastAsia="en-US"/>
              </w:rPr>
            </w:pPr>
            <w:r w:rsidRPr="00807F1C">
              <w:rPr>
                <w:rFonts w:eastAsia="Times New Roman"/>
                <w:b/>
                <w:bCs/>
                <w:sz w:val="16"/>
                <w:szCs w:val="16"/>
                <w:lang w:val="en-US" w:eastAsia="en-US"/>
              </w:rPr>
              <w:t xml:space="preserve">Masa Prioritare 3.4. </w:t>
            </w:r>
            <w:r w:rsidRPr="00807F1C">
              <w:rPr>
                <w:rFonts w:eastAsia="Times New Roman"/>
                <w:bCs/>
                <w:sz w:val="16"/>
                <w:szCs w:val="16"/>
                <w:lang w:val="en-US" w:eastAsia="en-US"/>
              </w:rPr>
              <w:t>Monitorimi, vlerësimi dhe sigurimi i cilësisë së funksionimit të qendrave burimore</w:t>
            </w:r>
          </w:p>
        </w:tc>
        <w:tc>
          <w:tcPr>
            <w:tcW w:w="1160" w:type="dxa"/>
            <w:tcBorders>
              <w:top w:val="nil"/>
              <w:left w:val="nil"/>
              <w:bottom w:val="single" w:sz="4" w:space="0" w:color="auto"/>
              <w:right w:val="single" w:sz="4" w:space="0" w:color="auto"/>
            </w:tcBorders>
            <w:shd w:val="clear" w:color="000000" w:fill="DCE6F1"/>
            <w:vAlign w:val="center"/>
            <w:hideMark/>
          </w:tcPr>
          <w:p w14:paraId="7D76A4FC"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2028</w:t>
            </w:r>
          </w:p>
        </w:tc>
        <w:tc>
          <w:tcPr>
            <w:tcW w:w="1292" w:type="dxa"/>
            <w:tcBorders>
              <w:top w:val="nil"/>
              <w:left w:val="nil"/>
              <w:bottom w:val="single" w:sz="4" w:space="0" w:color="auto"/>
              <w:right w:val="single" w:sz="4" w:space="0" w:color="auto"/>
            </w:tcBorders>
            <w:shd w:val="clear" w:color="000000" w:fill="DCE6F1"/>
            <w:vAlign w:val="center"/>
            <w:hideMark/>
          </w:tcPr>
          <w:p w14:paraId="4BA4494A" w14:textId="77777777" w:rsidR="004D73D3" w:rsidRPr="00807F1C" w:rsidRDefault="004D73D3" w:rsidP="004B31D6">
            <w:pPr>
              <w:jc w:val="center"/>
              <w:rPr>
                <w:rFonts w:eastAsia="Times New Roman"/>
                <w:sz w:val="16"/>
                <w:szCs w:val="16"/>
                <w:lang w:val="en-US" w:eastAsia="en-US"/>
              </w:rPr>
            </w:pPr>
            <w:r w:rsidRPr="00807F1C">
              <w:rPr>
                <w:rFonts w:eastAsia="Times New Roman"/>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789C6B6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DCE6F1"/>
            <w:vAlign w:val="center"/>
            <w:hideMark/>
          </w:tcPr>
          <w:p w14:paraId="23D05DB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ZVAP, DRAP, AKAP, ASCAP</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BA87B38" w14:textId="157E085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77</w:t>
            </w:r>
          </w:p>
        </w:tc>
        <w:tc>
          <w:tcPr>
            <w:tcW w:w="847" w:type="dxa"/>
            <w:tcBorders>
              <w:top w:val="nil"/>
              <w:left w:val="nil"/>
              <w:bottom w:val="single" w:sz="4" w:space="0" w:color="auto"/>
              <w:right w:val="single" w:sz="4" w:space="0" w:color="auto"/>
            </w:tcBorders>
            <w:shd w:val="clear" w:color="000000" w:fill="DCE6F1"/>
            <w:vAlign w:val="center"/>
            <w:hideMark/>
          </w:tcPr>
          <w:p w14:paraId="598BD43B" w14:textId="0F9D50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77</w:t>
            </w:r>
          </w:p>
        </w:tc>
        <w:tc>
          <w:tcPr>
            <w:tcW w:w="720" w:type="dxa"/>
            <w:tcBorders>
              <w:top w:val="nil"/>
              <w:left w:val="nil"/>
              <w:bottom w:val="single" w:sz="4" w:space="0" w:color="auto"/>
              <w:right w:val="single" w:sz="4" w:space="0" w:color="auto"/>
            </w:tcBorders>
            <w:shd w:val="clear" w:color="000000" w:fill="DCE6F1"/>
            <w:vAlign w:val="center"/>
            <w:hideMark/>
          </w:tcPr>
          <w:p w14:paraId="6459C0CF" w14:textId="0E2C6CA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327</w:t>
            </w:r>
          </w:p>
        </w:tc>
        <w:tc>
          <w:tcPr>
            <w:tcW w:w="810" w:type="dxa"/>
            <w:tcBorders>
              <w:top w:val="nil"/>
              <w:left w:val="nil"/>
              <w:bottom w:val="single" w:sz="4" w:space="0" w:color="auto"/>
              <w:right w:val="single" w:sz="4" w:space="0" w:color="auto"/>
            </w:tcBorders>
            <w:shd w:val="clear" w:color="000000" w:fill="DCE6F1"/>
            <w:vAlign w:val="center"/>
            <w:hideMark/>
          </w:tcPr>
          <w:p w14:paraId="6246BC2F" w14:textId="395DB5B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77</w:t>
            </w:r>
          </w:p>
        </w:tc>
        <w:tc>
          <w:tcPr>
            <w:tcW w:w="646" w:type="dxa"/>
            <w:tcBorders>
              <w:top w:val="nil"/>
              <w:left w:val="nil"/>
              <w:bottom w:val="single" w:sz="4" w:space="0" w:color="auto"/>
              <w:right w:val="single" w:sz="4" w:space="0" w:color="auto"/>
            </w:tcBorders>
            <w:shd w:val="clear" w:color="000000" w:fill="DCE6F1"/>
            <w:vAlign w:val="center"/>
            <w:hideMark/>
          </w:tcPr>
          <w:p w14:paraId="4EAE41FF" w14:textId="1CB059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77</w:t>
            </w:r>
          </w:p>
        </w:tc>
        <w:tc>
          <w:tcPr>
            <w:tcW w:w="974" w:type="dxa"/>
            <w:tcBorders>
              <w:top w:val="nil"/>
              <w:left w:val="nil"/>
              <w:bottom w:val="single" w:sz="4" w:space="0" w:color="auto"/>
              <w:right w:val="nil"/>
            </w:tcBorders>
            <w:shd w:val="clear" w:color="000000" w:fill="DCE6F1"/>
            <w:vAlign w:val="center"/>
            <w:hideMark/>
          </w:tcPr>
          <w:p w14:paraId="0E26B532" w14:textId="3CB94F3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636</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E0205AB" w14:textId="25B805D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386</w:t>
            </w:r>
          </w:p>
        </w:tc>
        <w:tc>
          <w:tcPr>
            <w:tcW w:w="990" w:type="dxa"/>
            <w:tcBorders>
              <w:top w:val="nil"/>
              <w:left w:val="nil"/>
              <w:bottom w:val="single" w:sz="4" w:space="0" w:color="auto"/>
              <w:right w:val="single" w:sz="4" w:space="0" w:color="auto"/>
            </w:tcBorders>
            <w:shd w:val="clear" w:color="000000" w:fill="DCE6F1"/>
            <w:vAlign w:val="center"/>
            <w:hideMark/>
          </w:tcPr>
          <w:p w14:paraId="2EA06E67" w14:textId="6159D78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5BB833DE" w14:textId="113B000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w:t>
            </w:r>
          </w:p>
        </w:tc>
      </w:tr>
      <w:tr w:rsidR="004D73D3" w:rsidRPr="004D73D3" w14:paraId="19044852"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62A11250" w14:textId="77777777" w:rsidR="004D73D3" w:rsidRPr="00807F1C" w:rsidRDefault="004D73D3" w:rsidP="00817FC2">
            <w:pPr>
              <w:jc w:val="both"/>
              <w:rPr>
                <w:rFonts w:eastAsia="Times New Roman"/>
                <w:b/>
                <w:bCs/>
                <w:sz w:val="16"/>
                <w:szCs w:val="16"/>
                <w:lang w:val="en-US" w:eastAsia="en-US"/>
              </w:rPr>
            </w:pPr>
            <w:r w:rsidRPr="00807F1C">
              <w:rPr>
                <w:rFonts w:eastAsia="Times New Roman"/>
                <w:b/>
                <w:bCs/>
                <w:sz w:val="16"/>
                <w:szCs w:val="16"/>
                <w:lang w:val="en-US" w:eastAsia="en-US"/>
              </w:rPr>
              <w:t xml:space="preserve">Objektivi Specifik 4. Arsim i lartë gjithëpërfshirës që plotëson standardet ndërkombëtare të aksesueshmërisë, cilësisë dhe mbështetjes për studentët me aftësi të kufizuara.. </w:t>
            </w:r>
          </w:p>
        </w:tc>
        <w:tc>
          <w:tcPr>
            <w:tcW w:w="1160" w:type="dxa"/>
            <w:tcBorders>
              <w:top w:val="nil"/>
              <w:left w:val="nil"/>
              <w:bottom w:val="single" w:sz="4" w:space="0" w:color="auto"/>
              <w:right w:val="single" w:sz="4" w:space="0" w:color="auto"/>
            </w:tcBorders>
            <w:shd w:val="clear" w:color="000000" w:fill="FDE9D9"/>
            <w:vAlign w:val="center"/>
            <w:hideMark/>
          </w:tcPr>
          <w:p w14:paraId="58486911" w14:textId="77777777" w:rsidR="004D73D3" w:rsidRPr="00807F1C" w:rsidRDefault="004D73D3" w:rsidP="004B31D6">
            <w:pPr>
              <w:jc w:val="center"/>
              <w:rPr>
                <w:rFonts w:eastAsia="Times New Roman"/>
                <w:b/>
                <w:bCs/>
                <w:sz w:val="16"/>
                <w:szCs w:val="16"/>
                <w:lang w:val="en-US" w:eastAsia="en-US"/>
              </w:rPr>
            </w:pPr>
            <w:r w:rsidRPr="00807F1C">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6CF3A17E" w14:textId="77777777" w:rsidR="004D73D3" w:rsidRPr="00807F1C" w:rsidRDefault="004D73D3" w:rsidP="004B31D6">
            <w:pPr>
              <w:jc w:val="center"/>
              <w:rPr>
                <w:rFonts w:eastAsia="Times New Roman"/>
                <w:b/>
                <w:bCs/>
                <w:sz w:val="16"/>
                <w:szCs w:val="16"/>
                <w:lang w:val="en-US" w:eastAsia="en-US"/>
              </w:rPr>
            </w:pPr>
            <w:r w:rsidRPr="00807F1C">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5987435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FDE9D9"/>
            <w:vAlign w:val="center"/>
            <w:hideMark/>
          </w:tcPr>
          <w:p w14:paraId="352EBE3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ASCAL/IAL</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D440F82" w14:textId="2A1463A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1,089</w:t>
            </w:r>
          </w:p>
        </w:tc>
        <w:tc>
          <w:tcPr>
            <w:tcW w:w="847" w:type="dxa"/>
            <w:tcBorders>
              <w:top w:val="nil"/>
              <w:left w:val="nil"/>
              <w:bottom w:val="single" w:sz="4" w:space="0" w:color="auto"/>
              <w:right w:val="single" w:sz="4" w:space="0" w:color="auto"/>
            </w:tcBorders>
            <w:shd w:val="clear" w:color="000000" w:fill="FDE9D9"/>
            <w:vAlign w:val="center"/>
            <w:hideMark/>
          </w:tcPr>
          <w:p w14:paraId="1713CBAA" w14:textId="7B831CF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126,101</w:t>
            </w:r>
          </w:p>
        </w:tc>
        <w:tc>
          <w:tcPr>
            <w:tcW w:w="720" w:type="dxa"/>
            <w:tcBorders>
              <w:top w:val="nil"/>
              <w:left w:val="nil"/>
              <w:bottom w:val="single" w:sz="4" w:space="0" w:color="auto"/>
              <w:right w:val="single" w:sz="4" w:space="0" w:color="auto"/>
            </w:tcBorders>
            <w:shd w:val="clear" w:color="000000" w:fill="FDE9D9"/>
            <w:vAlign w:val="center"/>
            <w:hideMark/>
          </w:tcPr>
          <w:p w14:paraId="6D78FFA3" w14:textId="7D99655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125,033</w:t>
            </w:r>
          </w:p>
        </w:tc>
        <w:tc>
          <w:tcPr>
            <w:tcW w:w="810" w:type="dxa"/>
            <w:tcBorders>
              <w:top w:val="nil"/>
              <w:left w:val="nil"/>
              <w:bottom w:val="single" w:sz="4" w:space="0" w:color="auto"/>
              <w:right w:val="single" w:sz="4" w:space="0" w:color="auto"/>
            </w:tcBorders>
            <w:shd w:val="clear" w:color="000000" w:fill="FDE9D9"/>
            <w:vAlign w:val="center"/>
            <w:hideMark/>
          </w:tcPr>
          <w:p w14:paraId="55F409F9" w14:textId="0521552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125,033</w:t>
            </w:r>
          </w:p>
        </w:tc>
        <w:tc>
          <w:tcPr>
            <w:tcW w:w="646" w:type="dxa"/>
            <w:tcBorders>
              <w:top w:val="nil"/>
              <w:left w:val="nil"/>
              <w:bottom w:val="single" w:sz="4" w:space="0" w:color="auto"/>
              <w:right w:val="single" w:sz="4" w:space="0" w:color="auto"/>
            </w:tcBorders>
            <w:shd w:val="clear" w:color="000000" w:fill="FDE9D9"/>
            <w:vAlign w:val="center"/>
            <w:hideMark/>
          </w:tcPr>
          <w:p w14:paraId="0E2F75BE" w14:textId="6727E9B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125,033</w:t>
            </w:r>
          </w:p>
        </w:tc>
        <w:tc>
          <w:tcPr>
            <w:tcW w:w="974" w:type="dxa"/>
            <w:tcBorders>
              <w:top w:val="nil"/>
              <w:left w:val="nil"/>
              <w:bottom w:val="single" w:sz="4" w:space="0" w:color="auto"/>
              <w:right w:val="nil"/>
            </w:tcBorders>
            <w:shd w:val="clear" w:color="000000" w:fill="FDE9D9"/>
            <w:vAlign w:val="center"/>
            <w:hideMark/>
          </w:tcPr>
          <w:p w14:paraId="4DC4BD29" w14:textId="19A26E4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502,288</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0F999E25" w14:textId="1E39246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401,088</w:t>
            </w:r>
          </w:p>
        </w:tc>
        <w:tc>
          <w:tcPr>
            <w:tcW w:w="990" w:type="dxa"/>
            <w:tcBorders>
              <w:top w:val="nil"/>
              <w:left w:val="nil"/>
              <w:bottom w:val="single" w:sz="4" w:space="0" w:color="auto"/>
              <w:right w:val="single" w:sz="4" w:space="0" w:color="auto"/>
            </w:tcBorders>
            <w:shd w:val="clear" w:color="000000" w:fill="FDE9D9"/>
            <w:vAlign w:val="center"/>
            <w:hideMark/>
          </w:tcPr>
          <w:p w14:paraId="1354B987" w14:textId="4D46C36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825</w:t>
            </w:r>
          </w:p>
        </w:tc>
        <w:tc>
          <w:tcPr>
            <w:tcW w:w="953" w:type="dxa"/>
            <w:tcBorders>
              <w:top w:val="nil"/>
              <w:left w:val="nil"/>
              <w:bottom w:val="single" w:sz="4" w:space="0" w:color="auto"/>
              <w:right w:val="single" w:sz="8" w:space="0" w:color="auto"/>
            </w:tcBorders>
            <w:shd w:val="clear" w:color="000000" w:fill="FDE9D9"/>
            <w:vAlign w:val="center"/>
            <w:hideMark/>
          </w:tcPr>
          <w:p w14:paraId="345E197B" w14:textId="37B98D7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100,375</w:t>
            </w:r>
          </w:p>
        </w:tc>
      </w:tr>
      <w:tr w:rsidR="004D73D3" w:rsidRPr="004D73D3" w14:paraId="39B67A62"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45733F3" w14:textId="77777777" w:rsidR="004D73D3" w:rsidRPr="00807F1C" w:rsidRDefault="004D73D3" w:rsidP="00817FC2">
            <w:pPr>
              <w:jc w:val="both"/>
              <w:rPr>
                <w:rFonts w:eastAsia="Times New Roman"/>
                <w:bCs/>
                <w:sz w:val="16"/>
                <w:szCs w:val="16"/>
                <w:lang w:val="en-US" w:eastAsia="en-US"/>
              </w:rPr>
            </w:pPr>
            <w:r w:rsidRPr="00807F1C">
              <w:rPr>
                <w:rFonts w:eastAsia="Times New Roman"/>
                <w:b/>
                <w:bCs/>
                <w:sz w:val="16"/>
                <w:szCs w:val="16"/>
                <w:lang w:val="en-US" w:eastAsia="en-US"/>
              </w:rPr>
              <w:t>Masa Prioritare 4.1</w:t>
            </w:r>
            <w:r w:rsidRPr="00807F1C">
              <w:rPr>
                <w:rFonts w:eastAsia="Times New Roman"/>
                <w:bCs/>
                <w:sz w:val="16"/>
                <w:szCs w:val="16"/>
                <w:lang w:val="en-US" w:eastAsia="en-US"/>
              </w:rPr>
              <w:t>: Rishikimi dhe forcimi i një kuadri të qëndrueshëm ligjor dhe institucional që garanton mosdiskriminimin, aksesin e barabartë dhe respektimin e standardeve ndërkombëtare të gjithëpërfshirjes së studentëve me aftësi të kufizuara në arsimin e lartë, i integruar me mekanizma të monitorimit dhe sigurimit të cilësisë.</w:t>
            </w:r>
          </w:p>
        </w:tc>
        <w:tc>
          <w:tcPr>
            <w:tcW w:w="1160" w:type="dxa"/>
            <w:tcBorders>
              <w:top w:val="nil"/>
              <w:left w:val="nil"/>
              <w:bottom w:val="single" w:sz="4" w:space="0" w:color="auto"/>
              <w:right w:val="single" w:sz="4" w:space="0" w:color="auto"/>
            </w:tcBorders>
            <w:shd w:val="clear" w:color="000000" w:fill="DCE6F1"/>
            <w:hideMark/>
          </w:tcPr>
          <w:p w14:paraId="3070DA07"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hideMark/>
          </w:tcPr>
          <w:p w14:paraId="746915D5" w14:textId="77777777" w:rsidR="004D73D3" w:rsidRPr="00807F1C" w:rsidRDefault="004D73D3" w:rsidP="004D73D3">
            <w:pPr>
              <w:jc w:val="center"/>
              <w:rPr>
                <w:rFonts w:eastAsia="Times New Roman"/>
                <w:sz w:val="16"/>
                <w:szCs w:val="16"/>
                <w:lang w:val="en-US" w:eastAsia="en-US"/>
              </w:rPr>
            </w:pPr>
            <w:r w:rsidRPr="00807F1C">
              <w:rPr>
                <w:rFonts w:eastAsia="Times New Roman"/>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7E777DA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DCE6F1"/>
            <w:vAlign w:val="center"/>
            <w:hideMark/>
          </w:tcPr>
          <w:p w14:paraId="491CFB8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ASCAL/IAL</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7EA9EB1" w14:textId="61BB9E3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389</w:t>
            </w:r>
          </w:p>
        </w:tc>
        <w:tc>
          <w:tcPr>
            <w:tcW w:w="847" w:type="dxa"/>
            <w:tcBorders>
              <w:top w:val="nil"/>
              <w:left w:val="nil"/>
              <w:bottom w:val="single" w:sz="4" w:space="0" w:color="auto"/>
              <w:right w:val="single" w:sz="4" w:space="0" w:color="auto"/>
            </w:tcBorders>
            <w:shd w:val="clear" w:color="000000" w:fill="DCE6F1"/>
            <w:vAlign w:val="center"/>
            <w:hideMark/>
          </w:tcPr>
          <w:p w14:paraId="7ED6EA07" w14:textId="547D0AA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1,101</w:t>
            </w:r>
          </w:p>
        </w:tc>
        <w:tc>
          <w:tcPr>
            <w:tcW w:w="720" w:type="dxa"/>
            <w:tcBorders>
              <w:top w:val="nil"/>
              <w:left w:val="nil"/>
              <w:bottom w:val="single" w:sz="4" w:space="0" w:color="auto"/>
              <w:right w:val="single" w:sz="4" w:space="0" w:color="auto"/>
            </w:tcBorders>
            <w:shd w:val="clear" w:color="000000" w:fill="DCE6F1"/>
            <w:vAlign w:val="center"/>
            <w:hideMark/>
          </w:tcPr>
          <w:p w14:paraId="15DD06CE" w14:textId="3D8795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w:t>
            </w:r>
          </w:p>
        </w:tc>
        <w:tc>
          <w:tcPr>
            <w:tcW w:w="810" w:type="dxa"/>
            <w:tcBorders>
              <w:top w:val="nil"/>
              <w:left w:val="nil"/>
              <w:bottom w:val="single" w:sz="4" w:space="0" w:color="auto"/>
              <w:right w:val="single" w:sz="4" w:space="0" w:color="auto"/>
            </w:tcBorders>
            <w:shd w:val="clear" w:color="000000" w:fill="DCE6F1"/>
            <w:vAlign w:val="center"/>
            <w:hideMark/>
          </w:tcPr>
          <w:p w14:paraId="5B5AD4D7" w14:textId="6AB3C9C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w:t>
            </w:r>
          </w:p>
        </w:tc>
        <w:tc>
          <w:tcPr>
            <w:tcW w:w="646" w:type="dxa"/>
            <w:tcBorders>
              <w:top w:val="nil"/>
              <w:left w:val="nil"/>
              <w:bottom w:val="single" w:sz="4" w:space="0" w:color="auto"/>
              <w:right w:val="single" w:sz="4" w:space="0" w:color="auto"/>
            </w:tcBorders>
            <w:shd w:val="clear" w:color="000000" w:fill="DCE6F1"/>
            <w:vAlign w:val="center"/>
            <w:hideMark/>
          </w:tcPr>
          <w:p w14:paraId="46A42B4D" w14:textId="32EB316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w:t>
            </w:r>
          </w:p>
        </w:tc>
        <w:tc>
          <w:tcPr>
            <w:tcW w:w="974" w:type="dxa"/>
            <w:tcBorders>
              <w:top w:val="nil"/>
              <w:left w:val="nil"/>
              <w:bottom w:val="single" w:sz="4" w:space="0" w:color="auto"/>
              <w:right w:val="nil"/>
            </w:tcBorders>
            <w:shd w:val="clear" w:color="000000" w:fill="DCE6F1"/>
            <w:vAlign w:val="center"/>
            <w:hideMark/>
          </w:tcPr>
          <w:p w14:paraId="231DF1BB" w14:textId="4E0AB8B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1,588</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4ECF54B8" w14:textId="61E6EE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1,088</w:t>
            </w:r>
          </w:p>
        </w:tc>
        <w:tc>
          <w:tcPr>
            <w:tcW w:w="990" w:type="dxa"/>
            <w:tcBorders>
              <w:top w:val="nil"/>
              <w:left w:val="nil"/>
              <w:bottom w:val="single" w:sz="4" w:space="0" w:color="auto"/>
              <w:right w:val="single" w:sz="4" w:space="0" w:color="auto"/>
            </w:tcBorders>
            <w:shd w:val="clear" w:color="000000" w:fill="DCE6F1"/>
            <w:vAlign w:val="center"/>
            <w:hideMark/>
          </w:tcPr>
          <w:p w14:paraId="02F2031F" w14:textId="49AC781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w:t>
            </w:r>
          </w:p>
        </w:tc>
        <w:tc>
          <w:tcPr>
            <w:tcW w:w="953" w:type="dxa"/>
            <w:tcBorders>
              <w:top w:val="nil"/>
              <w:left w:val="nil"/>
              <w:bottom w:val="single" w:sz="4" w:space="0" w:color="auto"/>
              <w:right w:val="single" w:sz="8" w:space="0" w:color="auto"/>
            </w:tcBorders>
            <w:shd w:val="clear" w:color="000000" w:fill="DCE6F1"/>
            <w:vAlign w:val="center"/>
            <w:hideMark/>
          </w:tcPr>
          <w:p w14:paraId="196E5B6F" w14:textId="6E6CA9E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375</w:t>
            </w:r>
          </w:p>
        </w:tc>
      </w:tr>
      <w:tr w:rsidR="004D73D3" w:rsidRPr="004D73D3" w14:paraId="2B08E7D5"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881CFE7"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t>Masa Prioritare 4.2</w:t>
            </w:r>
            <w:r w:rsidRPr="00817FC2">
              <w:rPr>
                <w:rFonts w:eastAsia="Times New Roman"/>
                <w:bCs/>
                <w:color w:val="000000"/>
                <w:sz w:val="16"/>
                <w:szCs w:val="16"/>
                <w:lang w:val="en-US" w:eastAsia="en-US"/>
              </w:rPr>
              <w:t xml:space="preserve"> Aksesueshmëri e plotë fizike, digjitale dhe akademike në institucionet e arsimit të lartë Sigurimi i një mjedisi universitar të aksesueshëm për të gjithë studentët, përmes përshtatjes së infrastrukturës, teknologjisë, komunikimit dhe proceseve akademike, në përputhje me parimet e dizajnit universal.</w:t>
            </w:r>
          </w:p>
        </w:tc>
        <w:tc>
          <w:tcPr>
            <w:tcW w:w="1160" w:type="dxa"/>
            <w:tcBorders>
              <w:top w:val="nil"/>
              <w:left w:val="nil"/>
              <w:bottom w:val="single" w:sz="4" w:space="0" w:color="auto"/>
              <w:right w:val="single" w:sz="4" w:space="0" w:color="auto"/>
            </w:tcBorders>
            <w:shd w:val="clear" w:color="000000" w:fill="DCE6F1"/>
            <w:hideMark/>
          </w:tcPr>
          <w:p w14:paraId="1711A3A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2027</w:t>
            </w:r>
          </w:p>
        </w:tc>
        <w:tc>
          <w:tcPr>
            <w:tcW w:w="1292" w:type="dxa"/>
            <w:tcBorders>
              <w:top w:val="nil"/>
              <w:left w:val="nil"/>
              <w:bottom w:val="single" w:sz="4" w:space="0" w:color="auto"/>
              <w:right w:val="single" w:sz="4" w:space="0" w:color="auto"/>
            </w:tcBorders>
            <w:shd w:val="clear" w:color="000000" w:fill="DCE6F1"/>
            <w:hideMark/>
          </w:tcPr>
          <w:p w14:paraId="1ABF927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42618D9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w:t>
            </w:r>
          </w:p>
        </w:tc>
        <w:tc>
          <w:tcPr>
            <w:tcW w:w="1203" w:type="dxa"/>
            <w:tcBorders>
              <w:top w:val="nil"/>
              <w:left w:val="nil"/>
              <w:bottom w:val="single" w:sz="4" w:space="0" w:color="auto"/>
              <w:right w:val="single" w:sz="8" w:space="0" w:color="auto"/>
            </w:tcBorders>
            <w:shd w:val="clear" w:color="000000" w:fill="DCE6F1"/>
            <w:vAlign w:val="center"/>
            <w:hideMark/>
          </w:tcPr>
          <w:p w14:paraId="33815E2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IAL</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504D908" w14:textId="6D40DD1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w:t>
            </w:r>
          </w:p>
        </w:tc>
        <w:tc>
          <w:tcPr>
            <w:tcW w:w="847" w:type="dxa"/>
            <w:tcBorders>
              <w:top w:val="nil"/>
              <w:left w:val="nil"/>
              <w:bottom w:val="single" w:sz="4" w:space="0" w:color="auto"/>
              <w:right w:val="single" w:sz="4" w:space="0" w:color="auto"/>
            </w:tcBorders>
            <w:shd w:val="clear" w:color="000000" w:fill="DCE6F1"/>
            <w:vAlign w:val="center"/>
            <w:hideMark/>
          </w:tcPr>
          <w:p w14:paraId="2606AE7F" w14:textId="043D1B5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50,000</w:t>
            </w:r>
          </w:p>
        </w:tc>
        <w:tc>
          <w:tcPr>
            <w:tcW w:w="720" w:type="dxa"/>
            <w:tcBorders>
              <w:top w:val="nil"/>
              <w:left w:val="nil"/>
              <w:bottom w:val="single" w:sz="4" w:space="0" w:color="auto"/>
              <w:right w:val="single" w:sz="4" w:space="0" w:color="auto"/>
            </w:tcBorders>
            <w:shd w:val="clear" w:color="000000" w:fill="DCE6F1"/>
            <w:vAlign w:val="center"/>
            <w:hideMark/>
          </w:tcPr>
          <w:p w14:paraId="69610684" w14:textId="7D77CAA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50,000</w:t>
            </w:r>
          </w:p>
        </w:tc>
        <w:tc>
          <w:tcPr>
            <w:tcW w:w="810" w:type="dxa"/>
            <w:tcBorders>
              <w:top w:val="nil"/>
              <w:left w:val="nil"/>
              <w:bottom w:val="single" w:sz="4" w:space="0" w:color="auto"/>
              <w:right w:val="single" w:sz="4" w:space="0" w:color="auto"/>
            </w:tcBorders>
            <w:shd w:val="clear" w:color="000000" w:fill="DCE6F1"/>
            <w:vAlign w:val="center"/>
            <w:hideMark/>
          </w:tcPr>
          <w:p w14:paraId="4A43E1A0" w14:textId="567C87A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50,000</w:t>
            </w:r>
          </w:p>
        </w:tc>
        <w:tc>
          <w:tcPr>
            <w:tcW w:w="646" w:type="dxa"/>
            <w:tcBorders>
              <w:top w:val="nil"/>
              <w:left w:val="nil"/>
              <w:bottom w:val="single" w:sz="4" w:space="0" w:color="auto"/>
              <w:right w:val="single" w:sz="4" w:space="0" w:color="auto"/>
            </w:tcBorders>
            <w:shd w:val="clear" w:color="000000" w:fill="DCE6F1"/>
            <w:vAlign w:val="center"/>
            <w:hideMark/>
          </w:tcPr>
          <w:p w14:paraId="293391A4" w14:textId="5643D22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50,000</w:t>
            </w:r>
          </w:p>
        </w:tc>
        <w:tc>
          <w:tcPr>
            <w:tcW w:w="974" w:type="dxa"/>
            <w:tcBorders>
              <w:top w:val="nil"/>
              <w:left w:val="nil"/>
              <w:bottom w:val="single" w:sz="4" w:space="0" w:color="auto"/>
              <w:right w:val="nil"/>
            </w:tcBorders>
            <w:shd w:val="clear" w:color="000000" w:fill="DCE6F1"/>
            <w:vAlign w:val="center"/>
            <w:hideMark/>
          </w:tcPr>
          <w:p w14:paraId="3A67043D" w14:textId="3FF027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200,700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D1A72D3" w14:textId="58E53C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100,000</w:t>
            </w:r>
          </w:p>
        </w:tc>
        <w:tc>
          <w:tcPr>
            <w:tcW w:w="990" w:type="dxa"/>
            <w:tcBorders>
              <w:top w:val="nil"/>
              <w:left w:val="nil"/>
              <w:bottom w:val="single" w:sz="4" w:space="0" w:color="auto"/>
              <w:right w:val="single" w:sz="4" w:space="0" w:color="auto"/>
            </w:tcBorders>
            <w:shd w:val="clear" w:color="000000" w:fill="DCE6F1"/>
            <w:vAlign w:val="center"/>
            <w:hideMark/>
          </w:tcPr>
          <w:p w14:paraId="1AB3DA40" w14:textId="167A860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w:t>
            </w:r>
          </w:p>
        </w:tc>
        <w:tc>
          <w:tcPr>
            <w:tcW w:w="953" w:type="dxa"/>
            <w:tcBorders>
              <w:top w:val="nil"/>
              <w:left w:val="nil"/>
              <w:bottom w:val="single" w:sz="4" w:space="0" w:color="auto"/>
              <w:right w:val="single" w:sz="8" w:space="0" w:color="auto"/>
            </w:tcBorders>
            <w:shd w:val="clear" w:color="000000" w:fill="DCE6F1"/>
            <w:vAlign w:val="center"/>
            <w:hideMark/>
          </w:tcPr>
          <w:p w14:paraId="00C89BAD" w14:textId="3400599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100,000</w:t>
            </w:r>
          </w:p>
        </w:tc>
      </w:tr>
      <w:tr w:rsidR="004D73D3" w:rsidRPr="004D73D3" w14:paraId="53D45677"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FB2A1C3" w14:textId="77777777" w:rsidR="004D73D3" w:rsidRPr="00817FC2" w:rsidRDefault="004D73D3" w:rsidP="00817FC2">
            <w:pPr>
              <w:jc w:val="both"/>
              <w:rPr>
                <w:rFonts w:eastAsia="Times New Roman"/>
                <w:bCs/>
                <w:color w:val="000000"/>
                <w:sz w:val="16"/>
                <w:szCs w:val="16"/>
                <w:lang w:val="en-US" w:eastAsia="en-US"/>
              </w:rPr>
            </w:pPr>
            <w:r w:rsidRPr="00817FC2">
              <w:rPr>
                <w:rFonts w:eastAsia="Times New Roman"/>
                <w:b/>
                <w:bCs/>
                <w:color w:val="000000"/>
                <w:sz w:val="16"/>
                <w:szCs w:val="16"/>
                <w:lang w:val="en-US" w:eastAsia="en-US"/>
              </w:rPr>
              <w:lastRenderedPageBreak/>
              <w:t>Masa Prioritare 4.3</w:t>
            </w:r>
            <w:r w:rsidRPr="00817FC2">
              <w:rPr>
                <w:rFonts w:eastAsia="Times New Roman"/>
                <w:bCs/>
                <w:color w:val="000000"/>
                <w:sz w:val="16"/>
                <w:szCs w:val="16"/>
                <w:lang w:val="en-US" w:eastAsia="en-US"/>
              </w:rPr>
              <w:t xml:space="preserve"> Shërbime mbështetëse dhe zhvillim kapacitetesh për arsimin e lartë gjithëpërfshirës Forcimi i mbështetjes institucionale dhe profesionale për studentët me aftësi të kufizuara, përmes shërbimeve të specializuara dhe rritjes së kapaciteteve të stafit akademik dhe administrativ.</w:t>
            </w:r>
          </w:p>
        </w:tc>
        <w:tc>
          <w:tcPr>
            <w:tcW w:w="1160" w:type="dxa"/>
            <w:tcBorders>
              <w:top w:val="nil"/>
              <w:left w:val="nil"/>
              <w:bottom w:val="single" w:sz="4" w:space="0" w:color="auto"/>
              <w:right w:val="single" w:sz="4" w:space="0" w:color="auto"/>
            </w:tcBorders>
            <w:shd w:val="clear" w:color="000000" w:fill="DCE6F1"/>
            <w:vAlign w:val="center"/>
            <w:hideMark/>
          </w:tcPr>
          <w:p w14:paraId="52F46A7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2027</w:t>
            </w:r>
          </w:p>
        </w:tc>
        <w:tc>
          <w:tcPr>
            <w:tcW w:w="1292" w:type="dxa"/>
            <w:tcBorders>
              <w:top w:val="nil"/>
              <w:left w:val="nil"/>
              <w:bottom w:val="single" w:sz="4" w:space="0" w:color="auto"/>
              <w:right w:val="single" w:sz="4" w:space="0" w:color="auto"/>
            </w:tcBorders>
            <w:shd w:val="clear" w:color="000000" w:fill="DCE6F1"/>
            <w:vAlign w:val="center"/>
            <w:hideMark/>
          </w:tcPr>
          <w:p w14:paraId="05A5A81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F2E73D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IAL</w:t>
            </w:r>
          </w:p>
        </w:tc>
        <w:tc>
          <w:tcPr>
            <w:tcW w:w="1203" w:type="dxa"/>
            <w:tcBorders>
              <w:top w:val="nil"/>
              <w:left w:val="nil"/>
              <w:bottom w:val="single" w:sz="4" w:space="0" w:color="auto"/>
              <w:right w:val="single" w:sz="8" w:space="0" w:color="auto"/>
            </w:tcBorders>
            <w:shd w:val="clear" w:color="000000" w:fill="DCE6F1"/>
            <w:vAlign w:val="center"/>
            <w:hideMark/>
          </w:tcPr>
          <w:p w14:paraId="741DDD4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IAL</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8BE1FFE" w14:textId="5467ABB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70DE2637" w14:textId="372438A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75,000</w:t>
            </w:r>
          </w:p>
        </w:tc>
        <w:tc>
          <w:tcPr>
            <w:tcW w:w="720" w:type="dxa"/>
            <w:tcBorders>
              <w:top w:val="nil"/>
              <w:left w:val="nil"/>
              <w:bottom w:val="single" w:sz="4" w:space="0" w:color="auto"/>
              <w:right w:val="single" w:sz="4" w:space="0" w:color="auto"/>
            </w:tcBorders>
            <w:shd w:val="clear" w:color="000000" w:fill="DCE6F1"/>
            <w:vAlign w:val="center"/>
            <w:hideMark/>
          </w:tcPr>
          <w:p w14:paraId="156D0F1C" w14:textId="597A0B3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75,000</w:t>
            </w:r>
          </w:p>
        </w:tc>
        <w:tc>
          <w:tcPr>
            <w:tcW w:w="810" w:type="dxa"/>
            <w:tcBorders>
              <w:top w:val="nil"/>
              <w:left w:val="nil"/>
              <w:bottom w:val="single" w:sz="4" w:space="0" w:color="auto"/>
              <w:right w:val="single" w:sz="4" w:space="0" w:color="auto"/>
            </w:tcBorders>
            <w:shd w:val="clear" w:color="000000" w:fill="DCE6F1"/>
            <w:vAlign w:val="center"/>
            <w:hideMark/>
          </w:tcPr>
          <w:p w14:paraId="13E953B5" w14:textId="1E35016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75,000</w:t>
            </w:r>
          </w:p>
        </w:tc>
        <w:tc>
          <w:tcPr>
            <w:tcW w:w="646" w:type="dxa"/>
            <w:tcBorders>
              <w:top w:val="nil"/>
              <w:left w:val="nil"/>
              <w:bottom w:val="single" w:sz="4" w:space="0" w:color="auto"/>
              <w:right w:val="single" w:sz="4" w:space="0" w:color="auto"/>
            </w:tcBorders>
            <w:shd w:val="clear" w:color="000000" w:fill="DCE6F1"/>
            <w:vAlign w:val="center"/>
            <w:hideMark/>
          </w:tcPr>
          <w:p w14:paraId="793CF282" w14:textId="20FDA3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75,000</w:t>
            </w:r>
          </w:p>
        </w:tc>
        <w:tc>
          <w:tcPr>
            <w:tcW w:w="974" w:type="dxa"/>
            <w:tcBorders>
              <w:top w:val="nil"/>
              <w:left w:val="nil"/>
              <w:bottom w:val="single" w:sz="4" w:space="0" w:color="auto"/>
              <w:right w:val="nil"/>
            </w:tcBorders>
            <w:shd w:val="clear" w:color="000000" w:fill="DCE6F1"/>
            <w:vAlign w:val="center"/>
            <w:hideMark/>
          </w:tcPr>
          <w:p w14:paraId="3230686D" w14:textId="7B9C42F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622F98A" w14:textId="02DDF0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300,000</w:t>
            </w:r>
          </w:p>
        </w:tc>
        <w:tc>
          <w:tcPr>
            <w:tcW w:w="990" w:type="dxa"/>
            <w:tcBorders>
              <w:top w:val="nil"/>
              <w:left w:val="nil"/>
              <w:bottom w:val="single" w:sz="4" w:space="0" w:color="auto"/>
              <w:right w:val="single" w:sz="4" w:space="0" w:color="auto"/>
            </w:tcBorders>
            <w:shd w:val="clear" w:color="000000" w:fill="DCE6F1"/>
            <w:vAlign w:val="center"/>
            <w:hideMark/>
          </w:tcPr>
          <w:p w14:paraId="06CBD1BE" w14:textId="63A4F00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543A18C0" w14:textId="0E72DC8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229E140C"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1405EF78" w14:textId="454AE35B"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V. MBROJTJA SOCIALE</w:t>
            </w:r>
            <w:r w:rsidR="005B77E1">
              <w:rPr>
                <w:rStyle w:val="FootnoteReference"/>
                <w:rFonts w:eastAsia="Times New Roman"/>
                <w:b/>
                <w:bCs/>
                <w:sz w:val="16"/>
                <w:szCs w:val="16"/>
                <w:lang w:val="en-US" w:eastAsia="en-US"/>
              </w:rPr>
              <w:footnoteReference w:id="91"/>
            </w:r>
          </w:p>
        </w:tc>
        <w:tc>
          <w:tcPr>
            <w:tcW w:w="1160" w:type="dxa"/>
            <w:tcBorders>
              <w:top w:val="nil"/>
              <w:left w:val="nil"/>
              <w:bottom w:val="single" w:sz="4" w:space="0" w:color="auto"/>
              <w:right w:val="single" w:sz="4" w:space="0" w:color="auto"/>
            </w:tcBorders>
            <w:shd w:val="clear" w:color="000000" w:fill="F276AB"/>
            <w:vAlign w:val="center"/>
            <w:hideMark/>
          </w:tcPr>
          <w:p w14:paraId="42C09913"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71BD3681"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02E0F37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0AE8043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01F603AE" w14:textId="010E6DB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19,630</w:t>
            </w:r>
          </w:p>
        </w:tc>
        <w:tc>
          <w:tcPr>
            <w:tcW w:w="847" w:type="dxa"/>
            <w:tcBorders>
              <w:top w:val="nil"/>
              <w:left w:val="nil"/>
              <w:bottom w:val="single" w:sz="4" w:space="0" w:color="auto"/>
              <w:right w:val="single" w:sz="4" w:space="0" w:color="auto"/>
            </w:tcBorders>
            <w:shd w:val="clear" w:color="000000" w:fill="F276AB"/>
            <w:vAlign w:val="center"/>
            <w:hideMark/>
          </w:tcPr>
          <w:p w14:paraId="55F7EAF0" w14:textId="1ADA94E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169,287</w:t>
            </w:r>
          </w:p>
        </w:tc>
        <w:tc>
          <w:tcPr>
            <w:tcW w:w="720" w:type="dxa"/>
            <w:tcBorders>
              <w:top w:val="nil"/>
              <w:left w:val="nil"/>
              <w:bottom w:val="single" w:sz="4" w:space="0" w:color="auto"/>
              <w:right w:val="single" w:sz="4" w:space="0" w:color="auto"/>
            </w:tcBorders>
            <w:shd w:val="clear" w:color="000000" w:fill="F276AB"/>
            <w:vAlign w:val="center"/>
            <w:hideMark/>
          </w:tcPr>
          <w:p w14:paraId="22FCE7BD" w14:textId="4249D4F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70,687</w:t>
            </w:r>
          </w:p>
        </w:tc>
        <w:tc>
          <w:tcPr>
            <w:tcW w:w="810" w:type="dxa"/>
            <w:tcBorders>
              <w:top w:val="nil"/>
              <w:left w:val="nil"/>
              <w:bottom w:val="single" w:sz="4" w:space="0" w:color="auto"/>
              <w:right w:val="single" w:sz="4" w:space="0" w:color="auto"/>
            </w:tcBorders>
            <w:shd w:val="clear" w:color="000000" w:fill="F276AB"/>
            <w:vAlign w:val="center"/>
            <w:hideMark/>
          </w:tcPr>
          <w:p w14:paraId="5B530C7C" w14:textId="2717762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63,313</w:t>
            </w:r>
          </w:p>
        </w:tc>
        <w:tc>
          <w:tcPr>
            <w:tcW w:w="646" w:type="dxa"/>
            <w:tcBorders>
              <w:top w:val="nil"/>
              <w:left w:val="nil"/>
              <w:bottom w:val="single" w:sz="4" w:space="0" w:color="auto"/>
              <w:right w:val="single" w:sz="4" w:space="0" w:color="auto"/>
            </w:tcBorders>
            <w:shd w:val="clear" w:color="000000" w:fill="F276AB"/>
            <w:vAlign w:val="center"/>
            <w:hideMark/>
          </w:tcPr>
          <w:p w14:paraId="1C12CE2F" w14:textId="395F32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187,047</w:t>
            </w:r>
          </w:p>
        </w:tc>
        <w:tc>
          <w:tcPr>
            <w:tcW w:w="974" w:type="dxa"/>
            <w:tcBorders>
              <w:top w:val="nil"/>
              <w:left w:val="nil"/>
              <w:bottom w:val="single" w:sz="4" w:space="0" w:color="auto"/>
              <w:right w:val="nil"/>
            </w:tcBorders>
            <w:shd w:val="clear" w:color="000000" w:fill="F276AB"/>
            <w:vAlign w:val="center"/>
            <w:hideMark/>
          </w:tcPr>
          <w:p w14:paraId="187CB273" w14:textId="456CAD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509,965</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02D6A34C" w14:textId="7044B01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367,241</w:t>
            </w:r>
          </w:p>
        </w:tc>
        <w:tc>
          <w:tcPr>
            <w:tcW w:w="990" w:type="dxa"/>
            <w:tcBorders>
              <w:top w:val="nil"/>
              <w:left w:val="nil"/>
              <w:bottom w:val="single" w:sz="4" w:space="0" w:color="auto"/>
              <w:right w:val="single" w:sz="4" w:space="0" w:color="auto"/>
            </w:tcBorders>
            <w:shd w:val="clear" w:color="000000" w:fill="F276AB"/>
            <w:vAlign w:val="center"/>
            <w:hideMark/>
          </w:tcPr>
          <w:p w14:paraId="7F4352F4" w14:textId="1562F7E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5,725</w:t>
            </w:r>
          </w:p>
        </w:tc>
        <w:tc>
          <w:tcPr>
            <w:tcW w:w="953" w:type="dxa"/>
            <w:tcBorders>
              <w:top w:val="nil"/>
              <w:left w:val="nil"/>
              <w:bottom w:val="single" w:sz="4" w:space="0" w:color="auto"/>
              <w:right w:val="single" w:sz="8" w:space="0" w:color="auto"/>
            </w:tcBorders>
            <w:shd w:val="clear" w:color="000000" w:fill="F276AB"/>
            <w:vAlign w:val="center"/>
            <w:hideMark/>
          </w:tcPr>
          <w:p w14:paraId="54D24B42" w14:textId="4D63239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137,000</w:t>
            </w:r>
          </w:p>
        </w:tc>
      </w:tr>
      <w:tr w:rsidR="004D73D3" w:rsidRPr="004D73D3" w14:paraId="3CB82D28"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2573C782"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Përmirësimi i jetesës për Personat me Aftësi të Kufizuara nëpërmjet skemave financiare të përshtatshme, të mirëshënjestruara, transparente dhe të afta për të përballuar rreziqet e ndryshme</w:t>
            </w:r>
          </w:p>
        </w:tc>
        <w:tc>
          <w:tcPr>
            <w:tcW w:w="1160" w:type="dxa"/>
            <w:tcBorders>
              <w:top w:val="nil"/>
              <w:left w:val="nil"/>
              <w:bottom w:val="single" w:sz="4" w:space="0" w:color="auto"/>
              <w:right w:val="single" w:sz="4" w:space="0" w:color="auto"/>
            </w:tcBorders>
            <w:shd w:val="clear" w:color="000000" w:fill="FDE9D9"/>
            <w:vAlign w:val="center"/>
            <w:hideMark/>
          </w:tcPr>
          <w:p w14:paraId="65B99413" w14:textId="240C4842" w:rsidR="004D73D3" w:rsidRPr="004D73D3" w:rsidRDefault="004B31D6"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1B72928B"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156C98B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FDE9D9"/>
            <w:vAlign w:val="center"/>
            <w:hideMark/>
          </w:tcPr>
          <w:p w14:paraId="022B837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SHSSH/INSTAT</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A603889" w14:textId="363CA40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1,259</w:t>
            </w:r>
          </w:p>
        </w:tc>
        <w:tc>
          <w:tcPr>
            <w:tcW w:w="847" w:type="dxa"/>
            <w:tcBorders>
              <w:top w:val="nil"/>
              <w:left w:val="nil"/>
              <w:bottom w:val="single" w:sz="4" w:space="0" w:color="auto"/>
              <w:right w:val="single" w:sz="4" w:space="0" w:color="auto"/>
            </w:tcBorders>
            <w:shd w:val="clear" w:color="000000" w:fill="FDE9D9"/>
            <w:vAlign w:val="center"/>
            <w:hideMark/>
          </w:tcPr>
          <w:p w14:paraId="3865CFB7" w14:textId="3938AE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8,109</w:t>
            </w:r>
          </w:p>
        </w:tc>
        <w:tc>
          <w:tcPr>
            <w:tcW w:w="720" w:type="dxa"/>
            <w:tcBorders>
              <w:top w:val="nil"/>
              <w:left w:val="nil"/>
              <w:bottom w:val="single" w:sz="4" w:space="0" w:color="auto"/>
              <w:right w:val="single" w:sz="4" w:space="0" w:color="auto"/>
            </w:tcBorders>
            <w:shd w:val="clear" w:color="000000" w:fill="FDE9D9"/>
            <w:vAlign w:val="center"/>
            <w:hideMark/>
          </w:tcPr>
          <w:p w14:paraId="34DE7832" w14:textId="178D69E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9,795</w:t>
            </w:r>
          </w:p>
        </w:tc>
        <w:tc>
          <w:tcPr>
            <w:tcW w:w="810" w:type="dxa"/>
            <w:tcBorders>
              <w:top w:val="nil"/>
              <w:left w:val="nil"/>
              <w:bottom w:val="single" w:sz="4" w:space="0" w:color="auto"/>
              <w:right w:val="single" w:sz="4" w:space="0" w:color="auto"/>
            </w:tcBorders>
            <w:shd w:val="clear" w:color="000000" w:fill="FDE9D9"/>
            <w:vAlign w:val="center"/>
            <w:hideMark/>
          </w:tcPr>
          <w:p w14:paraId="55B5F266" w14:textId="4F3D7EC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9,285</w:t>
            </w:r>
          </w:p>
        </w:tc>
        <w:tc>
          <w:tcPr>
            <w:tcW w:w="646" w:type="dxa"/>
            <w:tcBorders>
              <w:top w:val="nil"/>
              <w:left w:val="nil"/>
              <w:bottom w:val="single" w:sz="4" w:space="0" w:color="auto"/>
              <w:right w:val="single" w:sz="4" w:space="0" w:color="auto"/>
            </w:tcBorders>
            <w:shd w:val="clear" w:color="000000" w:fill="FDE9D9"/>
            <w:vAlign w:val="center"/>
            <w:hideMark/>
          </w:tcPr>
          <w:p w14:paraId="402123E6" w14:textId="7B51FF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8,985</w:t>
            </w:r>
          </w:p>
        </w:tc>
        <w:tc>
          <w:tcPr>
            <w:tcW w:w="974" w:type="dxa"/>
            <w:tcBorders>
              <w:top w:val="nil"/>
              <w:left w:val="nil"/>
              <w:bottom w:val="single" w:sz="4" w:space="0" w:color="auto"/>
              <w:right w:val="nil"/>
            </w:tcBorders>
            <w:shd w:val="clear" w:color="000000" w:fill="FDE9D9"/>
            <w:vAlign w:val="center"/>
            <w:hideMark/>
          </w:tcPr>
          <w:p w14:paraId="526AF729" w14:textId="2C394F8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37,435</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6C98BA1B" w14:textId="4E6A8EC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7,555</w:t>
            </w:r>
          </w:p>
        </w:tc>
        <w:tc>
          <w:tcPr>
            <w:tcW w:w="990" w:type="dxa"/>
            <w:tcBorders>
              <w:top w:val="nil"/>
              <w:left w:val="nil"/>
              <w:bottom w:val="single" w:sz="4" w:space="0" w:color="auto"/>
              <w:right w:val="single" w:sz="4" w:space="0" w:color="auto"/>
            </w:tcBorders>
            <w:shd w:val="clear" w:color="000000" w:fill="FDE9D9"/>
            <w:vAlign w:val="center"/>
            <w:hideMark/>
          </w:tcPr>
          <w:p w14:paraId="3A289253" w14:textId="7F96AD2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41823F03" w14:textId="18668A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29,880</w:t>
            </w:r>
          </w:p>
        </w:tc>
      </w:tr>
      <w:tr w:rsidR="004D73D3" w:rsidRPr="004D73D3" w14:paraId="0F7A370A" w14:textId="77777777" w:rsidTr="004B31D6">
        <w:trPr>
          <w:trHeight w:val="1728"/>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0A933EC" w14:textId="77777777" w:rsidR="004D73D3" w:rsidRPr="005B77E1" w:rsidRDefault="004D73D3" w:rsidP="00817FC2">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 1.1.</w:t>
            </w:r>
            <w:r w:rsidRPr="005B77E1">
              <w:rPr>
                <w:rFonts w:eastAsia="Times New Roman"/>
                <w:bCs/>
                <w:color w:val="000000"/>
                <w:sz w:val="16"/>
                <w:szCs w:val="16"/>
                <w:lang w:val="en-US" w:eastAsia="en-US"/>
              </w:rPr>
              <w:t xml:space="preserve"> Konsolidimi dhe përmirësimi i skemës së pagesave të aftësisë së kufizuar, për të garantuar rritjen e masës së përfitimit, për të mbuluar kostot që lidhen me aftësinë e kufizuar, por edhe skemave të  tjera mbështetëse financiare (NE etj) për të garantuar akses, mbështetje për personat me aftësi të kufizuara dhe familjarët e tyre me ndikim zbutjen e varfërisë dhe pabarazisë</w:t>
            </w:r>
          </w:p>
        </w:tc>
        <w:tc>
          <w:tcPr>
            <w:tcW w:w="1160" w:type="dxa"/>
            <w:tcBorders>
              <w:top w:val="nil"/>
              <w:left w:val="nil"/>
              <w:bottom w:val="single" w:sz="4" w:space="0" w:color="auto"/>
              <w:right w:val="single" w:sz="4" w:space="0" w:color="auto"/>
            </w:tcBorders>
            <w:shd w:val="clear" w:color="000000" w:fill="DCE6F1"/>
            <w:vAlign w:val="center"/>
            <w:hideMark/>
          </w:tcPr>
          <w:p w14:paraId="763996C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A5A83C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1D7D1CD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63C73D0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SHSSH/INSTAT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6D7C9A0B" w14:textId="0BDE68E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602E7ECC" w14:textId="3F38A79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720" w:type="dxa"/>
            <w:tcBorders>
              <w:top w:val="nil"/>
              <w:left w:val="nil"/>
              <w:bottom w:val="single" w:sz="4" w:space="0" w:color="auto"/>
              <w:right w:val="single" w:sz="4" w:space="0" w:color="auto"/>
            </w:tcBorders>
            <w:shd w:val="clear" w:color="000000" w:fill="DCE6F1"/>
            <w:vAlign w:val="center"/>
            <w:hideMark/>
          </w:tcPr>
          <w:p w14:paraId="72C33A0A" w14:textId="42980F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w:t>
            </w:r>
          </w:p>
        </w:tc>
        <w:tc>
          <w:tcPr>
            <w:tcW w:w="810" w:type="dxa"/>
            <w:tcBorders>
              <w:top w:val="nil"/>
              <w:left w:val="nil"/>
              <w:bottom w:val="single" w:sz="4" w:space="0" w:color="auto"/>
              <w:right w:val="single" w:sz="4" w:space="0" w:color="auto"/>
            </w:tcBorders>
            <w:shd w:val="clear" w:color="000000" w:fill="DCE6F1"/>
            <w:vAlign w:val="center"/>
            <w:hideMark/>
          </w:tcPr>
          <w:p w14:paraId="46967AFB" w14:textId="47B091A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990</w:t>
            </w:r>
          </w:p>
        </w:tc>
        <w:tc>
          <w:tcPr>
            <w:tcW w:w="646" w:type="dxa"/>
            <w:tcBorders>
              <w:top w:val="nil"/>
              <w:left w:val="nil"/>
              <w:bottom w:val="single" w:sz="4" w:space="0" w:color="auto"/>
              <w:right w:val="single" w:sz="4" w:space="0" w:color="auto"/>
            </w:tcBorders>
            <w:shd w:val="clear" w:color="000000" w:fill="DCE6F1"/>
            <w:vAlign w:val="center"/>
            <w:hideMark/>
          </w:tcPr>
          <w:p w14:paraId="15F8D7DC" w14:textId="411DA63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690</w:t>
            </w:r>
          </w:p>
        </w:tc>
        <w:tc>
          <w:tcPr>
            <w:tcW w:w="974" w:type="dxa"/>
            <w:tcBorders>
              <w:top w:val="nil"/>
              <w:left w:val="nil"/>
              <w:bottom w:val="single" w:sz="4" w:space="0" w:color="auto"/>
              <w:right w:val="nil"/>
            </w:tcBorders>
            <w:shd w:val="clear" w:color="000000" w:fill="DCE6F1"/>
            <w:vAlign w:val="center"/>
            <w:hideMark/>
          </w:tcPr>
          <w:p w14:paraId="067DE340" w14:textId="70CFFE1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2,480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683B6F0" w14:textId="5A1FC3E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1,800</w:t>
            </w:r>
          </w:p>
        </w:tc>
        <w:tc>
          <w:tcPr>
            <w:tcW w:w="990" w:type="dxa"/>
            <w:tcBorders>
              <w:top w:val="nil"/>
              <w:left w:val="nil"/>
              <w:bottom w:val="single" w:sz="4" w:space="0" w:color="auto"/>
              <w:right w:val="single" w:sz="4" w:space="0" w:color="auto"/>
            </w:tcBorders>
            <w:shd w:val="clear" w:color="000000" w:fill="DCE6F1"/>
            <w:vAlign w:val="center"/>
            <w:hideMark/>
          </w:tcPr>
          <w:p w14:paraId="260DE0DE" w14:textId="4595746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7D7869A7" w14:textId="4E2F470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680</w:t>
            </w:r>
          </w:p>
        </w:tc>
      </w:tr>
      <w:tr w:rsidR="004D73D3" w:rsidRPr="004D73D3" w14:paraId="0EAEB9A6"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E9E286A" w14:textId="77777777" w:rsidR="004D73D3" w:rsidRPr="005B77E1" w:rsidRDefault="004D73D3" w:rsidP="00817FC2">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 1.2.</w:t>
            </w:r>
            <w:r w:rsidRPr="005B77E1">
              <w:rPr>
                <w:rFonts w:eastAsia="Times New Roman"/>
                <w:bCs/>
                <w:color w:val="000000"/>
                <w:sz w:val="16"/>
                <w:szCs w:val="16"/>
                <w:lang w:val="en-US" w:eastAsia="en-US"/>
              </w:rPr>
              <w:t xml:space="preserve"> Konsolidimi i vlerësimit bio-psikosocial të aftësisë së kufizuar me qëllim adresimin efektiv dhe të përgjegjshëm gjinor të nevojave individuale të tyre.</w:t>
            </w:r>
          </w:p>
        </w:tc>
        <w:tc>
          <w:tcPr>
            <w:tcW w:w="1160" w:type="dxa"/>
            <w:tcBorders>
              <w:top w:val="nil"/>
              <w:left w:val="nil"/>
              <w:bottom w:val="single" w:sz="4" w:space="0" w:color="auto"/>
              <w:right w:val="single" w:sz="4" w:space="0" w:color="auto"/>
            </w:tcBorders>
            <w:shd w:val="clear" w:color="000000" w:fill="DCE6F1"/>
            <w:vAlign w:val="center"/>
            <w:hideMark/>
          </w:tcPr>
          <w:p w14:paraId="748143A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E0DFD2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19B632D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7DC8276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SHSSH</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29BC1EF" w14:textId="63B093D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1,259</w:t>
            </w:r>
          </w:p>
        </w:tc>
        <w:tc>
          <w:tcPr>
            <w:tcW w:w="847" w:type="dxa"/>
            <w:tcBorders>
              <w:top w:val="nil"/>
              <w:left w:val="nil"/>
              <w:bottom w:val="single" w:sz="4" w:space="0" w:color="auto"/>
              <w:right w:val="single" w:sz="4" w:space="0" w:color="auto"/>
            </w:tcBorders>
            <w:shd w:val="clear" w:color="000000" w:fill="DCE6F1"/>
            <w:vAlign w:val="center"/>
            <w:hideMark/>
          </w:tcPr>
          <w:p w14:paraId="2C6B8D85" w14:textId="209BF3D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7,609</w:t>
            </w:r>
          </w:p>
        </w:tc>
        <w:tc>
          <w:tcPr>
            <w:tcW w:w="720" w:type="dxa"/>
            <w:tcBorders>
              <w:top w:val="nil"/>
              <w:left w:val="nil"/>
              <w:bottom w:val="single" w:sz="4" w:space="0" w:color="auto"/>
              <w:right w:val="single" w:sz="4" w:space="0" w:color="auto"/>
            </w:tcBorders>
            <w:shd w:val="clear" w:color="000000" w:fill="DCE6F1"/>
            <w:vAlign w:val="center"/>
            <w:hideMark/>
          </w:tcPr>
          <w:p w14:paraId="3520FACA" w14:textId="0724DC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9,495</w:t>
            </w:r>
          </w:p>
        </w:tc>
        <w:tc>
          <w:tcPr>
            <w:tcW w:w="810" w:type="dxa"/>
            <w:tcBorders>
              <w:top w:val="nil"/>
              <w:left w:val="nil"/>
              <w:bottom w:val="single" w:sz="4" w:space="0" w:color="auto"/>
              <w:right w:val="single" w:sz="4" w:space="0" w:color="auto"/>
            </w:tcBorders>
            <w:shd w:val="clear" w:color="000000" w:fill="DCE6F1"/>
            <w:vAlign w:val="center"/>
            <w:hideMark/>
          </w:tcPr>
          <w:p w14:paraId="4D41EF33" w14:textId="6AFA6D7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8,295</w:t>
            </w:r>
          </w:p>
        </w:tc>
        <w:tc>
          <w:tcPr>
            <w:tcW w:w="646" w:type="dxa"/>
            <w:tcBorders>
              <w:top w:val="nil"/>
              <w:left w:val="nil"/>
              <w:bottom w:val="single" w:sz="4" w:space="0" w:color="auto"/>
              <w:right w:val="single" w:sz="4" w:space="0" w:color="auto"/>
            </w:tcBorders>
            <w:shd w:val="clear" w:color="000000" w:fill="DCE6F1"/>
            <w:vAlign w:val="center"/>
            <w:hideMark/>
          </w:tcPr>
          <w:p w14:paraId="75824CDE" w14:textId="1A6C38A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8,295</w:t>
            </w:r>
          </w:p>
        </w:tc>
        <w:tc>
          <w:tcPr>
            <w:tcW w:w="974" w:type="dxa"/>
            <w:tcBorders>
              <w:top w:val="nil"/>
              <w:left w:val="nil"/>
              <w:bottom w:val="single" w:sz="4" w:space="0" w:color="auto"/>
              <w:right w:val="nil"/>
            </w:tcBorders>
            <w:shd w:val="clear" w:color="000000" w:fill="DCE6F1"/>
            <w:vAlign w:val="center"/>
            <w:hideMark/>
          </w:tcPr>
          <w:p w14:paraId="22CBDC95" w14:textId="04D9F4B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34,955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1DA043E" w14:textId="519B0F7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5,755</w:t>
            </w:r>
          </w:p>
        </w:tc>
        <w:tc>
          <w:tcPr>
            <w:tcW w:w="990" w:type="dxa"/>
            <w:tcBorders>
              <w:top w:val="nil"/>
              <w:left w:val="nil"/>
              <w:bottom w:val="single" w:sz="4" w:space="0" w:color="auto"/>
              <w:right w:val="single" w:sz="4" w:space="0" w:color="auto"/>
            </w:tcBorders>
            <w:shd w:val="clear" w:color="000000" w:fill="DCE6F1"/>
            <w:vAlign w:val="center"/>
            <w:hideMark/>
          </w:tcPr>
          <w:p w14:paraId="23E17646" w14:textId="5EA868A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1B83144E" w14:textId="634A5D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29,200</w:t>
            </w:r>
          </w:p>
        </w:tc>
      </w:tr>
      <w:tr w:rsidR="004D73D3" w:rsidRPr="004D73D3" w14:paraId="7CCA0FF1"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6014C974"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 xml:space="preserve">Objektivi Specifik  2. Zgjerimi i shërbimeve sociale të integruara, të aksesueshme e cilësore si dhe avancimi i deinstitucionalizimit, në partneritet me pushtetin vendor dhe aktorët e tjerë. </w:t>
            </w:r>
          </w:p>
        </w:tc>
        <w:tc>
          <w:tcPr>
            <w:tcW w:w="1160" w:type="dxa"/>
            <w:tcBorders>
              <w:top w:val="nil"/>
              <w:left w:val="nil"/>
              <w:bottom w:val="single" w:sz="4" w:space="0" w:color="auto"/>
              <w:right w:val="single" w:sz="4" w:space="0" w:color="auto"/>
            </w:tcBorders>
            <w:shd w:val="clear" w:color="000000" w:fill="FDE9D9"/>
            <w:vAlign w:val="center"/>
            <w:hideMark/>
          </w:tcPr>
          <w:p w14:paraId="1881512B"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341392EC"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6DF8395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MSHMS/ASCK</w:t>
            </w:r>
          </w:p>
        </w:tc>
        <w:tc>
          <w:tcPr>
            <w:tcW w:w="1203" w:type="dxa"/>
            <w:tcBorders>
              <w:top w:val="nil"/>
              <w:left w:val="nil"/>
              <w:bottom w:val="single" w:sz="4" w:space="0" w:color="auto"/>
              <w:right w:val="single" w:sz="8" w:space="0" w:color="auto"/>
            </w:tcBorders>
            <w:shd w:val="clear" w:color="000000" w:fill="FDE9D9"/>
            <w:vAlign w:val="center"/>
            <w:hideMark/>
          </w:tcPr>
          <w:p w14:paraId="66BC444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SHSSH</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F951051" w14:textId="37E0D37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9,760</w:t>
            </w:r>
          </w:p>
        </w:tc>
        <w:tc>
          <w:tcPr>
            <w:tcW w:w="847" w:type="dxa"/>
            <w:tcBorders>
              <w:top w:val="nil"/>
              <w:left w:val="nil"/>
              <w:bottom w:val="single" w:sz="4" w:space="0" w:color="auto"/>
              <w:right w:val="single" w:sz="4" w:space="0" w:color="auto"/>
            </w:tcBorders>
            <w:shd w:val="clear" w:color="000000" w:fill="FDE9D9"/>
            <w:vAlign w:val="center"/>
            <w:hideMark/>
          </w:tcPr>
          <w:p w14:paraId="749FE52A" w14:textId="34AAC90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13,005</w:t>
            </w:r>
          </w:p>
        </w:tc>
        <w:tc>
          <w:tcPr>
            <w:tcW w:w="720" w:type="dxa"/>
            <w:tcBorders>
              <w:top w:val="nil"/>
              <w:left w:val="nil"/>
              <w:bottom w:val="single" w:sz="4" w:space="0" w:color="auto"/>
              <w:right w:val="single" w:sz="4" w:space="0" w:color="auto"/>
            </w:tcBorders>
            <w:shd w:val="clear" w:color="000000" w:fill="FDE9D9"/>
            <w:vAlign w:val="center"/>
            <w:hideMark/>
          </w:tcPr>
          <w:p w14:paraId="3527721F" w14:textId="40175DE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16,110</w:t>
            </w:r>
          </w:p>
        </w:tc>
        <w:tc>
          <w:tcPr>
            <w:tcW w:w="810" w:type="dxa"/>
            <w:tcBorders>
              <w:top w:val="nil"/>
              <w:left w:val="nil"/>
              <w:bottom w:val="single" w:sz="4" w:space="0" w:color="auto"/>
              <w:right w:val="single" w:sz="4" w:space="0" w:color="auto"/>
            </w:tcBorders>
            <w:shd w:val="clear" w:color="000000" w:fill="FDE9D9"/>
            <w:vAlign w:val="center"/>
            <w:hideMark/>
          </w:tcPr>
          <w:p w14:paraId="4551DE76" w14:textId="2542C9C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14,160</w:t>
            </w:r>
          </w:p>
        </w:tc>
        <w:tc>
          <w:tcPr>
            <w:tcW w:w="646" w:type="dxa"/>
            <w:tcBorders>
              <w:top w:val="nil"/>
              <w:left w:val="nil"/>
              <w:bottom w:val="single" w:sz="4" w:space="0" w:color="auto"/>
              <w:right w:val="single" w:sz="4" w:space="0" w:color="auto"/>
            </w:tcBorders>
            <w:shd w:val="clear" w:color="000000" w:fill="FDE9D9"/>
            <w:vAlign w:val="center"/>
            <w:hideMark/>
          </w:tcPr>
          <w:p w14:paraId="70D02E7B" w14:textId="5B7B372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15,024</w:t>
            </w:r>
          </w:p>
        </w:tc>
        <w:tc>
          <w:tcPr>
            <w:tcW w:w="974" w:type="dxa"/>
            <w:tcBorders>
              <w:top w:val="nil"/>
              <w:left w:val="nil"/>
              <w:bottom w:val="single" w:sz="4" w:space="0" w:color="auto"/>
              <w:right w:val="nil"/>
            </w:tcBorders>
            <w:shd w:val="clear" w:color="000000" w:fill="FDE9D9"/>
            <w:vAlign w:val="center"/>
            <w:hideMark/>
          </w:tcPr>
          <w:p w14:paraId="7D9407CF" w14:textId="742B056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68,059</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32FC9C64" w14:textId="048D055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53,359</w:t>
            </w:r>
          </w:p>
        </w:tc>
        <w:tc>
          <w:tcPr>
            <w:tcW w:w="990" w:type="dxa"/>
            <w:tcBorders>
              <w:top w:val="nil"/>
              <w:left w:val="nil"/>
              <w:bottom w:val="single" w:sz="4" w:space="0" w:color="auto"/>
              <w:right w:val="single" w:sz="4" w:space="0" w:color="auto"/>
            </w:tcBorders>
            <w:shd w:val="clear" w:color="000000" w:fill="FDE9D9"/>
            <w:vAlign w:val="center"/>
            <w:hideMark/>
          </w:tcPr>
          <w:p w14:paraId="20087C7A" w14:textId="32AD4D1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009C0720" w14:textId="17136C8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14,700</w:t>
            </w:r>
          </w:p>
        </w:tc>
      </w:tr>
      <w:tr w:rsidR="004D73D3" w:rsidRPr="004D73D3" w14:paraId="7B4220F0" w14:textId="77777777" w:rsidTr="004B31D6">
        <w:trPr>
          <w:trHeight w:val="156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ED28F07"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lastRenderedPageBreak/>
              <w:t xml:space="preserve">Masa Prioritare 2.1: </w:t>
            </w:r>
            <w:r w:rsidRPr="005B77E1">
              <w:rPr>
                <w:rFonts w:eastAsia="Times New Roman"/>
                <w:bCs/>
                <w:color w:val="000000"/>
                <w:sz w:val="16"/>
                <w:szCs w:val="16"/>
                <w:lang w:val="en-US" w:eastAsia="en-US"/>
              </w:rPr>
              <w:t>Rishikimi dhe konsolidimi i kuadrit rregullator ligjor dhe institucional për mundësimin e shërbimeve të përkujdesit shoqëror për personat me aftësi të kufizuara, udhëhequr nga parimet e qasjes duale dhe shërbimeve gjatë gjithë ciklit të jetës.</w:t>
            </w:r>
          </w:p>
        </w:tc>
        <w:tc>
          <w:tcPr>
            <w:tcW w:w="1160" w:type="dxa"/>
            <w:tcBorders>
              <w:top w:val="nil"/>
              <w:left w:val="nil"/>
              <w:bottom w:val="single" w:sz="4" w:space="0" w:color="auto"/>
              <w:right w:val="single" w:sz="4" w:space="0" w:color="auto"/>
            </w:tcBorders>
            <w:shd w:val="clear" w:color="000000" w:fill="DCE6F1"/>
            <w:vAlign w:val="center"/>
            <w:hideMark/>
          </w:tcPr>
          <w:p w14:paraId="1EC5FC4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2C6CDA1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66F735B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34D572E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SHSSH</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BA58FDB" w14:textId="3E9DFE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9,760</w:t>
            </w:r>
          </w:p>
        </w:tc>
        <w:tc>
          <w:tcPr>
            <w:tcW w:w="847" w:type="dxa"/>
            <w:tcBorders>
              <w:top w:val="nil"/>
              <w:left w:val="nil"/>
              <w:bottom w:val="single" w:sz="4" w:space="0" w:color="auto"/>
              <w:right w:val="single" w:sz="4" w:space="0" w:color="auto"/>
            </w:tcBorders>
            <w:shd w:val="clear" w:color="000000" w:fill="DCE6F1"/>
            <w:vAlign w:val="center"/>
            <w:hideMark/>
          </w:tcPr>
          <w:p w14:paraId="198CCE81" w14:textId="040D81F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13,005</w:t>
            </w:r>
          </w:p>
        </w:tc>
        <w:tc>
          <w:tcPr>
            <w:tcW w:w="720" w:type="dxa"/>
            <w:tcBorders>
              <w:top w:val="nil"/>
              <w:left w:val="nil"/>
              <w:bottom w:val="single" w:sz="4" w:space="0" w:color="auto"/>
              <w:right w:val="single" w:sz="4" w:space="0" w:color="auto"/>
            </w:tcBorders>
            <w:shd w:val="clear" w:color="000000" w:fill="DCE6F1"/>
            <w:vAlign w:val="center"/>
            <w:hideMark/>
          </w:tcPr>
          <w:p w14:paraId="49DAEDC6" w14:textId="60FB0F4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16,110</w:t>
            </w:r>
          </w:p>
        </w:tc>
        <w:tc>
          <w:tcPr>
            <w:tcW w:w="810" w:type="dxa"/>
            <w:tcBorders>
              <w:top w:val="nil"/>
              <w:left w:val="nil"/>
              <w:bottom w:val="single" w:sz="4" w:space="0" w:color="auto"/>
              <w:right w:val="single" w:sz="4" w:space="0" w:color="auto"/>
            </w:tcBorders>
            <w:shd w:val="clear" w:color="000000" w:fill="DCE6F1"/>
            <w:vAlign w:val="center"/>
            <w:hideMark/>
          </w:tcPr>
          <w:p w14:paraId="6EE0A6A2" w14:textId="4AEFF36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14,160</w:t>
            </w:r>
          </w:p>
        </w:tc>
        <w:tc>
          <w:tcPr>
            <w:tcW w:w="646" w:type="dxa"/>
            <w:tcBorders>
              <w:top w:val="nil"/>
              <w:left w:val="nil"/>
              <w:bottom w:val="single" w:sz="4" w:space="0" w:color="auto"/>
              <w:right w:val="single" w:sz="4" w:space="0" w:color="auto"/>
            </w:tcBorders>
            <w:shd w:val="clear" w:color="000000" w:fill="DCE6F1"/>
            <w:vAlign w:val="center"/>
            <w:hideMark/>
          </w:tcPr>
          <w:p w14:paraId="3B658FA9" w14:textId="5871807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15,024</w:t>
            </w:r>
          </w:p>
        </w:tc>
        <w:tc>
          <w:tcPr>
            <w:tcW w:w="974" w:type="dxa"/>
            <w:tcBorders>
              <w:top w:val="nil"/>
              <w:left w:val="nil"/>
              <w:bottom w:val="single" w:sz="4" w:space="0" w:color="auto"/>
              <w:right w:val="nil"/>
            </w:tcBorders>
            <w:shd w:val="clear" w:color="000000" w:fill="DCE6F1"/>
            <w:vAlign w:val="center"/>
            <w:hideMark/>
          </w:tcPr>
          <w:p w14:paraId="42451525" w14:textId="5C18514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68,059</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F49029B" w14:textId="50C1B5E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53,359</w:t>
            </w:r>
          </w:p>
        </w:tc>
        <w:tc>
          <w:tcPr>
            <w:tcW w:w="990" w:type="dxa"/>
            <w:tcBorders>
              <w:top w:val="nil"/>
              <w:left w:val="nil"/>
              <w:bottom w:val="single" w:sz="4" w:space="0" w:color="auto"/>
              <w:right w:val="single" w:sz="4" w:space="0" w:color="auto"/>
            </w:tcBorders>
            <w:shd w:val="clear" w:color="000000" w:fill="DCE6F1"/>
            <w:vAlign w:val="center"/>
            <w:hideMark/>
          </w:tcPr>
          <w:p w14:paraId="5EF5F02A" w14:textId="1B495CE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1C0B5ED7" w14:textId="3C2ACE1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14,700</w:t>
            </w:r>
          </w:p>
        </w:tc>
      </w:tr>
      <w:tr w:rsidR="004D73D3" w:rsidRPr="004D73D3" w14:paraId="31550D1B" w14:textId="77777777" w:rsidTr="004B31D6">
        <w:trPr>
          <w:trHeight w:val="98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32F6984A"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3. Të mundësohet që të gjithë personat me aftësi të kufizuara në Shqipëri të kenë mundësi reale dhe të barabarta për të jetuar në komunitet, me zgjedhje dhe kontroll mbi jetën e tyre, përmes strehimit të aksesueshëm, mbështetjes individuale, shërbimeve të bazuara në komunitet dhe njohjes së plotë të kapacitetit ligjor, në përputhje me Konventën e OKB për të Drejtat e Personave me Aftësi të Kufizuara.</w:t>
            </w:r>
          </w:p>
        </w:tc>
        <w:tc>
          <w:tcPr>
            <w:tcW w:w="1160" w:type="dxa"/>
            <w:tcBorders>
              <w:top w:val="nil"/>
              <w:left w:val="nil"/>
              <w:bottom w:val="single" w:sz="4" w:space="0" w:color="auto"/>
              <w:right w:val="single" w:sz="4" w:space="0" w:color="auto"/>
            </w:tcBorders>
            <w:shd w:val="clear" w:color="000000" w:fill="FDE9D9"/>
            <w:vAlign w:val="center"/>
            <w:hideMark/>
          </w:tcPr>
          <w:p w14:paraId="393D2786"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7A2214F2"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088A7CE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MSHMS/MEI</w:t>
            </w:r>
          </w:p>
        </w:tc>
        <w:tc>
          <w:tcPr>
            <w:tcW w:w="1203" w:type="dxa"/>
            <w:tcBorders>
              <w:top w:val="nil"/>
              <w:left w:val="nil"/>
              <w:bottom w:val="single" w:sz="4" w:space="0" w:color="auto"/>
              <w:right w:val="single" w:sz="8" w:space="0" w:color="auto"/>
            </w:tcBorders>
            <w:shd w:val="clear" w:color="000000" w:fill="FDE9D9"/>
            <w:vAlign w:val="center"/>
            <w:hideMark/>
          </w:tcPr>
          <w:p w14:paraId="43E58C0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MEKI/MSHMS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83A66B3" w14:textId="7804CE7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5,289</w:t>
            </w:r>
          </w:p>
        </w:tc>
        <w:tc>
          <w:tcPr>
            <w:tcW w:w="847" w:type="dxa"/>
            <w:tcBorders>
              <w:top w:val="nil"/>
              <w:left w:val="nil"/>
              <w:bottom w:val="single" w:sz="4" w:space="0" w:color="auto"/>
              <w:right w:val="single" w:sz="4" w:space="0" w:color="auto"/>
            </w:tcBorders>
            <w:shd w:val="clear" w:color="000000" w:fill="FDE9D9"/>
            <w:vAlign w:val="center"/>
            <w:hideMark/>
          </w:tcPr>
          <w:p w14:paraId="5382BFA9" w14:textId="2FA34E8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16,580</w:t>
            </w:r>
          </w:p>
        </w:tc>
        <w:tc>
          <w:tcPr>
            <w:tcW w:w="720" w:type="dxa"/>
            <w:tcBorders>
              <w:top w:val="nil"/>
              <w:left w:val="nil"/>
              <w:bottom w:val="single" w:sz="4" w:space="0" w:color="auto"/>
              <w:right w:val="single" w:sz="4" w:space="0" w:color="auto"/>
            </w:tcBorders>
            <w:shd w:val="clear" w:color="000000" w:fill="FDE9D9"/>
            <w:vAlign w:val="center"/>
            <w:hideMark/>
          </w:tcPr>
          <w:p w14:paraId="59FFA00B" w14:textId="20B5E06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27,222</w:t>
            </w:r>
          </w:p>
        </w:tc>
        <w:tc>
          <w:tcPr>
            <w:tcW w:w="810" w:type="dxa"/>
            <w:tcBorders>
              <w:top w:val="nil"/>
              <w:left w:val="nil"/>
              <w:bottom w:val="single" w:sz="4" w:space="0" w:color="auto"/>
              <w:right w:val="single" w:sz="4" w:space="0" w:color="auto"/>
            </w:tcBorders>
            <w:shd w:val="clear" w:color="000000" w:fill="FDE9D9"/>
            <w:vAlign w:val="center"/>
            <w:hideMark/>
          </w:tcPr>
          <w:p w14:paraId="3EABA42E" w14:textId="194C2EA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26,127</w:t>
            </w:r>
          </w:p>
        </w:tc>
        <w:tc>
          <w:tcPr>
            <w:tcW w:w="646" w:type="dxa"/>
            <w:tcBorders>
              <w:top w:val="nil"/>
              <w:left w:val="nil"/>
              <w:bottom w:val="single" w:sz="4" w:space="0" w:color="auto"/>
              <w:right w:val="single" w:sz="4" w:space="0" w:color="auto"/>
            </w:tcBorders>
            <w:shd w:val="clear" w:color="000000" w:fill="FDE9D9"/>
            <w:vAlign w:val="center"/>
            <w:hideMark/>
          </w:tcPr>
          <w:p w14:paraId="59C65EE9" w14:textId="12B5607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26,827</w:t>
            </w:r>
          </w:p>
        </w:tc>
        <w:tc>
          <w:tcPr>
            <w:tcW w:w="974" w:type="dxa"/>
            <w:tcBorders>
              <w:top w:val="nil"/>
              <w:left w:val="nil"/>
              <w:bottom w:val="single" w:sz="4" w:space="0" w:color="auto"/>
              <w:right w:val="nil"/>
            </w:tcBorders>
            <w:shd w:val="clear" w:color="000000" w:fill="FDE9D9"/>
            <w:vAlign w:val="center"/>
            <w:hideMark/>
          </w:tcPr>
          <w:p w14:paraId="2A34078F" w14:textId="210EA76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102,045</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2912B68B" w14:textId="6CF53A0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33,936</w:t>
            </w:r>
          </w:p>
        </w:tc>
        <w:tc>
          <w:tcPr>
            <w:tcW w:w="990" w:type="dxa"/>
            <w:tcBorders>
              <w:top w:val="nil"/>
              <w:left w:val="nil"/>
              <w:bottom w:val="single" w:sz="4" w:space="0" w:color="auto"/>
              <w:right w:val="single" w:sz="4" w:space="0" w:color="auto"/>
            </w:tcBorders>
            <w:shd w:val="clear" w:color="000000" w:fill="FDE9D9"/>
            <w:vAlign w:val="center"/>
            <w:hideMark/>
          </w:tcPr>
          <w:p w14:paraId="4DF1B1CF" w14:textId="77C0EC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4,675</w:t>
            </w:r>
          </w:p>
        </w:tc>
        <w:tc>
          <w:tcPr>
            <w:tcW w:w="953" w:type="dxa"/>
            <w:tcBorders>
              <w:top w:val="nil"/>
              <w:left w:val="nil"/>
              <w:bottom w:val="single" w:sz="4" w:space="0" w:color="auto"/>
              <w:right w:val="single" w:sz="8" w:space="0" w:color="auto"/>
            </w:tcBorders>
            <w:shd w:val="clear" w:color="000000" w:fill="FDE9D9"/>
            <w:vAlign w:val="center"/>
            <w:hideMark/>
          </w:tcPr>
          <w:p w14:paraId="4C3F3EB2" w14:textId="71CE26A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63,433</w:t>
            </w:r>
          </w:p>
        </w:tc>
      </w:tr>
      <w:tr w:rsidR="004D73D3" w:rsidRPr="004D73D3" w14:paraId="2B53952B" w14:textId="77777777" w:rsidTr="004B31D6">
        <w:trPr>
          <w:trHeight w:val="156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6E48181"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3.1. </w:t>
            </w:r>
            <w:r w:rsidRPr="005B77E1">
              <w:rPr>
                <w:rFonts w:eastAsia="Times New Roman"/>
                <w:bCs/>
                <w:color w:val="000000"/>
                <w:sz w:val="16"/>
                <w:szCs w:val="16"/>
                <w:lang w:val="en-US" w:eastAsia="en-US"/>
              </w:rPr>
              <w:t>Të garantohet e drejta e personave me aftësi të kufizuara për të jetuar në komunitet, me zgjedhje reale mbi ku, si dhe me kë jetojnë, përmes sigurimit të strehimit të aksesueshëm, shërbimeve mbështetëse në banesë dhe alternativave komunitare ndaj institucionalizimit.</w:t>
            </w:r>
          </w:p>
        </w:tc>
        <w:tc>
          <w:tcPr>
            <w:tcW w:w="1160" w:type="dxa"/>
            <w:tcBorders>
              <w:top w:val="nil"/>
              <w:left w:val="nil"/>
              <w:bottom w:val="single" w:sz="4" w:space="0" w:color="auto"/>
              <w:right w:val="single" w:sz="4" w:space="0" w:color="auto"/>
            </w:tcBorders>
            <w:shd w:val="clear" w:color="000000" w:fill="DCE6F1"/>
            <w:vAlign w:val="center"/>
            <w:hideMark/>
          </w:tcPr>
          <w:p w14:paraId="2748EA4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3350C3B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C7225F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w:t>
            </w:r>
          </w:p>
        </w:tc>
        <w:tc>
          <w:tcPr>
            <w:tcW w:w="1203" w:type="dxa"/>
            <w:tcBorders>
              <w:top w:val="nil"/>
              <w:left w:val="nil"/>
              <w:bottom w:val="single" w:sz="4" w:space="0" w:color="auto"/>
              <w:right w:val="single" w:sz="8" w:space="0" w:color="auto"/>
            </w:tcBorders>
            <w:shd w:val="clear" w:color="000000" w:fill="DCE6F1"/>
            <w:vAlign w:val="center"/>
            <w:hideMark/>
          </w:tcPr>
          <w:p w14:paraId="02275BB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MEI/MSHMS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AF51214" w14:textId="631119A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66C36A5F" w14:textId="3DB85CE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2,345</w:t>
            </w:r>
          </w:p>
        </w:tc>
        <w:tc>
          <w:tcPr>
            <w:tcW w:w="720" w:type="dxa"/>
            <w:tcBorders>
              <w:top w:val="nil"/>
              <w:left w:val="nil"/>
              <w:bottom w:val="single" w:sz="4" w:space="0" w:color="auto"/>
              <w:right w:val="single" w:sz="4" w:space="0" w:color="auto"/>
            </w:tcBorders>
            <w:shd w:val="clear" w:color="000000" w:fill="DCE6F1"/>
            <w:vAlign w:val="center"/>
            <w:hideMark/>
          </w:tcPr>
          <w:p w14:paraId="71D4BEF0" w14:textId="2CC3F32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20,127</w:t>
            </w:r>
          </w:p>
        </w:tc>
        <w:tc>
          <w:tcPr>
            <w:tcW w:w="810" w:type="dxa"/>
            <w:tcBorders>
              <w:top w:val="nil"/>
              <w:left w:val="nil"/>
              <w:bottom w:val="single" w:sz="4" w:space="0" w:color="auto"/>
              <w:right w:val="single" w:sz="4" w:space="0" w:color="auto"/>
            </w:tcBorders>
            <w:shd w:val="clear" w:color="000000" w:fill="DCE6F1"/>
            <w:vAlign w:val="center"/>
            <w:hideMark/>
          </w:tcPr>
          <w:p w14:paraId="09ADE3C5" w14:textId="7BE56DD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20,127</w:t>
            </w:r>
          </w:p>
        </w:tc>
        <w:tc>
          <w:tcPr>
            <w:tcW w:w="646" w:type="dxa"/>
            <w:tcBorders>
              <w:top w:val="nil"/>
              <w:left w:val="nil"/>
              <w:bottom w:val="single" w:sz="4" w:space="0" w:color="auto"/>
              <w:right w:val="single" w:sz="4" w:space="0" w:color="auto"/>
            </w:tcBorders>
            <w:shd w:val="clear" w:color="000000" w:fill="DCE6F1"/>
            <w:vAlign w:val="center"/>
            <w:hideMark/>
          </w:tcPr>
          <w:p w14:paraId="6F07A34D" w14:textId="39723FB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20,827</w:t>
            </w:r>
          </w:p>
        </w:tc>
        <w:tc>
          <w:tcPr>
            <w:tcW w:w="974" w:type="dxa"/>
            <w:tcBorders>
              <w:top w:val="nil"/>
              <w:left w:val="nil"/>
              <w:bottom w:val="single" w:sz="4" w:space="0" w:color="auto"/>
              <w:right w:val="nil"/>
            </w:tcBorders>
            <w:shd w:val="clear" w:color="000000" w:fill="DCE6F1"/>
            <w:vAlign w:val="center"/>
            <w:hideMark/>
          </w:tcPr>
          <w:p w14:paraId="1310BDA8" w14:textId="3DCC3ED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63,426</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448931A" w14:textId="38731C0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19,463</w:t>
            </w:r>
          </w:p>
        </w:tc>
        <w:tc>
          <w:tcPr>
            <w:tcW w:w="990" w:type="dxa"/>
            <w:tcBorders>
              <w:top w:val="nil"/>
              <w:left w:val="nil"/>
              <w:bottom w:val="single" w:sz="4" w:space="0" w:color="auto"/>
              <w:right w:val="single" w:sz="4" w:space="0" w:color="auto"/>
            </w:tcBorders>
            <w:shd w:val="clear" w:color="000000" w:fill="DCE6F1"/>
            <w:vAlign w:val="center"/>
            <w:hideMark/>
          </w:tcPr>
          <w:p w14:paraId="6F400158" w14:textId="4310FF3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05806FF4" w14:textId="6ED987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43,963</w:t>
            </w:r>
          </w:p>
        </w:tc>
      </w:tr>
      <w:tr w:rsidR="004D73D3" w:rsidRPr="004D73D3" w14:paraId="23E6260B"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408E6EEF"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3.2. </w:t>
            </w:r>
            <w:r w:rsidRPr="005B77E1">
              <w:rPr>
                <w:rFonts w:eastAsia="Times New Roman"/>
                <w:bCs/>
                <w:color w:val="000000"/>
                <w:sz w:val="16"/>
                <w:szCs w:val="16"/>
                <w:lang w:val="en-US" w:eastAsia="en-US"/>
              </w:rPr>
              <w:t>Të krijohet dhe zbatohet një program kombëtar i shërbimit të ndihmësit personal, në mbështetje të jetesës së pavarur, i standardizuar, i financuar dhe i monitoruar, që u mundëson personave me aftësi të kufizuara të kontrollojnë jetën e tyre, të marrin pjesë në komunitet</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3342984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CD879E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7C9E09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56BA183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SHSSH</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C3FA629" w14:textId="735C5C2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4,789</w:t>
            </w:r>
          </w:p>
        </w:tc>
        <w:tc>
          <w:tcPr>
            <w:tcW w:w="847" w:type="dxa"/>
            <w:tcBorders>
              <w:top w:val="nil"/>
              <w:left w:val="nil"/>
              <w:bottom w:val="single" w:sz="4" w:space="0" w:color="auto"/>
              <w:right w:val="single" w:sz="4" w:space="0" w:color="auto"/>
            </w:tcBorders>
            <w:shd w:val="clear" w:color="000000" w:fill="DCE6F1"/>
            <w:vAlign w:val="center"/>
            <w:hideMark/>
          </w:tcPr>
          <w:p w14:paraId="70D644DD" w14:textId="38173FF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12,734</w:t>
            </w:r>
          </w:p>
        </w:tc>
        <w:tc>
          <w:tcPr>
            <w:tcW w:w="720" w:type="dxa"/>
            <w:tcBorders>
              <w:top w:val="nil"/>
              <w:left w:val="nil"/>
              <w:bottom w:val="single" w:sz="4" w:space="0" w:color="auto"/>
              <w:right w:val="single" w:sz="4" w:space="0" w:color="auto"/>
            </w:tcBorders>
            <w:shd w:val="clear" w:color="000000" w:fill="DCE6F1"/>
            <w:vAlign w:val="center"/>
            <w:hideMark/>
          </w:tcPr>
          <w:p w14:paraId="671CC78C" w14:textId="40ADBC1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6,595</w:t>
            </w:r>
          </w:p>
        </w:tc>
        <w:tc>
          <w:tcPr>
            <w:tcW w:w="810" w:type="dxa"/>
            <w:tcBorders>
              <w:top w:val="nil"/>
              <w:left w:val="nil"/>
              <w:bottom w:val="single" w:sz="4" w:space="0" w:color="auto"/>
              <w:right w:val="single" w:sz="4" w:space="0" w:color="auto"/>
            </w:tcBorders>
            <w:shd w:val="clear" w:color="000000" w:fill="DCE6F1"/>
            <w:vAlign w:val="center"/>
            <w:hideMark/>
          </w:tcPr>
          <w:p w14:paraId="56202A0A" w14:textId="31B5003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6,000</w:t>
            </w:r>
          </w:p>
        </w:tc>
        <w:tc>
          <w:tcPr>
            <w:tcW w:w="646" w:type="dxa"/>
            <w:tcBorders>
              <w:top w:val="nil"/>
              <w:left w:val="nil"/>
              <w:bottom w:val="single" w:sz="4" w:space="0" w:color="auto"/>
              <w:right w:val="single" w:sz="4" w:space="0" w:color="auto"/>
            </w:tcBorders>
            <w:shd w:val="clear" w:color="000000" w:fill="DCE6F1"/>
            <w:vAlign w:val="center"/>
            <w:hideMark/>
          </w:tcPr>
          <w:p w14:paraId="2AF995DB" w14:textId="15DBD4E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6,000</w:t>
            </w:r>
          </w:p>
        </w:tc>
        <w:tc>
          <w:tcPr>
            <w:tcW w:w="974" w:type="dxa"/>
            <w:tcBorders>
              <w:top w:val="nil"/>
              <w:left w:val="nil"/>
              <w:bottom w:val="single" w:sz="4" w:space="0" w:color="auto"/>
              <w:right w:val="nil"/>
            </w:tcBorders>
            <w:shd w:val="clear" w:color="000000" w:fill="DCE6F1"/>
            <w:vAlign w:val="center"/>
            <w:hideMark/>
          </w:tcPr>
          <w:p w14:paraId="43F6AC54" w14:textId="32675D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36,118</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93DEE13" w14:textId="44994EE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14,473</w:t>
            </w:r>
          </w:p>
        </w:tc>
        <w:tc>
          <w:tcPr>
            <w:tcW w:w="990" w:type="dxa"/>
            <w:tcBorders>
              <w:top w:val="nil"/>
              <w:left w:val="nil"/>
              <w:bottom w:val="single" w:sz="4" w:space="0" w:color="auto"/>
              <w:right w:val="single" w:sz="4" w:space="0" w:color="auto"/>
            </w:tcBorders>
            <w:shd w:val="clear" w:color="000000" w:fill="DCE6F1"/>
            <w:vAlign w:val="center"/>
            <w:hideMark/>
          </w:tcPr>
          <w:p w14:paraId="07E34DC2" w14:textId="4A55D47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4,175</w:t>
            </w:r>
          </w:p>
        </w:tc>
        <w:tc>
          <w:tcPr>
            <w:tcW w:w="953" w:type="dxa"/>
            <w:tcBorders>
              <w:top w:val="nil"/>
              <w:left w:val="nil"/>
              <w:bottom w:val="single" w:sz="4" w:space="0" w:color="auto"/>
              <w:right w:val="single" w:sz="8" w:space="0" w:color="auto"/>
            </w:tcBorders>
            <w:shd w:val="clear" w:color="000000" w:fill="DCE6F1"/>
            <w:vAlign w:val="center"/>
            <w:hideMark/>
          </w:tcPr>
          <w:p w14:paraId="362AD2CF" w14:textId="6DA2E25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17,470</w:t>
            </w:r>
          </w:p>
        </w:tc>
      </w:tr>
      <w:tr w:rsidR="004D73D3" w:rsidRPr="004D73D3" w14:paraId="5793BD2A"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4F4E3B7A" w14:textId="77777777" w:rsidR="004D73D3" w:rsidRPr="004D73D3" w:rsidRDefault="004D73D3" w:rsidP="00817FC2">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3.3. </w:t>
            </w:r>
            <w:r w:rsidRPr="005B77E1">
              <w:rPr>
                <w:rFonts w:eastAsia="Times New Roman"/>
                <w:bCs/>
                <w:color w:val="000000"/>
                <w:sz w:val="16"/>
                <w:szCs w:val="16"/>
                <w:lang w:val="en-US" w:eastAsia="en-US"/>
              </w:rPr>
              <w:t>Të garantohet për të gjithë personat me aftësi të kufizuara njohja e plotë para ligjit dhe e drejta për të marrë vendime për jetën e tyre, përmes zëvendësimit të kujdestarisë me një sistem të vendimmarrjes së mbështetur që respekton vullnetin, preferencat dhe autonominë e individit (Referohu tek Drejtësia</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074C9C1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210D50B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16DD2F1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3E64D70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MD</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D99240B" w14:textId="44F3CB1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847" w:type="dxa"/>
            <w:tcBorders>
              <w:top w:val="nil"/>
              <w:left w:val="nil"/>
              <w:bottom w:val="single" w:sz="4" w:space="0" w:color="auto"/>
              <w:right w:val="single" w:sz="4" w:space="0" w:color="auto"/>
            </w:tcBorders>
            <w:shd w:val="clear" w:color="000000" w:fill="DCE6F1"/>
            <w:vAlign w:val="center"/>
            <w:hideMark/>
          </w:tcPr>
          <w:p w14:paraId="37089C4E" w14:textId="00B3F50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720" w:type="dxa"/>
            <w:tcBorders>
              <w:top w:val="nil"/>
              <w:left w:val="nil"/>
              <w:bottom w:val="single" w:sz="4" w:space="0" w:color="auto"/>
              <w:right w:val="single" w:sz="4" w:space="0" w:color="auto"/>
            </w:tcBorders>
            <w:shd w:val="clear" w:color="000000" w:fill="DCE6F1"/>
            <w:vAlign w:val="center"/>
            <w:hideMark/>
          </w:tcPr>
          <w:p w14:paraId="60611BCC" w14:textId="034FB6F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810" w:type="dxa"/>
            <w:tcBorders>
              <w:top w:val="nil"/>
              <w:left w:val="nil"/>
              <w:bottom w:val="single" w:sz="4" w:space="0" w:color="auto"/>
              <w:right w:val="single" w:sz="4" w:space="0" w:color="auto"/>
            </w:tcBorders>
            <w:shd w:val="clear" w:color="000000" w:fill="DCE6F1"/>
            <w:vAlign w:val="center"/>
            <w:hideMark/>
          </w:tcPr>
          <w:p w14:paraId="08745B8C" w14:textId="0EE0D70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72E8B5B1" w14:textId="6D16C06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648F2B1A" w14:textId="0047FFA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375828C" w14:textId="38BEBA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2E1E2999" w14:textId="1DC1231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953" w:type="dxa"/>
            <w:tcBorders>
              <w:top w:val="nil"/>
              <w:left w:val="nil"/>
              <w:bottom w:val="single" w:sz="4" w:space="0" w:color="auto"/>
              <w:right w:val="single" w:sz="8" w:space="0" w:color="auto"/>
            </w:tcBorders>
            <w:shd w:val="clear" w:color="000000" w:fill="DCE6F1"/>
            <w:vAlign w:val="center"/>
            <w:hideMark/>
          </w:tcPr>
          <w:p w14:paraId="562EAC45" w14:textId="0A45677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r>
      <w:tr w:rsidR="004D73D3" w:rsidRPr="004D73D3" w14:paraId="2BF81A45"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59CCD5E3" w14:textId="77777777" w:rsidR="004D73D3" w:rsidRPr="004D73D3" w:rsidRDefault="004D73D3" w:rsidP="00817FC2">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lastRenderedPageBreak/>
              <w:t>Objektivi specifik 4: Të garantohet mbrojtja efektive e të drejtave, dinjitetit dhe barazisë së grave dhe vajzave me aftësi të kufizuara nga të gjitha format e dhunës, duke adresuar diskriminimin e shumëfishtë dhe duke siguruar akses të plotë dhe të përshtatur në shërbime, mekanizma mbrojtës dhe drejtësi.</w:t>
            </w:r>
          </w:p>
        </w:tc>
        <w:tc>
          <w:tcPr>
            <w:tcW w:w="1160" w:type="dxa"/>
            <w:tcBorders>
              <w:top w:val="nil"/>
              <w:left w:val="nil"/>
              <w:bottom w:val="single" w:sz="4" w:space="0" w:color="auto"/>
              <w:right w:val="single" w:sz="4" w:space="0" w:color="auto"/>
            </w:tcBorders>
            <w:shd w:val="clear" w:color="000000" w:fill="FDE9D9"/>
            <w:vAlign w:val="center"/>
            <w:hideMark/>
          </w:tcPr>
          <w:p w14:paraId="2236594E"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1A0CD822"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79CC5F2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FDE9D9"/>
            <w:vAlign w:val="center"/>
            <w:hideMark/>
          </w:tcPr>
          <w:p w14:paraId="306C1E7C"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3EDA4C7F" w14:textId="1EED927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3,173</w:t>
            </w:r>
          </w:p>
        </w:tc>
        <w:tc>
          <w:tcPr>
            <w:tcW w:w="847" w:type="dxa"/>
            <w:tcBorders>
              <w:top w:val="nil"/>
              <w:left w:val="nil"/>
              <w:bottom w:val="single" w:sz="4" w:space="0" w:color="auto"/>
              <w:right w:val="single" w:sz="4" w:space="0" w:color="auto"/>
            </w:tcBorders>
            <w:shd w:val="clear" w:color="000000" w:fill="FDE9D9"/>
            <w:vAlign w:val="center"/>
            <w:hideMark/>
          </w:tcPr>
          <w:p w14:paraId="57B5689F" w14:textId="4803BB1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128,443</w:t>
            </w:r>
          </w:p>
        </w:tc>
        <w:tc>
          <w:tcPr>
            <w:tcW w:w="720" w:type="dxa"/>
            <w:tcBorders>
              <w:top w:val="nil"/>
              <w:left w:val="nil"/>
              <w:bottom w:val="single" w:sz="4" w:space="0" w:color="auto"/>
              <w:right w:val="single" w:sz="4" w:space="0" w:color="auto"/>
            </w:tcBorders>
            <w:shd w:val="clear" w:color="000000" w:fill="FDE9D9"/>
            <w:vAlign w:val="center"/>
            <w:hideMark/>
          </w:tcPr>
          <w:p w14:paraId="657B7659" w14:textId="3127269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7,718</w:t>
            </w:r>
          </w:p>
        </w:tc>
        <w:tc>
          <w:tcPr>
            <w:tcW w:w="810" w:type="dxa"/>
            <w:tcBorders>
              <w:top w:val="nil"/>
              <w:left w:val="nil"/>
              <w:bottom w:val="single" w:sz="4" w:space="0" w:color="auto"/>
              <w:right w:val="single" w:sz="4" w:space="0" w:color="auto"/>
            </w:tcBorders>
            <w:shd w:val="clear" w:color="000000" w:fill="FDE9D9"/>
            <w:vAlign w:val="center"/>
            <w:hideMark/>
          </w:tcPr>
          <w:p w14:paraId="4C782553" w14:textId="0430BBC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6,545</w:t>
            </w:r>
          </w:p>
        </w:tc>
        <w:tc>
          <w:tcPr>
            <w:tcW w:w="646" w:type="dxa"/>
            <w:tcBorders>
              <w:top w:val="nil"/>
              <w:left w:val="nil"/>
              <w:bottom w:val="single" w:sz="4" w:space="0" w:color="auto"/>
              <w:right w:val="single" w:sz="4" w:space="0" w:color="auto"/>
            </w:tcBorders>
            <w:shd w:val="clear" w:color="000000" w:fill="FDE9D9"/>
            <w:vAlign w:val="center"/>
            <w:hideMark/>
          </w:tcPr>
          <w:p w14:paraId="383CB7B2" w14:textId="1C742A9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131,061</w:t>
            </w:r>
          </w:p>
        </w:tc>
        <w:tc>
          <w:tcPr>
            <w:tcW w:w="974" w:type="dxa"/>
            <w:tcBorders>
              <w:top w:val="nil"/>
              <w:left w:val="nil"/>
              <w:bottom w:val="single" w:sz="4" w:space="0" w:color="auto"/>
              <w:right w:val="nil"/>
            </w:tcBorders>
            <w:shd w:val="clear" w:color="000000" w:fill="FDE9D9"/>
            <w:vAlign w:val="center"/>
            <w:hideMark/>
          </w:tcPr>
          <w:p w14:paraId="0C5FF9A4" w14:textId="338D4C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276,941</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58F8B11D" w14:textId="2A7C5EE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255,905</w:t>
            </w:r>
          </w:p>
        </w:tc>
        <w:tc>
          <w:tcPr>
            <w:tcW w:w="990" w:type="dxa"/>
            <w:tcBorders>
              <w:top w:val="nil"/>
              <w:left w:val="nil"/>
              <w:bottom w:val="single" w:sz="4" w:space="0" w:color="auto"/>
              <w:right w:val="single" w:sz="4" w:space="0" w:color="auto"/>
            </w:tcBorders>
            <w:shd w:val="clear" w:color="000000" w:fill="FDE9D9"/>
            <w:vAlign w:val="center"/>
            <w:hideMark/>
          </w:tcPr>
          <w:p w14:paraId="57AF89A3" w14:textId="48F7E49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c>
          <w:tcPr>
            <w:tcW w:w="953" w:type="dxa"/>
            <w:tcBorders>
              <w:top w:val="nil"/>
              <w:left w:val="nil"/>
              <w:bottom w:val="single" w:sz="4" w:space="0" w:color="auto"/>
              <w:right w:val="single" w:sz="8" w:space="0" w:color="auto"/>
            </w:tcBorders>
            <w:shd w:val="clear" w:color="000000" w:fill="FDE9D9"/>
            <w:vAlign w:val="center"/>
            <w:hideMark/>
          </w:tcPr>
          <w:p w14:paraId="044025D5" w14:textId="23D8115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19,986</w:t>
            </w:r>
          </w:p>
        </w:tc>
      </w:tr>
      <w:tr w:rsidR="004D73D3" w:rsidRPr="004D73D3" w14:paraId="56A04BFB"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814A441" w14:textId="77777777" w:rsidR="004D73D3" w:rsidRPr="005B77E1" w:rsidRDefault="004D73D3" w:rsidP="005B77E1">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 4.1</w:t>
            </w:r>
            <w:r w:rsidRPr="005B77E1">
              <w:rPr>
                <w:rFonts w:eastAsia="Times New Roman"/>
                <w:bCs/>
                <w:color w:val="000000"/>
                <w:sz w:val="16"/>
                <w:szCs w:val="16"/>
                <w:lang w:val="en-US" w:eastAsia="en-US"/>
              </w:rPr>
              <w:t>. Garantimi i aksesueshmërisë dhe përshtatjes së shërbimeve, mekanizmave të referimit dhe procedurave për gratë dhe vajzat me aftësi të kufizuara, viktima të dhunës.</w:t>
            </w:r>
          </w:p>
        </w:tc>
        <w:tc>
          <w:tcPr>
            <w:tcW w:w="1160" w:type="dxa"/>
            <w:tcBorders>
              <w:top w:val="nil"/>
              <w:left w:val="nil"/>
              <w:bottom w:val="single" w:sz="4" w:space="0" w:color="auto"/>
              <w:right w:val="single" w:sz="4" w:space="0" w:color="auto"/>
            </w:tcBorders>
            <w:shd w:val="clear" w:color="000000" w:fill="DCE6F1"/>
            <w:vAlign w:val="center"/>
            <w:hideMark/>
          </w:tcPr>
          <w:p w14:paraId="7AEE2D9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E592F1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E6F4DD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6F0AAA9D"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74043FF" w14:textId="1DACD92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1,173</w:t>
            </w:r>
          </w:p>
        </w:tc>
        <w:tc>
          <w:tcPr>
            <w:tcW w:w="847" w:type="dxa"/>
            <w:tcBorders>
              <w:top w:val="nil"/>
              <w:left w:val="nil"/>
              <w:bottom w:val="single" w:sz="4" w:space="0" w:color="auto"/>
              <w:right w:val="single" w:sz="4" w:space="0" w:color="auto"/>
            </w:tcBorders>
            <w:shd w:val="clear" w:color="000000" w:fill="DCE6F1"/>
            <w:vAlign w:val="center"/>
            <w:hideMark/>
          </w:tcPr>
          <w:p w14:paraId="477D43F6" w14:textId="233E863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3,343</w:t>
            </w:r>
          </w:p>
        </w:tc>
        <w:tc>
          <w:tcPr>
            <w:tcW w:w="720" w:type="dxa"/>
            <w:tcBorders>
              <w:top w:val="nil"/>
              <w:left w:val="nil"/>
              <w:bottom w:val="single" w:sz="4" w:space="0" w:color="auto"/>
              <w:right w:val="single" w:sz="4" w:space="0" w:color="auto"/>
            </w:tcBorders>
            <w:shd w:val="clear" w:color="000000" w:fill="DCE6F1"/>
            <w:vAlign w:val="center"/>
            <w:hideMark/>
          </w:tcPr>
          <w:p w14:paraId="2BA5024B" w14:textId="5FA1595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1,173</w:t>
            </w:r>
          </w:p>
        </w:tc>
        <w:tc>
          <w:tcPr>
            <w:tcW w:w="810" w:type="dxa"/>
            <w:tcBorders>
              <w:top w:val="nil"/>
              <w:left w:val="nil"/>
              <w:bottom w:val="single" w:sz="4" w:space="0" w:color="auto"/>
              <w:right w:val="single" w:sz="4" w:space="0" w:color="auto"/>
            </w:tcBorders>
            <w:shd w:val="clear" w:color="000000" w:fill="DCE6F1"/>
            <w:vAlign w:val="center"/>
            <w:hideMark/>
          </w:tcPr>
          <w:p w14:paraId="7455CD7C" w14:textId="7930890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1AB910E0" w14:textId="5638E56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4,516</w:t>
            </w:r>
          </w:p>
        </w:tc>
        <w:tc>
          <w:tcPr>
            <w:tcW w:w="974" w:type="dxa"/>
            <w:tcBorders>
              <w:top w:val="nil"/>
              <w:left w:val="nil"/>
              <w:bottom w:val="single" w:sz="4" w:space="0" w:color="auto"/>
              <w:right w:val="nil"/>
            </w:tcBorders>
            <w:shd w:val="clear" w:color="000000" w:fill="DCE6F1"/>
            <w:vAlign w:val="center"/>
            <w:hideMark/>
          </w:tcPr>
          <w:p w14:paraId="48C91A65" w14:textId="3A0378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10,205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606774C" w14:textId="0627E87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1,105</w:t>
            </w:r>
          </w:p>
        </w:tc>
        <w:tc>
          <w:tcPr>
            <w:tcW w:w="990" w:type="dxa"/>
            <w:tcBorders>
              <w:top w:val="nil"/>
              <w:left w:val="nil"/>
              <w:bottom w:val="single" w:sz="4" w:space="0" w:color="auto"/>
              <w:right w:val="single" w:sz="4" w:space="0" w:color="auto"/>
            </w:tcBorders>
            <w:shd w:val="clear" w:color="000000" w:fill="DCE6F1"/>
            <w:vAlign w:val="center"/>
            <w:hideMark/>
          </w:tcPr>
          <w:p w14:paraId="211B79F3" w14:textId="10D37B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c>
          <w:tcPr>
            <w:tcW w:w="953" w:type="dxa"/>
            <w:tcBorders>
              <w:top w:val="nil"/>
              <w:left w:val="nil"/>
              <w:bottom w:val="single" w:sz="4" w:space="0" w:color="auto"/>
              <w:right w:val="single" w:sz="8" w:space="0" w:color="auto"/>
            </w:tcBorders>
            <w:shd w:val="clear" w:color="000000" w:fill="DCE6F1"/>
            <w:vAlign w:val="center"/>
            <w:hideMark/>
          </w:tcPr>
          <w:p w14:paraId="362222DD" w14:textId="4817C5E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8,050</w:t>
            </w:r>
          </w:p>
        </w:tc>
      </w:tr>
      <w:tr w:rsidR="004D73D3" w:rsidRPr="004D73D3" w14:paraId="62E66EA2"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E8FB1E6" w14:textId="77777777" w:rsidR="004D73D3" w:rsidRPr="005B77E1" w:rsidRDefault="004D73D3" w:rsidP="005B77E1">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 4.2</w:t>
            </w:r>
            <w:r w:rsidRPr="005B77E1">
              <w:rPr>
                <w:rFonts w:eastAsia="Times New Roman"/>
                <w:bCs/>
                <w:color w:val="000000"/>
                <w:sz w:val="16"/>
                <w:szCs w:val="16"/>
                <w:lang w:val="en-US" w:eastAsia="en-US"/>
              </w:rPr>
              <w:t>. Parandalimi i dhunës ndaj grave dhe vajzave me aftësi të kufizuara në familje dhe komunitet, përmes rritjes së ndërgjegjësimit të familjarëve, kujdestarëve dhe komunitetit, si dhe forcimit të mekanizmave të raportimit të bazuara në evidencë, mbrojtjes dhe ndërhyrjes së hershme.</w:t>
            </w:r>
          </w:p>
        </w:tc>
        <w:tc>
          <w:tcPr>
            <w:tcW w:w="1160" w:type="dxa"/>
            <w:tcBorders>
              <w:top w:val="nil"/>
              <w:left w:val="nil"/>
              <w:bottom w:val="single" w:sz="4" w:space="0" w:color="auto"/>
              <w:right w:val="single" w:sz="4" w:space="0" w:color="auto"/>
            </w:tcBorders>
            <w:shd w:val="clear" w:color="000000" w:fill="DCE6F1"/>
            <w:vAlign w:val="center"/>
            <w:hideMark/>
          </w:tcPr>
          <w:p w14:paraId="49A8BCF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6966259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0EBD3E9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0D160E4E"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222F80B5" w14:textId="2F2327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c>
          <w:tcPr>
            <w:tcW w:w="847" w:type="dxa"/>
            <w:tcBorders>
              <w:top w:val="nil"/>
              <w:left w:val="nil"/>
              <w:bottom w:val="single" w:sz="4" w:space="0" w:color="auto"/>
              <w:right w:val="single" w:sz="4" w:space="0" w:color="auto"/>
            </w:tcBorders>
            <w:shd w:val="clear" w:color="000000" w:fill="DCE6F1"/>
            <w:vAlign w:val="center"/>
            <w:hideMark/>
          </w:tcPr>
          <w:p w14:paraId="13696657" w14:textId="238553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4,100</w:t>
            </w:r>
          </w:p>
        </w:tc>
        <w:tc>
          <w:tcPr>
            <w:tcW w:w="720" w:type="dxa"/>
            <w:tcBorders>
              <w:top w:val="nil"/>
              <w:left w:val="nil"/>
              <w:bottom w:val="single" w:sz="4" w:space="0" w:color="auto"/>
              <w:right w:val="single" w:sz="4" w:space="0" w:color="auto"/>
            </w:tcBorders>
            <w:shd w:val="clear" w:color="000000" w:fill="DCE6F1"/>
            <w:vAlign w:val="center"/>
            <w:hideMark/>
          </w:tcPr>
          <w:p w14:paraId="4D87CF20" w14:textId="6B9E2F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3,900</w:t>
            </w:r>
          </w:p>
        </w:tc>
        <w:tc>
          <w:tcPr>
            <w:tcW w:w="810" w:type="dxa"/>
            <w:tcBorders>
              <w:top w:val="nil"/>
              <w:left w:val="nil"/>
              <w:bottom w:val="single" w:sz="4" w:space="0" w:color="auto"/>
              <w:right w:val="single" w:sz="4" w:space="0" w:color="auto"/>
            </w:tcBorders>
            <w:shd w:val="clear" w:color="000000" w:fill="DCE6F1"/>
            <w:vAlign w:val="center"/>
            <w:hideMark/>
          </w:tcPr>
          <w:p w14:paraId="6E21EF51" w14:textId="44C4C1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3,900</w:t>
            </w:r>
          </w:p>
        </w:tc>
        <w:tc>
          <w:tcPr>
            <w:tcW w:w="646" w:type="dxa"/>
            <w:tcBorders>
              <w:top w:val="nil"/>
              <w:left w:val="nil"/>
              <w:bottom w:val="single" w:sz="4" w:space="0" w:color="auto"/>
              <w:right w:val="single" w:sz="4" w:space="0" w:color="auto"/>
            </w:tcBorders>
            <w:shd w:val="clear" w:color="000000" w:fill="DCE6F1"/>
            <w:vAlign w:val="center"/>
            <w:hideMark/>
          </w:tcPr>
          <w:p w14:paraId="26E6D776" w14:textId="7D9198A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3,900</w:t>
            </w:r>
          </w:p>
        </w:tc>
        <w:tc>
          <w:tcPr>
            <w:tcW w:w="974" w:type="dxa"/>
            <w:tcBorders>
              <w:top w:val="nil"/>
              <w:left w:val="nil"/>
              <w:bottom w:val="single" w:sz="4" w:space="0" w:color="auto"/>
              <w:right w:val="nil"/>
            </w:tcBorders>
            <w:shd w:val="clear" w:color="000000" w:fill="DCE6F1"/>
            <w:vAlign w:val="center"/>
            <w:hideMark/>
          </w:tcPr>
          <w:p w14:paraId="00E4860A" w14:textId="050F4D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17,800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59F6DBA3" w14:textId="6DA7AE5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14,800</w:t>
            </w:r>
          </w:p>
        </w:tc>
        <w:tc>
          <w:tcPr>
            <w:tcW w:w="990" w:type="dxa"/>
            <w:tcBorders>
              <w:top w:val="nil"/>
              <w:left w:val="nil"/>
              <w:bottom w:val="single" w:sz="4" w:space="0" w:color="auto"/>
              <w:right w:val="single" w:sz="4" w:space="0" w:color="auto"/>
            </w:tcBorders>
            <w:shd w:val="clear" w:color="000000" w:fill="DCE6F1"/>
            <w:vAlign w:val="center"/>
            <w:hideMark/>
          </w:tcPr>
          <w:p w14:paraId="6E54EA48" w14:textId="01AE181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4AACD14E" w14:textId="097A811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w:t>
            </w:r>
          </w:p>
        </w:tc>
      </w:tr>
      <w:tr w:rsidR="004D73D3" w:rsidRPr="004D73D3" w14:paraId="35F5F97F"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D2F19C3" w14:textId="77777777" w:rsidR="004D73D3" w:rsidRPr="005B77E1" w:rsidRDefault="004D73D3" w:rsidP="005B77E1">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 4. 3</w:t>
            </w:r>
            <w:r w:rsidRPr="005B77E1">
              <w:rPr>
                <w:rFonts w:eastAsia="Times New Roman"/>
                <w:bCs/>
                <w:color w:val="000000"/>
                <w:sz w:val="16"/>
                <w:szCs w:val="16"/>
                <w:lang w:val="en-US" w:eastAsia="en-US"/>
              </w:rPr>
              <w:t xml:space="preserve">. Mundësimi i një qasjeje të plotë, të informuar dhe padiskriminim në shërbime të shëndetit seksual dhe riprodhues, duke respektuar autonominë dhe të drejtat riprodhuese të grave me aftësi të kufizuara. </w:t>
            </w:r>
          </w:p>
        </w:tc>
        <w:tc>
          <w:tcPr>
            <w:tcW w:w="1160" w:type="dxa"/>
            <w:tcBorders>
              <w:top w:val="nil"/>
              <w:left w:val="nil"/>
              <w:bottom w:val="single" w:sz="4" w:space="0" w:color="auto"/>
              <w:right w:val="single" w:sz="4" w:space="0" w:color="auto"/>
            </w:tcBorders>
            <w:shd w:val="clear" w:color="000000" w:fill="DCE6F1"/>
            <w:vAlign w:val="center"/>
            <w:hideMark/>
          </w:tcPr>
          <w:p w14:paraId="52FC30A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2FE4005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8EECD5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5C498A5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MSHMS/ISHP/OSHKSH</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C4CAA09" w14:textId="216BCDF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7423D5DC" w14:textId="05EE90A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121,000</w:t>
            </w:r>
          </w:p>
        </w:tc>
        <w:tc>
          <w:tcPr>
            <w:tcW w:w="720" w:type="dxa"/>
            <w:tcBorders>
              <w:top w:val="nil"/>
              <w:left w:val="nil"/>
              <w:bottom w:val="single" w:sz="4" w:space="0" w:color="auto"/>
              <w:right w:val="single" w:sz="4" w:space="0" w:color="auto"/>
            </w:tcBorders>
            <w:shd w:val="clear" w:color="000000" w:fill="DCE6F1"/>
            <w:vAlign w:val="center"/>
            <w:hideMark/>
          </w:tcPr>
          <w:p w14:paraId="1DD05AC6" w14:textId="2464705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2,645</w:t>
            </w:r>
          </w:p>
        </w:tc>
        <w:tc>
          <w:tcPr>
            <w:tcW w:w="810" w:type="dxa"/>
            <w:tcBorders>
              <w:top w:val="nil"/>
              <w:left w:val="nil"/>
              <w:bottom w:val="single" w:sz="4" w:space="0" w:color="auto"/>
              <w:right w:val="single" w:sz="4" w:space="0" w:color="auto"/>
            </w:tcBorders>
            <w:shd w:val="clear" w:color="000000" w:fill="DCE6F1"/>
            <w:vAlign w:val="center"/>
            <w:hideMark/>
          </w:tcPr>
          <w:p w14:paraId="5D372F86" w14:textId="2AE7CF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2,645</w:t>
            </w:r>
          </w:p>
        </w:tc>
        <w:tc>
          <w:tcPr>
            <w:tcW w:w="646" w:type="dxa"/>
            <w:tcBorders>
              <w:top w:val="nil"/>
              <w:left w:val="nil"/>
              <w:bottom w:val="single" w:sz="4" w:space="0" w:color="auto"/>
              <w:right w:val="single" w:sz="4" w:space="0" w:color="auto"/>
            </w:tcBorders>
            <w:shd w:val="clear" w:color="000000" w:fill="DCE6F1"/>
            <w:vAlign w:val="center"/>
            <w:hideMark/>
          </w:tcPr>
          <w:p w14:paraId="29272077" w14:textId="6D3EFCA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122,645</w:t>
            </w:r>
          </w:p>
        </w:tc>
        <w:tc>
          <w:tcPr>
            <w:tcW w:w="974" w:type="dxa"/>
            <w:tcBorders>
              <w:top w:val="nil"/>
              <w:left w:val="nil"/>
              <w:bottom w:val="single" w:sz="4" w:space="0" w:color="auto"/>
              <w:right w:val="nil"/>
            </w:tcBorders>
            <w:shd w:val="clear" w:color="000000" w:fill="DCE6F1"/>
            <w:vAlign w:val="center"/>
            <w:hideMark/>
          </w:tcPr>
          <w:p w14:paraId="5D154793" w14:textId="0D61912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248,936</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467C425" w14:textId="3FF0EA0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240,000</w:t>
            </w:r>
          </w:p>
        </w:tc>
        <w:tc>
          <w:tcPr>
            <w:tcW w:w="990" w:type="dxa"/>
            <w:tcBorders>
              <w:top w:val="nil"/>
              <w:left w:val="nil"/>
              <w:bottom w:val="single" w:sz="4" w:space="0" w:color="auto"/>
              <w:right w:val="single" w:sz="4" w:space="0" w:color="auto"/>
            </w:tcBorders>
            <w:shd w:val="clear" w:color="000000" w:fill="DCE6F1"/>
            <w:vAlign w:val="center"/>
            <w:hideMark/>
          </w:tcPr>
          <w:p w14:paraId="6BDC8EF0" w14:textId="097CD41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076482AE" w14:textId="2180EED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8,936</w:t>
            </w:r>
          </w:p>
        </w:tc>
      </w:tr>
      <w:tr w:rsidR="004D73D3" w:rsidRPr="004D73D3" w14:paraId="1AEC4602"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38713E07"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5: Fëmijët me aftësi të kufizuara gëzojnë plotësisht të drejtat dhe liritë e tyre themelore në baza të barabarta me fëmijët e tjerë, duke pasur gjithmonë parasysh interesin më të lartë të tyre, me fokus mbështetjen e përshtatshmë sipas moshës dhe nevojave individuale.</w:t>
            </w:r>
          </w:p>
        </w:tc>
        <w:tc>
          <w:tcPr>
            <w:tcW w:w="1160" w:type="dxa"/>
            <w:tcBorders>
              <w:top w:val="nil"/>
              <w:left w:val="nil"/>
              <w:bottom w:val="single" w:sz="4" w:space="0" w:color="auto"/>
              <w:right w:val="single" w:sz="4" w:space="0" w:color="auto"/>
            </w:tcBorders>
            <w:shd w:val="clear" w:color="000000" w:fill="FDE9D9"/>
            <w:vAlign w:val="center"/>
            <w:hideMark/>
          </w:tcPr>
          <w:p w14:paraId="6B65518E" w14:textId="7C496560" w:rsidR="004D73D3" w:rsidRPr="004D73D3" w:rsidRDefault="004B31D6"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28F6AB93"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1A20EAF7" w14:textId="72147588"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w:t>
            </w:r>
            <w:r w:rsidR="00FE6A3E">
              <w:rPr>
                <w:rFonts w:eastAsia="Times New Roman"/>
                <w:color w:val="000000"/>
                <w:sz w:val="16"/>
                <w:szCs w:val="16"/>
                <w:lang w:eastAsia="en-US"/>
              </w:rPr>
              <w:t>SH</w:t>
            </w:r>
            <w:r w:rsidRPr="004D73D3">
              <w:rPr>
                <w:rFonts w:eastAsia="Times New Roman"/>
                <w:color w:val="000000"/>
                <w:sz w:val="16"/>
                <w:szCs w:val="16"/>
                <w:lang w:eastAsia="en-US"/>
              </w:rPr>
              <w:t>D</w:t>
            </w:r>
            <w:r w:rsidR="00FE6A3E">
              <w:rPr>
                <w:rFonts w:eastAsia="Times New Roman"/>
                <w:color w:val="000000"/>
                <w:sz w:val="16"/>
                <w:szCs w:val="16"/>
                <w:lang w:eastAsia="en-US"/>
              </w:rPr>
              <w:t>MF</w:t>
            </w:r>
          </w:p>
        </w:tc>
        <w:tc>
          <w:tcPr>
            <w:tcW w:w="1203" w:type="dxa"/>
            <w:tcBorders>
              <w:top w:val="nil"/>
              <w:left w:val="nil"/>
              <w:bottom w:val="single" w:sz="4" w:space="0" w:color="auto"/>
              <w:right w:val="single" w:sz="8" w:space="0" w:color="auto"/>
            </w:tcBorders>
            <w:shd w:val="clear" w:color="000000" w:fill="FDE9D9"/>
            <w:vAlign w:val="center"/>
            <w:hideMark/>
          </w:tcPr>
          <w:p w14:paraId="7BE2C0E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45100A9B" w14:textId="37DC85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w:t>
            </w:r>
          </w:p>
        </w:tc>
        <w:tc>
          <w:tcPr>
            <w:tcW w:w="847" w:type="dxa"/>
            <w:tcBorders>
              <w:top w:val="nil"/>
              <w:left w:val="nil"/>
              <w:bottom w:val="single" w:sz="4" w:space="0" w:color="auto"/>
              <w:right w:val="single" w:sz="4" w:space="0" w:color="auto"/>
            </w:tcBorders>
            <w:shd w:val="clear" w:color="000000" w:fill="FDE9D9"/>
            <w:vAlign w:val="center"/>
            <w:hideMark/>
          </w:tcPr>
          <w:p w14:paraId="1373B34E" w14:textId="0E7D9A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3,150</w:t>
            </w:r>
          </w:p>
        </w:tc>
        <w:tc>
          <w:tcPr>
            <w:tcW w:w="720" w:type="dxa"/>
            <w:tcBorders>
              <w:top w:val="nil"/>
              <w:left w:val="nil"/>
              <w:bottom w:val="single" w:sz="4" w:space="0" w:color="auto"/>
              <w:right w:val="single" w:sz="4" w:space="0" w:color="auto"/>
            </w:tcBorders>
            <w:shd w:val="clear" w:color="000000" w:fill="FDE9D9"/>
            <w:vAlign w:val="center"/>
            <w:hideMark/>
          </w:tcPr>
          <w:p w14:paraId="58B26664" w14:textId="3010D46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4,150</w:t>
            </w:r>
          </w:p>
        </w:tc>
        <w:tc>
          <w:tcPr>
            <w:tcW w:w="810" w:type="dxa"/>
            <w:tcBorders>
              <w:top w:val="nil"/>
              <w:left w:val="nil"/>
              <w:bottom w:val="single" w:sz="4" w:space="0" w:color="auto"/>
              <w:right w:val="single" w:sz="4" w:space="0" w:color="auto"/>
            </w:tcBorders>
            <w:shd w:val="clear" w:color="000000" w:fill="FDE9D9"/>
            <w:vAlign w:val="center"/>
            <w:hideMark/>
          </w:tcPr>
          <w:p w14:paraId="4F0EE6DD" w14:textId="21CD85F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3,150</w:t>
            </w:r>
          </w:p>
        </w:tc>
        <w:tc>
          <w:tcPr>
            <w:tcW w:w="646" w:type="dxa"/>
            <w:tcBorders>
              <w:top w:val="nil"/>
              <w:left w:val="nil"/>
              <w:bottom w:val="single" w:sz="4" w:space="0" w:color="auto"/>
              <w:right w:val="single" w:sz="4" w:space="0" w:color="auto"/>
            </w:tcBorders>
            <w:shd w:val="clear" w:color="000000" w:fill="FDE9D9"/>
            <w:vAlign w:val="center"/>
            <w:hideMark/>
          </w:tcPr>
          <w:p w14:paraId="09BB92A4" w14:textId="425A27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4,150</w:t>
            </w:r>
          </w:p>
        </w:tc>
        <w:tc>
          <w:tcPr>
            <w:tcW w:w="974" w:type="dxa"/>
            <w:tcBorders>
              <w:top w:val="nil"/>
              <w:left w:val="nil"/>
              <w:bottom w:val="single" w:sz="4" w:space="0" w:color="auto"/>
              <w:right w:val="nil"/>
            </w:tcBorders>
            <w:shd w:val="clear" w:color="000000" w:fill="FDE9D9"/>
            <w:vAlign w:val="center"/>
            <w:hideMark/>
          </w:tcPr>
          <w:p w14:paraId="7BF555B2" w14:textId="0AEB3BD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14,750</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0DE58FBE" w14:textId="076929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12,750</w:t>
            </w:r>
          </w:p>
        </w:tc>
        <w:tc>
          <w:tcPr>
            <w:tcW w:w="990" w:type="dxa"/>
            <w:tcBorders>
              <w:top w:val="nil"/>
              <w:left w:val="nil"/>
              <w:bottom w:val="single" w:sz="4" w:space="0" w:color="auto"/>
              <w:right w:val="single" w:sz="4" w:space="0" w:color="auto"/>
            </w:tcBorders>
            <w:shd w:val="clear" w:color="000000" w:fill="FDE9D9"/>
            <w:vAlign w:val="center"/>
            <w:hideMark/>
          </w:tcPr>
          <w:p w14:paraId="3AC82C16" w14:textId="0F81472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2C502D72" w14:textId="4B32E9C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r>
      <w:tr w:rsidR="004D73D3" w:rsidRPr="004D73D3" w14:paraId="60B18D39"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75467B29"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5. 1. </w:t>
            </w:r>
            <w:r w:rsidRPr="005B77E1">
              <w:rPr>
                <w:rFonts w:eastAsia="Times New Roman"/>
                <w:bCs/>
                <w:color w:val="000000"/>
                <w:sz w:val="16"/>
                <w:szCs w:val="16"/>
                <w:lang w:val="en-US" w:eastAsia="en-US"/>
              </w:rPr>
              <w:t>Përforcimi i mbrojtjes nga dhuna dhe diskriminimi, përmes fuqizimit të kapaciteteve, shërbimeve të integruara, forcimit të sistemeve të të dhënave, monitorimit dhe raportimit.</w:t>
            </w:r>
          </w:p>
        </w:tc>
        <w:tc>
          <w:tcPr>
            <w:tcW w:w="1160" w:type="dxa"/>
            <w:tcBorders>
              <w:top w:val="nil"/>
              <w:left w:val="nil"/>
              <w:bottom w:val="single" w:sz="4" w:space="0" w:color="auto"/>
              <w:right w:val="single" w:sz="4" w:space="0" w:color="auto"/>
            </w:tcBorders>
            <w:shd w:val="clear" w:color="000000" w:fill="DCE6F1"/>
            <w:vAlign w:val="center"/>
            <w:hideMark/>
          </w:tcPr>
          <w:p w14:paraId="2BEFDC3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2BDF06D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093E856" w14:textId="77777777" w:rsidR="00FE6A3E" w:rsidRDefault="004D73D3" w:rsidP="004D73D3">
            <w:pPr>
              <w:jc w:val="center"/>
              <w:rPr>
                <w:rFonts w:eastAsia="Times New Roman"/>
                <w:color w:val="000000"/>
                <w:sz w:val="16"/>
                <w:szCs w:val="16"/>
                <w:lang w:eastAsia="en-US"/>
              </w:rPr>
            </w:pPr>
            <w:r w:rsidRPr="004D73D3">
              <w:rPr>
                <w:rFonts w:eastAsia="Times New Roman"/>
                <w:color w:val="000000"/>
                <w:sz w:val="16"/>
                <w:szCs w:val="16"/>
                <w:lang w:eastAsia="en-US"/>
              </w:rPr>
              <w:t>A</w:t>
            </w:r>
          </w:p>
          <w:p w14:paraId="26171591" w14:textId="5FA5C8AA" w:rsidR="004D73D3" w:rsidRPr="004D73D3" w:rsidRDefault="00FE6A3E" w:rsidP="004D73D3">
            <w:pPr>
              <w:jc w:val="center"/>
              <w:rPr>
                <w:rFonts w:eastAsia="Times New Roman"/>
                <w:color w:val="000000"/>
                <w:sz w:val="16"/>
                <w:szCs w:val="16"/>
                <w:lang w:val="en-US" w:eastAsia="en-US"/>
              </w:rPr>
            </w:pPr>
            <w:r>
              <w:rPr>
                <w:rFonts w:eastAsia="Times New Roman"/>
                <w:color w:val="000000"/>
                <w:sz w:val="16"/>
                <w:szCs w:val="16"/>
                <w:lang w:eastAsia="en-US"/>
              </w:rPr>
              <w:t>SH</w:t>
            </w:r>
            <w:r w:rsidR="004D73D3" w:rsidRPr="004D73D3">
              <w:rPr>
                <w:rFonts w:eastAsia="Times New Roman"/>
                <w:color w:val="000000"/>
                <w:sz w:val="16"/>
                <w:szCs w:val="16"/>
                <w:lang w:eastAsia="en-US"/>
              </w:rPr>
              <w:t>D</w:t>
            </w:r>
            <w:r>
              <w:rPr>
                <w:rFonts w:eastAsia="Times New Roman"/>
                <w:color w:val="000000"/>
                <w:sz w:val="16"/>
                <w:szCs w:val="16"/>
                <w:lang w:eastAsia="en-US"/>
              </w:rPr>
              <w:t>M</w:t>
            </w:r>
            <w:r w:rsidR="004D73D3" w:rsidRPr="004D73D3">
              <w:rPr>
                <w:rFonts w:eastAsia="Times New Roman"/>
                <w:color w:val="000000"/>
                <w:sz w:val="16"/>
                <w:szCs w:val="16"/>
                <w:lang w:eastAsia="en-US"/>
              </w:rPr>
              <w:t>F</w:t>
            </w:r>
          </w:p>
        </w:tc>
        <w:tc>
          <w:tcPr>
            <w:tcW w:w="1203" w:type="dxa"/>
            <w:tcBorders>
              <w:top w:val="nil"/>
              <w:left w:val="nil"/>
              <w:bottom w:val="single" w:sz="4" w:space="0" w:color="auto"/>
              <w:right w:val="single" w:sz="8" w:space="0" w:color="auto"/>
            </w:tcBorders>
            <w:shd w:val="clear" w:color="000000" w:fill="DCE6F1"/>
            <w:vAlign w:val="center"/>
            <w:hideMark/>
          </w:tcPr>
          <w:p w14:paraId="5EA327E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43DB22A" w14:textId="6712E6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w:t>
            </w:r>
          </w:p>
        </w:tc>
        <w:tc>
          <w:tcPr>
            <w:tcW w:w="847" w:type="dxa"/>
            <w:tcBorders>
              <w:top w:val="nil"/>
              <w:left w:val="nil"/>
              <w:bottom w:val="single" w:sz="4" w:space="0" w:color="auto"/>
              <w:right w:val="single" w:sz="4" w:space="0" w:color="auto"/>
            </w:tcBorders>
            <w:shd w:val="clear" w:color="000000" w:fill="DCE6F1"/>
            <w:vAlign w:val="center"/>
            <w:hideMark/>
          </w:tcPr>
          <w:p w14:paraId="3DE8BD6A" w14:textId="5DCEA2B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3,150</w:t>
            </w:r>
          </w:p>
        </w:tc>
        <w:tc>
          <w:tcPr>
            <w:tcW w:w="720" w:type="dxa"/>
            <w:tcBorders>
              <w:top w:val="nil"/>
              <w:left w:val="nil"/>
              <w:bottom w:val="single" w:sz="4" w:space="0" w:color="auto"/>
              <w:right w:val="single" w:sz="4" w:space="0" w:color="auto"/>
            </w:tcBorders>
            <w:shd w:val="clear" w:color="000000" w:fill="DCE6F1"/>
            <w:vAlign w:val="center"/>
            <w:hideMark/>
          </w:tcPr>
          <w:p w14:paraId="24B76247" w14:textId="2F535F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4,150</w:t>
            </w:r>
          </w:p>
        </w:tc>
        <w:tc>
          <w:tcPr>
            <w:tcW w:w="810" w:type="dxa"/>
            <w:tcBorders>
              <w:top w:val="nil"/>
              <w:left w:val="nil"/>
              <w:bottom w:val="single" w:sz="4" w:space="0" w:color="auto"/>
              <w:right w:val="single" w:sz="4" w:space="0" w:color="auto"/>
            </w:tcBorders>
            <w:shd w:val="clear" w:color="000000" w:fill="DCE6F1"/>
            <w:vAlign w:val="center"/>
            <w:hideMark/>
          </w:tcPr>
          <w:p w14:paraId="2A41FE4F" w14:textId="118F183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3,150</w:t>
            </w:r>
          </w:p>
        </w:tc>
        <w:tc>
          <w:tcPr>
            <w:tcW w:w="646" w:type="dxa"/>
            <w:tcBorders>
              <w:top w:val="nil"/>
              <w:left w:val="nil"/>
              <w:bottom w:val="single" w:sz="4" w:space="0" w:color="auto"/>
              <w:right w:val="single" w:sz="4" w:space="0" w:color="auto"/>
            </w:tcBorders>
            <w:shd w:val="clear" w:color="000000" w:fill="DCE6F1"/>
            <w:vAlign w:val="center"/>
            <w:hideMark/>
          </w:tcPr>
          <w:p w14:paraId="40C5DF3C" w14:textId="496DEC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4,150</w:t>
            </w:r>
          </w:p>
        </w:tc>
        <w:tc>
          <w:tcPr>
            <w:tcW w:w="974" w:type="dxa"/>
            <w:tcBorders>
              <w:top w:val="nil"/>
              <w:left w:val="nil"/>
              <w:bottom w:val="single" w:sz="4" w:space="0" w:color="auto"/>
              <w:right w:val="nil"/>
            </w:tcBorders>
            <w:shd w:val="clear" w:color="000000" w:fill="DCE6F1"/>
            <w:vAlign w:val="center"/>
            <w:hideMark/>
          </w:tcPr>
          <w:p w14:paraId="0211E607" w14:textId="24299AD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14,750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3B25D3C" w14:textId="3420542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12,750</w:t>
            </w:r>
          </w:p>
        </w:tc>
        <w:tc>
          <w:tcPr>
            <w:tcW w:w="990" w:type="dxa"/>
            <w:tcBorders>
              <w:top w:val="nil"/>
              <w:left w:val="nil"/>
              <w:bottom w:val="single" w:sz="4" w:space="0" w:color="auto"/>
              <w:right w:val="single" w:sz="4" w:space="0" w:color="auto"/>
            </w:tcBorders>
            <w:shd w:val="clear" w:color="000000" w:fill="DCE6F1"/>
            <w:vAlign w:val="center"/>
            <w:hideMark/>
          </w:tcPr>
          <w:p w14:paraId="6CAF6D3C" w14:textId="095CAA0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20FE8E9B" w14:textId="0C2A180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2,000</w:t>
            </w:r>
          </w:p>
        </w:tc>
      </w:tr>
      <w:tr w:rsidR="004D73D3" w:rsidRPr="004D73D3" w14:paraId="4DCEA195"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1683B766"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lastRenderedPageBreak/>
              <w:t xml:space="preserve">Objektivi specific 6: Forcimi i një sistemi gjithëpërfshirës për menaxhimin dhe reagimin ndaj ndryshimeve klimatike, fatkeqësive dhe krizave në Shqipëri, në nivel qendror dhe lokal, me fokus të veçantë te personat me aftësi të kufizuara, për të garantuar sigurinë e jetës dhe mbrojtjen e tyre. </w:t>
            </w:r>
          </w:p>
        </w:tc>
        <w:tc>
          <w:tcPr>
            <w:tcW w:w="1160" w:type="dxa"/>
            <w:tcBorders>
              <w:top w:val="nil"/>
              <w:left w:val="nil"/>
              <w:bottom w:val="single" w:sz="4" w:space="0" w:color="auto"/>
              <w:right w:val="single" w:sz="4" w:space="0" w:color="auto"/>
            </w:tcBorders>
            <w:shd w:val="clear" w:color="000000" w:fill="FDE9D9"/>
            <w:vAlign w:val="center"/>
            <w:hideMark/>
          </w:tcPr>
          <w:p w14:paraId="561F88EA" w14:textId="0E7B171C" w:rsidR="004D73D3" w:rsidRPr="004D73D3" w:rsidRDefault="004B31D6"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12D45014"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7610C54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AKMC</w:t>
            </w:r>
          </w:p>
        </w:tc>
        <w:tc>
          <w:tcPr>
            <w:tcW w:w="1203" w:type="dxa"/>
            <w:tcBorders>
              <w:top w:val="nil"/>
              <w:left w:val="nil"/>
              <w:bottom w:val="single" w:sz="4" w:space="0" w:color="auto"/>
              <w:right w:val="single" w:sz="8" w:space="0" w:color="auto"/>
            </w:tcBorders>
            <w:shd w:val="clear" w:color="000000" w:fill="FDE9D9"/>
            <w:vAlign w:val="center"/>
            <w:hideMark/>
          </w:tcPr>
          <w:p w14:paraId="7C6D804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0FDFCA57" w14:textId="282835A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FDE9D9"/>
            <w:vAlign w:val="center"/>
            <w:hideMark/>
          </w:tcPr>
          <w:p w14:paraId="17622048" w14:textId="6432470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720" w:type="dxa"/>
            <w:tcBorders>
              <w:top w:val="nil"/>
              <w:left w:val="nil"/>
              <w:bottom w:val="single" w:sz="4" w:space="0" w:color="auto"/>
              <w:right w:val="single" w:sz="4" w:space="0" w:color="auto"/>
            </w:tcBorders>
            <w:shd w:val="clear" w:color="000000" w:fill="FDE9D9"/>
            <w:vAlign w:val="center"/>
            <w:hideMark/>
          </w:tcPr>
          <w:p w14:paraId="2A7D383C" w14:textId="3849805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5,691</w:t>
            </w:r>
          </w:p>
        </w:tc>
        <w:tc>
          <w:tcPr>
            <w:tcW w:w="810" w:type="dxa"/>
            <w:tcBorders>
              <w:top w:val="nil"/>
              <w:left w:val="nil"/>
              <w:bottom w:val="single" w:sz="4" w:space="0" w:color="auto"/>
              <w:right w:val="single" w:sz="4" w:space="0" w:color="auto"/>
            </w:tcBorders>
            <w:shd w:val="clear" w:color="000000" w:fill="FDE9D9"/>
            <w:vAlign w:val="center"/>
            <w:hideMark/>
          </w:tcPr>
          <w:p w14:paraId="20E3139D" w14:textId="3EE5EF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4,045</w:t>
            </w:r>
          </w:p>
        </w:tc>
        <w:tc>
          <w:tcPr>
            <w:tcW w:w="646" w:type="dxa"/>
            <w:tcBorders>
              <w:top w:val="nil"/>
              <w:left w:val="nil"/>
              <w:bottom w:val="single" w:sz="4" w:space="0" w:color="auto"/>
              <w:right w:val="single" w:sz="4" w:space="0" w:color="auto"/>
            </w:tcBorders>
            <w:shd w:val="clear" w:color="000000" w:fill="FDE9D9"/>
            <w:vAlign w:val="center"/>
            <w:hideMark/>
          </w:tcPr>
          <w:p w14:paraId="42744241" w14:textId="2C4CA14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974" w:type="dxa"/>
            <w:tcBorders>
              <w:top w:val="nil"/>
              <w:left w:val="nil"/>
              <w:bottom w:val="single" w:sz="4" w:space="0" w:color="auto"/>
              <w:right w:val="nil"/>
            </w:tcBorders>
            <w:shd w:val="clear" w:color="000000" w:fill="FDE9D9"/>
            <w:vAlign w:val="center"/>
            <w:hideMark/>
          </w:tcPr>
          <w:p w14:paraId="011E97C0" w14:textId="41B1324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10,736</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0DB055F4" w14:textId="1525A63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3,736</w:t>
            </w:r>
          </w:p>
        </w:tc>
        <w:tc>
          <w:tcPr>
            <w:tcW w:w="990" w:type="dxa"/>
            <w:tcBorders>
              <w:top w:val="nil"/>
              <w:left w:val="nil"/>
              <w:bottom w:val="single" w:sz="4" w:space="0" w:color="auto"/>
              <w:right w:val="single" w:sz="4" w:space="0" w:color="auto"/>
            </w:tcBorders>
            <w:shd w:val="clear" w:color="000000" w:fill="FDE9D9"/>
            <w:vAlign w:val="center"/>
            <w:hideMark/>
          </w:tcPr>
          <w:p w14:paraId="40DE23C5" w14:textId="5414F2A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250F0F67" w14:textId="4EE355A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7,000</w:t>
            </w:r>
          </w:p>
        </w:tc>
      </w:tr>
      <w:tr w:rsidR="004D73D3" w:rsidRPr="004D73D3" w14:paraId="1110CEA5"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B19AFB1"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6.1. </w:t>
            </w:r>
            <w:r w:rsidRPr="005B77E1">
              <w:rPr>
                <w:rFonts w:eastAsia="Times New Roman"/>
                <w:bCs/>
                <w:color w:val="000000"/>
                <w:sz w:val="16"/>
                <w:szCs w:val="16"/>
                <w:lang w:val="en-US" w:eastAsia="en-US"/>
              </w:rPr>
              <w:t>Integrimi i aftësisë së kufizuar në politikat dhe kuadrin ligjor për menaxhimin e riskut nga fatkeqësitë</w:t>
            </w:r>
          </w:p>
        </w:tc>
        <w:tc>
          <w:tcPr>
            <w:tcW w:w="1160" w:type="dxa"/>
            <w:tcBorders>
              <w:top w:val="nil"/>
              <w:left w:val="nil"/>
              <w:bottom w:val="single" w:sz="4" w:space="0" w:color="auto"/>
              <w:right w:val="single" w:sz="4" w:space="0" w:color="auto"/>
            </w:tcBorders>
            <w:shd w:val="clear" w:color="000000" w:fill="DCE6F1"/>
            <w:vAlign w:val="center"/>
            <w:hideMark/>
          </w:tcPr>
          <w:p w14:paraId="7375D59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0A90F0B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756F0F3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AKMC</w:t>
            </w:r>
          </w:p>
        </w:tc>
        <w:tc>
          <w:tcPr>
            <w:tcW w:w="1203" w:type="dxa"/>
            <w:tcBorders>
              <w:top w:val="nil"/>
              <w:left w:val="nil"/>
              <w:bottom w:val="single" w:sz="4" w:space="0" w:color="auto"/>
              <w:right w:val="single" w:sz="8" w:space="0" w:color="auto"/>
            </w:tcBorders>
            <w:shd w:val="clear" w:color="000000" w:fill="DCE6F1"/>
            <w:vAlign w:val="center"/>
            <w:hideMark/>
          </w:tcPr>
          <w:p w14:paraId="40A7AB6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7B67D3B3" w14:textId="6F3B2A6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59318432" w14:textId="2AADA7B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720" w:type="dxa"/>
            <w:tcBorders>
              <w:top w:val="nil"/>
              <w:left w:val="nil"/>
              <w:bottom w:val="single" w:sz="4" w:space="0" w:color="auto"/>
              <w:right w:val="single" w:sz="4" w:space="0" w:color="auto"/>
            </w:tcBorders>
            <w:shd w:val="clear" w:color="000000" w:fill="DCE6F1"/>
            <w:vAlign w:val="center"/>
            <w:hideMark/>
          </w:tcPr>
          <w:p w14:paraId="5BA949E7" w14:textId="417CD7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5,691</w:t>
            </w:r>
          </w:p>
        </w:tc>
        <w:tc>
          <w:tcPr>
            <w:tcW w:w="810" w:type="dxa"/>
            <w:tcBorders>
              <w:top w:val="nil"/>
              <w:left w:val="nil"/>
              <w:bottom w:val="single" w:sz="4" w:space="0" w:color="auto"/>
              <w:right w:val="single" w:sz="4" w:space="0" w:color="auto"/>
            </w:tcBorders>
            <w:shd w:val="clear" w:color="000000" w:fill="DCE6F1"/>
            <w:vAlign w:val="center"/>
            <w:hideMark/>
          </w:tcPr>
          <w:p w14:paraId="088517A9" w14:textId="43C39B4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4,045</w:t>
            </w:r>
          </w:p>
        </w:tc>
        <w:tc>
          <w:tcPr>
            <w:tcW w:w="646" w:type="dxa"/>
            <w:tcBorders>
              <w:top w:val="nil"/>
              <w:left w:val="nil"/>
              <w:bottom w:val="single" w:sz="4" w:space="0" w:color="auto"/>
              <w:right w:val="single" w:sz="4" w:space="0" w:color="auto"/>
            </w:tcBorders>
            <w:shd w:val="clear" w:color="000000" w:fill="DCE6F1"/>
            <w:vAlign w:val="center"/>
            <w:hideMark/>
          </w:tcPr>
          <w:p w14:paraId="74E961B8" w14:textId="4389ED5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1,000</w:t>
            </w:r>
          </w:p>
        </w:tc>
        <w:tc>
          <w:tcPr>
            <w:tcW w:w="974" w:type="dxa"/>
            <w:tcBorders>
              <w:top w:val="nil"/>
              <w:left w:val="nil"/>
              <w:bottom w:val="single" w:sz="4" w:space="0" w:color="auto"/>
              <w:right w:val="nil"/>
            </w:tcBorders>
            <w:shd w:val="clear" w:color="000000" w:fill="DCE6F1"/>
            <w:vAlign w:val="center"/>
            <w:hideMark/>
          </w:tcPr>
          <w:p w14:paraId="3856B9F1" w14:textId="197043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10,736</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228342E" w14:textId="52AEDAE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3,736</w:t>
            </w:r>
          </w:p>
        </w:tc>
        <w:tc>
          <w:tcPr>
            <w:tcW w:w="990" w:type="dxa"/>
            <w:tcBorders>
              <w:top w:val="nil"/>
              <w:left w:val="nil"/>
              <w:bottom w:val="single" w:sz="4" w:space="0" w:color="auto"/>
              <w:right w:val="single" w:sz="4" w:space="0" w:color="auto"/>
            </w:tcBorders>
            <w:shd w:val="clear" w:color="000000" w:fill="DCE6F1"/>
            <w:vAlign w:val="center"/>
            <w:hideMark/>
          </w:tcPr>
          <w:p w14:paraId="0B66BC8E" w14:textId="2BBB494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7F5C4004" w14:textId="00AB785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7,000</w:t>
            </w:r>
          </w:p>
        </w:tc>
      </w:tr>
      <w:tr w:rsidR="004D73D3" w:rsidRPr="004D73D3" w14:paraId="42B09670"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4CD446B7" w14:textId="77777777"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VI. SHËNDETËSIA</w:t>
            </w:r>
          </w:p>
        </w:tc>
        <w:tc>
          <w:tcPr>
            <w:tcW w:w="1160" w:type="dxa"/>
            <w:tcBorders>
              <w:top w:val="nil"/>
              <w:left w:val="nil"/>
              <w:bottom w:val="single" w:sz="4" w:space="0" w:color="auto"/>
              <w:right w:val="single" w:sz="4" w:space="0" w:color="auto"/>
            </w:tcBorders>
            <w:shd w:val="clear" w:color="000000" w:fill="F276AB"/>
            <w:vAlign w:val="center"/>
            <w:hideMark/>
          </w:tcPr>
          <w:p w14:paraId="06A9ABDB"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3632AE13"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514CED9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0F446A4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4EAE72F2" w14:textId="762ABFA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192,519</w:t>
            </w:r>
          </w:p>
        </w:tc>
        <w:tc>
          <w:tcPr>
            <w:tcW w:w="847" w:type="dxa"/>
            <w:tcBorders>
              <w:top w:val="nil"/>
              <w:left w:val="nil"/>
              <w:bottom w:val="single" w:sz="4" w:space="0" w:color="auto"/>
              <w:right w:val="single" w:sz="4" w:space="0" w:color="auto"/>
            </w:tcBorders>
            <w:shd w:val="clear" w:color="000000" w:fill="F276AB"/>
            <w:vAlign w:val="center"/>
            <w:hideMark/>
          </w:tcPr>
          <w:p w14:paraId="157C947E" w14:textId="5DD2667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206,105</w:t>
            </w:r>
          </w:p>
        </w:tc>
        <w:tc>
          <w:tcPr>
            <w:tcW w:w="720" w:type="dxa"/>
            <w:tcBorders>
              <w:top w:val="nil"/>
              <w:left w:val="nil"/>
              <w:bottom w:val="single" w:sz="4" w:space="0" w:color="auto"/>
              <w:right w:val="single" w:sz="4" w:space="0" w:color="auto"/>
            </w:tcBorders>
            <w:shd w:val="clear" w:color="000000" w:fill="F276AB"/>
            <w:vAlign w:val="center"/>
            <w:hideMark/>
          </w:tcPr>
          <w:p w14:paraId="675972CC" w14:textId="3224561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188,312</w:t>
            </w:r>
          </w:p>
        </w:tc>
        <w:tc>
          <w:tcPr>
            <w:tcW w:w="810" w:type="dxa"/>
            <w:tcBorders>
              <w:top w:val="nil"/>
              <w:left w:val="nil"/>
              <w:bottom w:val="single" w:sz="4" w:space="0" w:color="auto"/>
              <w:right w:val="single" w:sz="4" w:space="0" w:color="auto"/>
            </w:tcBorders>
            <w:shd w:val="clear" w:color="000000" w:fill="F276AB"/>
            <w:vAlign w:val="center"/>
            <w:hideMark/>
          </w:tcPr>
          <w:p w14:paraId="6D95F1D2" w14:textId="18DF905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200,275</w:t>
            </w:r>
          </w:p>
        </w:tc>
        <w:tc>
          <w:tcPr>
            <w:tcW w:w="646" w:type="dxa"/>
            <w:tcBorders>
              <w:top w:val="nil"/>
              <w:left w:val="nil"/>
              <w:bottom w:val="single" w:sz="4" w:space="0" w:color="auto"/>
              <w:right w:val="single" w:sz="4" w:space="0" w:color="auto"/>
            </w:tcBorders>
            <w:shd w:val="clear" w:color="000000" w:fill="F276AB"/>
            <w:vAlign w:val="center"/>
            <w:hideMark/>
          </w:tcPr>
          <w:p w14:paraId="2C6AECD7" w14:textId="22A6F91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189,241</w:t>
            </w:r>
          </w:p>
        </w:tc>
        <w:tc>
          <w:tcPr>
            <w:tcW w:w="974" w:type="dxa"/>
            <w:tcBorders>
              <w:top w:val="nil"/>
              <w:left w:val="nil"/>
              <w:bottom w:val="single" w:sz="4" w:space="0" w:color="auto"/>
              <w:right w:val="nil"/>
            </w:tcBorders>
            <w:shd w:val="clear" w:color="000000" w:fill="F276AB"/>
            <w:vAlign w:val="center"/>
            <w:hideMark/>
          </w:tcPr>
          <w:p w14:paraId="1D0CCEFF" w14:textId="0E4758D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976,452</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0F6DCCC7" w14:textId="344363E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707,165</w:t>
            </w:r>
          </w:p>
        </w:tc>
        <w:tc>
          <w:tcPr>
            <w:tcW w:w="990" w:type="dxa"/>
            <w:tcBorders>
              <w:top w:val="nil"/>
              <w:left w:val="nil"/>
              <w:bottom w:val="single" w:sz="4" w:space="0" w:color="auto"/>
              <w:right w:val="single" w:sz="4" w:space="0" w:color="auto"/>
            </w:tcBorders>
            <w:shd w:val="clear" w:color="000000" w:fill="F276AB"/>
            <w:vAlign w:val="center"/>
            <w:hideMark/>
          </w:tcPr>
          <w:p w14:paraId="0255B45B" w14:textId="25B9EEB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68,656</w:t>
            </w:r>
          </w:p>
        </w:tc>
        <w:tc>
          <w:tcPr>
            <w:tcW w:w="953" w:type="dxa"/>
            <w:tcBorders>
              <w:top w:val="nil"/>
              <w:left w:val="nil"/>
              <w:bottom w:val="single" w:sz="4" w:space="0" w:color="auto"/>
              <w:right w:val="single" w:sz="8" w:space="0" w:color="auto"/>
            </w:tcBorders>
            <w:shd w:val="clear" w:color="000000" w:fill="F276AB"/>
            <w:vAlign w:val="center"/>
            <w:hideMark/>
          </w:tcPr>
          <w:p w14:paraId="2CF4B42B" w14:textId="7B7410C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200,631</w:t>
            </w:r>
          </w:p>
        </w:tc>
      </w:tr>
      <w:tr w:rsidR="004D73D3" w:rsidRPr="004D73D3" w14:paraId="7F713A63"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0B8815BE"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Ulja e numrit të rasteve të reja dhe e ashpërsisë së aftësisë së kufizuar të evitueshme, si  dhe garantimi i kujdesit shëndetësor gjithëpërfshirës për personat me aftësi të kufizuara gjatë gjithë ciklit të jetës</w:t>
            </w:r>
          </w:p>
        </w:tc>
        <w:tc>
          <w:tcPr>
            <w:tcW w:w="1160" w:type="dxa"/>
            <w:tcBorders>
              <w:top w:val="nil"/>
              <w:left w:val="nil"/>
              <w:bottom w:val="single" w:sz="4" w:space="0" w:color="auto"/>
              <w:right w:val="single" w:sz="4" w:space="0" w:color="auto"/>
            </w:tcBorders>
            <w:shd w:val="clear" w:color="000000" w:fill="FDE9D9"/>
            <w:vAlign w:val="center"/>
            <w:hideMark/>
          </w:tcPr>
          <w:p w14:paraId="7EB6BF56" w14:textId="0586BE52" w:rsidR="004D73D3" w:rsidRPr="004D73D3" w:rsidRDefault="004B31D6"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43D7319D"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3197391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MSHMS/ISHP/OSHKSH</w:t>
            </w:r>
          </w:p>
        </w:tc>
        <w:tc>
          <w:tcPr>
            <w:tcW w:w="1203" w:type="dxa"/>
            <w:tcBorders>
              <w:top w:val="nil"/>
              <w:left w:val="nil"/>
              <w:bottom w:val="single" w:sz="4" w:space="0" w:color="auto"/>
              <w:right w:val="nil"/>
            </w:tcBorders>
            <w:shd w:val="clear" w:color="000000" w:fill="FDE9D9"/>
            <w:vAlign w:val="center"/>
            <w:hideMark/>
          </w:tcPr>
          <w:p w14:paraId="1176E8A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OSHKSH/ NJVKSH/ MA/BASHKI</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19C7FD5A" w14:textId="60E209D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45,887</w:t>
            </w:r>
          </w:p>
        </w:tc>
        <w:tc>
          <w:tcPr>
            <w:tcW w:w="847" w:type="dxa"/>
            <w:tcBorders>
              <w:top w:val="nil"/>
              <w:left w:val="nil"/>
              <w:bottom w:val="single" w:sz="4" w:space="0" w:color="auto"/>
              <w:right w:val="single" w:sz="4" w:space="0" w:color="auto"/>
            </w:tcBorders>
            <w:shd w:val="clear" w:color="000000" w:fill="FDE9D9"/>
            <w:vAlign w:val="center"/>
            <w:hideMark/>
          </w:tcPr>
          <w:p w14:paraId="284F1F64" w14:textId="7EEDC77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46,449</w:t>
            </w:r>
          </w:p>
        </w:tc>
        <w:tc>
          <w:tcPr>
            <w:tcW w:w="720" w:type="dxa"/>
            <w:tcBorders>
              <w:top w:val="nil"/>
              <w:left w:val="nil"/>
              <w:bottom w:val="single" w:sz="4" w:space="0" w:color="auto"/>
              <w:right w:val="single" w:sz="4" w:space="0" w:color="auto"/>
            </w:tcBorders>
            <w:shd w:val="clear" w:color="000000" w:fill="FDE9D9"/>
            <w:vAlign w:val="center"/>
            <w:hideMark/>
          </w:tcPr>
          <w:p w14:paraId="7E7413EB" w14:textId="65F611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33,916</w:t>
            </w:r>
          </w:p>
        </w:tc>
        <w:tc>
          <w:tcPr>
            <w:tcW w:w="810" w:type="dxa"/>
            <w:tcBorders>
              <w:top w:val="nil"/>
              <w:left w:val="nil"/>
              <w:bottom w:val="single" w:sz="4" w:space="0" w:color="auto"/>
              <w:right w:val="single" w:sz="4" w:space="0" w:color="auto"/>
            </w:tcBorders>
            <w:shd w:val="clear" w:color="000000" w:fill="FDE9D9"/>
            <w:vAlign w:val="center"/>
            <w:hideMark/>
          </w:tcPr>
          <w:p w14:paraId="462D2158" w14:textId="2612B5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30,892</w:t>
            </w:r>
          </w:p>
        </w:tc>
        <w:tc>
          <w:tcPr>
            <w:tcW w:w="646" w:type="dxa"/>
            <w:tcBorders>
              <w:top w:val="nil"/>
              <w:left w:val="nil"/>
              <w:bottom w:val="single" w:sz="4" w:space="0" w:color="auto"/>
              <w:right w:val="single" w:sz="4" w:space="0" w:color="auto"/>
            </w:tcBorders>
            <w:shd w:val="clear" w:color="000000" w:fill="FDE9D9"/>
            <w:vAlign w:val="center"/>
            <w:hideMark/>
          </w:tcPr>
          <w:p w14:paraId="4C651A4A" w14:textId="655A2E1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24,081</w:t>
            </w:r>
          </w:p>
        </w:tc>
        <w:tc>
          <w:tcPr>
            <w:tcW w:w="974" w:type="dxa"/>
            <w:tcBorders>
              <w:top w:val="nil"/>
              <w:left w:val="nil"/>
              <w:bottom w:val="single" w:sz="4" w:space="0" w:color="auto"/>
              <w:right w:val="nil"/>
            </w:tcBorders>
            <w:shd w:val="clear" w:color="000000" w:fill="FDE9D9"/>
            <w:vAlign w:val="center"/>
            <w:hideMark/>
          </w:tcPr>
          <w:p w14:paraId="5DAE633F" w14:textId="62BEEC0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181,224</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062243FA" w14:textId="3D0B8DF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122,474</w:t>
            </w:r>
          </w:p>
        </w:tc>
        <w:tc>
          <w:tcPr>
            <w:tcW w:w="990" w:type="dxa"/>
            <w:tcBorders>
              <w:top w:val="nil"/>
              <w:left w:val="nil"/>
              <w:bottom w:val="single" w:sz="4" w:space="0" w:color="auto"/>
              <w:right w:val="single" w:sz="4" w:space="0" w:color="auto"/>
            </w:tcBorders>
            <w:shd w:val="clear" w:color="000000" w:fill="FDE9D9"/>
            <w:vAlign w:val="center"/>
            <w:hideMark/>
          </w:tcPr>
          <w:p w14:paraId="6B968A5C" w14:textId="77E88F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43,040</w:t>
            </w:r>
          </w:p>
        </w:tc>
        <w:tc>
          <w:tcPr>
            <w:tcW w:w="953" w:type="dxa"/>
            <w:tcBorders>
              <w:top w:val="nil"/>
              <w:left w:val="nil"/>
              <w:bottom w:val="single" w:sz="4" w:space="0" w:color="auto"/>
              <w:right w:val="single" w:sz="8" w:space="0" w:color="auto"/>
            </w:tcBorders>
            <w:shd w:val="clear" w:color="000000" w:fill="FDE9D9"/>
            <w:vAlign w:val="center"/>
            <w:hideMark/>
          </w:tcPr>
          <w:p w14:paraId="0946E2A3" w14:textId="3E04DF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15,710</w:t>
            </w:r>
          </w:p>
        </w:tc>
      </w:tr>
      <w:tr w:rsidR="004D73D3" w:rsidRPr="004D73D3" w14:paraId="6E64B64E" w14:textId="77777777" w:rsidTr="004B31D6">
        <w:trPr>
          <w:trHeight w:val="73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5D9EA7E"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1.1: </w:t>
            </w:r>
            <w:r w:rsidRPr="005B77E1">
              <w:rPr>
                <w:rFonts w:eastAsia="Times New Roman"/>
                <w:bCs/>
                <w:color w:val="000000"/>
                <w:sz w:val="16"/>
                <w:szCs w:val="16"/>
                <w:lang w:val="en-US" w:eastAsia="en-US"/>
              </w:rPr>
              <w:t>Forcimi i parandalimit dhe diagnostikimit të hershëm</w:t>
            </w:r>
            <w:r w:rsidRPr="004D73D3">
              <w:rPr>
                <w:rFonts w:eastAsia="Times New Roman"/>
                <w:b/>
                <w:bCs/>
                <w:color w:val="000000"/>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DCE6F1"/>
            <w:vAlign w:val="center"/>
            <w:hideMark/>
          </w:tcPr>
          <w:p w14:paraId="0405A74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67EF683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667F12B9"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MSHMS/ISHP</w:t>
            </w:r>
          </w:p>
        </w:tc>
        <w:tc>
          <w:tcPr>
            <w:tcW w:w="1203" w:type="dxa"/>
            <w:tcBorders>
              <w:top w:val="nil"/>
              <w:left w:val="nil"/>
              <w:bottom w:val="single" w:sz="4" w:space="0" w:color="auto"/>
              <w:right w:val="single" w:sz="8" w:space="0" w:color="auto"/>
            </w:tcBorders>
            <w:shd w:val="clear" w:color="000000" w:fill="DCE6F1"/>
            <w:vAlign w:val="center"/>
            <w:hideMark/>
          </w:tcPr>
          <w:p w14:paraId="33FE3B3E"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OSHKSH/ NJVKSH/ MA/BASHKI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B3392EA" w14:textId="6D5EF4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22,120</w:t>
            </w:r>
          </w:p>
        </w:tc>
        <w:tc>
          <w:tcPr>
            <w:tcW w:w="847" w:type="dxa"/>
            <w:tcBorders>
              <w:top w:val="nil"/>
              <w:left w:val="nil"/>
              <w:bottom w:val="single" w:sz="4" w:space="0" w:color="auto"/>
              <w:right w:val="single" w:sz="4" w:space="0" w:color="auto"/>
            </w:tcBorders>
            <w:shd w:val="clear" w:color="000000" w:fill="DCE6F1"/>
            <w:vAlign w:val="center"/>
            <w:hideMark/>
          </w:tcPr>
          <w:p w14:paraId="4497E93C" w14:textId="00F2190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24,093</w:t>
            </w:r>
          </w:p>
        </w:tc>
        <w:tc>
          <w:tcPr>
            <w:tcW w:w="720" w:type="dxa"/>
            <w:tcBorders>
              <w:top w:val="nil"/>
              <w:left w:val="nil"/>
              <w:bottom w:val="single" w:sz="4" w:space="0" w:color="auto"/>
              <w:right w:val="single" w:sz="4" w:space="0" w:color="auto"/>
            </w:tcBorders>
            <w:shd w:val="clear" w:color="000000" w:fill="DCE6F1"/>
            <w:vAlign w:val="center"/>
            <w:hideMark/>
          </w:tcPr>
          <w:p w14:paraId="12DB6E8D" w14:textId="0CB1D84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4,909</w:t>
            </w:r>
          </w:p>
        </w:tc>
        <w:tc>
          <w:tcPr>
            <w:tcW w:w="810" w:type="dxa"/>
            <w:tcBorders>
              <w:top w:val="nil"/>
              <w:left w:val="nil"/>
              <w:bottom w:val="single" w:sz="4" w:space="0" w:color="auto"/>
              <w:right w:val="single" w:sz="4" w:space="0" w:color="auto"/>
            </w:tcBorders>
            <w:shd w:val="clear" w:color="000000" w:fill="DCE6F1"/>
            <w:vAlign w:val="center"/>
            <w:hideMark/>
          </w:tcPr>
          <w:p w14:paraId="072CE334" w14:textId="66D874F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7,409</w:t>
            </w:r>
          </w:p>
        </w:tc>
        <w:tc>
          <w:tcPr>
            <w:tcW w:w="646" w:type="dxa"/>
            <w:tcBorders>
              <w:top w:val="nil"/>
              <w:left w:val="nil"/>
              <w:bottom w:val="single" w:sz="4" w:space="0" w:color="auto"/>
              <w:right w:val="single" w:sz="4" w:space="0" w:color="auto"/>
            </w:tcBorders>
            <w:shd w:val="clear" w:color="000000" w:fill="DCE6F1"/>
            <w:vAlign w:val="center"/>
            <w:hideMark/>
          </w:tcPr>
          <w:p w14:paraId="6014FC68" w14:textId="7BF5B79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5,000</w:t>
            </w:r>
          </w:p>
        </w:tc>
        <w:tc>
          <w:tcPr>
            <w:tcW w:w="974" w:type="dxa"/>
            <w:tcBorders>
              <w:top w:val="nil"/>
              <w:left w:val="nil"/>
              <w:bottom w:val="single" w:sz="4" w:space="0" w:color="auto"/>
              <w:right w:val="nil"/>
            </w:tcBorders>
            <w:shd w:val="clear" w:color="000000" w:fill="DCE6F1"/>
            <w:vAlign w:val="center"/>
            <w:hideMark/>
          </w:tcPr>
          <w:p w14:paraId="20241CAA" w14:textId="0ECA37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63,531</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46C7B67" w14:textId="417EAFE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18,651</w:t>
            </w:r>
          </w:p>
        </w:tc>
        <w:tc>
          <w:tcPr>
            <w:tcW w:w="990" w:type="dxa"/>
            <w:tcBorders>
              <w:top w:val="nil"/>
              <w:left w:val="nil"/>
              <w:bottom w:val="single" w:sz="4" w:space="0" w:color="auto"/>
              <w:right w:val="single" w:sz="4" w:space="0" w:color="auto"/>
            </w:tcBorders>
            <w:shd w:val="clear" w:color="000000" w:fill="DCE6F1"/>
            <w:vAlign w:val="center"/>
            <w:hideMark/>
          </w:tcPr>
          <w:p w14:paraId="70C6E97E" w14:textId="64AF07F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40,080</w:t>
            </w:r>
          </w:p>
        </w:tc>
        <w:tc>
          <w:tcPr>
            <w:tcW w:w="953" w:type="dxa"/>
            <w:tcBorders>
              <w:top w:val="nil"/>
              <w:left w:val="nil"/>
              <w:bottom w:val="single" w:sz="4" w:space="0" w:color="auto"/>
              <w:right w:val="single" w:sz="8" w:space="0" w:color="auto"/>
            </w:tcBorders>
            <w:shd w:val="clear" w:color="000000" w:fill="DCE6F1"/>
            <w:vAlign w:val="center"/>
            <w:hideMark/>
          </w:tcPr>
          <w:p w14:paraId="19F88721" w14:textId="429C602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4,800</w:t>
            </w:r>
          </w:p>
        </w:tc>
      </w:tr>
      <w:tr w:rsidR="004D73D3" w:rsidRPr="004D73D3" w14:paraId="0C5B53C9"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8B2CCD1"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Masa Prioritare 1.2: Zhvillimi i kujdesit shëndetësor gjithëpërfshirës dhe të orientuar drejt personave me aftësi të kufizuara</w:t>
            </w:r>
          </w:p>
        </w:tc>
        <w:tc>
          <w:tcPr>
            <w:tcW w:w="1160" w:type="dxa"/>
            <w:tcBorders>
              <w:top w:val="nil"/>
              <w:left w:val="nil"/>
              <w:bottom w:val="single" w:sz="4" w:space="0" w:color="auto"/>
              <w:right w:val="single" w:sz="4" w:space="0" w:color="auto"/>
            </w:tcBorders>
            <w:shd w:val="clear" w:color="000000" w:fill="DCE6F1"/>
            <w:vAlign w:val="center"/>
            <w:hideMark/>
          </w:tcPr>
          <w:p w14:paraId="6E6838C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2F5715B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AE9DFA2"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OSHKSH</w:t>
            </w:r>
          </w:p>
        </w:tc>
        <w:tc>
          <w:tcPr>
            <w:tcW w:w="1203" w:type="dxa"/>
            <w:tcBorders>
              <w:top w:val="nil"/>
              <w:left w:val="nil"/>
              <w:bottom w:val="single" w:sz="4" w:space="0" w:color="auto"/>
              <w:right w:val="single" w:sz="8" w:space="0" w:color="auto"/>
            </w:tcBorders>
            <w:shd w:val="clear" w:color="000000" w:fill="DCE6F1"/>
            <w:vAlign w:val="center"/>
            <w:hideMark/>
          </w:tcPr>
          <w:p w14:paraId="393519E0"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52E7FEA" w14:textId="2D5A660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23,767</w:t>
            </w:r>
          </w:p>
        </w:tc>
        <w:tc>
          <w:tcPr>
            <w:tcW w:w="847" w:type="dxa"/>
            <w:tcBorders>
              <w:top w:val="nil"/>
              <w:left w:val="nil"/>
              <w:bottom w:val="single" w:sz="4" w:space="0" w:color="auto"/>
              <w:right w:val="single" w:sz="4" w:space="0" w:color="auto"/>
            </w:tcBorders>
            <w:shd w:val="clear" w:color="000000" w:fill="DCE6F1"/>
            <w:vAlign w:val="center"/>
            <w:hideMark/>
          </w:tcPr>
          <w:p w14:paraId="23EE102C" w14:textId="52269A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22,357</w:t>
            </w:r>
          </w:p>
        </w:tc>
        <w:tc>
          <w:tcPr>
            <w:tcW w:w="720" w:type="dxa"/>
            <w:tcBorders>
              <w:top w:val="nil"/>
              <w:left w:val="nil"/>
              <w:bottom w:val="single" w:sz="4" w:space="0" w:color="auto"/>
              <w:right w:val="single" w:sz="4" w:space="0" w:color="auto"/>
            </w:tcBorders>
            <w:shd w:val="clear" w:color="000000" w:fill="DCE6F1"/>
            <w:vAlign w:val="center"/>
            <w:hideMark/>
          </w:tcPr>
          <w:p w14:paraId="7EEF2B7E" w14:textId="2523D59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29,007</w:t>
            </w:r>
          </w:p>
        </w:tc>
        <w:tc>
          <w:tcPr>
            <w:tcW w:w="810" w:type="dxa"/>
            <w:tcBorders>
              <w:top w:val="nil"/>
              <w:left w:val="nil"/>
              <w:bottom w:val="single" w:sz="4" w:space="0" w:color="auto"/>
              <w:right w:val="single" w:sz="4" w:space="0" w:color="auto"/>
            </w:tcBorders>
            <w:shd w:val="clear" w:color="000000" w:fill="DCE6F1"/>
            <w:vAlign w:val="center"/>
            <w:hideMark/>
          </w:tcPr>
          <w:p w14:paraId="386473DD" w14:textId="1A26AA0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23,483</w:t>
            </w:r>
          </w:p>
        </w:tc>
        <w:tc>
          <w:tcPr>
            <w:tcW w:w="646" w:type="dxa"/>
            <w:tcBorders>
              <w:top w:val="nil"/>
              <w:left w:val="nil"/>
              <w:bottom w:val="single" w:sz="4" w:space="0" w:color="auto"/>
              <w:right w:val="single" w:sz="4" w:space="0" w:color="auto"/>
            </w:tcBorders>
            <w:shd w:val="clear" w:color="000000" w:fill="DCE6F1"/>
            <w:vAlign w:val="center"/>
            <w:hideMark/>
          </w:tcPr>
          <w:p w14:paraId="00BDBF21" w14:textId="6E98CA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19,081</w:t>
            </w:r>
          </w:p>
        </w:tc>
        <w:tc>
          <w:tcPr>
            <w:tcW w:w="974" w:type="dxa"/>
            <w:tcBorders>
              <w:top w:val="nil"/>
              <w:left w:val="nil"/>
              <w:bottom w:val="single" w:sz="4" w:space="0" w:color="auto"/>
              <w:right w:val="nil"/>
            </w:tcBorders>
            <w:shd w:val="clear" w:color="000000" w:fill="DCE6F1"/>
            <w:vAlign w:val="center"/>
            <w:hideMark/>
          </w:tcPr>
          <w:p w14:paraId="0A5A004D" w14:textId="1873B7B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117,694</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9CA3D00" w14:textId="308C983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103,824</w:t>
            </w:r>
          </w:p>
        </w:tc>
        <w:tc>
          <w:tcPr>
            <w:tcW w:w="990" w:type="dxa"/>
            <w:tcBorders>
              <w:top w:val="nil"/>
              <w:left w:val="nil"/>
              <w:bottom w:val="single" w:sz="4" w:space="0" w:color="auto"/>
              <w:right w:val="single" w:sz="4" w:space="0" w:color="auto"/>
            </w:tcBorders>
            <w:shd w:val="clear" w:color="000000" w:fill="DCE6F1"/>
            <w:vAlign w:val="center"/>
            <w:hideMark/>
          </w:tcPr>
          <w:p w14:paraId="1E9302BB" w14:textId="5E7D51C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2,960</w:t>
            </w:r>
          </w:p>
        </w:tc>
        <w:tc>
          <w:tcPr>
            <w:tcW w:w="953" w:type="dxa"/>
            <w:tcBorders>
              <w:top w:val="nil"/>
              <w:left w:val="nil"/>
              <w:bottom w:val="single" w:sz="4" w:space="0" w:color="auto"/>
              <w:right w:val="single" w:sz="8" w:space="0" w:color="auto"/>
            </w:tcBorders>
            <w:shd w:val="clear" w:color="000000" w:fill="DCE6F1"/>
            <w:vAlign w:val="center"/>
            <w:hideMark/>
          </w:tcPr>
          <w:p w14:paraId="08DC7403" w14:textId="12AB55B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10,910</w:t>
            </w:r>
          </w:p>
        </w:tc>
      </w:tr>
      <w:tr w:rsidR="004D73D3" w:rsidRPr="004D73D3" w14:paraId="3DC110CE"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26A9FE71"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2.Mundësimi i rehabilitimit cilësor, shërbimeve të shëndetit mendor dhe aksesit në teknologji ndihmëse, të bazuara në komunitet dhe në nevojat individuale</w:t>
            </w:r>
          </w:p>
        </w:tc>
        <w:tc>
          <w:tcPr>
            <w:tcW w:w="1160" w:type="dxa"/>
            <w:tcBorders>
              <w:top w:val="nil"/>
              <w:left w:val="nil"/>
              <w:bottom w:val="single" w:sz="4" w:space="0" w:color="auto"/>
              <w:right w:val="single" w:sz="4" w:space="0" w:color="auto"/>
            </w:tcBorders>
            <w:shd w:val="clear" w:color="000000" w:fill="FDE9D9"/>
            <w:vAlign w:val="center"/>
            <w:hideMark/>
          </w:tcPr>
          <w:p w14:paraId="62930645" w14:textId="79376E46" w:rsidR="004D73D3" w:rsidRPr="004D73D3" w:rsidRDefault="004B31D6"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3D64815F"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53C4007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nil"/>
            </w:tcBorders>
            <w:shd w:val="clear" w:color="000000" w:fill="FDE9D9"/>
            <w:vAlign w:val="center"/>
            <w:hideMark/>
          </w:tcPr>
          <w:p w14:paraId="21529EB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OSHKSH/ISHP/BASHKITë/QSUT/FSDKSH/Urdherat/UNIVERISITET</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79A07367" w14:textId="5B4C9F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144,232</w:t>
            </w:r>
          </w:p>
        </w:tc>
        <w:tc>
          <w:tcPr>
            <w:tcW w:w="847" w:type="dxa"/>
            <w:tcBorders>
              <w:top w:val="nil"/>
              <w:left w:val="nil"/>
              <w:bottom w:val="single" w:sz="4" w:space="0" w:color="auto"/>
              <w:right w:val="single" w:sz="4" w:space="0" w:color="auto"/>
            </w:tcBorders>
            <w:shd w:val="clear" w:color="000000" w:fill="FDE9D9"/>
            <w:vAlign w:val="center"/>
            <w:hideMark/>
          </w:tcPr>
          <w:p w14:paraId="1B781FD8" w14:textId="48856A1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153,614</w:t>
            </w:r>
          </w:p>
        </w:tc>
        <w:tc>
          <w:tcPr>
            <w:tcW w:w="720" w:type="dxa"/>
            <w:tcBorders>
              <w:top w:val="nil"/>
              <w:left w:val="nil"/>
              <w:bottom w:val="single" w:sz="4" w:space="0" w:color="auto"/>
              <w:right w:val="single" w:sz="4" w:space="0" w:color="auto"/>
            </w:tcBorders>
            <w:shd w:val="clear" w:color="000000" w:fill="FDE9D9"/>
            <w:vAlign w:val="center"/>
            <w:hideMark/>
          </w:tcPr>
          <w:p w14:paraId="6A6A6AD2" w14:textId="4DCC065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148,355</w:t>
            </w:r>
          </w:p>
        </w:tc>
        <w:tc>
          <w:tcPr>
            <w:tcW w:w="810" w:type="dxa"/>
            <w:tcBorders>
              <w:top w:val="nil"/>
              <w:left w:val="nil"/>
              <w:bottom w:val="single" w:sz="4" w:space="0" w:color="auto"/>
              <w:right w:val="single" w:sz="4" w:space="0" w:color="auto"/>
            </w:tcBorders>
            <w:shd w:val="clear" w:color="000000" w:fill="FDE9D9"/>
            <w:vAlign w:val="center"/>
            <w:hideMark/>
          </w:tcPr>
          <w:p w14:paraId="0F90F3D3" w14:textId="034D729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158,893</w:t>
            </w:r>
          </w:p>
        </w:tc>
        <w:tc>
          <w:tcPr>
            <w:tcW w:w="646" w:type="dxa"/>
            <w:tcBorders>
              <w:top w:val="nil"/>
              <w:left w:val="nil"/>
              <w:bottom w:val="single" w:sz="4" w:space="0" w:color="auto"/>
              <w:right w:val="single" w:sz="4" w:space="0" w:color="auto"/>
            </w:tcBorders>
            <w:shd w:val="clear" w:color="000000" w:fill="FDE9D9"/>
            <w:vAlign w:val="center"/>
            <w:hideMark/>
          </w:tcPr>
          <w:p w14:paraId="46E6B0F5" w14:textId="7714DBB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154,669</w:t>
            </w:r>
          </w:p>
        </w:tc>
        <w:tc>
          <w:tcPr>
            <w:tcW w:w="974" w:type="dxa"/>
            <w:tcBorders>
              <w:top w:val="nil"/>
              <w:left w:val="nil"/>
              <w:bottom w:val="single" w:sz="4" w:space="0" w:color="auto"/>
              <w:right w:val="nil"/>
            </w:tcBorders>
            <w:shd w:val="clear" w:color="000000" w:fill="FDE9D9"/>
            <w:vAlign w:val="center"/>
            <w:hideMark/>
          </w:tcPr>
          <w:p w14:paraId="1B1F6F89" w14:textId="3D475B4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759,763</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2006AE04" w14:textId="3C5227E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569,567</w:t>
            </w:r>
          </w:p>
        </w:tc>
        <w:tc>
          <w:tcPr>
            <w:tcW w:w="990" w:type="dxa"/>
            <w:tcBorders>
              <w:top w:val="nil"/>
              <w:left w:val="nil"/>
              <w:bottom w:val="single" w:sz="4" w:space="0" w:color="auto"/>
              <w:right w:val="single" w:sz="4" w:space="0" w:color="auto"/>
            </w:tcBorders>
            <w:shd w:val="clear" w:color="000000" w:fill="FDE9D9"/>
            <w:vAlign w:val="center"/>
            <w:hideMark/>
          </w:tcPr>
          <w:p w14:paraId="3B4EA1BA" w14:textId="1BE3544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9,575</w:t>
            </w:r>
          </w:p>
        </w:tc>
        <w:tc>
          <w:tcPr>
            <w:tcW w:w="953" w:type="dxa"/>
            <w:tcBorders>
              <w:top w:val="nil"/>
              <w:left w:val="nil"/>
              <w:bottom w:val="single" w:sz="4" w:space="0" w:color="auto"/>
              <w:right w:val="single" w:sz="8" w:space="0" w:color="auto"/>
            </w:tcBorders>
            <w:shd w:val="clear" w:color="000000" w:fill="FDE9D9"/>
            <w:vAlign w:val="center"/>
            <w:hideMark/>
          </w:tcPr>
          <w:p w14:paraId="529F20FB" w14:textId="58CA525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180,621</w:t>
            </w:r>
          </w:p>
        </w:tc>
      </w:tr>
      <w:tr w:rsidR="004D73D3" w:rsidRPr="004D73D3" w14:paraId="5811B6DE" w14:textId="77777777" w:rsidTr="004B31D6">
        <w:trPr>
          <w:trHeight w:val="79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2AE7D96"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t>Masa Prioritare 2.1</w:t>
            </w:r>
            <w:r w:rsidRPr="005B77E1">
              <w:rPr>
                <w:rFonts w:eastAsia="Times New Roman"/>
                <w:bCs/>
                <w:color w:val="000000"/>
                <w:sz w:val="16"/>
                <w:szCs w:val="16"/>
                <w:lang w:val="en-US" w:eastAsia="en-US"/>
              </w:rPr>
              <w:t>: Forcimi i shërbimeve të rehabilitimit  të bazuara në komunitet</w:t>
            </w:r>
          </w:p>
        </w:tc>
        <w:tc>
          <w:tcPr>
            <w:tcW w:w="1160" w:type="dxa"/>
            <w:tcBorders>
              <w:top w:val="nil"/>
              <w:left w:val="nil"/>
              <w:bottom w:val="single" w:sz="4" w:space="0" w:color="auto"/>
              <w:right w:val="single" w:sz="4" w:space="0" w:color="auto"/>
            </w:tcBorders>
            <w:shd w:val="clear" w:color="000000" w:fill="DCE6F1"/>
            <w:vAlign w:val="center"/>
            <w:hideMark/>
          </w:tcPr>
          <w:p w14:paraId="6B14B9A8" w14:textId="77777777" w:rsidR="004D73D3" w:rsidRPr="004B31D6" w:rsidRDefault="004D73D3" w:rsidP="004D73D3">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5235DE4" w14:textId="77777777" w:rsidR="004D73D3" w:rsidRPr="004B31D6" w:rsidRDefault="004D73D3" w:rsidP="004D73D3">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08D5B10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nil"/>
            </w:tcBorders>
            <w:shd w:val="clear" w:color="000000" w:fill="DCE6F1"/>
            <w:vAlign w:val="center"/>
            <w:hideMark/>
          </w:tcPr>
          <w:p w14:paraId="08F5DC3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OSHKSH/ISHP/BASHKITë//QSUT/FSDKSH/Urdherat/Universitetet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B0D44E7" w14:textId="18C80AE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131,934</w:t>
            </w:r>
          </w:p>
        </w:tc>
        <w:tc>
          <w:tcPr>
            <w:tcW w:w="847" w:type="dxa"/>
            <w:tcBorders>
              <w:top w:val="nil"/>
              <w:left w:val="nil"/>
              <w:bottom w:val="single" w:sz="4" w:space="0" w:color="auto"/>
              <w:right w:val="single" w:sz="4" w:space="0" w:color="auto"/>
            </w:tcBorders>
            <w:shd w:val="clear" w:color="000000" w:fill="DCE6F1"/>
            <w:vAlign w:val="center"/>
            <w:hideMark/>
          </w:tcPr>
          <w:p w14:paraId="27192A7C" w14:textId="3694868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139,796</w:t>
            </w:r>
          </w:p>
        </w:tc>
        <w:tc>
          <w:tcPr>
            <w:tcW w:w="720" w:type="dxa"/>
            <w:tcBorders>
              <w:top w:val="nil"/>
              <w:left w:val="nil"/>
              <w:bottom w:val="single" w:sz="4" w:space="0" w:color="auto"/>
              <w:right w:val="single" w:sz="4" w:space="0" w:color="auto"/>
            </w:tcBorders>
            <w:shd w:val="clear" w:color="000000" w:fill="DCE6F1"/>
            <w:vAlign w:val="center"/>
            <w:hideMark/>
          </w:tcPr>
          <w:p w14:paraId="0B7FA55A" w14:textId="632208C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139,796</w:t>
            </w:r>
          </w:p>
        </w:tc>
        <w:tc>
          <w:tcPr>
            <w:tcW w:w="810" w:type="dxa"/>
            <w:tcBorders>
              <w:top w:val="nil"/>
              <w:left w:val="nil"/>
              <w:bottom w:val="single" w:sz="4" w:space="0" w:color="auto"/>
              <w:right w:val="single" w:sz="4" w:space="0" w:color="auto"/>
            </w:tcBorders>
            <w:shd w:val="clear" w:color="000000" w:fill="DCE6F1"/>
            <w:vAlign w:val="center"/>
            <w:hideMark/>
          </w:tcPr>
          <w:p w14:paraId="3AF71A0E" w14:textId="3F27921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139,973</w:t>
            </w:r>
          </w:p>
        </w:tc>
        <w:tc>
          <w:tcPr>
            <w:tcW w:w="646" w:type="dxa"/>
            <w:tcBorders>
              <w:top w:val="nil"/>
              <w:left w:val="nil"/>
              <w:bottom w:val="single" w:sz="4" w:space="0" w:color="auto"/>
              <w:right w:val="single" w:sz="4" w:space="0" w:color="auto"/>
            </w:tcBorders>
            <w:shd w:val="clear" w:color="000000" w:fill="DCE6F1"/>
            <w:vAlign w:val="center"/>
            <w:hideMark/>
          </w:tcPr>
          <w:p w14:paraId="34AF52F1" w14:textId="14E75C1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142,477</w:t>
            </w:r>
          </w:p>
        </w:tc>
        <w:tc>
          <w:tcPr>
            <w:tcW w:w="974" w:type="dxa"/>
            <w:tcBorders>
              <w:top w:val="nil"/>
              <w:left w:val="nil"/>
              <w:bottom w:val="single" w:sz="4" w:space="0" w:color="auto"/>
              <w:right w:val="nil"/>
            </w:tcBorders>
            <w:shd w:val="clear" w:color="000000" w:fill="DCE6F1"/>
            <w:vAlign w:val="center"/>
            <w:hideMark/>
          </w:tcPr>
          <w:p w14:paraId="450DC8CF" w14:textId="0E7D844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693,976</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CDD7E32" w14:textId="6EEFB99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538,205</w:t>
            </w:r>
          </w:p>
        </w:tc>
        <w:tc>
          <w:tcPr>
            <w:tcW w:w="990" w:type="dxa"/>
            <w:tcBorders>
              <w:top w:val="nil"/>
              <w:left w:val="nil"/>
              <w:bottom w:val="single" w:sz="4" w:space="0" w:color="auto"/>
              <w:right w:val="single" w:sz="4" w:space="0" w:color="auto"/>
            </w:tcBorders>
            <w:shd w:val="clear" w:color="000000" w:fill="DCE6F1"/>
            <w:vAlign w:val="center"/>
            <w:hideMark/>
          </w:tcPr>
          <w:p w14:paraId="183F2B91" w14:textId="51206E4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4,150</w:t>
            </w:r>
          </w:p>
        </w:tc>
        <w:tc>
          <w:tcPr>
            <w:tcW w:w="953" w:type="dxa"/>
            <w:tcBorders>
              <w:top w:val="nil"/>
              <w:left w:val="nil"/>
              <w:bottom w:val="single" w:sz="4" w:space="0" w:color="auto"/>
              <w:right w:val="single" w:sz="8" w:space="0" w:color="auto"/>
            </w:tcBorders>
            <w:shd w:val="clear" w:color="000000" w:fill="DCE6F1"/>
            <w:vAlign w:val="center"/>
            <w:hideMark/>
          </w:tcPr>
          <w:p w14:paraId="4A7726A0" w14:textId="24E21FC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151,621</w:t>
            </w:r>
          </w:p>
        </w:tc>
      </w:tr>
      <w:tr w:rsidR="004D73D3" w:rsidRPr="004D73D3" w14:paraId="4ABC1961" w14:textId="77777777" w:rsidTr="004B31D6">
        <w:trPr>
          <w:trHeight w:val="1440"/>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AA14E52"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lastRenderedPageBreak/>
              <w:t xml:space="preserve">Masa Prioritare 2.2: </w:t>
            </w:r>
            <w:r w:rsidRPr="005B77E1">
              <w:rPr>
                <w:rFonts w:eastAsia="Times New Roman"/>
                <w:bCs/>
                <w:color w:val="000000"/>
                <w:sz w:val="16"/>
                <w:szCs w:val="16"/>
                <w:lang w:val="en-US" w:eastAsia="en-US"/>
              </w:rPr>
              <w:t>Forcimi i të drejtave të personave me aftësi të kufizuara psikosociale përmes harmonizimit të kuadrit ligjor me standardet bashkëkohore të aftësisë së kufizuar dhe zhvillimit të shërbimeve të shëndetit mendor me bazë komunitare, gjithëpërfshirëse dhe të orientuara nga të drejtat e njeriu</w:t>
            </w:r>
          </w:p>
        </w:tc>
        <w:tc>
          <w:tcPr>
            <w:tcW w:w="1160" w:type="dxa"/>
            <w:tcBorders>
              <w:top w:val="nil"/>
              <w:left w:val="nil"/>
              <w:bottom w:val="single" w:sz="4" w:space="0" w:color="auto"/>
              <w:right w:val="single" w:sz="4" w:space="0" w:color="auto"/>
            </w:tcBorders>
            <w:shd w:val="clear" w:color="000000" w:fill="DCE6F1"/>
            <w:vAlign w:val="center"/>
            <w:hideMark/>
          </w:tcPr>
          <w:p w14:paraId="59467A4D" w14:textId="77777777" w:rsidR="004D73D3" w:rsidRPr="004B31D6" w:rsidRDefault="004D73D3" w:rsidP="004D73D3">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FCEC5FE" w14:textId="77777777" w:rsidR="004D73D3" w:rsidRPr="004B31D6" w:rsidRDefault="004D73D3" w:rsidP="004D73D3">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3A8EA24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nil"/>
            </w:tcBorders>
            <w:shd w:val="clear" w:color="000000" w:fill="DCE6F1"/>
            <w:vAlign w:val="center"/>
            <w:hideMark/>
          </w:tcPr>
          <w:p w14:paraId="0CF5359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614F476" w14:textId="5D726D5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7,009</w:t>
            </w:r>
          </w:p>
        </w:tc>
        <w:tc>
          <w:tcPr>
            <w:tcW w:w="847" w:type="dxa"/>
            <w:tcBorders>
              <w:top w:val="nil"/>
              <w:left w:val="nil"/>
              <w:bottom w:val="single" w:sz="4" w:space="0" w:color="auto"/>
              <w:right w:val="single" w:sz="4" w:space="0" w:color="auto"/>
            </w:tcBorders>
            <w:shd w:val="clear" w:color="000000" w:fill="DCE6F1"/>
            <w:vAlign w:val="center"/>
            <w:hideMark/>
          </w:tcPr>
          <w:p w14:paraId="5CF32536" w14:textId="1338742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8,016</w:t>
            </w:r>
          </w:p>
        </w:tc>
        <w:tc>
          <w:tcPr>
            <w:tcW w:w="720" w:type="dxa"/>
            <w:tcBorders>
              <w:top w:val="nil"/>
              <w:left w:val="nil"/>
              <w:bottom w:val="single" w:sz="4" w:space="0" w:color="auto"/>
              <w:right w:val="single" w:sz="4" w:space="0" w:color="auto"/>
            </w:tcBorders>
            <w:shd w:val="clear" w:color="000000" w:fill="DCE6F1"/>
            <w:vAlign w:val="center"/>
            <w:hideMark/>
          </w:tcPr>
          <w:p w14:paraId="76E77A5B" w14:textId="1FB84D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2,757</w:t>
            </w:r>
          </w:p>
        </w:tc>
        <w:tc>
          <w:tcPr>
            <w:tcW w:w="810" w:type="dxa"/>
            <w:tcBorders>
              <w:top w:val="nil"/>
              <w:left w:val="nil"/>
              <w:bottom w:val="single" w:sz="4" w:space="0" w:color="auto"/>
              <w:right w:val="single" w:sz="4" w:space="0" w:color="auto"/>
            </w:tcBorders>
            <w:shd w:val="clear" w:color="000000" w:fill="DCE6F1"/>
            <w:vAlign w:val="center"/>
            <w:hideMark/>
          </w:tcPr>
          <w:p w14:paraId="294DEAEC" w14:textId="23A461D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11,345</w:t>
            </w:r>
          </w:p>
        </w:tc>
        <w:tc>
          <w:tcPr>
            <w:tcW w:w="646" w:type="dxa"/>
            <w:tcBorders>
              <w:top w:val="nil"/>
              <w:left w:val="nil"/>
              <w:bottom w:val="single" w:sz="4" w:space="0" w:color="auto"/>
              <w:right w:val="single" w:sz="4" w:space="0" w:color="auto"/>
            </w:tcBorders>
            <w:shd w:val="clear" w:color="000000" w:fill="DCE6F1"/>
            <w:vAlign w:val="center"/>
            <w:hideMark/>
          </w:tcPr>
          <w:p w14:paraId="2D3A2EEF" w14:textId="4E2E4D2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4,618</w:t>
            </w:r>
          </w:p>
        </w:tc>
        <w:tc>
          <w:tcPr>
            <w:tcW w:w="974" w:type="dxa"/>
            <w:tcBorders>
              <w:top w:val="nil"/>
              <w:left w:val="nil"/>
              <w:bottom w:val="single" w:sz="4" w:space="0" w:color="auto"/>
              <w:right w:val="nil"/>
            </w:tcBorders>
            <w:shd w:val="clear" w:color="000000" w:fill="DCE6F1"/>
            <w:vAlign w:val="center"/>
            <w:hideMark/>
          </w:tcPr>
          <w:p w14:paraId="2C276071" w14:textId="1AE174B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33,745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DAB8BD0" w14:textId="79F4F63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18,195</w:t>
            </w:r>
          </w:p>
        </w:tc>
        <w:tc>
          <w:tcPr>
            <w:tcW w:w="990" w:type="dxa"/>
            <w:tcBorders>
              <w:top w:val="nil"/>
              <w:left w:val="nil"/>
              <w:bottom w:val="single" w:sz="4" w:space="0" w:color="auto"/>
              <w:right w:val="single" w:sz="4" w:space="0" w:color="auto"/>
            </w:tcBorders>
            <w:shd w:val="clear" w:color="000000" w:fill="DCE6F1"/>
            <w:vAlign w:val="center"/>
            <w:hideMark/>
          </w:tcPr>
          <w:p w14:paraId="391FB6AE" w14:textId="329B4B7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2,100</w:t>
            </w:r>
          </w:p>
        </w:tc>
        <w:tc>
          <w:tcPr>
            <w:tcW w:w="953" w:type="dxa"/>
            <w:tcBorders>
              <w:top w:val="nil"/>
              <w:left w:val="nil"/>
              <w:bottom w:val="single" w:sz="4" w:space="0" w:color="auto"/>
              <w:right w:val="single" w:sz="8" w:space="0" w:color="auto"/>
            </w:tcBorders>
            <w:shd w:val="clear" w:color="000000" w:fill="DCE6F1"/>
            <w:vAlign w:val="center"/>
            <w:hideMark/>
          </w:tcPr>
          <w:p w14:paraId="10AFFE51" w14:textId="3611FD9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13,450</w:t>
            </w:r>
          </w:p>
        </w:tc>
      </w:tr>
      <w:tr w:rsidR="004D73D3" w:rsidRPr="004D73D3" w14:paraId="748CF6A1" w14:textId="77777777" w:rsidTr="004B31D6">
        <w:trPr>
          <w:trHeight w:val="528"/>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D2681AB"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2.3: </w:t>
            </w:r>
            <w:r w:rsidRPr="005B77E1">
              <w:rPr>
                <w:rFonts w:eastAsia="Times New Roman"/>
                <w:bCs/>
                <w:color w:val="000000"/>
                <w:sz w:val="16"/>
                <w:szCs w:val="16"/>
                <w:lang w:val="en-US" w:eastAsia="en-US"/>
              </w:rPr>
              <w:t>Aksesi në teknologji dhe mjete ndihmëse</w:t>
            </w:r>
          </w:p>
        </w:tc>
        <w:tc>
          <w:tcPr>
            <w:tcW w:w="1160" w:type="dxa"/>
            <w:tcBorders>
              <w:top w:val="nil"/>
              <w:left w:val="nil"/>
              <w:bottom w:val="single" w:sz="4" w:space="0" w:color="auto"/>
              <w:right w:val="single" w:sz="4" w:space="0" w:color="auto"/>
            </w:tcBorders>
            <w:shd w:val="clear" w:color="000000" w:fill="DCE6F1"/>
            <w:vAlign w:val="center"/>
            <w:hideMark/>
          </w:tcPr>
          <w:p w14:paraId="39495862" w14:textId="77777777" w:rsidR="004D73D3" w:rsidRPr="004B31D6" w:rsidRDefault="004D73D3" w:rsidP="004D73D3">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DD08A95" w14:textId="77777777" w:rsidR="004D73D3" w:rsidRPr="004B31D6" w:rsidRDefault="004D73D3" w:rsidP="004D73D3">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4614DF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nil"/>
            </w:tcBorders>
            <w:shd w:val="clear" w:color="000000" w:fill="DCE6F1"/>
            <w:vAlign w:val="center"/>
            <w:hideMark/>
          </w:tcPr>
          <w:p w14:paraId="33F8124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MSHMS/FDSKSH/UNIVERISITET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EE1438B" w14:textId="5E9BF06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5,289</w:t>
            </w:r>
          </w:p>
        </w:tc>
        <w:tc>
          <w:tcPr>
            <w:tcW w:w="847" w:type="dxa"/>
            <w:tcBorders>
              <w:top w:val="nil"/>
              <w:left w:val="nil"/>
              <w:bottom w:val="single" w:sz="4" w:space="0" w:color="auto"/>
              <w:right w:val="single" w:sz="4" w:space="0" w:color="auto"/>
            </w:tcBorders>
            <w:shd w:val="clear" w:color="000000" w:fill="DCE6F1"/>
            <w:vAlign w:val="center"/>
            <w:hideMark/>
          </w:tcPr>
          <w:p w14:paraId="32E915F8" w14:textId="7F3CE1F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5,802</w:t>
            </w:r>
          </w:p>
        </w:tc>
        <w:tc>
          <w:tcPr>
            <w:tcW w:w="720" w:type="dxa"/>
            <w:tcBorders>
              <w:top w:val="nil"/>
              <w:left w:val="nil"/>
              <w:bottom w:val="single" w:sz="4" w:space="0" w:color="auto"/>
              <w:right w:val="single" w:sz="4" w:space="0" w:color="auto"/>
            </w:tcBorders>
            <w:shd w:val="clear" w:color="000000" w:fill="DCE6F1"/>
            <w:vAlign w:val="center"/>
            <w:hideMark/>
          </w:tcPr>
          <w:p w14:paraId="32FCA934" w14:textId="0825FD8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5,802</w:t>
            </w:r>
          </w:p>
        </w:tc>
        <w:tc>
          <w:tcPr>
            <w:tcW w:w="810" w:type="dxa"/>
            <w:tcBorders>
              <w:top w:val="nil"/>
              <w:left w:val="nil"/>
              <w:bottom w:val="single" w:sz="4" w:space="0" w:color="auto"/>
              <w:right w:val="single" w:sz="4" w:space="0" w:color="auto"/>
            </w:tcBorders>
            <w:shd w:val="clear" w:color="000000" w:fill="DCE6F1"/>
            <w:vAlign w:val="center"/>
            <w:hideMark/>
          </w:tcPr>
          <w:p w14:paraId="21F40F20" w14:textId="207AA68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7,575</w:t>
            </w:r>
          </w:p>
        </w:tc>
        <w:tc>
          <w:tcPr>
            <w:tcW w:w="646" w:type="dxa"/>
            <w:tcBorders>
              <w:top w:val="nil"/>
              <w:left w:val="nil"/>
              <w:bottom w:val="single" w:sz="4" w:space="0" w:color="auto"/>
              <w:right w:val="single" w:sz="4" w:space="0" w:color="auto"/>
            </w:tcBorders>
            <w:shd w:val="clear" w:color="000000" w:fill="DCE6F1"/>
            <w:vAlign w:val="center"/>
            <w:hideMark/>
          </w:tcPr>
          <w:p w14:paraId="2AF5134C" w14:textId="265E165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7,575</w:t>
            </w:r>
          </w:p>
        </w:tc>
        <w:tc>
          <w:tcPr>
            <w:tcW w:w="974" w:type="dxa"/>
            <w:tcBorders>
              <w:top w:val="nil"/>
              <w:left w:val="nil"/>
              <w:bottom w:val="single" w:sz="4" w:space="0" w:color="auto"/>
              <w:right w:val="nil"/>
            </w:tcBorders>
            <w:shd w:val="clear" w:color="000000" w:fill="DCE6F1"/>
            <w:vAlign w:val="center"/>
            <w:hideMark/>
          </w:tcPr>
          <w:p w14:paraId="16F207D4" w14:textId="4FFD8E6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32,043</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5E2312DA" w14:textId="2CB5CD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13,168</w:t>
            </w:r>
          </w:p>
        </w:tc>
        <w:tc>
          <w:tcPr>
            <w:tcW w:w="990" w:type="dxa"/>
            <w:tcBorders>
              <w:top w:val="nil"/>
              <w:left w:val="nil"/>
              <w:bottom w:val="single" w:sz="4" w:space="0" w:color="auto"/>
              <w:right w:val="single" w:sz="4" w:space="0" w:color="auto"/>
            </w:tcBorders>
            <w:shd w:val="clear" w:color="000000" w:fill="DCE6F1"/>
            <w:vAlign w:val="center"/>
            <w:hideMark/>
          </w:tcPr>
          <w:p w14:paraId="02970FF0" w14:textId="3C1ED62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3,325</w:t>
            </w:r>
          </w:p>
        </w:tc>
        <w:tc>
          <w:tcPr>
            <w:tcW w:w="953" w:type="dxa"/>
            <w:tcBorders>
              <w:top w:val="nil"/>
              <w:left w:val="nil"/>
              <w:bottom w:val="single" w:sz="4" w:space="0" w:color="auto"/>
              <w:right w:val="single" w:sz="8" w:space="0" w:color="auto"/>
            </w:tcBorders>
            <w:shd w:val="clear" w:color="000000" w:fill="DCE6F1"/>
            <w:vAlign w:val="center"/>
            <w:hideMark/>
          </w:tcPr>
          <w:p w14:paraId="784B1C63" w14:textId="5647732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15,550</w:t>
            </w:r>
          </w:p>
        </w:tc>
      </w:tr>
      <w:tr w:rsidR="004D73D3" w:rsidRPr="004D73D3" w14:paraId="23FDAD20" w14:textId="77777777" w:rsidTr="004B31D6">
        <w:trPr>
          <w:trHeight w:val="1848"/>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5EDE6836"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3:Përmirësimi i cilësisë së shërbimeve përmes forcimit të burimeve njerëzore, aksesueshmërisë dhe mekanizmave të monitorimit dhe llogaridhënies</w:t>
            </w:r>
          </w:p>
        </w:tc>
        <w:tc>
          <w:tcPr>
            <w:tcW w:w="1160" w:type="dxa"/>
            <w:tcBorders>
              <w:top w:val="nil"/>
              <w:left w:val="nil"/>
              <w:bottom w:val="single" w:sz="4" w:space="0" w:color="auto"/>
              <w:right w:val="single" w:sz="4" w:space="0" w:color="auto"/>
            </w:tcBorders>
            <w:shd w:val="clear" w:color="000000" w:fill="FDE9D9"/>
            <w:vAlign w:val="center"/>
            <w:hideMark/>
          </w:tcPr>
          <w:p w14:paraId="1550C4D9" w14:textId="31174406" w:rsidR="004D73D3" w:rsidRPr="004D73D3" w:rsidRDefault="004B31D6" w:rsidP="004D73D3">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FDE9D9"/>
            <w:vAlign w:val="center"/>
            <w:hideMark/>
          </w:tcPr>
          <w:p w14:paraId="569C7B84"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FDE9D9"/>
            <w:vAlign w:val="center"/>
            <w:hideMark/>
          </w:tcPr>
          <w:p w14:paraId="4C3B6A1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MSHMS/OSHKSH</w:t>
            </w:r>
          </w:p>
        </w:tc>
        <w:tc>
          <w:tcPr>
            <w:tcW w:w="1203" w:type="dxa"/>
            <w:tcBorders>
              <w:top w:val="nil"/>
              <w:left w:val="nil"/>
              <w:bottom w:val="single" w:sz="4" w:space="0" w:color="auto"/>
              <w:right w:val="nil"/>
            </w:tcBorders>
            <w:shd w:val="clear" w:color="000000" w:fill="FDE9D9"/>
            <w:vAlign w:val="center"/>
            <w:hideMark/>
          </w:tcPr>
          <w:p w14:paraId="1E62E1B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Instituti i Shëndetit Publik (ISHP)/ASCK Bashkëpunues: Urdhri i Mjekut, Urdhri i Infermierit, Universiteti i Mjekësisë</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279AA4E" w14:textId="5CE0020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2,400</w:t>
            </w:r>
          </w:p>
        </w:tc>
        <w:tc>
          <w:tcPr>
            <w:tcW w:w="847" w:type="dxa"/>
            <w:tcBorders>
              <w:top w:val="nil"/>
              <w:left w:val="nil"/>
              <w:bottom w:val="single" w:sz="4" w:space="0" w:color="auto"/>
              <w:right w:val="single" w:sz="4" w:space="0" w:color="auto"/>
            </w:tcBorders>
            <w:shd w:val="clear" w:color="000000" w:fill="FDE9D9"/>
            <w:vAlign w:val="center"/>
            <w:hideMark/>
          </w:tcPr>
          <w:p w14:paraId="20874C1A" w14:textId="7130E56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6,041</w:t>
            </w:r>
          </w:p>
        </w:tc>
        <w:tc>
          <w:tcPr>
            <w:tcW w:w="720" w:type="dxa"/>
            <w:tcBorders>
              <w:top w:val="nil"/>
              <w:left w:val="nil"/>
              <w:bottom w:val="single" w:sz="4" w:space="0" w:color="auto"/>
              <w:right w:val="single" w:sz="4" w:space="0" w:color="auto"/>
            </w:tcBorders>
            <w:shd w:val="clear" w:color="000000" w:fill="FDE9D9"/>
            <w:vAlign w:val="center"/>
            <w:hideMark/>
          </w:tcPr>
          <w:p w14:paraId="017F4C27" w14:textId="1EF8257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6,041</w:t>
            </w:r>
          </w:p>
        </w:tc>
        <w:tc>
          <w:tcPr>
            <w:tcW w:w="810" w:type="dxa"/>
            <w:tcBorders>
              <w:top w:val="nil"/>
              <w:left w:val="nil"/>
              <w:bottom w:val="single" w:sz="4" w:space="0" w:color="auto"/>
              <w:right w:val="single" w:sz="4" w:space="0" w:color="auto"/>
            </w:tcBorders>
            <w:shd w:val="clear" w:color="000000" w:fill="FDE9D9"/>
            <w:vAlign w:val="center"/>
            <w:hideMark/>
          </w:tcPr>
          <w:p w14:paraId="0B992B52" w14:textId="3DC0A86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10,491</w:t>
            </w:r>
          </w:p>
        </w:tc>
        <w:tc>
          <w:tcPr>
            <w:tcW w:w="646" w:type="dxa"/>
            <w:tcBorders>
              <w:top w:val="nil"/>
              <w:left w:val="nil"/>
              <w:bottom w:val="single" w:sz="4" w:space="0" w:color="auto"/>
              <w:right w:val="single" w:sz="4" w:space="0" w:color="auto"/>
            </w:tcBorders>
            <w:shd w:val="clear" w:color="000000" w:fill="FDE9D9"/>
            <w:vAlign w:val="center"/>
            <w:hideMark/>
          </w:tcPr>
          <w:p w14:paraId="0E1F9048" w14:textId="2FD0FB1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10,491</w:t>
            </w:r>
          </w:p>
        </w:tc>
        <w:tc>
          <w:tcPr>
            <w:tcW w:w="974" w:type="dxa"/>
            <w:tcBorders>
              <w:top w:val="nil"/>
              <w:left w:val="nil"/>
              <w:bottom w:val="single" w:sz="4" w:space="0" w:color="auto"/>
              <w:right w:val="nil"/>
            </w:tcBorders>
            <w:shd w:val="clear" w:color="000000" w:fill="FDE9D9"/>
            <w:vAlign w:val="center"/>
            <w:hideMark/>
          </w:tcPr>
          <w:p w14:paraId="6BEECE91" w14:textId="0E57173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35,464</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43777FE8" w14:textId="3049E31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15,123</w:t>
            </w:r>
          </w:p>
        </w:tc>
        <w:tc>
          <w:tcPr>
            <w:tcW w:w="990" w:type="dxa"/>
            <w:tcBorders>
              <w:top w:val="nil"/>
              <w:left w:val="nil"/>
              <w:bottom w:val="single" w:sz="4" w:space="0" w:color="auto"/>
              <w:right w:val="single" w:sz="4" w:space="0" w:color="auto"/>
            </w:tcBorders>
            <w:shd w:val="clear" w:color="000000" w:fill="FDE9D9"/>
            <w:vAlign w:val="center"/>
            <w:hideMark/>
          </w:tcPr>
          <w:p w14:paraId="5A72C6AA" w14:textId="3EE52E6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16,041</w:t>
            </w:r>
          </w:p>
        </w:tc>
        <w:tc>
          <w:tcPr>
            <w:tcW w:w="953" w:type="dxa"/>
            <w:tcBorders>
              <w:top w:val="nil"/>
              <w:left w:val="nil"/>
              <w:bottom w:val="single" w:sz="4" w:space="0" w:color="auto"/>
              <w:right w:val="single" w:sz="8" w:space="0" w:color="auto"/>
            </w:tcBorders>
            <w:shd w:val="clear" w:color="000000" w:fill="FDE9D9"/>
            <w:vAlign w:val="center"/>
            <w:hideMark/>
          </w:tcPr>
          <w:p w14:paraId="003C4A5E" w14:textId="23F9DCB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4,300</w:t>
            </w:r>
          </w:p>
        </w:tc>
      </w:tr>
      <w:tr w:rsidR="004D73D3" w:rsidRPr="004D73D3" w14:paraId="3F6AF27C" w14:textId="77777777" w:rsidTr="004B31D6">
        <w:trPr>
          <w:trHeight w:val="1848"/>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5E76836" w14:textId="77777777" w:rsidR="004D73D3" w:rsidRPr="004D73D3" w:rsidRDefault="004D73D3" w:rsidP="004D73D3">
            <w:pPr>
              <w:rPr>
                <w:rFonts w:eastAsia="Times New Roman"/>
                <w:b/>
                <w:bCs/>
                <w:color w:val="000000"/>
                <w:sz w:val="16"/>
                <w:szCs w:val="16"/>
                <w:lang w:val="en-US" w:eastAsia="en-US"/>
              </w:rPr>
            </w:pPr>
            <w:r w:rsidRPr="004D73D3">
              <w:rPr>
                <w:rFonts w:eastAsia="Times New Roman"/>
                <w:b/>
                <w:bCs/>
                <w:color w:val="000000"/>
                <w:sz w:val="16"/>
                <w:szCs w:val="16"/>
                <w:lang w:val="en-US" w:eastAsia="en-US"/>
              </w:rPr>
              <w:t>Masa prioritare 3.1.</w:t>
            </w:r>
            <w:r w:rsidRPr="005B77E1">
              <w:rPr>
                <w:rFonts w:eastAsia="Times New Roman"/>
                <w:bCs/>
                <w:color w:val="000000"/>
                <w:sz w:val="16"/>
                <w:szCs w:val="16"/>
                <w:lang w:val="en-US" w:eastAsia="en-US"/>
              </w:rPr>
              <w:t>Edukimi dhe forcimi i kapaciteteve të personelit shëndetësor</w:t>
            </w:r>
          </w:p>
        </w:tc>
        <w:tc>
          <w:tcPr>
            <w:tcW w:w="1160" w:type="dxa"/>
            <w:tcBorders>
              <w:top w:val="nil"/>
              <w:left w:val="nil"/>
              <w:bottom w:val="single" w:sz="4" w:space="0" w:color="auto"/>
              <w:right w:val="single" w:sz="4" w:space="0" w:color="auto"/>
            </w:tcBorders>
            <w:shd w:val="clear" w:color="000000" w:fill="DCE6F1"/>
            <w:vAlign w:val="center"/>
            <w:hideMark/>
          </w:tcPr>
          <w:p w14:paraId="2995C1B3"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7134C0F2"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0FDB0AB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MSHMS/OSHKSH</w:t>
            </w:r>
          </w:p>
        </w:tc>
        <w:tc>
          <w:tcPr>
            <w:tcW w:w="1203" w:type="dxa"/>
            <w:tcBorders>
              <w:top w:val="nil"/>
              <w:left w:val="nil"/>
              <w:bottom w:val="single" w:sz="4" w:space="0" w:color="auto"/>
              <w:right w:val="single" w:sz="8" w:space="0" w:color="auto"/>
            </w:tcBorders>
            <w:shd w:val="clear" w:color="000000" w:fill="DCE6F1"/>
            <w:vAlign w:val="center"/>
            <w:hideMark/>
          </w:tcPr>
          <w:p w14:paraId="6136B943"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Instituti i Shëndetit Publik (ISHP)/ASCK Bashkëpunues: Urdhri i Mjekut, Urdhri i Infermierit, Universiteti i Mjekësisë</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0B6E34AE" w14:textId="57AB12E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2,400</w:t>
            </w:r>
          </w:p>
        </w:tc>
        <w:tc>
          <w:tcPr>
            <w:tcW w:w="847" w:type="dxa"/>
            <w:tcBorders>
              <w:top w:val="nil"/>
              <w:left w:val="nil"/>
              <w:bottom w:val="single" w:sz="4" w:space="0" w:color="auto"/>
              <w:right w:val="single" w:sz="4" w:space="0" w:color="auto"/>
            </w:tcBorders>
            <w:shd w:val="clear" w:color="000000" w:fill="DCE6F1"/>
            <w:vAlign w:val="center"/>
            <w:hideMark/>
          </w:tcPr>
          <w:p w14:paraId="1DE7BBEC" w14:textId="731ADA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1,541</w:t>
            </w:r>
          </w:p>
        </w:tc>
        <w:tc>
          <w:tcPr>
            <w:tcW w:w="720" w:type="dxa"/>
            <w:tcBorders>
              <w:top w:val="nil"/>
              <w:left w:val="nil"/>
              <w:bottom w:val="single" w:sz="4" w:space="0" w:color="auto"/>
              <w:right w:val="single" w:sz="4" w:space="0" w:color="auto"/>
            </w:tcBorders>
            <w:shd w:val="clear" w:color="000000" w:fill="DCE6F1"/>
            <w:vAlign w:val="center"/>
            <w:hideMark/>
          </w:tcPr>
          <w:p w14:paraId="5E2115DD" w14:textId="1717521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1,541</w:t>
            </w:r>
          </w:p>
        </w:tc>
        <w:tc>
          <w:tcPr>
            <w:tcW w:w="810" w:type="dxa"/>
            <w:tcBorders>
              <w:top w:val="nil"/>
              <w:left w:val="nil"/>
              <w:bottom w:val="single" w:sz="4" w:space="0" w:color="auto"/>
              <w:right w:val="single" w:sz="4" w:space="0" w:color="auto"/>
            </w:tcBorders>
            <w:shd w:val="clear" w:color="000000" w:fill="DCE6F1"/>
            <w:vAlign w:val="center"/>
            <w:hideMark/>
          </w:tcPr>
          <w:p w14:paraId="3650A3EA" w14:textId="713B7FE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1,541</w:t>
            </w:r>
          </w:p>
        </w:tc>
        <w:tc>
          <w:tcPr>
            <w:tcW w:w="646" w:type="dxa"/>
            <w:tcBorders>
              <w:top w:val="nil"/>
              <w:left w:val="nil"/>
              <w:bottom w:val="single" w:sz="4" w:space="0" w:color="auto"/>
              <w:right w:val="single" w:sz="4" w:space="0" w:color="auto"/>
            </w:tcBorders>
            <w:shd w:val="clear" w:color="000000" w:fill="DCE6F1"/>
            <w:vAlign w:val="center"/>
            <w:hideMark/>
          </w:tcPr>
          <w:p w14:paraId="4EAD1FAC" w14:textId="0E37FB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1,541</w:t>
            </w:r>
          </w:p>
        </w:tc>
        <w:tc>
          <w:tcPr>
            <w:tcW w:w="974" w:type="dxa"/>
            <w:tcBorders>
              <w:top w:val="nil"/>
              <w:left w:val="nil"/>
              <w:bottom w:val="single" w:sz="4" w:space="0" w:color="auto"/>
              <w:right w:val="nil"/>
            </w:tcBorders>
            <w:shd w:val="clear" w:color="000000" w:fill="DCE6F1"/>
            <w:vAlign w:val="center"/>
            <w:hideMark/>
          </w:tcPr>
          <w:p w14:paraId="62A4F741" w14:textId="0022788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8,564</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DAE566C" w14:textId="16070D5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123</w:t>
            </w:r>
          </w:p>
        </w:tc>
        <w:tc>
          <w:tcPr>
            <w:tcW w:w="990" w:type="dxa"/>
            <w:tcBorders>
              <w:top w:val="nil"/>
              <w:left w:val="nil"/>
              <w:bottom w:val="single" w:sz="4" w:space="0" w:color="auto"/>
              <w:right w:val="single" w:sz="4" w:space="0" w:color="auto"/>
            </w:tcBorders>
            <w:shd w:val="clear" w:color="000000" w:fill="DCE6F1"/>
            <w:vAlign w:val="center"/>
            <w:hideMark/>
          </w:tcPr>
          <w:p w14:paraId="543656F5" w14:textId="19777A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6,391</w:t>
            </w:r>
          </w:p>
        </w:tc>
        <w:tc>
          <w:tcPr>
            <w:tcW w:w="953" w:type="dxa"/>
            <w:tcBorders>
              <w:top w:val="nil"/>
              <w:left w:val="nil"/>
              <w:bottom w:val="single" w:sz="4" w:space="0" w:color="auto"/>
              <w:right w:val="single" w:sz="8" w:space="0" w:color="auto"/>
            </w:tcBorders>
            <w:shd w:val="clear" w:color="000000" w:fill="DCE6F1"/>
            <w:vAlign w:val="center"/>
            <w:hideMark/>
          </w:tcPr>
          <w:p w14:paraId="43B2DA3B" w14:textId="753AF38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2,050</w:t>
            </w:r>
          </w:p>
        </w:tc>
      </w:tr>
      <w:tr w:rsidR="004D73D3" w:rsidRPr="004D73D3" w14:paraId="5E7AAA25"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4E54BDA"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3.2: </w:t>
            </w:r>
            <w:r w:rsidRPr="005B77E1">
              <w:rPr>
                <w:rFonts w:eastAsia="Times New Roman"/>
                <w:bCs/>
                <w:color w:val="000000"/>
                <w:sz w:val="16"/>
                <w:szCs w:val="16"/>
                <w:lang w:val="en-US" w:eastAsia="en-US"/>
              </w:rPr>
              <w:t>Akses i barabartë në mjedise dhe informacion shëndetësor për të gjitha kategoritë e personave me aftësi të kufizuar</w:t>
            </w:r>
          </w:p>
        </w:tc>
        <w:tc>
          <w:tcPr>
            <w:tcW w:w="1160" w:type="dxa"/>
            <w:tcBorders>
              <w:top w:val="nil"/>
              <w:left w:val="nil"/>
              <w:bottom w:val="single" w:sz="4" w:space="0" w:color="auto"/>
              <w:right w:val="single" w:sz="4" w:space="0" w:color="auto"/>
            </w:tcBorders>
            <w:shd w:val="clear" w:color="000000" w:fill="DCE6F1"/>
            <w:vAlign w:val="center"/>
            <w:hideMark/>
          </w:tcPr>
          <w:p w14:paraId="6B9BA4A3"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2027</w:t>
            </w:r>
          </w:p>
        </w:tc>
        <w:tc>
          <w:tcPr>
            <w:tcW w:w="1292" w:type="dxa"/>
            <w:tcBorders>
              <w:top w:val="nil"/>
              <w:left w:val="nil"/>
              <w:bottom w:val="single" w:sz="4" w:space="0" w:color="auto"/>
              <w:right w:val="single" w:sz="4" w:space="0" w:color="auto"/>
            </w:tcBorders>
            <w:shd w:val="clear" w:color="000000" w:fill="DCE6F1"/>
            <w:vAlign w:val="center"/>
            <w:hideMark/>
          </w:tcPr>
          <w:p w14:paraId="4D07F521"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noWrap/>
            <w:vAlign w:val="center"/>
            <w:hideMark/>
          </w:tcPr>
          <w:p w14:paraId="4553CCD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OSHKSH</w:t>
            </w:r>
          </w:p>
        </w:tc>
        <w:tc>
          <w:tcPr>
            <w:tcW w:w="1203" w:type="dxa"/>
            <w:tcBorders>
              <w:top w:val="nil"/>
              <w:left w:val="nil"/>
              <w:bottom w:val="single" w:sz="4" w:space="0" w:color="auto"/>
              <w:right w:val="single" w:sz="8" w:space="0" w:color="auto"/>
            </w:tcBorders>
            <w:shd w:val="clear" w:color="000000" w:fill="DCE6F1"/>
            <w:noWrap/>
            <w:vAlign w:val="center"/>
            <w:hideMark/>
          </w:tcPr>
          <w:p w14:paraId="3AE5B2B0"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1904E354" w14:textId="1FC8AD9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6B91DBBD" w14:textId="768A59E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4,500</w:t>
            </w:r>
          </w:p>
        </w:tc>
        <w:tc>
          <w:tcPr>
            <w:tcW w:w="720" w:type="dxa"/>
            <w:tcBorders>
              <w:top w:val="nil"/>
              <w:left w:val="nil"/>
              <w:bottom w:val="single" w:sz="4" w:space="0" w:color="auto"/>
              <w:right w:val="single" w:sz="4" w:space="0" w:color="auto"/>
            </w:tcBorders>
            <w:shd w:val="clear" w:color="000000" w:fill="DCE6F1"/>
            <w:vAlign w:val="center"/>
            <w:hideMark/>
          </w:tcPr>
          <w:p w14:paraId="55A7D3C6" w14:textId="4239A8B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4,500</w:t>
            </w:r>
          </w:p>
        </w:tc>
        <w:tc>
          <w:tcPr>
            <w:tcW w:w="810" w:type="dxa"/>
            <w:tcBorders>
              <w:top w:val="nil"/>
              <w:left w:val="nil"/>
              <w:bottom w:val="single" w:sz="4" w:space="0" w:color="auto"/>
              <w:right w:val="single" w:sz="4" w:space="0" w:color="auto"/>
            </w:tcBorders>
            <w:shd w:val="clear" w:color="000000" w:fill="DCE6F1"/>
            <w:vAlign w:val="center"/>
            <w:hideMark/>
          </w:tcPr>
          <w:p w14:paraId="22744559" w14:textId="77584F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8,950</w:t>
            </w:r>
          </w:p>
        </w:tc>
        <w:tc>
          <w:tcPr>
            <w:tcW w:w="646" w:type="dxa"/>
            <w:tcBorders>
              <w:top w:val="nil"/>
              <w:left w:val="nil"/>
              <w:bottom w:val="single" w:sz="4" w:space="0" w:color="auto"/>
              <w:right w:val="single" w:sz="4" w:space="0" w:color="auto"/>
            </w:tcBorders>
            <w:shd w:val="clear" w:color="000000" w:fill="DCE6F1"/>
            <w:vAlign w:val="center"/>
            <w:hideMark/>
          </w:tcPr>
          <w:p w14:paraId="619528D1" w14:textId="7085FB7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8,950</w:t>
            </w:r>
          </w:p>
        </w:tc>
        <w:tc>
          <w:tcPr>
            <w:tcW w:w="974" w:type="dxa"/>
            <w:tcBorders>
              <w:top w:val="nil"/>
              <w:left w:val="nil"/>
              <w:bottom w:val="single" w:sz="4" w:space="0" w:color="auto"/>
              <w:right w:val="nil"/>
            </w:tcBorders>
            <w:shd w:val="clear" w:color="000000" w:fill="DCE6F1"/>
            <w:vAlign w:val="center"/>
            <w:hideMark/>
          </w:tcPr>
          <w:p w14:paraId="324BD0B0" w14:textId="249AAB3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26,900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2191C5F5" w14:textId="363CD3E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15,000</w:t>
            </w:r>
          </w:p>
        </w:tc>
        <w:tc>
          <w:tcPr>
            <w:tcW w:w="990" w:type="dxa"/>
            <w:tcBorders>
              <w:top w:val="nil"/>
              <w:left w:val="nil"/>
              <w:bottom w:val="single" w:sz="4" w:space="0" w:color="auto"/>
              <w:right w:val="single" w:sz="4" w:space="0" w:color="auto"/>
            </w:tcBorders>
            <w:shd w:val="clear" w:color="000000" w:fill="DCE6F1"/>
            <w:vAlign w:val="center"/>
            <w:hideMark/>
          </w:tcPr>
          <w:p w14:paraId="70640F8F" w14:textId="5FFCB5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9,650</w:t>
            </w:r>
          </w:p>
        </w:tc>
        <w:tc>
          <w:tcPr>
            <w:tcW w:w="953" w:type="dxa"/>
            <w:tcBorders>
              <w:top w:val="nil"/>
              <w:left w:val="nil"/>
              <w:bottom w:val="single" w:sz="4" w:space="0" w:color="auto"/>
              <w:right w:val="single" w:sz="8" w:space="0" w:color="auto"/>
            </w:tcBorders>
            <w:shd w:val="clear" w:color="000000" w:fill="DCE6F1"/>
            <w:vAlign w:val="center"/>
            <w:hideMark/>
          </w:tcPr>
          <w:p w14:paraId="49B5CCB2" w14:textId="2A65D74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2,250</w:t>
            </w:r>
          </w:p>
        </w:tc>
      </w:tr>
      <w:tr w:rsidR="004D73D3" w:rsidRPr="004D73D3" w14:paraId="205780CB"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22DE3359" w14:textId="77777777"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VII. PERFSHIRJA NE JETEN PUBLIKE DHE POLITIKE</w:t>
            </w:r>
          </w:p>
        </w:tc>
        <w:tc>
          <w:tcPr>
            <w:tcW w:w="1160" w:type="dxa"/>
            <w:tcBorders>
              <w:top w:val="nil"/>
              <w:left w:val="nil"/>
              <w:bottom w:val="single" w:sz="4" w:space="0" w:color="auto"/>
              <w:right w:val="single" w:sz="4" w:space="0" w:color="auto"/>
            </w:tcBorders>
            <w:shd w:val="clear" w:color="000000" w:fill="F276AB"/>
            <w:vAlign w:val="center"/>
            <w:hideMark/>
          </w:tcPr>
          <w:p w14:paraId="41649202"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4A4224CD" w14:textId="77777777" w:rsidR="004D73D3" w:rsidRPr="004D73D3" w:rsidRDefault="004D73D3" w:rsidP="004D73D3">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668AB0A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71A7CAE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4D1F4699" w14:textId="27BFB64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2,077</w:t>
            </w:r>
          </w:p>
        </w:tc>
        <w:tc>
          <w:tcPr>
            <w:tcW w:w="847" w:type="dxa"/>
            <w:tcBorders>
              <w:top w:val="nil"/>
              <w:left w:val="nil"/>
              <w:bottom w:val="single" w:sz="4" w:space="0" w:color="auto"/>
              <w:right w:val="single" w:sz="4" w:space="0" w:color="auto"/>
            </w:tcBorders>
            <w:shd w:val="clear" w:color="000000" w:fill="F276AB"/>
            <w:vAlign w:val="center"/>
            <w:hideMark/>
          </w:tcPr>
          <w:p w14:paraId="43E43738" w14:textId="6F4C0D2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6,961</w:t>
            </w:r>
          </w:p>
        </w:tc>
        <w:tc>
          <w:tcPr>
            <w:tcW w:w="720" w:type="dxa"/>
            <w:tcBorders>
              <w:top w:val="nil"/>
              <w:left w:val="nil"/>
              <w:bottom w:val="single" w:sz="4" w:space="0" w:color="auto"/>
              <w:right w:val="single" w:sz="4" w:space="0" w:color="auto"/>
            </w:tcBorders>
            <w:shd w:val="clear" w:color="000000" w:fill="F276AB"/>
            <w:vAlign w:val="center"/>
            <w:hideMark/>
          </w:tcPr>
          <w:p w14:paraId="25273ECE" w14:textId="11BEA1D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4,580</w:t>
            </w:r>
          </w:p>
        </w:tc>
        <w:tc>
          <w:tcPr>
            <w:tcW w:w="810" w:type="dxa"/>
            <w:tcBorders>
              <w:top w:val="nil"/>
              <w:left w:val="nil"/>
              <w:bottom w:val="single" w:sz="4" w:space="0" w:color="auto"/>
              <w:right w:val="single" w:sz="4" w:space="0" w:color="auto"/>
            </w:tcBorders>
            <w:shd w:val="clear" w:color="000000" w:fill="F276AB"/>
            <w:vAlign w:val="center"/>
            <w:hideMark/>
          </w:tcPr>
          <w:p w14:paraId="6DA1280B" w14:textId="0A2EDEC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4,288</w:t>
            </w:r>
          </w:p>
        </w:tc>
        <w:tc>
          <w:tcPr>
            <w:tcW w:w="646" w:type="dxa"/>
            <w:tcBorders>
              <w:top w:val="nil"/>
              <w:left w:val="nil"/>
              <w:bottom w:val="single" w:sz="4" w:space="0" w:color="auto"/>
              <w:right w:val="single" w:sz="4" w:space="0" w:color="auto"/>
            </w:tcBorders>
            <w:shd w:val="clear" w:color="000000" w:fill="F276AB"/>
            <w:vAlign w:val="center"/>
            <w:hideMark/>
          </w:tcPr>
          <w:p w14:paraId="5A8A2B93" w14:textId="1CC3B99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3,788</w:t>
            </w:r>
          </w:p>
        </w:tc>
        <w:tc>
          <w:tcPr>
            <w:tcW w:w="974" w:type="dxa"/>
            <w:tcBorders>
              <w:top w:val="nil"/>
              <w:left w:val="nil"/>
              <w:bottom w:val="single" w:sz="4" w:space="0" w:color="auto"/>
              <w:right w:val="nil"/>
            </w:tcBorders>
            <w:shd w:val="clear" w:color="000000" w:fill="F276AB"/>
            <w:vAlign w:val="center"/>
            <w:hideMark/>
          </w:tcPr>
          <w:p w14:paraId="01B690BB" w14:textId="5A958CB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21,694</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53DAFFBE" w14:textId="0F0563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18,869</w:t>
            </w:r>
          </w:p>
        </w:tc>
        <w:tc>
          <w:tcPr>
            <w:tcW w:w="990" w:type="dxa"/>
            <w:tcBorders>
              <w:top w:val="nil"/>
              <w:left w:val="nil"/>
              <w:bottom w:val="single" w:sz="4" w:space="0" w:color="auto"/>
              <w:right w:val="single" w:sz="4" w:space="0" w:color="auto"/>
            </w:tcBorders>
            <w:shd w:val="clear" w:color="000000" w:fill="F276AB"/>
            <w:vAlign w:val="center"/>
            <w:hideMark/>
          </w:tcPr>
          <w:p w14:paraId="13920381" w14:textId="1DC44B5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1,750</w:t>
            </w:r>
          </w:p>
        </w:tc>
        <w:tc>
          <w:tcPr>
            <w:tcW w:w="953" w:type="dxa"/>
            <w:tcBorders>
              <w:top w:val="nil"/>
              <w:left w:val="nil"/>
              <w:bottom w:val="single" w:sz="4" w:space="0" w:color="auto"/>
              <w:right w:val="single" w:sz="8" w:space="0" w:color="auto"/>
            </w:tcBorders>
            <w:shd w:val="clear" w:color="000000" w:fill="F276AB"/>
            <w:vAlign w:val="center"/>
            <w:hideMark/>
          </w:tcPr>
          <w:p w14:paraId="639D306C" w14:textId="6839AE3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1,075</w:t>
            </w:r>
          </w:p>
        </w:tc>
      </w:tr>
      <w:tr w:rsidR="004D73D3" w:rsidRPr="004D73D3" w14:paraId="2C2504E4"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57F4B241"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Rritja e numrit të personave me aftësi të kufizuara në procesin e votimit, dhënia e mundësisë për të mbrojtur interesat e tyre dhe për të marrë pjesë në vendimmarrje</w:t>
            </w:r>
          </w:p>
        </w:tc>
        <w:tc>
          <w:tcPr>
            <w:tcW w:w="1160" w:type="dxa"/>
            <w:tcBorders>
              <w:top w:val="nil"/>
              <w:left w:val="nil"/>
              <w:bottom w:val="single" w:sz="4" w:space="0" w:color="auto"/>
              <w:right w:val="single" w:sz="4" w:space="0" w:color="auto"/>
            </w:tcBorders>
            <w:shd w:val="clear" w:color="000000" w:fill="FDE9D9"/>
            <w:vAlign w:val="center"/>
            <w:hideMark/>
          </w:tcPr>
          <w:p w14:paraId="61673E87" w14:textId="4EF74434" w:rsidR="004D73D3" w:rsidRPr="004B31D6" w:rsidRDefault="005B77E1" w:rsidP="004B31D6">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2026</w:t>
            </w:r>
          </w:p>
        </w:tc>
        <w:tc>
          <w:tcPr>
            <w:tcW w:w="1292" w:type="dxa"/>
            <w:tcBorders>
              <w:top w:val="nil"/>
              <w:left w:val="nil"/>
              <w:bottom w:val="single" w:sz="4" w:space="0" w:color="auto"/>
              <w:right w:val="nil"/>
            </w:tcBorders>
            <w:shd w:val="clear" w:color="000000" w:fill="FDE9D9"/>
            <w:vAlign w:val="center"/>
            <w:hideMark/>
          </w:tcPr>
          <w:p w14:paraId="50D6B5DB" w14:textId="77777777" w:rsidR="004D73D3" w:rsidRPr="004B31D6" w:rsidRDefault="004D73D3" w:rsidP="004B31D6">
            <w:pPr>
              <w:jc w:val="center"/>
              <w:rPr>
                <w:rFonts w:eastAsia="Times New Roman"/>
                <w:color w:val="000000"/>
                <w:sz w:val="16"/>
                <w:szCs w:val="16"/>
                <w:lang w:val="en-US" w:eastAsia="en-US"/>
              </w:rPr>
            </w:pPr>
            <w:r w:rsidRPr="004B31D6">
              <w:rPr>
                <w:rFonts w:eastAsia="Times New Roman"/>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FDE9D9"/>
            <w:vAlign w:val="center"/>
            <w:hideMark/>
          </w:tcPr>
          <w:p w14:paraId="580B733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MSHMS/KQZ</w:t>
            </w:r>
          </w:p>
        </w:tc>
        <w:tc>
          <w:tcPr>
            <w:tcW w:w="1203" w:type="dxa"/>
            <w:tcBorders>
              <w:top w:val="nil"/>
              <w:left w:val="nil"/>
              <w:bottom w:val="single" w:sz="4" w:space="0" w:color="auto"/>
              <w:right w:val="nil"/>
            </w:tcBorders>
            <w:shd w:val="clear" w:color="000000" w:fill="FDE9D9"/>
            <w:vAlign w:val="center"/>
            <w:hideMark/>
          </w:tcPr>
          <w:p w14:paraId="4A4FEAF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KQZ/ bashkite / OJF</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76F59B02" w14:textId="7D4DD92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2,077</w:t>
            </w:r>
          </w:p>
        </w:tc>
        <w:tc>
          <w:tcPr>
            <w:tcW w:w="847" w:type="dxa"/>
            <w:tcBorders>
              <w:top w:val="nil"/>
              <w:left w:val="nil"/>
              <w:bottom w:val="single" w:sz="4" w:space="0" w:color="auto"/>
              <w:right w:val="single" w:sz="4" w:space="0" w:color="auto"/>
            </w:tcBorders>
            <w:shd w:val="clear" w:color="000000" w:fill="FDE9D9"/>
            <w:vAlign w:val="center"/>
            <w:hideMark/>
          </w:tcPr>
          <w:p w14:paraId="47488C0B" w14:textId="5A35F2D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3,503</w:t>
            </w:r>
          </w:p>
        </w:tc>
        <w:tc>
          <w:tcPr>
            <w:tcW w:w="720" w:type="dxa"/>
            <w:tcBorders>
              <w:top w:val="nil"/>
              <w:left w:val="nil"/>
              <w:bottom w:val="single" w:sz="4" w:space="0" w:color="auto"/>
              <w:right w:val="single" w:sz="4" w:space="0" w:color="auto"/>
            </w:tcBorders>
            <w:shd w:val="clear" w:color="000000" w:fill="FDE9D9"/>
            <w:vAlign w:val="center"/>
            <w:hideMark/>
          </w:tcPr>
          <w:p w14:paraId="453166A0" w14:textId="04EFC7E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766</w:t>
            </w:r>
          </w:p>
        </w:tc>
        <w:tc>
          <w:tcPr>
            <w:tcW w:w="810" w:type="dxa"/>
            <w:tcBorders>
              <w:top w:val="nil"/>
              <w:left w:val="nil"/>
              <w:bottom w:val="single" w:sz="4" w:space="0" w:color="auto"/>
              <w:right w:val="single" w:sz="4" w:space="0" w:color="auto"/>
            </w:tcBorders>
            <w:shd w:val="clear" w:color="000000" w:fill="FDE9D9"/>
            <w:vAlign w:val="center"/>
            <w:hideMark/>
          </w:tcPr>
          <w:p w14:paraId="133ADFCB" w14:textId="6D2DEE5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966</w:t>
            </w:r>
          </w:p>
        </w:tc>
        <w:tc>
          <w:tcPr>
            <w:tcW w:w="646" w:type="dxa"/>
            <w:tcBorders>
              <w:top w:val="nil"/>
              <w:left w:val="nil"/>
              <w:bottom w:val="single" w:sz="4" w:space="0" w:color="auto"/>
              <w:right w:val="single" w:sz="4" w:space="0" w:color="auto"/>
            </w:tcBorders>
            <w:shd w:val="clear" w:color="000000" w:fill="FDE9D9"/>
            <w:vAlign w:val="center"/>
            <w:hideMark/>
          </w:tcPr>
          <w:p w14:paraId="54A83627" w14:textId="1452C67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466</w:t>
            </w:r>
          </w:p>
        </w:tc>
        <w:tc>
          <w:tcPr>
            <w:tcW w:w="974" w:type="dxa"/>
            <w:tcBorders>
              <w:top w:val="nil"/>
              <w:left w:val="nil"/>
              <w:bottom w:val="single" w:sz="4" w:space="0" w:color="auto"/>
              <w:right w:val="nil"/>
            </w:tcBorders>
            <w:shd w:val="clear" w:color="000000" w:fill="FDE9D9"/>
            <w:vAlign w:val="center"/>
            <w:hideMark/>
          </w:tcPr>
          <w:p w14:paraId="543253FA" w14:textId="2C40B5F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7,779</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29CC878C" w14:textId="7F4CE52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6,029</w:t>
            </w:r>
          </w:p>
        </w:tc>
        <w:tc>
          <w:tcPr>
            <w:tcW w:w="990" w:type="dxa"/>
            <w:tcBorders>
              <w:top w:val="nil"/>
              <w:left w:val="nil"/>
              <w:bottom w:val="single" w:sz="4" w:space="0" w:color="auto"/>
              <w:right w:val="single" w:sz="4" w:space="0" w:color="auto"/>
            </w:tcBorders>
            <w:shd w:val="clear" w:color="000000" w:fill="FDE9D9"/>
            <w:vAlign w:val="center"/>
            <w:hideMark/>
          </w:tcPr>
          <w:p w14:paraId="2678C4A7" w14:textId="475EDBC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1,750</w:t>
            </w:r>
          </w:p>
        </w:tc>
        <w:tc>
          <w:tcPr>
            <w:tcW w:w="953" w:type="dxa"/>
            <w:tcBorders>
              <w:top w:val="nil"/>
              <w:left w:val="nil"/>
              <w:bottom w:val="single" w:sz="4" w:space="0" w:color="auto"/>
              <w:right w:val="single" w:sz="8" w:space="0" w:color="auto"/>
            </w:tcBorders>
            <w:shd w:val="clear" w:color="000000" w:fill="FDE9D9"/>
            <w:vAlign w:val="center"/>
            <w:hideMark/>
          </w:tcPr>
          <w:p w14:paraId="021CF664" w14:textId="72A32E6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2F81D035"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33958E7"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1.1.  </w:t>
            </w:r>
            <w:r w:rsidRPr="005B77E1">
              <w:rPr>
                <w:rFonts w:eastAsia="Times New Roman"/>
                <w:bCs/>
                <w:color w:val="000000"/>
                <w:sz w:val="16"/>
                <w:szCs w:val="16"/>
                <w:lang w:val="en-US" w:eastAsia="en-US"/>
              </w:rPr>
              <w:t xml:space="preserve">Përmirësime ligjore për të mundësuar pjesëmarrjen </w:t>
            </w:r>
            <w:r w:rsidRPr="005B77E1">
              <w:rPr>
                <w:rFonts w:eastAsia="Times New Roman"/>
                <w:bCs/>
                <w:color w:val="000000"/>
                <w:sz w:val="16"/>
                <w:szCs w:val="16"/>
                <w:lang w:val="en-US" w:eastAsia="en-US"/>
              </w:rPr>
              <w:lastRenderedPageBreak/>
              <w:t>në votime të të gjithë votuesve me aftësi të kufizuara</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6A1457A1" w14:textId="77777777" w:rsidR="004D73D3" w:rsidRPr="004B31D6" w:rsidRDefault="004D73D3" w:rsidP="004B31D6">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lastRenderedPageBreak/>
              <w:t>2026</w:t>
            </w:r>
          </w:p>
        </w:tc>
        <w:tc>
          <w:tcPr>
            <w:tcW w:w="1292" w:type="dxa"/>
            <w:tcBorders>
              <w:top w:val="nil"/>
              <w:left w:val="nil"/>
              <w:bottom w:val="single" w:sz="4" w:space="0" w:color="auto"/>
              <w:right w:val="single" w:sz="4" w:space="0" w:color="auto"/>
            </w:tcBorders>
            <w:shd w:val="clear" w:color="000000" w:fill="DCE6F1"/>
            <w:vAlign w:val="center"/>
            <w:hideMark/>
          </w:tcPr>
          <w:p w14:paraId="2972A0CB" w14:textId="77777777" w:rsidR="004D73D3" w:rsidRPr="004B31D6" w:rsidRDefault="004D73D3" w:rsidP="004B31D6">
            <w:pPr>
              <w:jc w:val="center"/>
              <w:rPr>
                <w:rFonts w:eastAsia="Times New Roman"/>
                <w:color w:val="000000"/>
                <w:sz w:val="16"/>
                <w:szCs w:val="16"/>
                <w:lang w:val="en-US" w:eastAsia="en-US"/>
              </w:rPr>
            </w:pPr>
            <w:r w:rsidRPr="004B31D6">
              <w:rPr>
                <w:rFonts w:eastAsia="Times New Roman"/>
                <w:color w:val="000000"/>
                <w:sz w:val="16"/>
                <w:szCs w:val="16"/>
                <w:lang w:val="en-US" w:eastAsia="en-US"/>
              </w:rPr>
              <w:t>2029</w:t>
            </w:r>
          </w:p>
        </w:tc>
        <w:tc>
          <w:tcPr>
            <w:tcW w:w="821" w:type="dxa"/>
            <w:tcBorders>
              <w:top w:val="nil"/>
              <w:left w:val="nil"/>
              <w:bottom w:val="single" w:sz="4" w:space="0" w:color="auto"/>
              <w:right w:val="single" w:sz="4" w:space="0" w:color="auto"/>
            </w:tcBorders>
            <w:shd w:val="clear" w:color="000000" w:fill="DCE6F1"/>
            <w:vAlign w:val="center"/>
            <w:hideMark/>
          </w:tcPr>
          <w:p w14:paraId="2D8F556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KQZ</w:t>
            </w:r>
          </w:p>
        </w:tc>
        <w:tc>
          <w:tcPr>
            <w:tcW w:w="1203" w:type="dxa"/>
            <w:tcBorders>
              <w:top w:val="nil"/>
              <w:left w:val="nil"/>
              <w:bottom w:val="single" w:sz="4" w:space="0" w:color="auto"/>
              <w:right w:val="single" w:sz="8" w:space="0" w:color="auto"/>
            </w:tcBorders>
            <w:shd w:val="clear" w:color="000000" w:fill="DCE6F1"/>
            <w:vAlign w:val="center"/>
            <w:hideMark/>
          </w:tcPr>
          <w:p w14:paraId="6ECC1919"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bashkite / OJF</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26EBB544" w14:textId="0AAEF6A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2,077</w:t>
            </w:r>
          </w:p>
        </w:tc>
        <w:tc>
          <w:tcPr>
            <w:tcW w:w="847" w:type="dxa"/>
            <w:tcBorders>
              <w:top w:val="nil"/>
              <w:left w:val="nil"/>
              <w:bottom w:val="single" w:sz="4" w:space="0" w:color="auto"/>
              <w:right w:val="single" w:sz="4" w:space="0" w:color="auto"/>
            </w:tcBorders>
            <w:shd w:val="clear" w:color="000000" w:fill="DCE6F1"/>
            <w:vAlign w:val="center"/>
            <w:hideMark/>
          </w:tcPr>
          <w:p w14:paraId="3B95BBCF" w14:textId="22CEAC4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3,036</w:t>
            </w:r>
          </w:p>
        </w:tc>
        <w:tc>
          <w:tcPr>
            <w:tcW w:w="720" w:type="dxa"/>
            <w:tcBorders>
              <w:top w:val="nil"/>
              <w:left w:val="nil"/>
              <w:bottom w:val="single" w:sz="4" w:space="0" w:color="auto"/>
              <w:right w:val="single" w:sz="4" w:space="0" w:color="auto"/>
            </w:tcBorders>
            <w:shd w:val="clear" w:color="000000" w:fill="DCE6F1"/>
            <w:vAlign w:val="center"/>
            <w:hideMark/>
          </w:tcPr>
          <w:p w14:paraId="7A52C053" w14:textId="2EBB73A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w:t>
            </w:r>
          </w:p>
        </w:tc>
        <w:tc>
          <w:tcPr>
            <w:tcW w:w="810" w:type="dxa"/>
            <w:tcBorders>
              <w:top w:val="nil"/>
              <w:left w:val="nil"/>
              <w:bottom w:val="single" w:sz="4" w:space="0" w:color="auto"/>
              <w:right w:val="single" w:sz="4" w:space="0" w:color="auto"/>
            </w:tcBorders>
            <w:shd w:val="clear" w:color="000000" w:fill="DCE6F1"/>
            <w:vAlign w:val="center"/>
            <w:hideMark/>
          </w:tcPr>
          <w:p w14:paraId="53A91EF8" w14:textId="01DC545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500</w:t>
            </w:r>
          </w:p>
        </w:tc>
        <w:tc>
          <w:tcPr>
            <w:tcW w:w="646" w:type="dxa"/>
            <w:tcBorders>
              <w:top w:val="nil"/>
              <w:left w:val="nil"/>
              <w:bottom w:val="single" w:sz="4" w:space="0" w:color="auto"/>
              <w:right w:val="single" w:sz="4" w:space="0" w:color="auto"/>
            </w:tcBorders>
            <w:shd w:val="clear" w:color="000000" w:fill="DCE6F1"/>
            <w:vAlign w:val="center"/>
            <w:hideMark/>
          </w:tcPr>
          <w:p w14:paraId="1A1602D0" w14:textId="764D4D4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59769C8F" w14:textId="4E6B56D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5,914</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661003A" w14:textId="03E36FC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4,164</w:t>
            </w:r>
          </w:p>
        </w:tc>
        <w:tc>
          <w:tcPr>
            <w:tcW w:w="990" w:type="dxa"/>
            <w:tcBorders>
              <w:top w:val="nil"/>
              <w:left w:val="nil"/>
              <w:bottom w:val="single" w:sz="4" w:space="0" w:color="auto"/>
              <w:right w:val="single" w:sz="4" w:space="0" w:color="auto"/>
            </w:tcBorders>
            <w:shd w:val="clear" w:color="000000" w:fill="DCE6F1"/>
            <w:vAlign w:val="center"/>
            <w:hideMark/>
          </w:tcPr>
          <w:p w14:paraId="42528896" w14:textId="330525F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1,750</w:t>
            </w:r>
          </w:p>
        </w:tc>
        <w:tc>
          <w:tcPr>
            <w:tcW w:w="953" w:type="dxa"/>
            <w:tcBorders>
              <w:top w:val="nil"/>
              <w:left w:val="nil"/>
              <w:bottom w:val="single" w:sz="4" w:space="0" w:color="auto"/>
              <w:right w:val="single" w:sz="8" w:space="0" w:color="auto"/>
            </w:tcBorders>
            <w:shd w:val="clear" w:color="000000" w:fill="DCE6F1"/>
            <w:vAlign w:val="center"/>
            <w:hideMark/>
          </w:tcPr>
          <w:p w14:paraId="734EC253" w14:textId="4FBE18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4441CF33"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221D43DE"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lastRenderedPageBreak/>
              <w:t xml:space="preserve">Masa Prioritare 1.2.  </w:t>
            </w:r>
            <w:r w:rsidRPr="005B77E1">
              <w:rPr>
                <w:rFonts w:eastAsia="Times New Roman"/>
                <w:bCs/>
                <w:color w:val="000000"/>
                <w:sz w:val="16"/>
                <w:szCs w:val="16"/>
                <w:lang w:val="en-US" w:eastAsia="en-US"/>
              </w:rPr>
              <w:t>Rritje e ndërgjegjësimit për pjesëmarrjen e personave me aftësi të kufizuara në proceset zgjedhore, jo vetëm si votues</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57C1617B" w14:textId="77777777" w:rsidR="004D73D3" w:rsidRPr="004B31D6" w:rsidRDefault="004D73D3" w:rsidP="004B31D6">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2027</w:t>
            </w:r>
          </w:p>
        </w:tc>
        <w:tc>
          <w:tcPr>
            <w:tcW w:w="1292" w:type="dxa"/>
            <w:tcBorders>
              <w:top w:val="nil"/>
              <w:left w:val="nil"/>
              <w:bottom w:val="single" w:sz="4" w:space="0" w:color="auto"/>
              <w:right w:val="single" w:sz="4" w:space="0" w:color="auto"/>
            </w:tcBorders>
            <w:shd w:val="clear" w:color="000000" w:fill="DCE6F1"/>
            <w:vAlign w:val="center"/>
            <w:hideMark/>
          </w:tcPr>
          <w:p w14:paraId="30C5909D" w14:textId="77777777" w:rsidR="004D73D3" w:rsidRPr="004B31D6" w:rsidRDefault="004D73D3" w:rsidP="004B31D6">
            <w:pPr>
              <w:jc w:val="center"/>
              <w:rPr>
                <w:rFonts w:eastAsia="Times New Roman"/>
                <w:color w:val="000000"/>
                <w:sz w:val="16"/>
                <w:szCs w:val="16"/>
                <w:lang w:val="en-US" w:eastAsia="en-US"/>
              </w:rPr>
            </w:pPr>
            <w:r w:rsidRPr="004B31D6">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2649A43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KQZ</w:t>
            </w:r>
          </w:p>
        </w:tc>
        <w:tc>
          <w:tcPr>
            <w:tcW w:w="1203" w:type="dxa"/>
            <w:tcBorders>
              <w:top w:val="nil"/>
              <w:left w:val="nil"/>
              <w:bottom w:val="single" w:sz="4" w:space="0" w:color="auto"/>
              <w:right w:val="single" w:sz="8" w:space="0" w:color="auto"/>
            </w:tcBorders>
            <w:shd w:val="clear" w:color="000000" w:fill="DCE6F1"/>
            <w:vAlign w:val="center"/>
            <w:hideMark/>
          </w:tcPr>
          <w:p w14:paraId="722D88E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Bashkitë / OJF</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7E9E53A" w14:textId="0C0315E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430BBDB5" w14:textId="371AE3B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466</w:t>
            </w:r>
          </w:p>
        </w:tc>
        <w:tc>
          <w:tcPr>
            <w:tcW w:w="720" w:type="dxa"/>
            <w:tcBorders>
              <w:top w:val="nil"/>
              <w:left w:val="nil"/>
              <w:bottom w:val="single" w:sz="4" w:space="0" w:color="auto"/>
              <w:right w:val="single" w:sz="4" w:space="0" w:color="auto"/>
            </w:tcBorders>
            <w:shd w:val="clear" w:color="000000" w:fill="DCE6F1"/>
            <w:vAlign w:val="center"/>
            <w:hideMark/>
          </w:tcPr>
          <w:p w14:paraId="3479A837" w14:textId="7A25F6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466</w:t>
            </w:r>
          </w:p>
        </w:tc>
        <w:tc>
          <w:tcPr>
            <w:tcW w:w="810" w:type="dxa"/>
            <w:tcBorders>
              <w:top w:val="nil"/>
              <w:left w:val="nil"/>
              <w:bottom w:val="single" w:sz="4" w:space="0" w:color="auto"/>
              <w:right w:val="single" w:sz="4" w:space="0" w:color="auto"/>
            </w:tcBorders>
            <w:shd w:val="clear" w:color="000000" w:fill="DCE6F1"/>
            <w:vAlign w:val="center"/>
            <w:hideMark/>
          </w:tcPr>
          <w:p w14:paraId="3A370931" w14:textId="7614FCE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466</w:t>
            </w:r>
          </w:p>
        </w:tc>
        <w:tc>
          <w:tcPr>
            <w:tcW w:w="646" w:type="dxa"/>
            <w:tcBorders>
              <w:top w:val="nil"/>
              <w:left w:val="nil"/>
              <w:bottom w:val="single" w:sz="4" w:space="0" w:color="auto"/>
              <w:right w:val="single" w:sz="4" w:space="0" w:color="auto"/>
            </w:tcBorders>
            <w:shd w:val="clear" w:color="000000" w:fill="DCE6F1"/>
            <w:vAlign w:val="center"/>
            <w:hideMark/>
          </w:tcPr>
          <w:p w14:paraId="6C687404" w14:textId="50F6D31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466</w:t>
            </w:r>
          </w:p>
        </w:tc>
        <w:tc>
          <w:tcPr>
            <w:tcW w:w="974" w:type="dxa"/>
            <w:tcBorders>
              <w:top w:val="nil"/>
              <w:left w:val="nil"/>
              <w:bottom w:val="single" w:sz="4" w:space="0" w:color="auto"/>
              <w:right w:val="nil"/>
            </w:tcBorders>
            <w:shd w:val="clear" w:color="000000" w:fill="DCE6F1"/>
            <w:vAlign w:val="center"/>
            <w:hideMark/>
          </w:tcPr>
          <w:p w14:paraId="7E37A7C6" w14:textId="073E88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1,865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382C4D8B" w14:textId="0EDF37E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1,865</w:t>
            </w:r>
          </w:p>
        </w:tc>
        <w:tc>
          <w:tcPr>
            <w:tcW w:w="990" w:type="dxa"/>
            <w:tcBorders>
              <w:top w:val="nil"/>
              <w:left w:val="nil"/>
              <w:bottom w:val="single" w:sz="4" w:space="0" w:color="auto"/>
              <w:right w:val="single" w:sz="4" w:space="0" w:color="auto"/>
            </w:tcBorders>
            <w:shd w:val="clear" w:color="000000" w:fill="DCE6F1"/>
            <w:vAlign w:val="center"/>
            <w:hideMark/>
          </w:tcPr>
          <w:p w14:paraId="16A795A8" w14:textId="5956525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3624FE70" w14:textId="7748FDD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45D5F990" w14:textId="77777777" w:rsidTr="004B31D6">
        <w:trPr>
          <w:trHeight w:val="1152"/>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2BB6C06E"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2: Promovimi i punës së artistëve me aftësi të kufizuara dhe përfshirja e personave me aftësi të kufizuara në jetën artistike , për të marrë pjesë në aktivitete dhe evenimente sportive kombëtare dhe ndërkombëtare</w:t>
            </w:r>
          </w:p>
        </w:tc>
        <w:tc>
          <w:tcPr>
            <w:tcW w:w="1160" w:type="dxa"/>
            <w:tcBorders>
              <w:top w:val="nil"/>
              <w:left w:val="nil"/>
              <w:bottom w:val="single" w:sz="4" w:space="0" w:color="auto"/>
              <w:right w:val="single" w:sz="4" w:space="0" w:color="auto"/>
            </w:tcBorders>
            <w:shd w:val="clear" w:color="000000" w:fill="FDE9D9"/>
            <w:vAlign w:val="center"/>
            <w:hideMark/>
          </w:tcPr>
          <w:p w14:paraId="1D00FAD4" w14:textId="749A1F85" w:rsidR="004D73D3" w:rsidRPr="004B31D6" w:rsidRDefault="005B77E1" w:rsidP="004B31D6">
            <w:pPr>
              <w:jc w:val="center"/>
              <w:rPr>
                <w:rFonts w:eastAsia="Times New Roman"/>
                <w:b/>
                <w:bCs/>
                <w:color w:val="000000"/>
                <w:sz w:val="16"/>
                <w:szCs w:val="16"/>
                <w:lang w:val="en-US" w:eastAsia="en-US"/>
              </w:rPr>
            </w:pPr>
            <w:r w:rsidRPr="004B31D6">
              <w:rPr>
                <w:rFonts w:eastAsia="Times New Roman"/>
                <w:b/>
                <w:bCs/>
                <w:color w:val="000000"/>
                <w:sz w:val="16"/>
                <w:szCs w:val="16"/>
                <w:lang w:val="en-US" w:eastAsia="en-US"/>
              </w:rPr>
              <w:t>2026</w:t>
            </w:r>
          </w:p>
        </w:tc>
        <w:tc>
          <w:tcPr>
            <w:tcW w:w="1292" w:type="dxa"/>
            <w:tcBorders>
              <w:top w:val="nil"/>
              <w:left w:val="nil"/>
              <w:bottom w:val="single" w:sz="4" w:space="0" w:color="auto"/>
              <w:right w:val="nil"/>
            </w:tcBorders>
            <w:shd w:val="clear" w:color="000000" w:fill="FDE9D9"/>
            <w:vAlign w:val="center"/>
            <w:hideMark/>
          </w:tcPr>
          <w:p w14:paraId="49A359B4" w14:textId="77777777" w:rsidR="004D73D3" w:rsidRPr="004B31D6" w:rsidRDefault="004D73D3" w:rsidP="004B31D6">
            <w:pPr>
              <w:jc w:val="center"/>
              <w:rPr>
                <w:rFonts w:eastAsia="Times New Roman"/>
                <w:b/>
                <w:color w:val="000000"/>
                <w:sz w:val="16"/>
                <w:szCs w:val="16"/>
                <w:lang w:val="en-US" w:eastAsia="en-US"/>
              </w:rPr>
            </w:pPr>
            <w:r w:rsidRPr="004B31D6">
              <w:rPr>
                <w:rFonts w:eastAsia="Times New Roman"/>
                <w:b/>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FDE9D9"/>
            <w:vAlign w:val="center"/>
            <w:hideMark/>
          </w:tcPr>
          <w:p w14:paraId="1AB51B32"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MTKS</w:t>
            </w:r>
          </w:p>
        </w:tc>
        <w:tc>
          <w:tcPr>
            <w:tcW w:w="1203" w:type="dxa"/>
            <w:tcBorders>
              <w:top w:val="nil"/>
              <w:left w:val="nil"/>
              <w:bottom w:val="single" w:sz="4" w:space="0" w:color="auto"/>
              <w:right w:val="nil"/>
            </w:tcBorders>
            <w:shd w:val="clear" w:color="000000" w:fill="FDE9D9"/>
            <w:vAlign w:val="center"/>
            <w:hideMark/>
          </w:tcPr>
          <w:p w14:paraId="30E1079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KKS/INSTAT / OJF/BASHKI</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43EDB939" w14:textId="1A4ACA3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FDE9D9"/>
            <w:vAlign w:val="center"/>
            <w:hideMark/>
          </w:tcPr>
          <w:p w14:paraId="11E79979" w14:textId="1503184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3,458</w:t>
            </w:r>
          </w:p>
        </w:tc>
        <w:tc>
          <w:tcPr>
            <w:tcW w:w="720" w:type="dxa"/>
            <w:tcBorders>
              <w:top w:val="nil"/>
              <w:left w:val="nil"/>
              <w:bottom w:val="single" w:sz="4" w:space="0" w:color="auto"/>
              <w:right w:val="single" w:sz="4" w:space="0" w:color="auto"/>
            </w:tcBorders>
            <w:shd w:val="clear" w:color="000000" w:fill="FDE9D9"/>
            <w:vAlign w:val="center"/>
            <w:hideMark/>
          </w:tcPr>
          <w:p w14:paraId="7CF781A8" w14:textId="2A70BA2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3,813</w:t>
            </w:r>
          </w:p>
        </w:tc>
        <w:tc>
          <w:tcPr>
            <w:tcW w:w="810" w:type="dxa"/>
            <w:tcBorders>
              <w:top w:val="nil"/>
              <w:left w:val="nil"/>
              <w:bottom w:val="single" w:sz="4" w:space="0" w:color="auto"/>
              <w:right w:val="single" w:sz="4" w:space="0" w:color="auto"/>
            </w:tcBorders>
            <w:shd w:val="clear" w:color="000000" w:fill="FDE9D9"/>
            <w:vAlign w:val="center"/>
            <w:hideMark/>
          </w:tcPr>
          <w:p w14:paraId="3E360DE8" w14:textId="731E6F7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3,322</w:t>
            </w:r>
          </w:p>
        </w:tc>
        <w:tc>
          <w:tcPr>
            <w:tcW w:w="646" w:type="dxa"/>
            <w:tcBorders>
              <w:top w:val="nil"/>
              <w:left w:val="nil"/>
              <w:bottom w:val="single" w:sz="4" w:space="0" w:color="auto"/>
              <w:right w:val="single" w:sz="4" w:space="0" w:color="auto"/>
            </w:tcBorders>
            <w:shd w:val="clear" w:color="000000" w:fill="FDE9D9"/>
            <w:vAlign w:val="center"/>
            <w:hideMark/>
          </w:tcPr>
          <w:p w14:paraId="3AC04B22" w14:textId="52BF02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3,322</w:t>
            </w:r>
          </w:p>
        </w:tc>
        <w:tc>
          <w:tcPr>
            <w:tcW w:w="974" w:type="dxa"/>
            <w:tcBorders>
              <w:top w:val="nil"/>
              <w:left w:val="nil"/>
              <w:bottom w:val="single" w:sz="4" w:space="0" w:color="auto"/>
              <w:right w:val="nil"/>
            </w:tcBorders>
            <w:shd w:val="clear" w:color="000000" w:fill="FDE9D9"/>
            <w:vAlign w:val="center"/>
            <w:hideMark/>
          </w:tcPr>
          <w:p w14:paraId="7E0F269F" w14:textId="1027CA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13,915</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2649A8B6" w14:textId="56B3C54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12,840</w:t>
            </w:r>
          </w:p>
        </w:tc>
        <w:tc>
          <w:tcPr>
            <w:tcW w:w="990" w:type="dxa"/>
            <w:tcBorders>
              <w:top w:val="nil"/>
              <w:left w:val="nil"/>
              <w:bottom w:val="single" w:sz="4" w:space="0" w:color="auto"/>
              <w:right w:val="single" w:sz="4" w:space="0" w:color="auto"/>
            </w:tcBorders>
            <w:shd w:val="clear" w:color="000000" w:fill="FDE9D9"/>
            <w:vAlign w:val="center"/>
            <w:hideMark/>
          </w:tcPr>
          <w:p w14:paraId="72DA06D6" w14:textId="1B74DE2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31452CD7" w14:textId="596678A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1,075</w:t>
            </w:r>
          </w:p>
        </w:tc>
      </w:tr>
      <w:tr w:rsidR="004D73D3" w:rsidRPr="004D73D3" w14:paraId="7E154F90"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CD3F1C3" w14:textId="77777777" w:rsidR="004D73D3" w:rsidRPr="005B77E1" w:rsidRDefault="004D73D3" w:rsidP="005B77E1">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 2.1</w:t>
            </w:r>
            <w:r w:rsidRPr="005B77E1">
              <w:rPr>
                <w:rFonts w:eastAsia="Times New Roman"/>
                <w:bCs/>
                <w:color w:val="000000"/>
                <w:sz w:val="16"/>
                <w:szCs w:val="16"/>
                <w:lang w:val="en-US" w:eastAsia="en-US"/>
              </w:rPr>
              <w:t>: Rritje e aksesit për pjesëmarrje te PAK në aktivitete kulturore dhe sportive</w:t>
            </w:r>
          </w:p>
        </w:tc>
        <w:tc>
          <w:tcPr>
            <w:tcW w:w="1160" w:type="dxa"/>
            <w:tcBorders>
              <w:top w:val="nil"/>
              <w:left w:val="nil"/>
              <w:bottom w:val="single" w:sz="4" w:space="0" w:color="auto"/>
              <w:right w:val="single" w:sz="4" w:space="0" w:color="auto"/>
            </w:tcBorders>
            <w:shd w:val="clear" w:color="000000" w:fill="DCE6F1"/>
            <w:vAlign w:val="center"/>
            <w:hideMark/>
          </w:tcPr>
          <w:p w14:paraId="29EEA79F" w14:textId="77777777" w:rsidR="004D73D3" w:rsidRPr="004B31D6" w:rsidRDefault="004D73D3" w:rsidP="004B31D6">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2026</w:t>
            </w:r>
          </w:p>
        </w:tc>
        <w:tc>
          <w:tcPr>
            <w:tcW w:w="1292" w:type="dxa"/>
            <w:tcBorders>
              <w:top w:val="nil"/>
              <w:left w:val="nil"/>
              <w:bottom w:val="single" w:sz="4" w:space="0" w:color="auto"/>
              <w:right w:val="nil"/>
            </w:tcBorders>
            <w:shd w:val="clear" w:color="000000" w:fill="DCE6F1"/>
            <w:vAlign w:val="center"/>
            <w:hideMark/>
          </w:tcPr>
          <w:p w14:paraId="43A15A2D" w14:textId="77777777" w:rsidR="004D73D3" w:rsidRPr="004B31D6" w:rsidRDefault="004D73D3" w:rsidP="004B31D6">
            <w:pPr>
              <w:jc w:val="center"/>
              <w:rPr>
                <w:rFonts w:eastAsia="Times New Roman"/>
                <w:color w:val="000000"/>
                <w:sz w:val="16"/>
                <w:szCs w:val="16"/>
                <w:lang w:val="en-US" w:eastAsia="en-US"/>
              </w:rPr>
            </w:pPr>
            <w:r w:rsidRPr="004B31D6">
              <w:rPr>
                <w:rFonts w:eastAsia="Times New Roman"/>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DCE6F1"/>
            <w:vAlign w:val="center"/>
            <w:hideMark/>
          </w:tcPr>
          <w:p w14:paraId="200D3AE7"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MTKS</w:t>
            </w:r>
          </w:p>
        </w:tc>
        <w:tc>
          <w:tcPr>
            <w:tcW w:w="1203" w:type="dxa"/>
            <w:tcBorders>
              <w:top w:val="nil"/>
              <w:left w:val="nil"/>
              <w:bottom w:val="single" w:sz="4" w:space="0" w:color="auto"/>
              <w:right w:val="nil"/>
            </w:tcBorders>
            <w:shd w:val="clear" w:color="000000" w:fill="DCE6F1"/>
            <w:vAlign w:val="center"/>
            <w:hideMark/>
          </w:tcPr>
          <w:p w14:paraId="36997F7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INSTAT / OJF/BASHKI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39BCDADE" w14:textId="0F2AD0A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1D25452D" w14:textId="542357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236</w:t>
            </w:r>
          </w:p>
        </w:tc>
        <w:tc>
          <w:tcPr>
            <w:tcW w:w="720" w:type="dxa"/>
            <w:tcBorders>
              <w:top w:val="nil"/>
              <w:left w:val="nil"/>
              <w:bottom w:val="single" w:sz="4" w:space="0" w:color="auto"/>
              <w:right w:val="single" w:sz="4" w:space="0" w:color="auto"/>
            </w:tcBorders>
            <w:shd w:val="clear" w:color="000000" w:fill="DCE6F1"/>
            <w:vAlign w:val="center"/>
            <w:hideMark/>
          </w:tcPr>
          <w:p w14:paraId="39DB909C" w14:textId="54683D8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136</w:t>
            </w:r>
          </w:p>
        </w:tc>
        <w:tc>
          <w:tcPr>
            <w:tcW w:w="810" w:type="dxa"/>
            <w:tcBorders>
              <w:top w:val="nil"/>
              <w:left w:val="nil"/>
              <w:bottom w:val="single" w:sz="4" w:space="0" w:color="auto"/>
              <w:right w:val="single" w:sz="4" w:space="0" w:color="auto"/>
            </w:tcBorders>
            <w:shd w:val="clear" w:color="000000" w:fill="DCE6F1"/>
            <w:vAlign w:val="center"/>
            <w:hideMark/>
          </w:tcPr>
          <w:p w14:paraId="37479287" w14:textId="08D001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136</w:t>
            </w:r>
          </w:p>
        </w:tc>
        <w:tc>
          <w:tcPr>
            <w:tcW w:w="646" w:type="dxa"/>
            <w:tcBorders>
              <w:top w:val="nil"/>
              <w:left w:val="nil"/>
              <w:bottom w:val="single" w:sz="4" w:space="0" w:color="auto"/>
              <w:right w:val="single" w:sz="4" w:space="0" w:color="auto"/>
            </w:tcBorders>
            <w:shd w:val="clear" w:color="000000" w:fill="DCE6F1"/>
            <w:vAlign w:val="center"/>
            <w:hideMark/>
          </w:tcPr>
          <w:p w14:paraId="4FCD276C" w14:textId="46E173A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136</w:t>
            </w:r>
          </w:p>
        </w:tc>
        <w:tc>
          <w:tcPr>
            <w:tcW w:w="974" w:type="dxa"/>
            <w:tcBorders>
              <w:top w:val="nil"/>
              <w:left w:val="nil"/>
              <w:bottom w:val="single" w:sz="4" w:space="0" w:color="auto"/>
              <w:right w:val="nil"/>
            </w:tcBorders>
            <w:shd w:val="clear" w:color="000000" w:fill="DCE6F1"/>
            <w:vAlign w:val="center"/>
            <w:hideMark/>
          </w:tcPr>
          <w:p w14:paraId="0C6E4709" w14:textId="5AD941D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645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DA7CDDA" w14:textId="4DC7C78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645</w:t>
            </w:r>
          </w:p>
        </w:tc>
        <w:tc>
          <w:tcPr>
            <w:tcW w:w="990" w:type="dxa"/>
            <w:tcBorders>
              <w:top w:val="nil"/>
              <w:left w:val="nil"/>
              <w:bottom w:val="single" w:sz="4" w:space="0" w:color="auto"/>
              <w:right w:val="single" w:sz="4" w:space="0" w:color="auto"/>
            </w:tcBorders>
            <w:shd w:val="clear" w:color="000000" w:fill="DCE6F1"/>
            <w:vAlign w:val="center"/>
            <w:hideMark/>
          </w:tcPr>
          <w:p w14:paraId="29911D22" w14:textId="525C6B5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3F175B46" w14:textId="02A1854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2D3F2B9A"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29A3DED" w14:textId="77777777" w:rsidR="004D73D3" w:rsidRPr="005B77E1" w:rsidRDefault="004D73D3" w:rsidP="005B77E1">
            <w:pPr>
              <w:jc w:val="both"/>
              <w:rPr>
                <w:rFonts w:eastAsia="Times New Roman"/>
                <w:bCs/>
                <w:color w:val="000000"/>
                <w:sz w:val="16"/>
                <w:szCs w:val="16"/>
                <w:lang w:val="en-US" w:eastAsia="en-US"/>
              </w:rPr>
            </w:pPr>
            <w:r w:rsidRPr="005B77E1">
              <w:rPr>
                <w:rFonts w:eastAsia="Times New Roman"/>
                <w:b/>
                <w:bCs/>
                <w:color w:val="000000"/>
                <w:sz w:val="16"/>
                <w:szCs w:val="16"/>
                <w:lang w:val="en-US" w:eastAsia="en-US"/>
              </w:rPr>
              <w:t>Masa prioritare:2.2</w:t>
            </w:r>
            <w:r w:rsidRPr="005B77E1">
              <w:rPr>
                <w:rFonts w:eastAsia="Times New Roman"/>
                <w:bCs/>
                <w:color w:val="000000"/>
                <w:sz w:val="16"/>
                <w:szCs w:val="16"/>
                <w:lang w:val="en-US" w:eastAsia="en-US"/>
              </w:rPr>
              <w:t xml:space="preserve"> Ngritja dhe fuqizimi i kapaciteteve </w:t>
            </w:r>
          </w:p>
        </w:tc>
        <w:tc>
          <w:tcPr>
            <w:tcW w:w="1160" w:type="dxa"/>
            <w:tcBorders>
              <w:top w:val="nil"/>
              <w:left w:val="nil"/>
              <w:bottom w:val="single" w:sz="4" w:space="0" w:color="auto"/>
              <w:right w:val="single" w:sz="4" w:space="0" w:color="auto"/>
            </w:tcBorders>
            <w:shd w:val="clear" w:color="000000" w:fill="DCE6F1"/>
            <w:vAlign w:val="center"/>
            <w:hideMark/>
          </w:tcPr>
          <w:p w14:paraId="42467541" w14:textId="77777777" w:rsidR="004D73D3" w:rsidRPr="004B31D6" w:rsidRDefault="004D73D3" w:rsidP="004B31D6">
            <w:pPr>
              <w:jc w:val="center"/>
              <w:rPr>
                <w:rFonts w:eastAsia="Times New Roman"/>
                <w:bCs/>
                <w:color w:val="000000"/>
                <w:sz w:val="16"/>
                <w:szCs w:val="16"/>
                <w:lang w:val="en-US" w:eastAsia="en-US"/>
              </w:rPr>
            </w:pPr>
            <w:r w:rsidRPr="004B31D6">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noWrap/>
            <w:vAlign w:val="center"/>
            <w:hideMark/>
          </w:tcPr>
          <w:p w14:paraId="240D1562" w14:textId="77777777" w:rsidR="004D73D3" w:rsidRPr="004B31D6" w:rsidRDefault="004D73D3" w:rsidP="004B31D6">
            <w:pPr>
              <w:jc w:val="center"/>
              <w:rPr>
                <w:rFonts w:eastAsia="Times New Roman"/>
                <w:color w:val="000000"/>
                <w:sz w:val="16"/>
                <w:szCs w:val="16"/>
                <w:lang w:val="en-US" w:eastAsia="en-US"/>
              </w:rPr>
            </w:pPr>
            <w:r w:rsidRPr="004B31D6">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noWrap/>
            <w:vAlign w:val="center"/>
            <w:hideMark/>
          </w:tcPr>
          <w:p w14:paraId="24FA111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MA/MTKS</w:t>
            </w:r>
          </w:p>
        </w:tc>
        <w:tc>
          <w:tcPr>
            <w:tcW w:w="1203" w:type="dxa"/>
            <w:tcBorders>
              <w:top w:val="nil"/>
              <w:left w:val="nil"/>
              <w:bottom w:val="single" w:sz="4" w:space="0" w:color="auto"/>
              <w:right w:val="single" w:sz="8" w:space="0" w:color="auto"/>
            </w:tcBorders>
            <w:shd w:val="clear" w:color="000000" w:fill="DCE6F1"/>
            <w:noWrap/>
            <w:vAlign w:val="center"/>
            <w:hideMark/>
          </w:tcPr>
          <w:p w14:paraId="286F6E7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MSHMS/KKS</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5EC7D8D" w14:textId="175E5F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DCE6F1"/>
            <w:vAlign w:val="center"/>
            <w:hideMark/>
          </w:tcPr>
          <w:p w14:paraId="6C997345" w14:textId="0D669F1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3,222</w:t>
            </w:r>
          </w:p>
        </w:tc>
        <w:tc>
          <w:tcPr>
            <w:tcW w:w="720" w:type="dxa"/>
            <w:tcBorders>
              <w:top w:val="nil"/>
              <w:left w:val="nil"/>
              <w:bottom w:val="single" w:sz="4" w:space="0" w:color="auto"/>
              <w:right w:val="single" w:sz="4" w:space="0" w:color="auto"/>
            </w:tcBorders>
            <w:shd w:val="clear" w:color="000000" w:fill="DCE6F1"/>
            <w:vAlign w:val="center"/>
            <w:hideMark/>
          </w:tcPr>
          <w:p w14:paraId="55E8113B" w14:textId="1D659DC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3,677</w:t>
            </w:r>
          </w:p>
        </w:tc>
        <w:tc>
          <w:tcPr>
            <w:tcW w:w="810" w:type="dxa"/>
            <w:tcBorders>
              <w:top w:val="nil"/>
              <w:left w:val="nil"/>
              <w:bottom w:val="single" w:sz="4" w:space="0" w:color="auto"/>
              <w:right w:val="single" w:sz="4" w:space="0" w:color="auto"/>
            </w:tcBorders>
            <w:shd w:val="clear" w:color="000000" w:fill="DCE6F1"/>
            <w:vAlign w:val="center"/>
            <w:hideMark/>
          </w:tcPr>
          <w:p w14:paraId="42E9E551" w14:textId="61AEE0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3,185</w:t>
            </w:r>
          </w:p>
        </w:tc>
        <w:tc>
          <w:tcPr>
            <w:tcW w:w="646" w:type="dxa"/>
            <w:tcBorders>
              <w:top w:val="nil"/>
              <w:left w:val="nil"/>
              <w:bottom w:val="single" w:sz="4" w:space="0" w:color="auto"/>
              <w:right w:val="single" w:sz="4" w:space="0" w:color="auto"/>
            </w:tcBorders>
            <w:shd w:val="clear" w:color="000000" w:fill="DCE6F1"/>
            <w:vAlign w:val="center"/>
            <w:hideMark/>
          </w:tcPr>
          <w:p w14:paraId="220F28F2" w14:textId="1D1FC4B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3,185</w:t>
            </w:r>
          </w:p>
        </w:tc>
        <w:tc>
          <w:tcPr>
            <w:tcW w:w="974" w:type="dxa"/>
            <w:tcBorders>
              <w:top w:val="nil"/>
              <w:left w:val="nil"/>
              <w:bottom w:val="single" w:sz="4" w:space="0" w:color="auto"/>
              <w:right w:val="nil"/>
            </w:tcBorders>
            <w:shd w:val="clear" w:color="000000" w:fill="DCE6F1"/>
            <w:vAlign w:val="center"/>
            <w:hideMark/>
          </w:tcPr>
          <w:p w14:paraId="3AA2A18F" w14:textId="0E5990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13,270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C1CB608" w14:textId="47FAC48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12,195</w:t>
            </w:r>
          </w:p>
        </w:tc>
        <w:tc>
          <w:tcPr>
            <w:tcW w:w="990" w:type="dxa"/>
            <w:tcBorders>
              <w:top w:val="nil"/>
              <w:left w:val="nil"/>
              <w:bottom w:val="single" w:sz="4" w:space="0" w:color="auto"/>
              <w:right w:val="single" w:sz="4" w:space="0" w:color="auto"/>
            </w:tcBorders>
            <w:shd w:val="clear" w:color="000000" w:fill="DCE6F1"/>
            <w:vAlign w:val="center"/>
            <w:hideMark/>
          </w:tcPr>
          <w:p w14:paraId="44800488" w14:textId="61B7A7B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7E3AB503" w14:textId="5762D9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1,075</w:t>
            </w:r>
          </w:p>
        </w:tc>
      </w:tr>
      <w:tr w:rsidR="004D73D3" w:rsidRPr="004D73D3" w14:paraId="192BE2E6"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F276AB"/>
            <w:vAlign w:val="center"/>
            <w:hideMark/>
          </w:tcPr>
          <w:p w14:paraId="6B7881FE" w14:textId="77777777" w:rsidR="004D73D3" w:rsidRPr="004D73D3" w:rsidRDefault="004D73D3" w:rsidP="004D73D3">
            <w:pPr>
              <w:rPr>
                <w:rFonts w:eastAsia="Times New Roman"/>
                <w:b/>
                <w:bCs/>
                <w:sz w:val="16"/>
                <w:szCs w:val="16"/>
                <w:lang w:val="en-US" w:eastAsia="en-US"/>
              </w:rPr>
            </w:pPr>
            <w:r w:rsidRPr="004D73D3">
              <w:rPr>
                <w:rFonts w:eastAsia="Times New Roman"/>
                <w:b/>
                <w:bCs/>
                <w:sz w:val="16"/>
                <w:szCs w:val="16"/>
                <w:lang w:val="en-US" w:eastAsia="en-US"/>
              </w:rPr>
              <w:t>VIII. BASHKËPUNIMI DHE KOORDINIMI NDËRINSTITUCIONAL</w:t>
            </w:r>
          </w:p>
        </w:tc>
        <w:tc>
          <w:tcPr>
            <w:tcW w:w="1160" w:type="dxa"/>
            <w:tcBorders>
              <w:top w:val="nil"/>
              <w:left w:val="nil"/>
              <w:bottom w:val="single" w:sz="4" w:space="0" w:color="auto"/>
              <w:right w:val="single" w:sz="4" w:space="0" w:color="auto"/>
            </w:tcBorders>
            <w:shd w:val="clear" w:color="000000" w:fill="F276AB"/>
            <w:vAlign w:val="center"/>
            <w:hideMark/>
          </w:tcPr>
          <w:p w14:paraId="091FDF51" w14:textId="77777777" w:rsidR="004D73D3" w:rsidRPr="004D73D3" w:rsidRDefault="004D73D3" w:rsidP="005B77E1">
            <w:pPr>
              <w:jc w:val="center"/>
              <w:rPr>
                <w:rFonts w:eastAsia="Times New Roman"/>
                <w:b/>
                <w:bCs/>
                <w:sz w:val="16"/>
                <w:szCs w:val="16"/>
                <w:lang w:val="en-US" w:eastAsia="en-US"/>
              </w:rPr>
            </w:pPr>
            <w:r w:rsidRPr="004D73D3">
              <w:rPr>
                <w:rFonts w:eastAsia="Times New Roman"/>
                <w:b/>
                <w:bCs/>
                <w:sz w:val="16"/>
                <w:szCs w:val="16"/>
                <w:lang w:val="en-US" w:eastAsia="en-US"/>
              </w:rPr>
              <w:t>2026</w:t>
            </w:r>
          </w:p>
        </w:tc>
        <w:tc>
          <w:tcPr>
            <w:tcW w:w="1292" w:type="dxa"/>
            <w:tcBorders>
              <w:top w:val="nil"/>
              <w:left w:val="nil"/>
              <w:bottom w:val="single" w:sz="4" w:space="0" w:color="auto"/>
              <w:right w:val="single" w:sz="4" w:space="0" w:color="auto"/>
            </w:tcBorders>
            <w:shd w:val="clear" w:color="000000" w:fill="F276AB"/>
            <w:vAlign w:val="center"/>
            <w:hideMark/>
          </w:tcPr>
          <w:p w14:paraId="26C6EB70" w14:textId="77777777" w:rsidR="004D73D3" w:rsidRPr="004D73D3" w:rsidRDefault="004D73D3" w:rsidP="005B77E1">
            <w:pPr>
              <w:jc w:val="center"/>
              <w:rPr>
                <w:rFonts w:eastAsia="Times New Roman"/>
                <w:b/>
                <w:bCs/>
                <w:sz w:val="16"/>
                <w:szCs w:val="16"/>
                <w:lang w:val="en-US" w:eastAsia="en-US"/>
              </w:rPr>
            </w:pPr>
            <w:r w:rsidRPr="004D73D3">
              <w:rPr>
                <w:rFonts w:eastAsia="Times New Roman"/>
                <w:b/>
                <w:bCs/>
                <w:sz w:val="16"/>
                <w:szCs w:val="16"/>
                <w:lang w:val="en-US" w:eastAsia="en-US"/>
              </w:rPr>
              <w:t>2030</w:t>
            </w:r>
          </w:p>
        </w:tc>
        <w:tc>
          <w:tcPr>
            <w:tcW w:w="821" w:type="dxa"/>
            <w:tcBorders>
              <w:top w:val="nil"/>
              <w:left w:val="nil"/>
              <w:bottom w:val="single" w:sz="4" w:space="0" w:color="auto"/>
              <w:right w:val="single" w:sz="4" w:space="0" w:color="auto"/>
            </w:tcBorders>
            <w:shd w:val="clear" w:color="000000" w:fill="F276AB"/>
            <w:vAlign w:val="center"/>
            <w:hideMark/>
          </w:tcPr>
          <w:p w14:paraId="3842E654"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1203" w:type="dxa"/>
            <w:tcBorders>
              <w:top w:val="nil"/>
              <w:left w:val="nil"/>
              <w:bottom w:val="single" w:sz="4" w:space="0" w:color="auto"/>
              <w:right w:val="single" w:sz="8" w:space="0" w:color="auto"/>
            </w:tcBorders>
            <w:shd w:val="clear" w:color="000000" w:fill="F276AB"/>
            <w:vAlign w:val="center"/>
            <w:hideMark/>
          </w:tcPr>
          <w:p w14:paraId="798AF8A8" w14:textId="77777777" w:rsidR="004D73D3" w:rsidRPr="004D73D3" w:rsidRDefault="004D73D3" w:rsidP="004D73D3">
            <w:pPr>
              <w:rPr>
                <w:rFonts w:eastAsia="Times New Roman"/>
                <w:color w:val="000000"/>
                <w:sz w:val="16"/>
                <w:szCs w:val="16"/>
                <w:lang w:val="en-US" w:eastAsia="en-US"/>
              </w:rPr>
            </w:pPr>
            <w:r w:rsidRPr="004D73D3">
              <w:rPr>
                <w:rFonts w:eastAsia="Times New Roman"/>
                <w:color w:val="000000"/>
                <w:sz w:val="16"/>
                <w:szCs w:val="16"/>
                <w:lang w:val="en-US" w:eastAsia="en-US"/>
              </w:rPr>
              <w:t> </w:t>
            </w:r>
          </w:p>
        </w:tc>
        <w:tc>
          <w:tcPr>
            <w:tcW w:w="957" w:type="dxa"/>
            <w:tcBorders>
              <w:top w:val="nil"/>
              <w:left w:val="single" w:sz="4" w:space="0" w:color="auto"/>
              <w:bottom w:val="single" w:sz="4" w:space="0" w:color="auto"/>
              <w:right w:val="single" w:sz="4" w:space="0" w:color="auto"/>
            </w:tcBorders>
            <w:shd w:val="clear" w:color="000000" w:fill="F276AB"/>
            <w:vAlign w:val="center"/>
            <w:hideMark/>
          </w:tcPr>
          <w:p w14:paraId="6372448F" w14:textId="558735F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9,095</w:t>
            </w:r>
          </w:p>
        </w:tc>
        <w:tc>
          <w:tcPr>
            <w:tcW w:w="847" w:type="dxa"/>
            <w:tcBorders>
              <w:top w:val="nil"/>
              <w:left w:val="nil"/>
              <w:bottom w:val="single" w:sz="4" w:space="0" w:color="auto"/>
              <w:right w:val="single" w:sz="4" w:space="0" w:color="auto"/>
            </w:tcBorders>
            <w:shd w:val="clear" w:color="000000" w:fill="F276AB"/>
            <w:vAlign w:val="center"/>
            <w:hideMark/>
          </w:tcPr>
          <w:p w14:paraId="31BD01A2" w14:textId="6272511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13,067</w:t>
            </w:r>
          </w:p>
        </w:tc>
        <w:tc>
          <w:tcPr>
            <w:tcW w:w="720" w:type="dxa"/>
            <w:tcBorders>
              <w:top w:val="nil"/>
              <w:left w:val="nil"/>
              <w:bottom w:val="single" w:sz="4" w:space="0" w:color="auto"/>
              <w:right w:val="single" w:sz="4" w:space="0" w:color="auto"/>
            </w:tcBorders>
            <w:shd w:val="clear" w:color="000000" w:fill="F276AB"/>
            <w:vAlign w:val="center"/>
            <w:hideMark/>
          </w:tcPr>
          <w:p w14:paraId="3AF47BF8" w14:textId="06534C0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7,017</w:t>
            </w:r>
          </w:p>
        </w:tc>
        <w:tc>
          <w:tcPr>
            <w:tcW w:w="810" w:type="dxa"/>
            <w:tcBorders>
              <w:top w:val="nil"/>
              <w:left w:val="nil"/>
              <w:bottom w:val="single" w:sz="4" w:space="0" w:color="auto"/>
              <w:right w:val="single" w:sz="4" w:space="0" w:color="auto"/>
            </w:tcBorders>
            <w:shd w:val="clear" w:color="000000" w:fill="F276AB"/>
            <w:vAlign w:val="center"/>
            <w:hideMark/>
          </w:tcPr>
          <w:p w14:paraId="5044A3F2" w14:textId="449386F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6,442</w:t>
            </w:r>
          </w:p>
        </w:tc>
        <w:tc>
          <w:tcPr>
            <w:tcW w:w="646" w:type="dxa"/>
            <w:tcBorders>
              <w:top w:val="nil"/>
              <w:left w:val="nil"/>
              <w:bottom w:val="single" w:sz="4" w:space="0" w:color="auto"/>
              <w:right w:val="single" w:sz="4" w:space="0" w:color="auto"/>
            </w:tcBorders>
            <w:shd w:val="clear" w:color="000000" w:fill="F276AB"/>
            <w:vAlign w:val="center"/>
            <w:hideMark/>
          </w:tcPr>
          <w:p w14:paraId="7452665C" w14:textId="18753AE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4,942</w:t>
            </w:r>
          </w:p>
        </w:tc>
        <w:tc>
          <w:tcPr>
            <w:tcW w:w="974" w:type="dxa"/>
            <w:tcBorders>
              <w:top w:val="nil"/>
              <w:left w:val="nil"/>
              <w:bottom w:val="single" w:sz="4" w:space="0" w:color="auto"/>
              <w:right w:val="nil"/>
            </w:tcBorders>
            <w:shd w:val="clear" w:color="000000" w:fill="F276AB"/>
            <w:vAlign w:val="center"/>
            <w:hideMark/>
          </w:tcPr>
          <w:p w14:paraId="182DC365" w14:textId="1737B2B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40,563</w:t>
            </w:r>
          </w:p>
        </w:tc>
        <w:tc>
          <w:tcPr>
            <w:tcW w:w="900" w:type="dxa"/>
            <w:tcBorders>
              <w:top w:val="nil"/>
              <w:left w:val="single" w:sz="8" w:space="0" w:color="auto"/>
              <w:bottom w:val="single" w:sz="4" w:space="0" w:color="auto"/>
              <w:right w:val="single" w:sz="4" w:space="0" w:color="auto"/>
            </w:tcBorders>
            <w:shd w:val="clear" w:color="000000" w:fill="F276AB"/>
            <w:vAlign w:val="center"/>
            <w:hideMark/>
          </w:tcPr>
          <w:p w14:paraId="2EADC9CB" w14:textId="6FA9761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20,413</w:t>
            </w:r>
          </w:p>
        </w:tc>
        <w:tc>
          <w:tcPr>
            <w:tcW w:w="990" w:type="dxa"/>
            <w:tcBorders>
              <w:top w:val="nil"/>
              <w:left w:val="nil"/>
              <w:bottom w:val="single" w:sz="4" w:space="0" w:color="auto"/>
              <w:right w:val="single" w:sz="4" w:space="0" w:color="auto"/>
            </w:tcBorders>
            <w:shd w:val="clear" w:color="000000" w:fill="F276AB"/>
            <w:vAlign w:val="center"/>
            <w:hideMark/>
          </w:tcPr>
          <w:p w14:paraId="5C232AE4" w14:textId="5E965BF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16,550</w:t>
            </w:r>
          </w:p>
        </w:tc>
        <w:tc>
          <w:tcPr>
            <w:tcW w:w="953" w:type="dxa"/>
            <w:tcBorders>
              <w:top w:val="nil"/>
              <w:left w:val="nil"/>
              <w:bottom w:val="single" w:sz="4" w:space="0" w:color="auto"/>
              <w:right w:val="single" w:sz="8" w:space="0" w:color="auto"/>
            </w:tcBorders>
            <w:shd w:val="clear" w:color="000000" w:fill="F276AB"/>
            <w:vAlign w:val="center"/>
            <w:hideMark/>
          </w:tcPr>
          <w:p w14:paraId="4C3144DE" w14:textId="24D07FC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3,600</w:t>
            </w:r>
          </w:p>
        </w:tc>
      </w:tr>
      <w:tr w:rsidR="004D73D3" w:rsidRPr="004D73D3" w14:paraId="502088A6"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43AC5AC2"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1. Forcimi i bashkëpunimit institucional ndërmjet strukturave qendrore dhe pushtetit vendor dhe ndërveprimi me OPAK në të gjitha nivelet.</w:t>
            </w:r>
          </w:p>
        </w:tc>
        <w:tc>
          <w:tcPr>
            <w:tcW w:w="1160" w:type="dxa"/>
            <w:tcBorders>
              <w:top w:val="nil"/>
              <w:left w:val="nil"/>
              <w:bottom w:val="single" w:sz="4" w:space="0" w:color="auto"/>
              <w:right w:val="single" w:sz="4" w:space="0" w:color="auto"/>
            </w:tcBorders>
            <w:shd w:val="clear" w:color="000000" w:fill="FDE9D9"/>
            <w:vAlign w:val="center"/>
            <w:hideMark/>
          </w:tcPr>
          <w:p w14:paraId="4622B013" w14:textId="099AFFCB" w:rsidR="004D73D3" w:rsidRPr="004D73D3" w:rsidRDefault="005B77E1" w:rsidP="005B77E1">
            <w:pPr>
              <w:jc w:val="center"/>
              <w:rPr>
                <w:rFonts w:eastAsia="Times New Roman"/>
                <w:b/>
                <w:bCs/>
                <w:color w:val="000000"/>
                <w:sz w:val="16"/>
                <w:szCs w:val="16"/>
                <w:lang w:val="en-US" w:eastAsia="en-US"/>
              </w:rPr>
            </w:pPr>
            <w:r>
              <w:rPr>
                <w:rFonts w:eastAsia="Times New Roman"/>
                <w:b/>
                <w:bCs/>
                <w:color w:val="000000"/>
                <w:sz w:val="16"/>
                <w:szCs w:val="16"/>
                <w:lang w:val="en-US" w:eastAsia="en-US"/>
              </w:rPr>
              <w:t>2026</w:t>
            </w:r>
          </w:p>
        </w:tc>
        <w:tc>
          <w:tcPr>
            <w:tcW w:w="1292" w:type="dxa"/>
            <w:tcBorders>
              <w:top w:val="nil"/>
              <w:left w:val="nil"/>
              <w:bottom w:val="single" w:sz="4" w:space="0" w:color="auto"/>
              <w:right w:val="nil"/>
            </w:tcBorders>
            <w:shd w:val="clear" w:color="000000" w:fill="FDE9D9"/>
            <w:vAlign w:val="center"/>
            <w:hideMark/>
          </w:tcPr>
          <w:p w14:paraId="3BC99C73" w14:textId="77777777" w:rsidR="004D73D3" w:rsidRPr="005B77E1" w:rsidRDefault="004D73D3" w:rsidP="005B77E1">
            <w:pPr>
              <w:jc w:val="center"/>
              <w:rPr>
                <w:rFonts w:eastAsia="Times New Roman"/>
                <w:b/>
                <w:color w:val="000000"/>
                <w:sz w:val="16"/>
                <w:szCs w:val="16"/>
                <w:lang w:val="en-US" w:eastAsia="en-US"/>
              </w:rPr>
            </w:pPr>
            <w:r w:rsidRPr="005B77E1">
              <w:rPr>
                <w:rFonts w:eastAsia="Times New Roman"/>
                <w:b/>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FDE9D9"/>
            <w:vAlign w:val="center"/>
            <w:hideMark/>
          </w:tcPr>
          <w:p w14:paraId="4083AF8F"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MSHMS/BASHKI</w:t>
            </w:r>
          </w:p>
        </w:tc>
        <w:tc>
          <w:tcPr>
            <w:tcW w:w="1203" w:type="dxa"/>
            <w:tcBorders>
              <w:top w:val="nil"/>
              <w:left w:val="nil"/>
              <w:bottom w:val="single" w:sz="4" w:space="0" w:color="auto"/>
              <w:right w:val="nil"/>
            </w:tcBorders>
            <w:shd w:val="clear" w:color="000000" w:fill="FDE9D9"/>
            <w:vAlign w:val="center"/>
            <w:hideMark/>
          </w:tcPr>
          <w:p w14:paraId="16F2DB3E"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MSHMS/BASHKI/NJVV / AMVV/ OJF</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7DD18846" w14:textId="5F78433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7,645</w:t>
            </w:r>
          </w:p>
        </w:tc>
        <w:tc>
          <w:tcPr>
            <w:tcW w:w="847" w:type="dxa"/>
            <w:tcBorders>
              <w:top w:val="nil"/>
              <w:left w:val="nil"/>
              <w:bottom w:val="single" w:sz="4" w:space="0" w:color="auto"/>
              <w:right w:val="single" w:sz="4" w:space="0" w:color="auto"/>
            </w:tcBorders>
            <w:shd w:val="clear" w:color="000000" w:fill="FDE9D9"/>
            <w:vAlign w:val="center"/>
            <w:hideMark/>
          </w:tcPr>
          <w:p w14:paraId="6A65F2D1" w14:textId="7EF8990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7,645</w:t>
            </w:r>
          </w:p>
        </w:tc>
        <w:tc>
          <w:tcPr>
            <w:tcW w:w="720" w:type="dxa"/>
            <w:tcBorders>
              <w:top w:val="nil"/>
              <w:left w:val="nil"/>
              <w:bottom w:val="single" w:sz="4" w:space="0" w:color="auto"/>
              <w:right w:val="single" w:sz="4" w:space="0" w:color="auto"/>
            </w:tcBorders>
            <w:shd w:val="clear" w:color="000000" w:fill="FDE9D9"/>
            <w:vAlign w:val="center"/>
            <w:hideMark/>
          </w:tcPr>
          <w:p w14:paraId="642132D6" w14:textId="6853158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810" w:type="dxa"/>
            <w:tcBorders>
              <w:top w:val="nil"/>
              <w:left w:val="nil"/>
              <w:bottom w:val="single" w:sz="4" w:space="0" w:color="auto"/>
              <w:right w:val="single" w:sz="4" w:space="0" w:color="auto"/>
            </w:tcBorders>
            <w:shd w:val="clear" w:color="000000" w:fill="FDE9D9"/>
            <w:vAlign w:val="center"/>
            <w:hideMark/>
          </w:tcPr>
          <w:p w14:paraId="68A81FB2" w14:textId="7C438CB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646" w:type="dxa"/>
            <w:tcBorders>
              <w:top w:val="nil"/>
              <w:left w:val="nil"/>
              <w:bottom w:val="single" w:sz="4" w:space="0" w:color="auto"/>
              <w:right w:val="single" w:sz="4" w:space="0" w:color="auto"/>
            </w:tcBorders>
            <w:shd w:val="clear" w:color="000000" w:fill="FDE9D9"/>
            <w:vAlign w:val="center"/>
            <w:hideMark/>
          </w:tcPr>
          <w:p w14:paraId="14D4D558" w14:textId="05A9766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974" w:type="dxa"/>
            <w:tcBorders>
              <w:top w:val="nil"/>
              <w:left w:val="nil"/>
              <w:bottom w:val="single" w:sz="4" w:space="0" w:color="auto"/>
              <w:right w:val="nil"/>
            </w:tcBorders>
            <w:shd w:val="clear" w:color="000000" w:fill="FDE9D9"/>
            <w:vAlign w:val="center"/>
            <w:hideMark/>
          </w:tcPr>
          <w:p w14:paraId="4409571A" w14:textId="5BAD7A9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22,791</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355F5AE2" w14:textId="78B15F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8,191</w:t>
            </w:r>
          </w:p>
        </w:tc>
        <w:tc>
          <w:tcPr>
            <w:tcW w:w="990" w:type="dxa"/>
            <w:tcBorders>
              <w:top w:val="nil"/>
              <w:left w:val="nil"/>
              <w:bottom w:val="single" w:sz="4" w:space="0" w:color="auto"/>
              <w:right w:val="single" w:sz="4" w:space="0" w:color="auto"/>
            </w:tcBorders>
            <w:shd w:val="clear" w:color="000000" w:fill="FDE9D9"/>
            <w:vAlign w:val="center"/>
            <w:hideMark/>
          </w:tcPr>
          <w:p w14:paraId="262E7329" w14:textId="4BA9A43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13,550</w:t>
            </w:r>
          </w:p>
        </w:tc>
        <w:tc>
          <w:tcPr>
            <w:tcW w:w="953" w:type="dxa"/>
            <w:tcBorders>
              <w:top w:val="nil"/>
              <w:left w:val="nil"/>
              <w:bottom w:val="single" w:sz="4" w:space="0" w:color="auto"/>
              <w:right w:val="single" w:sz="8" w:space="0" w:color="auto"/>
            </w:tcBorders>
            <w:shd w:val="clear" w:color="000000" w:fill="FDE9D9"/>
            <w:vAlign w:val="center"/>
            <w:hideMark/>
          </w:tcPr>
          <w:p w14:paraId="5F04A450" w14:textId="3F5EA6F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r>
      <w:tr w:rsidR="004D73D3" w:rsidRPr="004D73D3" w14:paraId="1ED2E22E"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0B271E40" w14:textId="52763B44"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Masa prioritare</w:t>
            </w:r>
            <w:r w:rsidR="005B77E1">
              <w:rPr>
                <w:rFonts w:eastAsia="Times New Roman"/>
                <w:b/>
                <w:bCs/>
                <w:color w:val="000000"/>
                <w:sz w:val="16"/>
                <w:szCs w:val="16"/>
                <w:lang w:val="en-US" w:eastAsia="en-US"/>
              </w:rPr>
              <w:t xml:space="preserve"> </w:t>
            </w:r>
            <w:r w:rsidRPr="004D73D3">
              <w:rPr>
                <w:rFonts w:eastAsia="Times New Roman"/>
                <w:b/>
                <w:bCs/>
                <w:color w:val="000000"/>
                <w:sz w:val="16"/>
                <w:szCs w:val="16"/>
                <w:lang w:val="en-US" w:eastAsia="en-US"/>
              </w:rPr>
              <w:t xml:space="preserve">1.1 </w:t>
            </w:r>
            <w:r w:rsidRPr="005B77E1">
              <w:rPr>
                <w:rFonts w:eastAsia="Times New Roman"/>
                <w:bCs/>
                <w:color w:val="000000"/>
                <w:sz w:val="16"/>
                <w:szCs w:val="16"/>
                <w:lang w:val="en-US" w:eastAsia="en-US"/>
              </w:rPr>
              <w:t>Orientimi i bashkive për të fuqizuar bashkëpunimin me MSHMS pjesëmarrjen në votime të të gjithë votuesve me aftësi të kufizuara</w:t>
            </w:r>
            <w:r w:rsidRPr="004D73D3">
              <w:rPr>
                <w:rFonts w:eastAsia="Times New Roman"/>
                <w:b/>
                <w:bCs/>
                <w:color w:val="000000"/>
                <w:sz w:val="16"/>
                <w:szCs w:val="16"/>
                <w:lang w:val="en-US" w:eastAsia="en-US"/>
              </w:rPr>
              <w:t>.</w:t>
            </w:r>
          </w:p>
        </w:tc>
        <w:tc>
          <w:tcPr>
            <w:tcW w:w="1160" w:type="dxa"/>
            <w:tcBorders>
              <w:top w:val="nil"/>
              <w:left w:val="nil"/>
              <w:bottom w:val="single" w:sz="4" w:space="0" w:color="auto"/>
              <w:right w:val="single" w:sz="4" w:space="0" w:color="auto"/>
            </w:tcBorders>
            <w:shd w:val="clear" w:color="000000" w:fill="DCE6F1"/>
            <w:vAlign w:val="center"/>
            <w:hideMark/>
          </w:tcPr>
          <w:p w14:paraId="76C03DD6" w14:textId="77777777" w:rsidR="004D73D3" w:rsidRPr="005B77E1" w:rsidRDefault="004D73D3" w:rsidP="005B77E1">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48112A9C" w14:textId="77777777" w:rsidR="004D73D3" w:rsidRPr="005B77E1" w:rsidRDefault="004D73D3" w:rsidP="005B77E1">
            <w:pPr>
              <w:jc w:val="center"/>
              <w:rPr>
                <w:rFonts w:eastAsia="Times New Roman"/>
                <w:color w:val="000000"/>
                <w:sz w:val="16"/>
                <w:szCs w:val="16"/>
                <w:lang w:val="en-US" w:eastAsia="en-US"/>
              </w:rPr>
            </w:pPr>
            <w:r w:rsidRPr="005B77E1">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vAlign w:val="center"/>
            <w:hideMark/>
          </w:tcPr>
          <w:p w14:paraId="559C83D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MF/BASHKI</w:t>
            </w:r>
          </w:p>
        </w:tc>
        <w:tc>
          <w:tcPr>
            <w:tcW w:w="1203" w:type="dxa"/>
            <w:tcBorders>
              <w:top w:val="nil"/>
              <w:left w:val="nil"/>
              <w:bottom w:val="single" w:sz="4" w:space="0" w:color="auto"/>
              <w:right w:val="single" w:sz="8" w:space="0" w:color="auto"/>
            </w:tcBorders>
            <w:shd w:val="clear" w:color="000000" w:fill="DCE6F1"/>
            <w:vAlign w:val="center"/>
            <w:hideMark/>
          </w:tcPr>
          <w:p w14:paraId="707B3296"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MSHMS/BASHKI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1509004" w14:textId="5CC74A6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847" w:type="dxa"/>
            <w:tcBorders>
              <w:top w:val="nil"/>
              <w:left w:val="nil"/>
              <w:bottom w:val="single" w:sz="4" w:space="0" w:color="auto"/>
              <w:right w:val="single" w:sz="4" w:space="0" w:color="auto"/>
            </w:tcBorders>
            <w:shd w:val="clear" w:color="000000" w:fill="DCE6F1"/>
            <w:vAlign w:val="center"/>
            <w:hideMark/>
          </w:tcPr>
          <w:p w14:paraId="4AB1B61B" w14:textId="65B64EB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720" w:type="dxa"/>
            <w:tcBorders>
              <w:top w:val="nil"/>
              <w:left w:val="nil"/>
              <w:bottom w:val="single" w:sz="4" w:space="0" w:color="auto"/>
              <w:right w:val="single" w:sz="4" w:space="0" w:color="auto"/>
            </w:tcBorders>
            <w:shd w:val="clear" w:color="000000" w:fill="DCE6F1"/>
            <w:vAlign w:val="center"/>
            <w:hideMark/>
          </w:tcPr>
          <w:p w14:paraId="1EA3FCAF" w14:textId="254B980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810" w:type="dxa"/>
            <w:tcBorders>
              <w:top w:val="nil"/>
              <w:left w:val="nil"/>
              <w:bottom w:val="single" w:sz="4" w:space="0" w:color="auto"/>
              <w:right w:val="single" w:sz="4" w:space="0" w:color="auto"/>
            </w:tcBorders>
            <w:shd w:val="clear" w:color="000000" w:fill="DCE6F1"/>
            <w:vAlign w:val="center"/>
            <w:hideMark/>
          </w:tcPr>
          <w:p w14:paraId="14217502" w14:textId="0F4BCA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646" w:type="dxa"/>
            <w:tcBorders>
              <w:top w:val="nil"/>
              <w:left w:val="nil"/>
              <w:bottom w:val="single" w:sz="4" w:space="0" w:color="auto"/>
              <w:right w:val="single" w:sz="4" w:space="0" w:color="auto"/>
            </w:tcBorders>
            <w:shd w:val="clear" w:color="000000" w:fill="DCE6F1"/>
            <w:vAlign w:val="center"/>
            <w:hideMark/>
          </w:tcPr>
          <w:p w14:paraId="62928060" w14:textId="6A32BC2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2,500</w:t>
            </w:r>
          </w:p>
        </w:tc>
        <w:tc>
          <w:tcPr>
            <w:tcW w:w="974" w:type="dxa"/>
            <w:tcBorders>
              <w:top w:val="nil"/>
              <w:left w:val="nil"/>
              <w:bottom w:val="single" w:sz="4" w:space="0" w:color="auto"/>
              <w:right w:val="nil"/>
            </w:tcBorders>
            <w:shd w:val="clear" w:color="000000" w:fill="DCE6F1"/>
            <w:vAlign w:val="center"/>
            <w:hideMark/>
          </w:tcPr>
          <w:p w14:paraId="2953DAFD" w14:textId="5F5069D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12,500</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104D5E8" w14:textId="4A8C23F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DCE6F1"/>
            <w:vAlign w:val="center"/>
            <w:hideMark/>
          </w:tcPr>
          <w:p w14:paraId="018EEF64" w14:textId="60CEE60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12,500</w:t>
            </w:r>
          </w:p>
        </w:tc>
        <w:tc>
          <w:tcPr>
            <w:tcW w:w="953" w:type="dxa"/>
            <w:tcBorders>
              <w:top w:val="nil"/>
              <w:left w:val="nil"/>
              <w:bottom w:val="single" w:sz="4" w:space="0" w:color="auto"/>
              <w:right w:val="single" w:sz="8" w:space="0" w:color="auto"/>
            </w:tcBorders>
            <w:shd w:val="clear" w:color="000000" w:fill="DCE6F1"/>
            <w:vAlign w:val="center"/>
            <w:hideMark/>
          </w:tcPr>
          <w:p w14:paraId="63827517" w14:textId="011EB48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352F15A9"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1B3BB017"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1.2 </w:t>
            </w:r>
            <w:r w:rsidRPr="005B77E1">
              <w:rPr>
                <w:rFonts w:eastAsia="Times New Roman"/>
                <w:bCs/>
                <w:color w:val="000000"/>
                <w:sz w:val="16"/>
                <w:szCs w:val="16"/>
                <w:lang w:val="en-US" w:eastAsia="en-US"/>
              </w:rPr>
              <w:t>Fuqizimi i rolit të bashkive dhe promovimi i tyre në njohjen dhe përmbushjen e nevojave të PAK në territorin e tyre.</w:t>
            </w:r>
          </w:p>
        </w:tc>
        <w:tc>
          <w:tcPr>
            <w:tcW w:w="1160" w:type="dxa"/>
            <w:tcBorders>
              <w:top w:val="nil"/>
              <w:left w:val="nil"/>
              <w:bottom w:val="single" w:sz="4" w:space="0" w:color="auto"/>
              <w:right w:val="single" w:sz="4" w:space="0" w:color="auto"/>
            </w:tcBorders>
            <w:shd w:val="clear" w:color="000000" w:fill="DCE6F1"/>
            <w:vAlign w:val="center"/>
            <w:hideMark/>
          </w:tcPr>
          <w:p w14:paraId="5BDF30BB" w14:textId="77777777" w:rsidR="004D73D3" w:rsidRPr="005B77E1" w:rsidRDefault="004D73D3" w:rsidP="005B77E1">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vAlign w:val="center"/>
            <w:hideMark/>
          </w:tcPr>
          <w:p w14:paraId="1C5D4FA0" w14:textId="77777777" w:rsidR="004D73D3" w:rsidRPr="005B77E1" w:rsidRDefault="004D73D3" w:rsidP="005B77E1">
            <w:pPr>
              <w:jc w:val="center"/>
              <w:rPr>
                <w:rFonts w:eastAsia="Times New Roman"/>
                <w:color w:val="000000"/>
                <w:sz w:val="16"/>
                <w:szCs w:val="16"/>
                <w:lang w:val="en-US" w:eastAsia="en-US"/>
              </w:rPr>
            </w:pPr>
            <w:r w:rsidRPr="005B77E1">
              <w:rPr>
                <w:rFonts w:eastAsia="Times New Roman"/>
                <w:color w:val="000000"/>
                <w:sz w:val="16"/>
                <w:szCs w:val="16"/>
                <w:lang w:val="en-US" w:eastAsia="en-US"/>
              </w:rPr>
              <w:t>2027</w:t>
            </w:r>
          </w:p>
        </w:tc>
        <w:tc>
          <w:tcPr>
            <w:tcW w:w="821" w:type="dxa"/>
            <w:tcBorders>
              <w:top w:val="nil"/>
              <w:left w:val="nil"/>
              <w:bottom w:val="single" w:sz="4" w:space="0" w:color="auto"/>
              <w:right w:val="single" w:sz="4" w:space="0" w:color="auto"/>
            </w:tcBorders>
            <w:shd w:val="clear" w:color="000000" w:fill="DCE6F1"/>
            <w:vAlign w:val="center"/>
            <w:hideMark/>
          </w:tcPr>
          <w:p w14:paraId="42C470D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MSHMS/BASHKI</w:t>
            </w:r>
          </w:p>
        </w:tc>
        <w:tc>
          <w:tcPr>
            <w:tcW w:w="1203" w:type="dxa"/>
            <w:tcBorders>
              <w:top w:val="nil"/>
              <w:left w:val="nil"/>
              <w:bottom w:val="single" w:sz="4" w:space="0" w:color="auto"/>
              <w:right w:val="single" w:sz="8" w:space="0" w:color="auto"/>
            </w:tcBorders>
            <w:shd w:val="clear" w:color="000000" w:fill="DCE6F1"/>
            <w:vAlign w:val="center"/>
            <w:hideMark/>
          </w:tcPr>
          <w:p w14:paraId="052A898F" w14:textId="77777777" w:rsidR="004D73D3" w:rsidRPr="004D73D3" w:rsidRDefault="004D73D3" w:rsidP="004D73D3">
            <w:pPr>
              <w:jc w:val="center"/>
              <w:rPr>
                <w:rFonts w:eastAsia="Times New Roman"/>
                <w:i/>
                <w:iCs/>
                <w:color w:val="000000"/>
                <w:sz w:val="16"/>
                <w:szCs w:val="16"/>
                <w:lang w:val="en-US" w:eastAsia="en-US"/>
              </w:rPr>
            </w:pPr>
            <w:r w:rsidRPr="004D73D3">
              <w:rPr>
                <w:rFonts w:eastAsia="Times New Roman"/>
                <w:i/>
                <w:iCs/>
                <w:color w:val="000000"/>
                <w:sz w:val="16"/>
                <w:szCs w:val="16"/>
                <w:lang w:eastAsia="en-US"/>
              </w:rPr>
              <w:t>NJVV / AMVV/ OJF/BASHKI</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BEBDA10" w14:textId="571957F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5,145</w:t>
            </w:r>
          </w:p>
        </w:tc>
        <w:tc>
          <w:tcPr>
            <w:tcW w:w="847" w:type="dxa"/>
            <w:tcBorders>
              <w:top w:val="nil"/>
              <w:left w:val="nil"/>
              <w:bottom w:val="single" w:sz="4" w:space="0" w:color="auto"/>
              <w:right w:val="single" w:sz="4" w:space="0" w:color="auto"/>
            </w:tcBorders>
            <w:shd w:val="clear" w:color="000000" w:fill="DCE6F1"/>
            <w:vAlign w:val="center"/>
            <w:hideMark/>
          </w:tcPr>
          <w:p w14:paraId="32196A9C" w14:textId="6E6A64D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5,145</w:t>
            </w:r>
          </w:p>
        </w:tc>
        <w:tc>
          <w:tcPr>
            <w:tcW w:w="720" w:type="dxa"/>
            <w:tcBorders>
              <w:top w:val="nil"/>
              <w:left w:val="nil"/>
              <w:bottom w:val="single" w:sz="4" w:space="0" w:color="auto"/>
              <w:right w:val="single" w:sz="4" w:space="0" w:color="auto"/>
            </w:tcBorders>
            <w:shd w:val="clear" w:color="000000" w:fill="DCE6F1"/>
            <w:vAlign w:val="center"/>
            <w:hideMark/>
          </w:tcPr>
          <w:p w14:paraId="141BB180" w14:textId="2DA283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10" w:type="dxa"/>
            <w:tcBorders>
              <w:top w:val="nil"/>
              <w:left w:val="nil"/>
              <w:bottom w:val="single" w:sz="4" w:space="0" w:color="auto"/>
              <w:right w:val="single" w:sz="4" w:space="0" w:color="auto"/>
            </w:tcBorders>
            <w:shd w:val="clear" w:color="000000" w:fill="DCE6F1"/>
            <w:vAlign w:val="center"/>
            <w:hideMark/>
          </w:tcPr>
          <w:p w14:paraId="05753247" w14:textId="297F848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7C1678CC" w14:textId="7BECF59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0525345B" w14:textId="3AD397F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10,291</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7F563F7A" w14:textId="021AF8E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8,191</w:t>
            </w:r>
          </w:p>
        </w:tc>
        <w:tc>
          <w:tcPr>
            <w:tcW w:w="990" w:type="dxa"/>
            <w:tcBorders>
              <w:top w:val="nil"/>
              <w:left w:val="nil"/>
              <w:bottom w:val="single" w:sz="4" w:space="0" w:color="auto"/>
              <w:right w:val="single" w:sz="4" w:space="0" w:color="auto"/>
            </w:tcBorders>
            <w:shd w:val="clear" w:color="000000" w:fill="DCE6F1"/>
            <w:vAlign w:val="center"/>
            <w:hideMark/>
          </w:tcPr>
          <w:p w14:paraId="2ACE22E8" w14:textId="09F8AD4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c>
          <w:tcPr>
            <w:tcW w:w="953" w:type="dxa"/>
            <w:tcBorders>
              <w:top w:val="nil"/>
              <w:left w:val="nil"/>
              <w:bottom w:val="single" w:sz="4" w:space="0" w:color="auto"/>
              <w:right w:val="single" w:sz="8" w:space="0" w:color="auto"/>
            </w:tcBorders>
            <w:shd w:val="clear" w:color="000000" w:fill="DCE6F1"/>
            <w:vAlign w:val="center"/>
            <w:hideMark/>
          </w:tcPr>
          <w:p w14:paraId="411DF439" w14:textId="5186E0D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1,050</w:t>
            </w:r>
          </w:p>
        </w:tc>
      </w:tr>
      <w:tr w:rsidR="004D73D3" w:rsidRPr="004D73D3" w14:paraId="0EE9BD27"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6A5EBDE6"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2.  Përmirësimi i funksionimit të KKAK lidhur me koordinimin e politikave publike në nivel horizontal dhe vertikal, të dedikuara për personat me aftësi të kufizuara</w:t>
            </w:r>
          </w:p>
        </w:tc>
        <w:tc>
          <w:tcPr>
            <w:tcW w:w="1160" w:type="dxa"/>
            <w:tcBorders>
              <w:top w:val="nil"/>
              <w:left w:val="nil"/>
              <w:bottom w:val="single" w:sz="4" w:space="0" w:color="auto"/>
              <w:right w:val="single" w:sz="4" w:space="0" w:color="auto"/>
            </w:tcBorders>
            <w:shd w:val="clear" w:color="000000" w:fill="FDE9D9"/>
            <w:vAlign w:val="center"/>
            <w:hideMark/>
          </w:tcPr>
          <w:p w14:paraId="4FA801A9" w14:textId="0AD6187D" w:rsidR="004D73D3" w:rsidRPr="004B31D6" w:rsidRDefault="005B77E1" w:rsidP="005B77E1">
            <w:pPr>
              <w:jc w:val="center"/>
              <w:rPr>
                <w:rFonts w:eastAsia="Times New Roman"/>
                <w:b/>
                <w:bCs/>
                <w:color w:val="000000"/>
                <w:sz w:val="16"/>
                <w:szCs w:val="16"/>
                <w:lang w:val="en-US" w:eastAsia="en-US"/>
              </w:rPr>
            </w:pPr>
            <w:r w:rsidRPr="004B31D6">
              <w:rPr>
                <w:rFonts w:eastAsia="Times New Roman"/>
                <w:b/>
                <w:bCs/>
                <w:color w:val="000000"/>
                <w:sz w:val="16"/>
                <w:szCs w:val="16"/>
                <w:lang w:val="en-US" w:eastAsia="en-US"/>
              </w:rPr>
              <w:t>2026</w:t>
            </w:r>
          </w:p>
        </w:tc>
        <w:tc>
          <w:tcPr>
            <w:tcW w:w="1292" w:type="dxa"/>
            <w:tcBorders>
              <w:top w:val="nil"/>
              <w:left w:val="nil"/>
              <w:bottom w:val="single" w:sz="4" w:space="0" w:color="auto"/>
              <w:right w:val="nil"/>
            </w:tcBorders>
            <w:shd w:val="clear" w:color="000000" w:fill="FDE9D9"/>
            <w:vAlign w:val="center"/>
            <w:hideMark/>
          </w:tcPr>
          <w:p w14:paraId="7B5499D1" w14:textId="77777777" w:rsidR="004D73D3" w:rsidRPr="004B31D6" w:rsidRDefault="004D73D3" w:rsidP="005B77E1">
            <w:pPr>
              <w:jc w:val="center"/>
              <w:rPr>
                <w:rFonts w:eastAsia="Times New Roman"/>
                <w:b/>
                <w:color w:val="000000"/>
                <w:sz w:val="16"/>
                <w:szCs w:val="16"/>
                <w:lang w:val="en-US" w:eastAsia="en-US"/>
              </w:rPr>
            </w:pPr>
            <w:r w:rsidRPr="004B31D6">
              <w:rPr>
                <w:rFonts w:eastAsia="Times New Roman"/>
                <w:b/>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FDE9D9"/>
            <w:vAlign w:val="center"/>
            <w:hideMark/>
          </w:tcPr>
          <w:p w14:paraId="779DD691"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MSHMS/PARLAMENTI</w:t>
            </w:r>
          </w:p>
        </w:tc>
        <w:tc>
          <w:tcPr>
            <w:tcW w:w="1203" w:type="dxa"/>
            <w:tcBorders>
              <w:top w:val="nil"/>
              <w:left w:val="nil"/>
              <w:bottom w:val="single" w:sz="4" w:space="0" w:color="auto"/>
              <w:right w:val="nil"/>
            </w:tcBorders>
            <w:shd w:val="clear" w:color="000000" w:fill="FDE9D9"/>
            <w:vAlign w:val="center"/>
            <w:hideMark/>
          </w:tcPr>
          <w:p w14:paraId="7D3D6B3D"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Sekretariati KKAK/Të gjitha institucionet, OJF</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3847F906" w14:textId="469756E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545</w:t>
            </w:r>
          </w:p>
        </w:tc>
        <w:tc>
          <w:tcPr>
            <w:tcW w:w="847" w:type="dxa"/>
            <w:tcBorders>
              <w:top w:val="nil"/>
              <w:left w:val="nil"/>
              <w:bottom w:val="single" w:sz="4" w:space="0" w:color="auto"/>
              <w:right w:val="single" w:sz="4" w:space="0" w:color="auto"/>
            </w:tcBorders>
            <w:shd w:val="clear" w:color="000000" w:fill="FDE9D9"/>
            <w:vAlign w:val="center"/>
            <w:hideMark/>
          </w:tcPr>
          <w:p w14:paraId="3C292A61" w14:textId="531BA1E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2,617</w:t>
            </w:r>
          </w:p>
        </w:tc>
        <w:tc>
          <w:tcPr>
            <w:tcW w:w="720" w:type="dxa"/>
            <w:tcBorders>
              <w:top w:val="nil"/>
              <w:left w:val="nil"/>
              <w:bottom w:val="single" w:sz="4" w:space="0" w:color="auto"/>
              <w:right w:val="single" w:sz="4" w:space="0" w:color="auto"/>
            </w:tcBorders>
            <w:shd w:val="clear" w:color="000000" w:fill="FDE9D9"/>
            <w:vAlign w:val="center"/>
            <w:hideMark/>
          </w:tcPr>
          <w:p w14:paraId="124BA4DB" w14:textId="779C191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2,617</w:t>
            </w:r>
          </w:p>
        </w:tc>
        <w:tc>
          <w:tcPr>
            <w:tcW w:w="810" w:type="dxa"/>
            <w:tcBorders>
              <w:top w:val="nil"/>
              <w:left w:val="nil"/>
              <w:bottom w:val="single" w:sz="4" w:space="0" w:color="auto"/>
              <w:right w:val="single" w:sz="4" w:space="0" w:color="auto"/>
            </w:tcBorders>
            <w:shd w:val="clear" w:color="000000" w:fill="FDE9D9"/>
            <w:vAlign w:val="center"/>
            <w:hideMark/>
          </w:tcPr>
          <w:p w14:paraId="7B002252" w14:textId="2904DBA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2,442</w:t>
            </w:r>
          </w:p>
        </w:tc>
        <w:tc>
          <w:tcPr>
            <w:tcW w:w="646" w:type="dxa"/>
            <w:tcBorders>
              <w:top w:val="nil"/>
              <w:left w:val="nil"/>
              <w:bottom w:val="single" w:sz="4" w:space="0" w:color="auto"/>
              <w:right w:val="single" w:sz="4" w:space="0" w:color="auto"/>
            </w:tcBorders>
            <w:shd w:val="clear" w:color="000000" w:fill="FDE9D9"/>
            <w:vAlign w:val="center"/>
            <w:hideMark/>
          </w:tcPr>
          <w:p w14:paraId="4F31AFE8" w14:textId="4905E45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2,442</w:t>
            </w:r>
          </w:p>
        </w:tc>
        <w:tc>
          <w:tcPr>
            <w:tcW w:w="974" w:type="dxa"/>
            <w:tcBorders>
              <w:top w:val="nil"/>
              <w:left w:val="nil"/>
              <w:bottom w:val="single" w:sz="4" w:space="0" w:color="auto"/>
              <w:right w:val="nil"/>
            </w:tcBorders>
            <w:shd w:val="clear" w:color="000000" w:fill="FDE9D9"/>
            <w:vAlign w:val="center"/>
            <w:hideMark/>
          </w:tcPr>
          <w:p w14:paraId="40362462" w14:textId="2808B45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10,663</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781E99EA" w14:textId="62276A6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10,313</w:t>
            </w:r>
          </w:p>
        </w:tc>
        <w:tc>
          <w:tcPr>
            <w:tcW w:w="990" w:type="dxa"/>
            <w:tcBorders>
              <w:top w:val="nil"/>
              <w:left w:val="nil"/>
              <w:bottom w:val="single" w:sz="4" w:space="0" w:color="auto"/>
              <w:right w:val="single" w:sz="4" w:space="0" w:color="auto"/>
            </w:tcBorders>
            <w:shd w:val="clear" w:color="000000" w:fill="FDE9D9"/>
            <w:vAlign w:val="center"/>
            <w:hideMark/>
          </w:tcPr>
          <w:p w14:paraId="4903AFCD" w14:textId="11A54E2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2D7C26D0" w14:textId="25A25EB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350</w:t>
            </w:r>
          </w:p>
        </w:tc>
      </w:tr>
      <w:tr w:rsidR="004D73D3" w:rsidRPr="004D73D3" w14:paraId="173875F6"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380A2E80"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2.1: </w:t>
            </w:r>
            <w:r w:rsidRPr="005B77E1">
              <w:rPr>
                <w:rFonts w:eastAsia="Times New Roman"/>
                <w:bCs/>
                <w:color w:val="000000"/>
                <w:sz w:val="16"/>
                <w:szCs w:val="16"/>
                <w:lang w:val="en-US" w:eastAsia="en-US"/>
              </w:rPr>
              <w:t>Rritje e aksesit për pjesëmarrje te PAK në aktivitete kulturore dhe sportive</w:t>
            </w:r>
          </w:p>
        </w:tc>
        <w:tc>
          <w:tcPr>
            <w:tcW w:w="1160" w:type="dxa"/>
            <w:tcBorders>
              <w:top w:val="nil"/>
              <w:left w:val="nil"/>
              <w:bottom w:val="single" w:sz="4" w:space="0" w:color="auto"/>
              <w:right w:val="single" w:sz="4" w:space="0" w:color="auto"/>
            </w:tcBorders>
            <w:shd w:val="clear" w:color="000000" w:fill="DCE6F1"/>
            <w:vAlign w:val="center"/>
            <w:hideMark/>
          </w:tcPr>
          <w:p w14:paraId="79A6BA37" w14:textId="77777777" w:rsidR="004D73D3" w:rsidRPr="005B77E1" w:rsidRDefault="004D73D3" w:rsidP="005B77E1">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nil"/>
            </w:tcBorders>
            <w:shd w:val="clear" w:color="000000" w:fill="DCE6F1"/>
            <w:vAlign w:val="center"/>
            <w:hideMark/>
          </w:tcPr>
          <w:p w14:paraId="0C42C865" w14:textId="77777777" w:rsidR="004D73D3" w:rsidRPr="005B77E1" w:rsidRDefault="004D73D3" w:rsidP="005B77E1">
            <w:pPr>
              <w:jc w:val="center"/>
              <w:rPr>
                <w:rFonts w:eastAsia="Times New Roman"/>
                <w:color w:val="000000"/>
                <w:sz w:val="16"/>
                <w:szCs w:val="16"/>
                <w:lang w:val="en-US" w:eastAsia="en-US"/>
              </w:rPr>
            </w:pPr>
            <w:r w:rsidRPr="005B77E1">
              <w:rPr>
                <w:rFonts w:eastAsia="Times New Roman"/>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DCE6F1"/>
            <w:vAlign w:val="center"/>
            <w:hideMark/>
          </w:tcPr>
          <w:p w14:paraId="790E7A4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MSHMS/PARLAMENTI</w:t>
            </w:r>
          </w:p>
        </w:tc>
        <w:tc>
          <w:tcPr>
            <w:tcW w:w="1203" w:type="dxa"/>
            <w:tcBorders>
              <w:top w:val="nil"/>
              <w:left w:val="nil"/>
              <w:bottom w:val="single" w:sz="4" w:space="0" w:color="auto"/>
              <w:right w:val="nil"/>
            </w:tcBorders>
            <w:shd w:val="clear" w:color="000000" w:fill="DCE6F1"/>
            <w:vAlign w:val="center"/>
            <w:hideMark/>
          </w:tcPr>
          <w:p w14:paraId="3B75900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Te gjitha Institucionet/OJF</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2822D953" w14:textId="65F0CF2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409</w:t>
            </w:r>
          </w:p>
        </w:tc>
        <w:tc>
          <w:tcPr>
            <w:tcW w:w="847" w:type="dxa"/>
            <w:tcBorders>
              <w:top w:val="nil"/>
              <w:left w:val="nil"/>
              <w:bottom w:val="single" w:sz="4" w:space="0" w:color="auto"/>
              <w:right w:val="single" w:sz="4" w:space="0" w:color="auto"/>
            </w:tcBorders>
            <w:shd w:val="clear" w:color="000000" w:fill="DCE6F1"/>
            <w:vAlign w:val="center"/>
            <w:hideMark/>
          </w:tcPr>
          <w:p w14:paraId="5BF7FFE5" w14:textId="6372608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409</w:t>
            </w:r>
          </w:p>
        </w:tc>
        <w:tc>
          <w:tcPr>
            <w:tcW w:w="720" w:type="dxa"/>
            <w:tcBorders>
              <w:top w:val="nil"/>
              <w:left w:val="nil"/>
              <w:bottom w:val="single" w:sz="4" w:space="0" w:color="auto"/>
              <w:right w:val="single" w:sz="4" w:space="0" w:color="auto"/>
            </w:tcBorders>
            <w:shd w:val="clear" w:color="000000" w:fill="DCE6F1"/>
            <w:vAlign w:val="center"/>
            <w:hideMark/>
          </w:tcPr>
          <w:p w14:paraId="5420DD9D" w14:textId="0F8E986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409</w:t>
            </w:r>
          </w:p>
        </w:tc>
        <w:tc>
          <w:tcPr>
            <w:tcW w:w="810" w:type="dxa"/>
            <w:tcBorders>
              <w:top w:val="nil"/>
              <w:left w:val="nil"/>
              <w:bottom w:val="single" w:sz="4" w:space="0" w:color="auto"/>
              <w:right w:val="single" w:sz="4" w:space="0" w:color="auto"/>
            </w:tcBorders>
            <w:shd w:val="clear" w:color="000000" w:fill="DCE6F1"/>
            <w:vAlign w:val="center"/>
            <w:hideMark/>
          </w:tcPr>
          <w:p w14:paraId="0BE2BFAF" w14:textId="03CC757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409</w:t>
            </w:r>
          </w:p>
        </w:tc>
        <w:tc>
          <w:tcPr>
            <w:tcW w:w="646" w:type="dxa"/>
            <w:tcBorders>
              <w:top w:val="nil"/>
              <w:left w:val="nil"/>
              <w:bottom w:val="single" w:sz="4" w:space="0" w:color="auto"/>
              <w:right w:val="single" w:sz="4" w:space="0" w:color="auto"/>
            </w:tcBorders>
            <w:shd w:val="clear" w:color="000000" w:fill="DCE6F1"/>
            <w:vAlign w:val="center"/>
            <w:hideMark/>
          </w:tcPr>
          <w:p w14:paraId="14E0426A" w14:textId="2B2EF6F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409</w:t>
            </w:r>
          </w:p>
        </w:tc>
        <w:tc>
          <w:tcPr>
            <w:tcW w:w="974" w:type="dxa"/>
            <w:tcBorders>
              <w:top w:val="nil"/>
              <w:left w:val="nil"/>
              <w:bottom w:val="single" w:sz="4" w:space="0" w:color="auto"/>
              <w:right w:val="nil"/>
            </w:tcBorders>
            <w:shd w:val="clear" w:color="000000" w:fill="DCE6F1"/>
            <w:vAlign w:val="center"/>
            <w:hideMark/>
          </w:tcPr>
          <w:p w14:paraId="7A60ABEE" w14:textId="10716A9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2,045</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69B0B7FA" w14:textId="6F031491"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2,045</w:t>
            </w:r>
          </w:p>
        </w:tc>
        <w:tc>
          <w:tcPr>
            <w:tcW w:w="990" w:type="dxa"/>
            <w:tcBorders>
              <w:top w:val="nil"/>
              <w:left w:val="nil"/>
              <w:bottom w:val="single" w:sz="4" w:space="0" w:color="auto"/>
              <w:right w:val="single" w:sz="4" w:space="0" w:color="auto"/>
            </w:tcBorders>
            <w:shd w:val="clear" w:color="000000" w:fill="DCE6F1"/>
            <w:vAlign w:val="center"/>
            <w:hideMark/>
          </w:tcPr>
          <w:p w14:paraId="3B8EEF07" w14:textId="779166C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7574A706" w14:textId="0E7B036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r>
      <w:tr w:rsidR="004D73D3" w:rsidRPr="004D73D3" w14:paraId="7B70CC8D" w14:textId="77777777" w:rsidTr="004B31D6">
        <w:trPr>
          <w:trHeight w:val="528"/>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6C121DAE"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lastRenderedPageBreak/>
              <w:t xml:space="preserve">Masa prioritare:2.2 </w:t>
            </w:r>
            <w:r w:rsidRPr="005B77E1">
              <w:rPr>
                <w:rFonts w:eastAsia="Times New Roman"/>
                <w:bCs/>
                <w:color w:val="000000"/>
                <w:sz w:val="16"/>
                <w:szCs w:val="16"/>
                <w:lang w:val="en-US" w:eastAsia="en-US"/>
              </w:rPr>
              <w:t>Ngritja dhe fuqizimi i kapaciteteve</w:t>
            </w:r>
            <w:r w:rsidRPr="004D73D3">
              <w:rPr>
                <w:rFonts w:eastAsia="Times New Roman"/>
                <w:b/>
                <w:bCs/>
                <w:color w:val="000000"/>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DCE6F1"/>
            <w:vAlign w:val="center"/>
            <w:hideMark/>
          </w:tcPr>
          <w:p w14:paraId="0E0988B6" w14:textId="77777777" w:rsidR="004D73D3" w:rsidRPr="005B77E1" w:rsidRDefault="004D73D3" w:rsidP="005B77E1">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single" w:sz="4" w:space="0" w:color="auto"/>
            </w:tcBorders>
            <w:shd w:val="clear" w:color="000000" w:fill="DCE6F1"/>
            <w:noWrap/>
            <w:vAlign w:val="center"/>
            <w:hideMark/>
          </w:tcPr>
          <w:p w14:paraId="1ECE6232" w14:textId="77777777" w:rsidR="004D73D3" w:rsidRPr="005B77E1" w:rsidRDefault="004D73D3" w:rsidP="005B77E1">
            <w:pPr>
              <w:jc w:val="center"/>
              <w:rPr>
                <w:rFonts w:eastAsia="Times New Roman"/>
                <w:color w:val="000000"/>
                <w:sz w:val="16"/>
                <w:szCs w:val="16"/>
                <w:lang w:val="en-US" w:eastAsia="en-US"/>
              </w:rPr>
            </w:pPr>
            <w:r w:rsidRPr="005B77E1">
              <w:rPr>
                <w:rFonts w:eastAsia="Times New Roman"/>
                <w:color w:val="000000"/>
                <w:sz w:val="16"/>
                <w:szCs w:val="16"/>
                <w:lang w:val="en-US" w:eastAsia="en-US"/>
              </w:rPr>
              <w:t>2030</w:t>
            </w:r>
          </w:p>
        </w:tc>
        <w:tc>
          <w:tcPr>
            <w:tcW w:w="821" w:type="dxa"/>
            <w:tcBorders>
              <w:top w:val="nil"/>
              <w:left w:val="nil"/>
              <w:bottom w:val="single" w:sz="4" w:space="0" w:color="auto"/>
              <w:right w:val="single" w:sz="4" w:space="0" w:color="auto"/>
            </w:tcBorders>
            <w:shd w:val="clear" w:color="000000" w:fill="DCE6F1"/>
            <w:noWrap/>
            <w:vAlign w:val="center"/>
            <w:hideMark/>
          </w:tcPr>
          <w:p w14:paraId="6E99D4D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single" w:sz="8" w:space="0" w:color="auto"/>
            </w:tcBorders>
            <w:shd w:val="clear" w:color="000000" w:fill="DCE6F1"/>
            <w:vAlign w:val="center"/>
            <w:hideMark/>
          </w:tcPr>
          <w:p w14:paraId="1E87B458"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Sekretariati KKAK/Të gjitha institucionet, OJF</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571E6544" w14:textId="7DF4F38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136</w:t>
            </w:r>
          </w:p>
        </w:tc>
        <w:tc>
          <w:tcPr>
            <w:tcW w:w="847" w:type="dxa"/>
            <w:tcBorders>
              <w:top w:val="nil"/>
              <w:left w:val="nil"/>
              <w:bottom w:val="single" w:sz="4" w:space="0" w:color="auto"/>
              <w:right w:val="single" w:sz="4" w:space="0" w:color="auto"/>
            </w:tcBorders>
            <w:shd w:val="clear" w:color="000000" w:fill="DCE6F1"/>
            <w:vAlign w:val="center"/>
            <w:hideMark/>
          </w:tcPr>
          <w:p w14:paraId="441FBE9D" w14:textId="56D3AED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2,208</w:t>
            </w:r>
          </w:p>
        </w:tc>
        <w:tc>
          <w:tcPr>
            <w:tcW w:w="720" w:type="dxa"/>
            <w:tcBorders>
              <w:top w:val="nil"/>
              <w:left w:val="nil"/>
              <w:bottom w:val="single" w:sz="4" w:space="0" w:color="auto"/>
              <w:right w:val="single" w:sz="4" w:space="0" w:color="auto"/>
            </w:tcBorders>
            <w:shd w:val="clear" w:color="000000" w:fill="DCE6F1"/>
            <w:vAlign w:val="center"/>
            <w:hideMark/>
          </w:tcPr>
          <w:p w14:paraId="10E06FDE" w14:textId="0C8480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2,208</w:t>
            </w:r>
          </w:p>
        </w:tc>
        <w:tc>
          <w:tcPr>
            <w:tcW w:w="810" w:type="dxa"/>
            <w:tcBorders>
              <w:top w:val="nil"/>
              <w:left w:val="nil"/>
              <w:bottom w:val="single" w:sz="4" w:space="0" w:color="auto"/>
              <w:right w:val="single" w:sz="4" w:space="0" w:color="auto"/>
            </w:tcBorders>
            <w:shd w:val="clear" w:color="000000" w:fill="DCE6F1"/>
            <w:vAlign w:val="center"/>
            <w:hideMark/>
          </w:tcPr>
          <w:p w14:paraId="0D306188" w14:textId="608F78C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2,033</w:t>
            </w:r>
          </w:p>
        </w:tc>
        <w:tc>
          <w:tcPr>
            <w:tcW w:w="646" w:type="dxa"/>
            <w:tcBorders>
              <w:top w:val="nil"/>
              <w:left w:val="nil"/>
              <w:bottom w:val="single" w:sz="4" w:space="0" w:color="auto"/>
              <w:right w:val="single" w:sz="4" w:space="0" w:color="auto"/>
            </w:tcBorders>
            <w:shd w:val="clear" w:color="000000" w:fill="DCE6F1"/>
            <w:vAlign w:val="center"/>
            <w:hideMark/>
          </w:tcPr>
          <w:p w14:paraId="141A55A2" w14:textId="05A79B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2,033</w:t>
            </w:r>
          </w:p>
        </w:tc>
        <w:tc>
          <w:tcPr>
            <w:tcW w:w="974" w:type="dxa"/>
            <w:tcBorders>
              <w:top w:val="nil"/>
              <w:left w:val="nil"/>
              <w:bottom w:val="single" w:sz="4" w:space="0" w:color="auto"/>
              <w:right w:val="nil"/>
            </w:tcBorders>
            <w:shd w:val="clear" w:color="000000" w:fill="DCE6F1"/>
            <w:vAlign w:val="center"/>
            <w:hideMark/>
          </w:tcPr>
          <w:p w14:paraId="5153D64E" w14:textId="068D18F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8,617</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18515FDB" w14:textId="1740B9B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8,267</w:t>
            </w:r>
          </w:p>
        </w:tc>
        <w:tc>
          <w:tcPr>
            <w:tcW w:w="990" w:type="dxa"/>
            <w:tcBorders>
              <w:top w:val="nil"/>
              <w:left w:val="nil"/>
              <w:bottom w:val="single" w:sz="4" w:space="0" w:color="auto"/>
              <w:right w:val="single" w:sz="4" w:space="0" w:color="auto"/>
            </w:tcBorders>
            <w:shd w:val="clear" w:color="000000" w:fill="DCE6F1"/>
            <w:vAlign w:val="center"/>
            <w:hideMark/>
          </w:tcPr>
          <w:p w14:paraId="04D70F28" w14:textId="1ECB1BD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DCE6F1"/>
            <w:vAlign w:val="center"/>
            <w:hideMark/>
          </w:tcPr>
          <w:p w14:paraId="496D26A8" w14:textId="6E4FCEA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350</w:t>
            </w:r>
          </w:p>
        </w:tc>
      </w:tr>
      <w:tr w:rsidR="004D73D3" w:rsidRPr="004D73D3" w14:paraId="7D6659A3" w14:textId="77777777" w:rsidTr="004B31D6">
        <w:trPr>
          <w:trHeight w:val="864"/>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31642F0A"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3.  Përmirësimi i funksionimit të KKAK lidhur me koordinimin e politikave publike në nivel horizontal dhe vertikal, të dedikuara për personat me aftësi të kufizuara</w:t>
            </w:r>
          </w:p>
        </w:tc>
        <w:tc>
          <w:tcPr>
            <w:tcW w:w="1160" w:type="dxa"/>
            <w:tcBorders>
              <w:top w:val="nil"/>
              <w:left w:val="nil"/>
              <w:bottom w:val="single" w:sz="4" w:space="0" w:color="auto"/>
              <w:right w:val="single" w:sz="4" w:space="0" w:color="auto"/>
            </w:tcBorders>
            <w:shd w:val="clear" w:color="000000" w:fill="FDE9D9"/>
            <w:vAlign w:val="center"/>
            <w:hideMark/>
          </w:tcPr>
          <w:p w14:paraId="6B6D692C" w14:textId="730B8D2F" w:rsidR="004D73D3" w:rsidRPr="005B77E1" w:rsidRDefault="005B77E1" w:rsidP="004D73D3">
            <w:pPr>
              <w:jc w:val="center"/>
              <w:rPr>
                <w:rFonts w:eastAsia="Times New Roman"/>
                <w:b/>
                <w:bCs/>
                <w:color w:val="000000"/>
                <w:sz w:val="16"/>
                <w:szCs w:val="16"/>
                <w:lang w:val="en-US" w:eastAsia="en-US"/>
              </w:rPr>
            </w:pPr>
            <w:r w:rsidRPr="005B77E1">
              <w:rPr>
                <w:rFonts w:eastAsia="Times New Roman"/>
                <w:b/>
                <w:bCs/>
                <w:color w:val="000000"/>
                <w:sz w:val="16"/>
                <w:szCs w:val="16"/>
                <w:lang w:val="en-US" w:eastAsia="en-US"/>
              </w:rPr>
              <w:t>2026</w:t>
            </w:r>
          </w:p>
        </w:tc>
        <w:tc>
          <w:tcPr>
            <w:tcW w:w="1292" w:type="dxa"/>
            <w:tcBorders>
              <w:top w:val="nil"/>
              <w:left w:val="nil"/>
              <w:bottom w:val="single" w:sz="4" w:space="0" w:color="auto"/>
              <w:right w:val="nil"/>
            </w:tcBorders>
            <w:shd w:val="clear" w:color="000000" w:fill="FDE9D9"/>
            <w:vAlign w:val="center"/>
            <w:hideMark/>
          </w:tcPr>
          <w:p w14:paraId="5F68B551" w14:textId="77777777" w:rsidR="004D73D3" w:rsidRPr="005B77E1" w:rsidRDefault="004D73D3" w:rsidP="004D73D3">
            <w:pPr>
              <w:jc w:val="center"/>
              <w:rPr>
                <w:rFonts w:eastAsia="Times New Roman"/>
                <w:b/>
                <w:color w:val="000000"/>
                <w:sz w:val="16"/>
                <w:szCs w:val="16"/>
                <w:lang w:val="en-US" w:eastAsia="en-US"/>
              </w:rPr>
            </w:pPr>
            <w:r w:rsidRPr="005B77E1">
              <w:rPr>
                <w:rFonts w:eastAsia="Times New Roman"/>
                <w:b/>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FDE9D9"/>
            <w:vAlign w:val="center"/>
            <w:hideMark/>
          </w:tcPr>
          <w:p w14:paraId="4F00D9B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 INSTAT</w:t>
            </w:r>
          </w:p>
        </w:tc>
        <w:tc>
          <w:tcPr>
            <w:tcW w:w="1203" w:type="dxa"/>
            <w:tcBorders>
              <w:top w:val="nil"/>
              <w:left w:val="nil"/>
              <w:bottom w:val="single" w:sz="4" w:space="0" w:color="auto"/>
              <w:right w:val="nil"/>
            </w:tcBorders>
            <w:shd w:val="clear" w:color="000000" w:fill="FDE9D9"/>
            <w:vAlign w:val="center"/>
            <w:hideMark/>
          </w:tcPr>
          <w:p w14:paraId="6EAC190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Të gjitha institucionet</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B49883F" w14:textId="7262E91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905</w:t>
            </w:r>
          </w:p>
        </w:tc>
        <w:tc>
          <w:tcPr>
            <w:tcW w:w="847" w:type="dxa"/>
            <w:tcBorders>
              <w:top w:val="nil"/>
              <w:left w:val="nil"/>
              <w:bottom w:val="single" w:sz="4" w:space="0" w:color="auto"/>
              <w:right w:val="single" w:sz="4" w:space="0" w:color="auto"/>
            </w:tcBorders>
            <w:shd w:val="clear" w:color="000000" w:fill="FDE9D9"/>
            <w:vAlign w:val="center"/>
            <w:hideMark/>
          </w:tcPr>
          <w:p w14:paraId="2EFCBD38" w14:textId="634CA31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1,305</w:t>
            </w:r>
          </w:p>
        </w:tc>
        <w:tc>
          <w:tcPr>
            <w:tcW w:w="720" w:type="dxa"/>
            <w:tcBorders>
              <w:top w:val="nil"/>
              <w:left w:val="nil"/>
              <w:bottom w:val="single" w:sz="4" w:space="0" w:color="auto"/>
              <w:right w:val="single" w:sz="4" w:space="0" w:color="auto"/>
            </w:tcBorders>
            <w:shd w:val="clear" w:color="000000" w:fill="FDE9D9"/>
            <w:vAlign w:val="center"/>
            <w:hideMark/>
          </w:tcPr>
          <w:p w14:paraId="30F3C923" w14:textId="7C701B8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w:t>
            </w:r>
          </w:p>
        </w:tc>
        <w:tc>
          <w:tcPr>
            <w:tcW w:w="810" w:type="dxa"/>
            <w:tcBorders>
              <w:top w:val="nil"/>
              <w:left w:val="nil"/>
              <w:bottom w:val="single" w:sz="4" w:space="0" w:color="auto"/>
              <w:right w:val="single" w:sz="4" w:space="0" w:color="auto"/>
            </w:tcBorders>
            <w:shd w:val="clear" w:color="000000" w:fill="FDE9D9"/>
            <w:vAlign w:val="center"/>
            <w:hideMark/>
          </w:tcPr>
          <w:p w14:paraId="13781B9C" w14:textId="1520A6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FDE9D9"/>
            <w:vAlign w:val="center"/>
            <w:hideMark/>
          </w:tcPr>
          <w:p w14:paraId="01C7E5A0" w14:textId="47ACD27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FDE9D9"/>
            <w:vAlign w:val="center"/>
            <w:hideMark/>
          </w:tcPr>
          <w:p w14:paraId="6CC0D635" w14:textId="72B53E1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2,609</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3CE69A1B" w14:textId="6A252B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1,909</w:t>
            </w:r>
          </w:p>
        </w:tc>
        <w:tc>
          <w:tcPr>
            <w:tcW w:w="990" w:type="dxa"/>
            <w:tcBorders>
              <w:top w:val="nil"/>
              <w:left w:val="nil"/>
              <w:bottom w:val="single" w:sz="4" w:space="0" w:color="auto"/>
              <w:right w:val="single" w:sz="4" w:space="0" w:color="auto"/>
            </w:tcBorders>
            <w:shd w:val="clear" w:color="000000" w:fill="FDE9D9"/>
            <w:vAlign w:val="center"/>
            <w:hideMark/>
          </w:tcPr>
          <w:p w14:paraId="75B2C8F5" w14:textId="18E7A79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53" w:type="dxa"/>
            <w:tcBorders>
              <w:top w:val="nil"/>
              <w:left w:val="nil"/>
              <w:bottom w:val="single" w:sz="4" w:space="0" w:color="auto"/>
              <w:right w:val="single" w:sz="8" w:space="0" w:color="auto"/>
            </w:tcBorders>
            <w:shd w:val="clear" w:color="000000" w:fill="FDE9D9"/>
            <w:vAlign w:val="center"/>
            <w:hideMark/>
          </w:tcPr>
          <w:p w14:paraId="66D46653" w14:textId="5A2B326A"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w:t>
            </w:r>
          </w:p>
        </w:tc>
      </w:tr>
      <w:tr w:rsidR="004D73D3" w:rsidRPr="004D73D3" w14:paraId="5E4A5F42" w14:textId="77777777" w:rsidTr="004B31D6">
        <w:trPr>
          <w:trHeight w:val="312"/>
        </w:trPr>
        <w:tc>
          <w:tcPr>
            <w:tcW w:w="2625" w:type="dxa"/>
            <w:tcBorders>
              <w:top w:val="nil"/>
              <w:left w:val="single" w:sz="4" w:space="0" w:color="auto"/>
              <w:bottom w:val="single" w:sz="4" w:space="0" w:color="auto"/>
              <w:right w:val="single" w:sz="4" w:space="0" w:color="auto"/>
            </w:tcBorders>
            <w:shd w:val="clear" w:color="000000" w:fill="DCE6F1"/>
            <w:vAlign w:val="center"/>
            <w:hideMark/>
          </w:tcPr>
          <w:p w14:paraId="5A89BA19"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3.1 </w:t>
            </w:r>
            <w:r w:rsidRPr="005B77E1">
              <w:rPr>
                <w:rFonts w:eastAsia="Times New Roman"/>
                <w:bCs/>
                <w:color w:val="000000"/>
                <w:sz w:val="16"/>
                <w:szCs w:val="16"/>
                <w:lang w:val="en-US" w:eastAsia="en-US"/>
              </w:rPr>
              <w:t>Përmirësim i akteve ligjore e nënligjore</w:t>
            </w:r>
          </w:p>
        </w:tc>
        <w:tc>
          <w:tcPr>
            <w:tcW w:w="1160" w:type="dxa"/>
            <w:tcBorders>
              <w:top w:val="nil"/>
              <w:left w:val="nil"/>
              <w:bottom w:val="single" w:sz="4" w:space="0" w:color="auto"/>
              <w:right w:val="single" w:sz="4" w:space="0" w:color="auto"/>
            </w:tcBorders>
            <w:shd w:val="clear" w:color="000000" w:fill="DCE6F1"/>
            <w:vAlign w:val="center"/>
            <w:hideMark/>
          </w:tcPr>
          <w:p w14:paraId="70B542E5" w14:textId="77777777" w:rsidR="004D73D3" w:rsidRPr="004D73D3" w:rsidRDefault="004D73D3" w:rsidP="004D73D3">
            <w:pPr>
              <w:jc w:val="center"/>
              <w:rPr>
                <w:rFonts w:eastAsia="Times New Roman"/>
                <w:b/>
                <w:bCs/>
                <w:color w:val="000000"/>
                <w:sz w:val="16"/>
                <w:szCs w:val="16"/>
                <w:lang w:val="en-US" w:eastAsia="en-US"/>
              </w:rPr>
            </w:pPr>
            <w:r w:rsidRPr="004D73D3">
              <w:rPr>
                <w:rFonts w:eastAsia="Times New Roman"/>
                <w:b/>
                <w:bCs/>
                <w:color w:val="000000"/>
                <w:sz w:val="16"/>
                <w:szCs w:val="16"/>
                <w:lang w:val="en-US" w:eastAsia="en-US"/>
              </w:rPr>
              <w:t>2026</w:t>
            </w:r>
          </w:p>
        </w:tc>
        <w:tc>
          <w:tcPr>
            <w:tcW w:w="1292" w:type="dxa"/>
            <w:tcBorders>
              <w:top w:val="nil"/>
              <w:left w:val="nil"/>
              <w:bottom w:val="single" w:sz="4" w:space="0" w:color="auto"/>
              <w:right w:val="nil"/>
            </w:tcBorders>
            <w:shd w:val="clear" w:color="000000" w:fill="DCE6F1"/>
            <w:vAlign w:val="center"/>
            <w:hideMark/>
          </w:tcPr>
          <w:p w14:paraId="74D44805"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DCE6F1"/>
            <w:vAlign w:val="center"/>
            <w:hideMark/>
          </w:tcPr>
          <w:p w14:paraId="0EDBD930"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 / INSTAT</w:t>
            </w:r>
          </w:p>
        </w:tc>
        <w:tc>
          <w:tcPr>
            <w:tcW w:w="1203" w:type="dxa"/>
            <w:tcBorders>
              <w:top w:val="nil"/>
              <w:left w:val="nil"/>
              <w:bottom w:val="single" w:sz="4" w:space="0" w:color="auto"/>
              <w:right w:val="nil"/>
            </w:tcBorders>
            <w:shd w:val="clear" w:color="000000" w:fill="DCE6F1"/>
            <w:vAlign w:val="center"/>
            <w:hideMark/>
          </w:tcPr>
          <w:p w14:paraId="2327B32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Të gjitha institucionet</w:t>
            </w:r>
          </w:p>
        </w:tc>
        <w:tc>
          <w:tcPr>
            <w:tcW w:w="957" w:type="dxa"/>
            <w:tcBorders>
              <w:top w:val="nil"/>
              <w:left w:val="single" w:sz="4" w:space="0" w:color="auto"/>
              <w:bottom w:val="single" w:sz="4" w:space="0" w:color="auto"/>
              <w:right w:val="single" w:sz="4" w:space="0" w:color="auto"/>
            </w:tcBorders>
            <w:shd w:val="clear" w:color="000000" w:fill="DCE6F1"/>
            <w:vAlign w:val="center"/>
            <w:hideMark/>
          </w:tcPr>
          <w:p w14:paraId="45116352" w14:textId="38D8F864"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905</w:t>
            </w:r>
          </w:p>
        </w:tc>
        <w:tc>
          <w:tcPr>
            <w:tcW w:w="847" w:type="dxa"/>
            <w:tcBorders>
              <w:top w:val="nil"/>
              <w:left w:val="nil"/>
              <w:bottom w:val="single" w:sz="4" w:space="0" w:color="auto"/>
              <w:right w:val="single" w:sz="4" w:space="0" w:color="auto"/>
            </w:tcBorders>
            <w:shd w:val="clear" w:color="000000" w:fill="DCE6F1"/>
            <w:vAlign w:val="center"/>
            <w:hideMark/>
          </w:tcPr>
          <w:p w14:paraId="471C0D71" w14:textId="6BE301C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1,305</w:t>
            </w:r>
          </w:p>
        </w:tc>
        <w:tc>
          <w:tcPr>
            <w:tcW w:w="720" w:type="dxa"/>
            <w:tcBorders>
              <w:top w:val="nil"/>
              <w:left w:val="nil"/>
              <w:bottom w:val="single" w:sz="4" w:space="0" w:color="auto"/>
              <w:right w:val="single" w:sz="4" w:space="0" w:color="auto"/>
            </w:tcBorders>
            <w:shd w:val="clear" w:color="000000" w:fill="DCE6F1"/>
            <w:vAlign w:val="center"/>
            <w:hideMark/>
          </w:tcPr>
          <w:p w14:paraId="1A3C7AED" w14:textId="531A4AEB"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400</w:t>
            </w:r>
          </w:p>
        </w:tc>
        <w:tc>
          <w:tcPr>
            <w:tcW w:w="810" w:type="dxa"/>
            <w:tcBorders>
              <w:top w:val="nil"/>
              <w:left w:val="nil"/>
              <w:bottom w:val="single" w:sz="4" w:space="0" w:color="auto"/>
              <w:right w:val="single" w:sz="4" w:space="0" w:color="auto"/>
            </w:tcBorders>
            <w:shd w:val="clear" w:color="000000" w:fill="DCE6F1"/>
            <w:vAlign w:val="center"/>
            <w:hideMark/>
          </w:tcPr>
          <w:p w14:paraId="1D448588" w14:textId="7EE0D30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646" w:type="dxa"/>
            <w:tcBorders>
              <w:top w:val="nil"/>
              <w:left w:val="nil"/>
              <w:bottom w:val="single" w:sz="4" w:space="0" w:color="auto"/>
              <w:right w:val="single" w:sz="4" w:space="0" w:color="auto"/>
            </w:tcBorders>
            <w:shd w:val="clear" w:color="000000" w:fill="DCE6F1"/>
            <w:vAlign w:val="center"/>
            <w:hideMark/>
          </w:tcPr>
          <w:p w14:paraId="68C3650E" w14:textId="38ACF98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DCE6F1"/>
            <w:vAlign w:val="center"/>
            <w:hideMark/>
          </w:tcPr>
          <w:p w14:paraId="2B08C233" w14:textId="027240BF"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2,609</w:t>
            </w:r>
          </w:p>
        </w:tc>
        <w:tc>
          <w:tcPr>
            <w:tcW w:w="900" w:type="dxa"/>
            <w:tcBorders>
              <w:top w:val="nil"/>
              <w:left w:val="single" w:sz="8" w:space="0" w:color="auto"/>
              <w:bottom w:val="single" w:sz="4" w:space="0" w:color="auto"/>
              <w:right w:val="single" w:sz="4" w:space="0" w:color="auto"/>
            </w:tcBorders>
            <w:shd w:val="clear" w:color="000000" w:fill="DCE6F1"/>
            <w:vAlign w:val="center"/>
            <w:hideMark/>
          </w:tcPr>
          <w:p w14:paraId="0A0ED887" w14:textId="21A14AD5"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1,909</w:t>
            </w:r>
          </w:p>
        </w:tc>
        <w:tc>
          <w:tcPr>
            <w:tcW w:w="990" w:type="dxa"/>
            <w:tcBorders>
              <w:top w:val="nil"/>
              <w:left w:val="nil"/>
              <w:bottom w:val="single" w:sz="4" w:space="0" w:color="auto"/>
              <w:right w:val="single" w:sz="4" w:space="0" w:color="auto"/>
            </w:tcBorders>
            <w:shd w:val="clear" w:color="000000" w:fill="DCE6F1"/>
            <w:vAlign w:val="center"/>
            <w:hideMark/>
          </w:tcPr>
          <w:p w14:paraId="769556C8" w14:textId="77777777"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0</w:t>
            </w:r>
          </w:p>
        </w:tc>
        <w:tc>
          <w:tcPr>
            <w:tcW w:w="953" w:type="dxa"/>
            <w:tcBorders>
              <w:top w:val="nil"/>
              <w:left w:val="nil"/>
              <w:bottom w:val="single" w:sz="4" w:space="0" w:color="auto"/>
              <w:right w:val="single" w:sz="8" w:space="0" w:color="auto"/>
            </w:tcBorders>
            <w:shd w:val="clear" w:color="000000" w:fill="DCE6F1"/>
            <w:vAlign w:val="center"/>
            <w:hideMark/>
          </w:tcPr>
          <w:p w14:paraId="5A2F2925" w14:textId="4B38E1F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700</w:t>
            </w:r>
          </w:p>
        </w:tc>
      </w:tr>
      <w:tr w:rsidR="004D73D3" w:rsidRPr="004D73D3" w14:paraId="084729C5" w14:textId="77777777" w:rsidTr="004B31D6">
        <w:trPr>
          <w:trHeight w:val="576"/>
        </w:trPr>
        <w:tc>
          <w:tcPr>
            <w:tcW w:w="2625" w:type="dxa"/>
            <w:tcBorders>
              <w:top w:val="nil"/>
              <w:left w:val="single" w:sz="4" w:space="0" w:color="auto"/>
              <w:bottom w:val="single" w:sz="4" w:space="0" w:color="auto"/>
              <w:right w:val="single" w:sz="4" w:space="0" w:color="auto"/>
            </w:tcBorders>
            <w:shd w:val="clear" w:color="000000" w:fill="FDE9D9"/>
            <w:vAlign w:val="center"/>
            <w:hideMark/>
          </w:tcPr>
          <w:p w14:paraId="6635599D" w14:textId="77777777" w:rsidR="004D73D3" w:rsidRPr="004D73D3" w:rsidRDefault="004D73D3" w:rsidP="005B77E1">
            <w:pPr>
              <w:jc w:val="both"/>
              <w:rPr>
                <w:rFonts w:eastAsia="Times New Roman"/>
                <w:b/>
                <w:bCs/>
                <w:color w:val="FF0000"/>
                <w:sz w:val="16"/>
                <w:szCs w:val="16"/>
                <w:lang w:val="en-US" w:eastAsia="en-US"/>
              </w:rPr>
            </w:pPr>
            <w:r w:rsidRPr="004D73D3">
              <w:rPr>
                <w:rFonts w:eastAsia="Times New Roman"/>
                <w:b/>
                <w:bCs/>
                <w:color w:val="FF0000"/>
                <w:sz w:val="16"/>
                <w:szCs w:val="16"/>
                <w:lang w:val="en-US" w:eastAsia="en-US"/>
              </w:rPr>
              <w:t>Objektivi specifik 4 . Objektivi specifik 4: Nxitja e bashkëpunimit rajonal për zbatimin e KDPAK</w:t>
            </w:r>
          </w:p>
        </w:tc>
        <w:tc>
          <w:tcPr>
            <w:tcW w:w="1160" w:type="dxa"/>
            <w:tcBorders>
              <w:top w:val="nil"/>
              <w:left w:val="nil"/>
              <w:bottom w:val="single" w:sz="4" w:space="0" w:color="auto"/>
              <w:right w:val="single" w:sz="4" w:space="0" w:color="auto"/>
            </w:tcBorders>
            <w:shd w:val="clear" w:color="000000" w:fill="FDE9D9"/>
            <w:vAlign w:val="center"/>
            <w:hideMark/>
          </w:tcPr>
          <w:p w14:paraId="27BBD8CB" w14:textId="16F34E4D" w:rsidR="004D73D3" w:rsidRPr="005B77E1" w:rsidRDefault="005B77E1" w:rsidP="004D73D3">
            <w:pPr>
              <w:jc w:val="center"/>
              <w:rPr>
                <w:rFonts w:eastAsia="Times New Roman"/>
                <w:b/>
                <w:bCs/>
                <w:color w:val="000000"/>
                <w:sz w:val="16"/>
                <w:szCs w:val="16"/>
                <w:lang w:val="en-US" w:eastAsia="en-US"/>
              </w:rPr>
            </w:pPr>
            <w:r w:rsidRPr="005B77E1">
              <w:rPr>
                <w:rFonts w:eastAsia="Times New Roman"/>
                <w:b/>
                <w:bCs/>
                <w:color w:val="000000"/>
                <w:sz w:val="16"/>
                <w:szCs w:val="16"/>
                <w:lang w:val="en-US" w:eastAsia="en-US"/>
              </w:rPr>
              <w:t>2026</w:t>
            </w:r>
          </w:p>
        </w:tc>
        <w:tc>
          <w:tcPr>
            <w:tcW w:w="1292" w:type="dxa"/>
            <w:tcBorders>
              <w:top w:val="nil"/>
              <w:left w:val="nil"/>
              <w:bottom w:val="single" w:sz="4" w:space="0" w:color="auto"/>
              <w:right w:val="nil"/>
            </w:tcBorders>
            <w:shd w:val="clear" w:color="000000" w:fill="FDE9D9"/>
            <w:vAlign w:val="center"/>
            <w:hideMark/>
          </w:tcPr>
          <w:p w14:paraId="6C78A7C7" w14:textId="77777777" w:rsidR="004D73D3" w:rsidRPr="005B77E1" w:rsidRDefault="004D73D3" w:rsidP="004D73D3">
            <w:pPr>
              <w:jc w:val="center"/>
              <w:rPr>
                <w:rFonts w:eastAsia="Times New Roman"/>
                <w:b/>
                <w:color w:val="000000"/>
                <w:sz w:val="16"/>
                <w:szCs w:val="16"/>
                <w:lang w:val="en-US" w:eastAsia="en-US"/>
              </w:rPr>
            </w:pPr>
            <w:r w:rsidRPr="005B77E1">
              <w:rPr>
                <w:rFonts w:eastAsia="Times New Roman"/>
                <w:b/>
                <w:color w:val="000000"/>
                <w:sz w:val="16"/>
                <w:szCs w:val="16"/>
                <w:lang w:val="en-US" w:eastAsia="en-US"/>
              </w:rPr>
              <w:t>2030</w:t>
            </w:r>
          </w:p>
        </w:tc>
        <w:tc>
          <w:tcPr>
            <w:tcW w:w="821" w:type="dxa"/>
            <w:tcBorders>
              <w:top w:val="nil"/>
              <w:left w:val="single" w:sz="8" w:space="0" w:color="auto"/>
              <w:bottom w:val="single" w:sz="4" w:space="0" w:color="auto"/>
              <w:right w:val="single" w:sz="4" w:space="0" w:color="auto"/>
            </w:tcBorders>
            <w:shd w:val="clear" w:color="000000" w:fill="FDE9D9"/>
            <w:vAlign w:val="center"/>
            <w:hideMark/>
          </w:tcPr>
          <w:p w14:paraId="6BC97ACC"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4" w:space="0" w:color="auto"/>
              <w:right w:val="nil"/>
            </w:tcBorders>
            <w:shd w:val="clear" w:color="000000" w:fill="FDE9D9"/>
            <w:vAlign w:val="center"/>
            <w:hideMark/>
          </w:tcPr>
          <w:p w14:paraId="2B78C78A"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Të gjitha institucionet</w:t>
            </w:r>
          </w:p>
        </w:tc>
        <w:tc>
          <w:tcPr>
            <w:tcW w:w="957" w:type="dxa"/>
            <w:tcBorders>
              <w:top w:val="nil"/>
              <w:left w:val="single" w:sz="4" w:space="0" w:color="auto"/>
              <w:bottom w:val="single" w:sz="4" w:space="0" w:color="auto"/>
              <w:right w:val="single" w:sz="4" w:space="0" w:color="auto"/>
            </w:tcBorders>
            <w:shd w:val="clear" w:color="000000" w:fill="FDE9D9"/>
            <w:vAlign w:val="center"/>
            <w:hideMark/>
          </w:tcPr>
          <w:p w14:paraId="538BD478" w14:textId="2716F9E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FDE9D9"/>
            <w:vAlign w:val="center"/>
            <w:hideMark/>
          </w:tcPr>
          <w:p w14:paraId="3662E98B" w14:textId="790CB0D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720" w:type="dxa"/>
            <w:tcBorders>
              <w:top w:val="nil"/>
              <w:left w:val="nil"/>
              <w:bottom w:val="single" w:sz="4" w:space="0" w:color="auto"/>
              <w:right w:val="single" w:sz="4" w:space="0" w:color="auto"/>
            </w:tcBorders>
            <w:shd w:val="clear" w:color="000000" w:fill="FDE9D9"/>
            <w:vAlign w:val="center"/>
            <w:hideMark/>
          </w:tcPr>
          <w:p w14:paraId="0BA64D32" w14:textId="3F9B15A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810" w:type="dxa"/>
            <w:tcBorders>
              <w:top w:val="nil"/>
              <w:left w:val="nil"/>
              <w:bottom w:val="single" w:sz="4" w:space="0" w:color="auto"/>
              <w:right w:val="single" w:sz="4" w:space="0" w:color="auto"/>
            </w:tcBorders>
            <w:shd w:val="clear" w:color="000000" w:fill="FDE9D9"/>
            <w:vAlign w:val="center"/>
            <w:hideMark/>
          </w:tcPr>
          <w:p w14:paraId="05EC2686" w14:textId="55278E2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646" w:type="dxa"/>
            <w:tcBorders>
              <w:top w:val="nil"/>
              <w:left w:val="nil"/>
              <w:bottom w:val="single" w:sz="4" w:space="0" w:color="auto"/>
              <w:right w:val="single" w:sz="4" w:space="0" w:color="auto"/>
            </w:tcBorders>
            <w:shd w:val="clear" w:color="000000" w:fill="FDE9D9"/>
            <w:vAlign w:val="center"/>
            <w:hideMark/>
          </w:tcPr>
          <w:p w14:paraId="4F8E8E5D" w14:textId="10AAD8C0"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FDE9D9"/>
            <w:vAlign w:val="center"/>
            <w:hideMark/>
          </w:tcPr>
          <w:p w14:paraId="2AF85BA8" w14:textId="02BD787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4,500</w:t>
            </w:r>
          </w:p>
        </w:tc>
        <w:tc>
          <w:tcPr>
            <w:tcW w:w="900" w:type="dxa"/>
            <w:tcBorders>
              <w:top w:val="nil"/>
              <w:left w:val="single" w:sz="8" w:space="0" w:color="auto"/>
              <w:bottom w:val="single" w:sz="4" w:space="0" w:color="auto"/>
              <w:right w:val="single" w:sz="4" w:space="0" w:color="auto"/>
            </w:tcBorders>
            <w:shd w:val="clear" w:color="000000" w:fill="FDE9D9"/>
            <w:vAlign w:val="center"/>
            <w:hideMark/>
          </w:tcPr>
          <w:p w14:paraId="14E0F5A7" w14:textId="118AA63D"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4" w:space="0" w:color="auto"/>
              <w:right w:val="single" w:sz="4" w:space="0" w:color="auto"/>
            </w:tcBorders>
            <w:shd w:val="clear" w:color="000000" w:fill="FDE9D9"/>
            <w:vAlign w:val="center"/>
            <w:hideMark/>
          </w:tcPr>
          <w:p w14:paraId="153CD54C" w14:textId="2ABC632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w:t>
            </w:r>
          </w:p>
        </w:tc>
        <w:tc>
          <w:tcPr>
            <w:tcW w:w="953" w:type="dxa"/>
            <w:tcBorders>
              <w:top w:val="nil"/>
              <w:left w:val="nil"/>
              <w:bottom w:val="single" w:sz="4" w:space="0" w:color="auto"/>
              <w:right w:val="single" w:sz="8" w:space="0" w:color="auto"/>
            </w:tcBorders>
            <w:shd w:val="clear" w:color="000000" w:fill="FDE9D9"/>
            <w:vAlign w:val="center"/>
            <w:hideMark/>
          </w:tcPr>
          <w:p w14:paraId="59CF7EFA" w14:textId="3CFBA192"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r>
      <w:tr w:rsidR="004D73D3" w:rsidRPr="004D73D3" w14:paraId="48388E54" w14:textId="77777777" w:rsidTr="004B31D6">
        <w:trPr>
          <w:trHeight w:val="588"/>
        </w:trPr>
        <w:tc>
          <w:tcPr>
            <w:tcW w:w="2625" w:type="dxa"/>
            <w:tcBorders>
              <w:top w:val="nil"/>
              <w:left w:val="single" w:sz="4" w:space="0" w:color="auto"/>
              <w:bottom w:val="single" w:sz="4" w:space="0" w:color="auto"/>
              <w:right w:val="single" w:sz="4" w:space="0" w:color="auto"/>
            </w:tcBorders>
            <w:shd w:val="clear" w:color="000000" w:fill="C5D9F1"/>
            <w:vAlign w:val="center"/>
            <w:hideMark/>
          </w:tcPr>
          <w:p w14:paraId="2D1A2217" w14:textId="77777777" w:rsidR="004D73D3" w:rsidRPr="004D73D3" w:rsidRDefault="004D73D3" w:rsidP="005B77E1">
            <w:pPr>
              <w:jc w:val="both"/>
              <w:rPr>
                <w:rFonts w:eastAsia="Times New Roman"/>
                <w:b/>
                <w:bCs/>
                <w:color w:val="000000"/>
                <w:sz w:val="16"/>
                <w:szCs w:val="16"/>
                <w:lang w:val="en-US" w:eastAsia="en-US"/>
              </w:rPr>
            </w:pPr>
            <w:r w:rsidRPr="004D73D3">
              <w:rPr>
                <w:rFonts w:eastAsia="Times New Roman"/>
                <w:b/>
                <w:bCs/>
                <w:color w:val="000000"/>
                <w:sz w:val="16"/>
                <w:szCs w:val="16"/>
                <w:lang w:val="en-US" w:eastAsia="en-US"/>
              </w:rPr>
              <w:t xml:space="preserve">Masa prioritare 4.1 </w:t>
            </w:r>
            <w:r w:rsidRPr="005B77E1">
              <w:rPr>
                <w:rFonts w:eastAsia="Times New Roman"/>
                <w:bCs/>
                <w:color w:val="000000"/>
                <w:sz w:val="16"/>
                <w:szCs w:val="16"/>
                <w:lang w:val="en-US" w:eastAsia="en-US"/>
              </w:rPr>
              <w:t>Organizim dhe pjesëmarrje në aktivitete ndërkombëtare</w:t>
            </w:r>
          </w:p>
        </w:tc>
        <w:tc>
          <w:tcPr>
            <w:tcW w:w="1160" w:type="dxa"/>
            <w:tcBorders>
              <w:top w:val="nil"/>
              <w:left w:val="nil"/>
              <w:bottom w:val="single" w:sz="4" w:space="0" w:color="auto"/>
              <w:right w:val="single" w:sz="4" w:space="0" w:color="auto"/>
            </w:tcBorders>
            <w:shd w:val="clear" w:color="000000" w:fill="C5D9F1"/>
            <w:vAlign w:val="center"/>
            <w:hideMark/>
          </w:tcPr>
          <w:p w14:paraId="5E9A96AF" w14:textId="77777777" w:rsidR="004D73D3" w:rsidRPr="005B77E1" w:rsidRDefault="004D73D3" w:rsidP="004D73D3">
            <w:pPr>
              <w:jc w:val="center"/>
              <w:rPr>
                <w:rFonts w:eastAsia="Times New Roman"/>
                <w:bCs/>
                <w:color w:val="000000"/>
                <w:sz w:val="16"/>
                <w:szCs w:val="16"/>
                <w:lang w:val="en-US" w:eastAsia="en-US"/>
              </w:rPr>
            </w:pPr>
            <w:r w:rsidRPr="005B77E1">
              <w:rPr>
                <w:rFonts w:eastAsia="Times New Roman"/>
                <w:bCs/>
                <w:color w:val="000000"/>
                <w:sz w:val="16"/>
                <w:szCs w:val="16"/>
                <w:lang w:val="en-US" w:eastAsia="en-US"/>
              </w:rPr>
              <w:t>2026</w:t>
            </w:r>
          </w:p>
        </w:tc>
        <w:tc>
          <w:tcPr>
            <w:tcW w:w="1292" w:type="dxa"/>
            <w:tcBorders>
              <w:top w:val="nil"/>
              <w:left w:val="nil"/>
              <w:bottom w:val="single" w:sz="4" w:space="0" w:color="auto"/>
              <w:right w:val="nil"/>
            </w:tcBorders>
            <w:shd w:val="clear" w:color="000000" w:fill="DCE6F1"/>
            <w:vAlign w:val="center"/>
            <w:hideMark/>
          </w:tcPr>
          <w:p w14:paraId="6B93989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val="en-US" w:eastAsia="en-US"/>
              </w:rPr>
              <w:t>2030</w:t>
            </w:r>
          </w:p>
        </w:tc>
        <w:tc>
          <w:tcPr>
            <w:tcW w:w="821" w:type="dxa"/>
            <w:tcBorders>
              <w:top w:val="nil"/>
              <w:left w:val="single" w:sz="8" w:space="0" w:color="auto"/>
              <w:bottom w:val="single" w:sz="8" w:space="0" w:color="auto"/>
              <w:right w:val="single" w:sz="4" w:space="0" w:color="auto"/>
            </w:tcBorders>
            <w:shd w:val="clear" w:color="000000" w:fill="DCE6F1"/>
            <w:vAlign w:val="center"/>
            <w:hideMark/>
          </w:tcPr>
          <w:p w14:paraId="185254C4"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MSHMS</w:t>
            </w:r>
          </w:p>
        </w:tc>
        <w:tc>
          <w:tcPr>
            <w:tcW w:w="1203" w:type="dxa"/>
            <w:tcBorders>
              <w:top w:val="nil"/>
              <w:left w:val="nil"/>
              <w:bottom w:val="single" w:sz="8" w:space="0" w:color="auto"/>
              <w:right w:val="nil"/>
            </w:tcBorders>
            <w:shd w:val="clear" w:color="000000" w:fill="DCE6F1"/>
            <w:vAlign w:val="center"/>
            <w:hideMark/>
          </w:tcPr>
          <w:p w14:paraId="298AB09B" w14:textId="77777777" w:rsidR="004D73D3" w:rsidRPr="004D73D3" w:rsidRDefault="004D73D3" w:rsidP="004D73D3">
            <w:pPr>
              <w:jc w:val="center"/>
              <w:rPr>
                <w:rFonts w:eastAsia="Times New Roman"/>
                <w:color w:val="000000"/>
                <w:sz w:val="16"/>
                <w:szCs w:val="16"/>
                <w:lang w:val="en-US" w:eastAsia="en-US"/>
              </w:rPr>
            </w:pPr>
            <w:r w:rsidRPr="004D73D3">
              <w:rPr>
                <w:rFonts w:eastAsia="Times New Roman"/>
                <w:color w:val="000000"/>
                <w:sz w:val="16"/>
                <w:szCs w:val="16"/>
                <w:lang w:eastAsia="en-US"/>
              </w:rPr>
              <w:t>Te gjitha institucionet</w:t>
            </w:r>
          </w:p>
        </w:tc>
        <w:tc>
          <w:tcPr>
            <w:tcW w:w="957" w:type="dxa"/>
            <w:tcBorders>
              <w:top w:val="nil"/>
              <w:left w:val="single" w:sz="4" w:space="0" w:color="auto"/>
              <w:bottom w:val="single" w:sz="4" w:space="0" w:color="auto"/>
              <w:right w:val="single" w:sz="4" w:space="0" w:color="auto"/>
            </w:tcBorders>
            <w:shd w:val="clear" w:color="000000" w:fill="C5D9F1"/>
            <w:vAlign w:val="center"/>
            <w:hideMark/>
          </w:tcPr>
          <w:p w14:paraId="48A5F623" w14:textId="669F8FD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847" w:type="dxa"/>
            <w:tcBorders>
              <w:top w:val="nil"/>
              <w:left w:val="nil"/>
              <w:bottom w:val="single" w:sz="4" w:space="0" w:color="auto"/>
              <w:right w:val="single" w:sz="4" w:space="0" w:color="auto"/>
            </w:tcBorders>
            <w:shd w:val="clear" w:color="000000" w:fill="C5D9F1"/>
            <w:vAlign w:val="center"/>
            <w:hideMark/>
          </w:tcPr>
          <w:p w14:paraId="21E06FAA" w14:textId="46E8EB3C"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720" w:type="dxa"/>
            <w:tcBorders>
              <w:top w:val="nil"/>
              <w:left w:val="nil"/>
              <w:bottom w:val="single" w:sz="4" w:space="0" w:color="auto"/>
              <w:right w:val="single" w:sz="4" w:space="0" w:color="auto"/>
            </w:tcBorders>
            <w:shd w:val="clear" w:color="000000" w:fill="C5D9F1"/>
            <w:vAlign w:val="center"/>
            <w:hideMark/>
          </w:tcPr>
          <w:p w14:paraId="3A288328" w14:textId="27947A6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810" w:type="dxa"/>
            <w:tcBorders>
              <w:top w:val="nil"/>
              <w:left w:val="nil"/>
              <w:bottom w:val="single" w:sz="4" w:space="0" w:color="auto"/>
              <w:right w:val="single" w:sz="4" w:space="0" w:color="auto"/>
            </w:tcBorders>
            <w:shd w:val="clear" w:color="000000" w:fill="C5D9F1"/>
            <w:vAlign w:val="center"/>
            <w:hideMark/>
          </w:tcPr>
          <w:p w14:paraId="3F3C6A6D" w14:textId="06CC7883"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c>
          <w:tcPr>
            <w:tcW w:w="646" w:type="dxa"/>
            <w:tcBorders>
              <w:top w:val="nil"/>
              <w:left w:val="nil"/>
              <w:bottom w:val="single" w:sz="4" w:space="0" w:color="auto"/>
              <w:right w:val="single" w:sz="4" w:space="0" w:color="auto"/>
            </w:tcBorders>
            <w:shd w:val="clear" w:color="000000" w:fill="C5D9F1"/>
            <w:vAlign w:val="center"/>
            <w:hideMark/>
          </w:tcPr>
          <w:p w14:paraId="0BCBA9B9" w14:textId="144C8556"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74" w:type="dxa"/>
            <w:tcBorders>
              <w:top w:val="nil"/>
              <w:left w:val="nil"/>
              <w:bottom w:val="single" w:sz="4" w:space="0" w:color="auto"/>
              <w:right w:val="nil"/>
            </w:tcBorders>
            <w:shd w:val="clear" w:color="000000" w:fill="C5D9F1"/>
            <w:vAlign w:val="center"/>
            <w:hideMark/>
          </w:tcPr>
          <w:p w14:paraId="1F3AD4AF" w14:textId="691A0E38"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4,500</w:t>
            </w:r>
          </w:p>
        </w:tc>
        <w:tc>
          <w:tcPr>
            <w:tcW w:w="900" w:type="dxa"/>
            <w:tcBorders>
              <w:top w:val="nil"/>
              <w:left w:val="single" w:sz="8" w:space="0" w:color="auto"/>
              <w:bottom w:val="single" w:sz="8" w:space="0" w:color="auto"/>
              <w:right w:val="single" w:sz="4" w:space="0" w:color="auto"/>
            </w:tcBorders>
            <w:shd w:val="clear" w:color="000000" w:fill="C5D9F1"/>
            <w:vAlign w:val="center"/>
            <w:hideMark/>
          </w:tcPr>
          <w:p w14:paraId="2EFDF313" w14:textId="520BA43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w:t>
            </w:r>
          </w:p>
        </w:tc>
        <w:tc>
          <w:tcPr>
            <w:tcW w:w="990" w:type="dxa"/>
            <w:tcBorders>
              <w:top w:val="nil"/>
              <w:left w:val="nil"/>
              <w:bottom w:val="single" w:sz="8" w:space="0" w:color="auto"/>
              <w:right w:val="single" w:sz="4" w:space="0" w:color="auto"/>
            </w:tcBorders>
            <w:shd w:val="clear" w:color="000000" w:fill="C5D9F1"/>
            <w:vAlign w:val="center"/>
            <w:hideMark/>
          </w:tcPr>
          <w:p w14:paraId="5F62EDE7" w14:textId="7C533769"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3,000</w:t>
            </w:r>
          </w:p>
        </w:tc>
        <w:tc>
          <w:tcPr>
            <w:tcW w:w="953" w:type="dxa"/>
            <w:tcBorders>
              <w:top w:val="nil"/>
              <w:left w:val="nil"/>
              <w:bottom w:val="single" w:sz="8" w:space="0" w:color="auto"/>
              <w:right w:val="single" w:sz="8" w:space="0" w:color="auto"/>
            </w:tcBorders>
            <w:shd w:val="clear" w:color="000000" w:fill="DCE6F1"/>
            <w:vAlign w:val="center"/>
            <w:hideMark/>
          </w:tcPr>
          <w:p w14:paraId="714D9420" w14:textId="4C80B8CE" w:rsidR="004D73D3" w:rsidRPr="004D73D3" w:rsidRDefault="004D73D3" w:rsidP="004D73D3">
            <w:pPr>
              <w:jc w:val="center"/>
              <w:rPr>
                <w:rFonts w:eastAsia="Times New Roman"/>
                <w:b/>
                <w:bCs/>
                <w:color w:val="000000"/>
                <w:sz w:val="10"/>
                <w:szCs w:val="10"/>
                <w:lang w:val="en-US" w:eastAsia="en-US"/>
              </w:rPr>
            </w:pPr>
            <w:r w:rsidRPr="004D73D3">
              <w:rPr>
                <w:rFonts w:eastAsia="Times New Roman"/>
                <w:b/>
                <w:bCs/>
                <w:color w:val="000000"/>
                <w:sz w:val="10"/>
                <w:szCs w:val="10"/>
                <w:lang w:val="en-US" w:eastAsia="en-US"/>
              </w:rPr>
              <w:t>1,500</w:t>
            </w:r>
          </w:p>
        </w:tc>
      </w:tr>
    </w:tbl>
    <w:p w14:paraId="70413F67" w14:textId="77777777" w:rsidR="00753F52" w:rsidRPr="00CB13F7" w:rsidRDefault="00753F52" w:rsidP="00307609">
      <w:pPr>
        <w:spacing w:line="259" w:lineRule="auto"/>
        <w:jc w:val="both"/>
        <w:rPr>
          <w:rFonts w:eastAsia="SimSun"/>
          <w:color w:val="000000"/>
          <w:sz w:val="22"/>
          <w:szCs w:val="22"/>
          <w:lang w:eastAsia="en-US"/>
        </w:rPr>
      </w:pPr>
    </w:p>
    <w:p w14:paraId="6521144D" w14:textId="77777777" w:rsidR="00307609" w:rsidRPr="00CB13F7" w:rsidRDefault="00307609" w:rsidP="00307609">
      <w:pPr>
        <w:spacing w:line="259" w:lineRule="auto"/>
        <w:jc w:val="both"/>
        <w:rPr>
          <w:rFonts w:eastAsia="SimSun"/>
          <w:color w:val="000000"/>
          <w:lang w:eastAsia="en-US"/>
        </w:rPr>
      </w:pPr>
    </w:p>
    <w:p w14:paraId="7ECD4CCB" w14:textId="77777777" w:rsidR="00307609" w:rsidRPr="00CB13F7" w:rsidRDefault="00307609" w:rsidP="00307609">
      <w:pPr>
        <w:spacing w:line="259" w:lineRule="auto"/>
        <w:jc w:val="both"/>
        <w:rPr>
          <w:rFonts w:eastAsia="SimSun"/>
          <w:color w:val="000000"/>
          <w:lang w:eastAsia="en-US"/>
        </w:rPr>
        <w:sectPr w:rsidR="00307609" w:rsidRPr="00CB13F7" w:rsidSect="00B5213C">
          <w:pgSz w:w="15840" w:h="12240" w:orient="landscape"/>
          <w:pgMar w:top="1440" w:right="1440" w:bottom="1440" w:left="1440" w:header="720" w:footer="720" w:gutter="0"/>
          <w:cols w:space="720"/>
          <w:docGrid w:linePitch="360"/>
        </w:sectPr>
      </w:pPr>
    </w:p>
    <w:p w14:paraId="3F77DEBC" w14:textId="77777777" w:rsidR="00307609" w:rsidRPr="00CB13F7" w:rsidRDefault="00307609" w:rsidP="00307609">
      <w:pPr>
        <w:numPr>
          <w:ilvl w:val="0"/>
          <w:numId w:val="19"/>
        </w:numPr>
        <w:spacing w:after="160" w:line="276" w:lineRule="auto"/>
        <w:contextualSpacing/>
        <w:jc w:val="both"/>
        <w:rPr>
          <w:rFonts w:eastAsia="SimSun"/>
          <w:i/>
          <w:u w:val="single"/>
          <w:lang w:eastAsia="en-US"/>
        </w:rPr>
      </w:pPr>
      <w:r w:rsidRPr="00CB13F7">
        <w:rPr>
          <w:rFonts w:eastAsia="SimSun"/>
          <w:b/>
          <w:bCs/>
          <w:i/>
          <w:u w:val="single"/>
          <w:lang w:eastAsia="en-US"/>
        </w:rPr>
        <w:lastRenderedPageBreak/>
        <w:t>Konkluzionet dhe Hapat e Mëtejshëm në Vlerësimin e kostove</w:t>
      </w:r>
    </w:p>
    <w:p w14:paraId="3B1E145D" w14:textId="77777777" w:rsidR="006A61F4" w:rsidRPr="00CB13F7" w:rsidRDefault="006A61F4" w:rsidP="00724EFC">
      <w:pPr>
        <w:spacing w:after="160" w:line="276" w:lineRule="auto"/>
        <w:contextualSpacing/>
        <w:jc w:val="both"/>
        <w:rPr>
          <w:rFonts w:eastAsia="SimSun"/>
          <w:i/>
          <w:u w:val="single"/>
          <w:lang w:eastAsia="en-US"/>
        </w:rPr>
      </w:pPr>
    </w:p>
    <w:p w14:paraId="74A8BB58" w14:textId="77777777" w:rsidR="00307609" w:rsidRPr="00CB13F7" w:rsidRDefault="00307609" w:rsidP="006A61F4">
      <w:pPr>
        <w:numPr>
          <w:ilvl w:val="0"/>
          <w:numId w:val="22"/>
        </w:numPr>
        <w:spacing w:before="120" w:after="120" w:line="276" w:lineRule="auto"/>
        <w:ind w:left="360"/>
        <w:jc w:val="both"/>
        <w:rPr>
          <w:rFonts w:eastAsia="SimSun"/>
          <w:i/>
          <w:u w:val="single"/>
          <w:lang w:eastAsia="en-US"/>
        </w:rPr>
      </w:pPr>
      <w:r w:rsidRPr="00CB13F7">
        <w:rPr>
          <w:rFonts w:eastAsia="SimSun"/>
          <w:b/>
          <w:bCs/>
          <w:lang w:eastAsia="en-US"/>
        </w:rPr>
        <w:t>Miratimi i ndryshimeve ligjore dhe ndikimi i tyre ekonomik</w:t>
      </w:r>
    </w:p>
    <w:p w14:paraId="08281223" w14:textId="77777777" w:rsidR="00307609" w:rsidRPr="00CB13F7" w:rsidRDefault="00307609" w:rsidP="00724EFC">
      <w:pPr>
        <w:spacing w:before="120" w:after="120" w:line="276" w:lineRule="auto"/>
        <w:ind w:left="360"/>
        <w:jc w:val="both"/>
        <w:rPr>
          <w:rFonts w:eastAsia="SimSun"/>
          <w:i/>
          <w:u w:val="single"/>
          <w:lang w:eastAsia="en-US"/>
        </w:rPr>
      </w:pPr>
      <w:r w:rsidRPr="00CB13F7">
        <w:rPr>
          <w:rFonts w:eastAsia="SimSun"/>
          <w:lang w:eastAsia="en-US"/>
        </w:rPr>
        <w:t>Çdo ndryshim në kuadrin ligjor pritet të ketë implikime financiare, të cilat duhet të analizohen dhe të reflektohen në planifikimin buxhetor.</w:t>
      </w:r>
    </w:p>
    <w:p w14:paraId="044C833D" w14:textId="3A0F3543" w:rsidR="00307609" w:rsidRPr="00CB13F7" w:rsidRDefault="00307609" w:rsidP="006A61F4">
      <w:pPr>
        <w:numPr>
          <w:ilvl w:val="0"/>
          <w:numId w:val="22"/>
        </w:numPr>
        <w:spacing w:before="120" w:after="120" w:line="276" w:lineRule="auto"/>
        <w:ind w:left="360"/>
        <w:jc w:val="both"/>
        <w:rPr>
          <w:rFonts w:eastAsia="SimSun"/>
          <w:i/>
          <w:u w:val="single"/>
          <w:lang w:eastAsia="en-US"/>
        </w:rPr>
      </w:pPr>
      <w:r w:rsidRPr="00CB13F7">
        <w:rPr>
          <w:rFonts w:eastAsia="SimSun"/>
          <w:b/>
          <w:bCs/>
          <w:lang w:eastAsia="en-US"/>
        </w:rPr>
        <w:t>Përshtatja ose hartimi i protokolleve/praktikave të reja</w:t>
      </w:r>
      <w:r w:rsidR="001771D3" w:rsidRPr="00CB13F7">
        <w:rPr>
          <w:rFonts w:eastAsia="SimSun"/>
          <w:b/>
          <w:bCs/>
          <w:lang w:eastAsia="en-US"/>
        </w:rPr>
        <w:t xml:space="preserve"> </w:t>
      </w:r>
      <w:r w:rsidRPr="00CB13F7">
        <w:rPr>
          <w:rFonts w:eastAsia="SimSun"/>
          <w:b/>
          <w:bCs/>
          <w:lang w:eastAsia="en-US"/>
        </w:rPr>
        <w:t>si ato shëndetësore dhe sociale për shërbimet e integruara, arsimi , aftësia për punë</w:t>
      </w:r>
      <w:r w:rsidR="006A61F4" w:rsidRPr="00CB13F7">
        <w:rPr>
          <w:rFonts w:eastAsia="SimSun"/>
          <w:b/>
          <w:bCs/>
          <w:lang w:eastAsia="en-US"/>
        </w:rPr>
        <w:t>,</w:t>
      </w:r>
      <w:r w:rsidRPr="00CB13F7">
        <w:rPr>
          <w:rFonts w:eastAsia="SimSun"/>
          <w:b/>
          <w:bCs/>
          <w:lang w:eastAsia="en-US"/>
        </w:rPr>
        <w:t xml:space="preserve"> etj</w:t>
      </w:r>
      <w:r w:rsidR="006A61F4" w:rsidRPr="00CB13F7">
        <w:rPr>
          <w:rFonts w:eastAsia="SimSun"/>
          <w:b/>
          <w:bCs/>
          <w:lang w:eastAsia="en-US"/>
        </w:rPr>
        <w:t>.</w:t>
      </w:r>
      <w:r w:rsidRPr="00CB13F7">
        <w:rPr>
          <w:rFonts w:eastAsia="SimSun"/>
          <w:b/>
          <w:bCs/>
          <w:lang w:eastAsia="en-US"/>
        </w:rPr>
        <w:t xml:space="preserve"> </w:t>
      </w:r>
    </w:p>
    <w:p w14:paraId="06536952" w14:textId="77777777" w:rsidR="00307609" w:rsidRPr="00CB13F7" w:rsidRDefault="00307609" w:rsidP="00724EFC">
      <w:pPr>
        <w:spacing w:before="120" w:after="120" w:line="276" w:lineRule="auto"/>
        <w:ind w:left="360"/>
        <w:jc w:val="both"/>
        <w:rPr>
          <w:rFonts w:eastAsia="SimSun"/>
          <w:i/>
          <w:u w:val="single"/>
          <w:lang w:eastAsia="en-US"/>
        </w:rPr>
      </w:pPr>
      <w:r w:rsidRPr="00CB13F7">
        <w:rPr>
          <w:rFonts w:eastAsia="SimSun"/>
          <w:lang w:eastAsia="en-US"/>
        </w:rPr>
        <w:t>Krijimi apo adaptimi i tyre, do të shoqërohet me një ndikim financiar. Ky ndikim do të duhet të vlerësohet pas zbatimit të tyre nga ekspertë të fushave përkatëse.</w:t>
      </w:r>
    </w:p>
    <w:p w14:paraId="48FC1E12" w14:textId="77777777" w:rsidR="00307609" w:rsidRPr="00CB13F7" w:rsidRDefault="00307609" w:rsidP="006A61F4">
      <w:pPr>
        <w:numPr>
          <w:ilvl w:val="0"/>
          <w:numId w:val="22"/>
        </w:numPr>
        <w:spacing w:before="120" w:after="120" w:line="276" w:lineRule="auto"/>
        <w:ind w:left="360"/>
        <w:jc w:val="both"/>
        <w:rPr>
          <w:rFonts w:eastAsia="SimSun"/>
          <w:i/>
          <w:u w:val="single"/>
          <w:lang w:eastAsia="en-US"/>
        </w:rPr>
      </w:pPr>
      <w:r w:rsidRPr="00CB13F7">
        <w:rPr>
          <w:rFonts w:eastAsia="SimSun"/>
          <w:b/>
          <w:bCs/>
          <w:lang w:eastAsia="en-US"/>
        </w:rPr>
        <w:t>Angazhimi i bashkive në financimin e projekteve komunitare për të moshuarit</w:t>
      </w:r>
    </w:p>
    <w:p w14:paraId="0B1A639F" w14:textId="77777777" w:rsidR="00307609" w:rsidRPr="00CB13F7" w:rsidRDefault="00307609" w:rsidP="00724EFC">
      <w:pPr>
        <w:spacing w:before="120" w:after="120" w:line="276" w:lineRule="auto"/>
        <w:ind w:left="360"/>
        <w:jc w:val="both"/>
        <w:rPr>
          <w:rFonts w:eastAsia="SimSun"/>
          <w:i/>
          <w:u w:val="single"/>
          <w:lang w:eastAsia="en-US"/>
        </w:rPr>
      </w:pPr>
      <w:r w:rsidRPr="00CB13F7">
        <w:rPr>
          <w:rFonts w:eastAsia="SimSun"/>
          <w:lang w:eastAsia="en-US"/>
        </w:rPr>
        <w:t>Roli i pushtetit vendor mbetet thelbësor për garantimin e qëndrueshmërisë financiare të ndërhyrjeve në nivel komunitar.</w:t>
      </w:r>
    </w:p>
    <w:p w14:paraId="0E6C7E64" w14:textId="77777777" w:rsidR="00307609" w:rsidRPr="00CB13F7" w:rsidRDefault="00307609" w:rsidP="006A61F4">
      <w:pPr>
        <w:numPr>
          <w:ilvl w:val="0"/>
          <w:numId w:val="22"/>
        </w:numPr>
        <w:spacing w:before="120" w:after="120" w:line="276" w:lineRule="auto"/>
        <w:ind w:left="360"/>
        <w:jc w:val="both"/>
        <w:rPr>
          <w:rFonts w:eastAsia="SimSun"/>
          <w:i/>
          <w:u w:val="single"/>
          <w:lang w:eastAsia="en-US"/>
        </w:rPr>
      </w:pPr>
      <w:r w:rsidRPr="00CB13F7">
        <w:rPr>
          <w:rFonts w:eastAsia="SimSun"/>
          <w:b/>
          <w:bCs/>
          <w:lang w:eastAsia="en-US"/>
        </w:rPr>
        <w:t>Identifikimi i burimeve të reja financiare nga donatorët ndërkombëtarë</w:t>
      </w:r>
    </w:p>
    <w:p w14:paraId="73397B92" w14:textId="77777777" w:rsidR="00307609" w:rsidRPr="00CB13F7" w:rsidRDefault="00307609" w:rsidP="00724EFC">
      <w:pPr>
        <w:spacing w:before="120" w:after="120" w:line="276" w:lineRule="auto"/>
        <w:ind w:left="360"/>
        <w:jc w:val="both"/>
        <w:rPr>
          <w:rFonts w:eastAsia="SimSun"/>
          <w:lang w:eastAsia="en-US"/>
        </w:rPr>
      </w:pPr>
      <w:r w:rsidRPr="00CB13F7">
        <w:rPr>
          <w:rFonts w:eastAsia="SimSun"/>
          <w:lang w:eastAsia="en-US"/>
        </w:rPr>
        <w:t>Diversifikimi i burimeve të financimit përmes partneriteteve me donatorë ndërkombëtarë do të kontribuojë në mbulimin e kostove dhe zgjerimin e shërbimeve.</w:t>
      </w:r>
    </w:p>
    <w:p w14:paraId="7F46878C" w14:textId="77777777" w:rsidR="00307609" w:rsidRPr="00CB13F7" w:rsidRDefault="00307609" w:rsidP="006A61F4">
      <w:pPr>
        <w:numPr>
          <w:ilvl w:val="0"/>
          <w:numId w:val="22"/>
        </w:numPr>
        <w:spacing w:before="120" w:after="120" w:line="276" w:lineRule="auto"/>
        <w:ind w:left="360"/>
        <w:jc w:val="both"/>
        <w:rPr>
          <w:rFonts w:eastAsia="SimSun"/>
          <w:i/>
          <w:u w:val="single"/>
          <w:lang w:eastAsia="en-US"/>
        </w:rPr>
      </w:pPr>
      <w:r w:rsidRPr="00CB13F7">
        <w:rPr>
          <w:rFonts w:eastAsia="SimSun"/>
          <w:b/>
          <w:bCs/>
          <w:lang w:eastAsia="en-US"/>
        </w:rPr>
        <w:t>Rishikimi i Planit të Veprimit në kuadër të procesit të planifikimit buxhetor (PBA)</w:t>
      </w:r>
    </w:p>
    <w:p w14:paraId="4FCAFB45" w14:textId="2F8B32B5" w:rsidR="00307609" w:rsidRPr="00CB13F7" w:rsidRDefault="00307609" w:rsidP="00724EFC">
      <w:pPr>
        <w:spacing w:before="120" w:after="120" w:line="276" w:lineRule="auto"/>
        <w:ind w:left="360"/>
        <w:jc w:val="both"/>
        <w:rPr>
          <w:rFonts w:eastAsia="SimSun"/>
          <w:i/>
          <w:u w:val="single"/>
          <w:lang w:eastAsia="en-US"/>
        </w:rPr>
      </w:pPr>
      <w:r w:rsidRPr="00CB13F7">
        <w:rPr>
          <w:rFonts w:eastAsia="SimSun"/>
          <w:lang w:eastAsia="en-US"/>
        </w:rPr>
        <w:t xml:space="preserve">Plani i Veprimit duhet të rishikohet në fillim të procedurave të parashikimeve buxhetore në kuadër të Programit Buxhetor Afatmesëm (PBA) për çdo ministri dhe institucion të varësisë të angazhuar në zbatimin e tij. Ky rishikim synon azhurnimin e </w:t>
      </w:r>
      <w:r w:rsidR="00724EFC" w:rsidRPr="00CB13F7">
        <w:rPr>
          <w:rFonts w:eastAsia="SimSun"/>
          <w:lang w:eastAsia="en-US"/>
        </w:rPr>
        <w:t>P</w:t>
      </w:r>
      <w:r w:rsidRPr="00CB13F7">
        <w:rPr>
          <w:rFonts w:eastAsia="SimSun"/>
          <w:lang w:eastAsia="en-US"/>
        </w:rPr>
        <w:t>lanit në përputhje me nevojat aktuale dhe me programet buxhetore afatmesme për periudhën 2026</w:t>
      </w:r>
      <w:r w:rsidR="00724EFC" w:rsidRPr="00CB13F7">
        <w:rPr>
          <w:rFonts w:eastAsia="SimSun"/>
          <w:lang w:eastAsia="en-US"/>
        </w:rPr>
        <w:t>-</w:t>
      </w:r>
      <w:r w:rsidRPr="00CB13F7">
        <w:rPr>
          <w:rFonts w:eastAsia="SimSun"/>
          <w:lang w:eastAsia="en-US"/>
        </w:rPr>
        <w:t>2030.</w:t>
      </w:r>
    </w:p>
    <w:p w14:paraId="3916782F" w14:textId="77777777" w:rsidR="00307609" w:rsidRPr="00CB13F7" w:rsidRDefault="00307609" w:rsidP="006A61F4">
      <w:pPr>
        <w:numPr>
          <w:ilvl w:val="0"/>
          <w:numId w:val="22"/>
        </w:numPr>
        <w:spacing w:before="120" w:after="120" w:line="276" w:lineRule="auto"/>
        <w:ind w:left="360"/>
        <w:jc w:val="both"/>
        <w:rPr>
          <w:rFonts w:eastAsia="SimSun"/>
          <w:i/>
          <w:u w:val="single"/>
          <w:lang w:eastAsia="en-US"/>
        </w:rPr>
      </w:pPr>
      <w:r w:rsidRPr="00CB13F7">
        <w:rPr>
          <w:rFonts w:eastAsia="SimSun"/>
          <w:b/>
          <w:bCs/>
          <w:lang w:eastAsia="en-US"/>
        </w:rPr>
        <w:t>Planifikimi i masave të pambuluara financiarisht</w:t>
      </w:r>
    </w:p>
    <w:p w14:paraId="2E0D6F0E" w14:textId="77777777" w:rsidR="00307609" w:rsidRPr="00CB13F7" w:rsidRDefault="00307609" w:rsidP="00724EFC">
      <w:pPr>
        <w:spacing w:before="120" w:after="120" w:line="276" w:lineRule="auto"/>
        <w:ind w:left="360"/>
        <w:jc w:val="both"/>
        <w:rPr>
          <w:rFonts w:eastAsia="SimSun"/>
          <w:lang w:eastAsia="en-US"/>
        </w:rPr>
      </w:pPr>
      <w:r w:rsidRPr="00CB13F7">
        <w:rPr>
          <w:rFonts w:eastAsia="SimSun"/>
          <w:lang w:eastAsia="en-US"/>
        </w:rPr>
        <w:t>Për masat e planit që aktualisht nuk kanë mbulim financiar, ministritë përkatëse dhe institucionet e varësisë do të planifikojnë nevojat për financim përmes programeve buxhetore përkatëse, si pjesë e procesit të planifikimit të Programit Buxhetor Afatmesëm (PBA) dhe buxhetit vjetor. Paralelisht, do të vijojnë negociatat me donatorë të ndryshëm për bashkëfinancimin e aktiviteteve të caktuara.</w:t>
      </w:r>
    </w:p>
    <w:p w14:paraId="546A269B" w14:textId="0A2522B3" w:rsidR="00307609" w:rsidRPr="00CB13F7" w:rsidRDefault="00307609" w:rsidP="00724EFC">
      <w:pPr>
        <w:spacing w:before="120" w:after="120" w:line="276" w:lineRule="auto"/>
        <w:jc w:val="both"/>
        <w:rPr>
          <w:rFonts w:eastAsia="SimSun"/>
          <w:i/>
          <w:u w:val="single"/>
          <w:lang w:eastAsia="en-US"/>
        </w:rPr>
      </w:pPr>
      <w:r w:rsidRPr="00CB13F7">
        <w:rPr>
          <w:rFonts w:eastAsia="SimSun"/>
          <w:lang w:eastAsia="en-US"/>
        </w:rPr>
        <w:t xml:space="preserve">Në përfundim, rishikimi i vazhdueshëm i kostove dhe burimeve të financimit është thelbësor për të garantuar zbatimin efektiv dhe të qëndrueshëm të </w:t>
      </w:r>
      <w:r w:rsidR="00724EFC" w:rsidRPr="00CB13F7">
        <w:rPr>
          <w:rFonts w:eastAsia="SimSun"/>
          <w:lang w:eastAsia="en-US"/>
        </w:rPr>
        <w:t xml:space="preserve">planit </w:t>
      </w:r>
      <w:r w:rsidRPr="00CB13F7">
        <w:rPr>
          <w:rFonts w:eastAsia="SimSun"/>
          <w:lang w:eastAsia="en-US"/>
        </w:rPr>
        <w:t>në periudhën afatmesme.</w:t>
      </w:r>
    </w:p>
    <w:p w14:paraId="0757DCD5" w14:textId="77777777" w:rsidR="00307609" w:rsidRPr="00CB13F7" w:rsidRDefault="00307609" w:rsidP="00307609">
      <w:pPr>
        <w:spacing w:after="120" w:line="276" w:lineRule="auto"/>
        <w:rPr>
          <w:rFonts w:eastAsia="SimSun"/>
          <w:lang w:eastAsia="en-US"/>
        </w:rPr>
      </w:pPr>
    </w:p>
    <w:p w14:paraId="50BF86A8" w14:textId="77777777" w:rsidR="00307609" w:rsidRPr="00CB13F7" w:rsidRDefault="00307609" w:rsidP="00307609">
      <w:pPr>
        <w:spacing w:after="160" w:line="276" w:lineRule="auto"/>
        <w:rPr>
          <w:rFonts w:ascii="Calibri" w:eastAsia="SimSun" w:hAnsi="Calibri"/>
          <w:sz w:val="22"/>
          <w:szCs w:val="22"/>
          <w:lang w:eastAsia="en-US"/>
        </w:rPr>
      </w:pPr>
    </w:p>
    <w:p w14:paraId="3598E5DA" w14:textId="77777777" w:rsidR="00724EFC" w:rsidRPr="00CB13F7" w:rsidRDefault="00724EFC">
      <w:pPr>
        <w:rPr>
          <w:b/>
          <w:bCs/>
          <w:i/>
          <w:iCs/>
          <w:lang w:eastAsia="en-US"/>
        </w:rPr>
      </w:pPr>
      <w:r w:rsidRPr="00CB13F7">
        <w:rPr>
          <w:b/>
          <w:bCs/>
          <w:i/>
          <w:iCs/>
          <w:lang w:eastAsia="en-US"/>
        </w:rPr>
        <w:br w:type="page"/>
      </w:r>
    </w:p>
    <w:p w14:paraId="66BA17F2" w14:textId="1BD3092B" w:rsidR="00307609" w:rsidRPr="00CB13F7" w:rsidRDefault="00FA7794" w:rsidP="00724EFC">
      <w:pPr>
        <w:spacing w:before="120" w:after="120" w:line="276" w:lineRule="auto"/>
        <w:jc w:val="both"/>
        <w:rPr>
          <w:b/>
          <w:bCs/>
          <w:i/>
          <w:iCs/>
          <w:lang w:eastAsia="en-US"/>
        </w:rPr>
      </w:pPr>
      <w:r w:rsidRPr="00CB13F7">
        <w:rPr>
          <w:b/>
          <w:bCs/>
          <w:i/>
          <w:iCs/>
          <w:lang w:eastAsia="en-US"/>
        </w:rPr>
        <w:lastRenderedPageBreak/>
        <w:t>8. KUADRI</w:t>
      </w:r>
      <w:r w:rsidR="00307609" w:rsidRPr="00CB13F7">
        <w:rPr>
          <w:b/>
          <w:bCs/>
          <w:i/>
          <w:iCs/>
          <w:lang w:eastAsia="en-US"/>
        </w:rPr>
        <w:t xml:space="preserve"> LIGJOR DHE STRATEGJITË SEKTORIALE TË VENDIT</w:t>
      </w:r>
    </w:p>
    <w:p w14:paraId="7B43ABD3" w14:textId="23AD2585" w:rsidR="00307609" w:rsidRPr="00CB13F7" w:rsidRDefault="00FA7794" w:rsidP="00724EFC">
      <w:pPr>
        <w:spacing w:before="120" w:after="120" w:line="276" w:lineRule="auto"/>
        <w:jc w:val="both"/>
        <w:rPr>
          <w:b/>
          <w:bCs/>
          <w:i/>
          <w:iCs/>
          <w:lang w:eastAsia="en-US"/>
        </w:rPr>
      </w:pPr>
      <w:r w:rsidRPr="00CB13F7">
        <w:rPr>
          <w:b/>
          <w:bCs/>
          <w:i/>
          <w:iCs/>
          <w:lang w:eastAsia="en-US"/>
        </w:rPr>
        <w:t>8.1. Kuadri</w:t>
      </w:r>
      <w:r w:rsidR="00307609" w:rsidRPr="00CB13F7">
        <w:rPr>
          <w:b/>
          <w:bCs/>
          <w:i/>
          <w:iCs/>
          <w:lang w:eastAsia="en-US"/>
        </w:rPr>
        <w:t xml:space="preserve"> Ligjor</w:t>
      </w:r>
    </w:p>
    <w:p w14:paraId="6E23B2FD" w14:textId="77777777" w:rsidR="00307609" w:rsidRPr="00CB13F7" w:rsidRDefault="00FA7794" w:rsidP="00724EFC">
      <w:pPr>
        <w:spacing w:before="120" w:after="120" w:line="276" w:lineRule="auto"/>
        <w:jc w:val="both"/>
        <w:rPr>
          <w:b/>
          <w:bCs/>
          <w:i/>
          <w:iCs/>
          <w:lang w:eastAsia="en-US"/>
        </w:rPr>
      </w:pPr>
      <w:r w:rsidRPr="00CB13F7">
        <w:rPr>
          <w:b/>
          <w:bCs/>
          <w:i/>
          <w:iCs/>
          <w:lang w:eastAsia="en-US"/>
        </w:rPr>
        <w:t>I. Aksesueshmeria</w:t>
      </w:r>
    </w:p>
    <w:p w14:paraId="6A967EFB" w14:textId="77777777" w:rsidR="00307609" w:rsidRPr="00CB13F7" w:rsidRDefault="00307609" w:rsidP="00724EFC">
      <w:pPr>
        <w:spacing w:before="120" w:after="120" w:line="276" w:lineRule="auto"/>
        <w:jc w:val="both"/>
        <w:rPr>
          <w:lang w:eastAsia="en-US"/>
        </w:rPr>
      </w:pPr>
      <w:r w:rsidRPr="00CB13F7">
        <w:rPr>
          <w:lang w:eastAsia="en-US"/>
        </w:rPr>
        <w:t xml:space="preserve">Ligji </w:t>
      </w:r>
      <w:r w:rsidR="00FA7794" w:rsidRPr="00CB13F7">
        <w:rPr>
          <w:lang w:eastAsia="en-US"/>
        </w:rPr>
        <w:t>nr. 108/2012</w:t>
      </w:r>
      <w:r w:rsidRPr="00CB13F7">
        <w:rPr>
          <w:lang w:eastAsia="en-US"/>
        </w:rPr>
        <w:t xml:space="preserve"> datë 15.11.2012 “Për ratifikimin e Konventës së OKB-së “Për të drejtat e personave me aftësi të kufizuara”.</w:t>
      </w:r>
    </w:p>
    <w:p w14:paraId="2A9252C1" w14:textId="77777777" w:rsidR="00307609" w:rsidRPr="00CB13F7" w:rsidRDefault="00307609" w:rsidP="00724EFC">
      <w:pPr>
        <w:spacing w:before="120" w:after="120" w:line="276" w:lineRule="auto"/>
        <w:jc w:val="both"/>
        <w:rPr>
          <w:lang w:eastAsia="en-US"/>
        </w:rPr>
      </w:pPr>
      <w:bookmarkStart w:id="10" w:name="_Hlk222927243"/>
      <w:r w:rsidRPr="00CB13F7">
        <w:rPr>
          <w:lang w:eastAsia="en-US"/>
        </w:rPr>
        <w:t>Ligji nr. 93/2014, datë 24.7.2014 “Për përfshirjen dhe aksesueshmërinë e personave me aftësi të kufizuara”.</w:t>
      </w:r>
    </w:p>
    <w:p w14:paraId="4A7D7B59" w14:textId="77777777" w:rsidR="00307609" w:rsidRPr="00CB13F7" w:rsidRDefault="009A09D9" w:rsidP="00724EFC">
      <w:pPr>
        <w:spacing w:before="120" w:after="120" w:line="276" w:lineRule="auto"/>
        <w:jc w:val="both"/>
        <w:rPr>
          <w:lang w:eastAsia="en-US"/>
        </w:rPr>
      </w:pPr>
      <w:hyperlink r:id="rId18" w:tgtFrame="_blank" w:history="1">
        <w:r w:rsidR="00307609" w:rsidRPr="00CB13F7">
          <w:rPr>
            <w:lang w:eastAsia="en-US"/>
          </w:rPr>
          <w:t xml:space="preserve">Ligji Nr. 107 datë 31.07.2014 “Për Planifikimin dhe Zhvillimin e Territorit” i </w:t>
        </w:r>
        <w:r w:rsidR="00FA7794" w:rsidRPr="00CB13F7">
          <w:rPr>
            <w:lang w:eastAsia="en-US"/>
          </w:rPr>
          <w:t>azhurnuar</w:t>
        </w:r>
        <w:r w:rsidR="00307609" w:rsidRPr="00CB13F7">
          <w:rPr>
            <w:lang w:eastAsia="en-US"/>
          </w:rPr>
          <w:t xml:space="preserve"> me të gjitha ndryshimet.</w:t>
        </w:r>
      </w:hyperlink>
    </w:p>
    <w:p w14:paraId="4AF1D8E0" w14:textId="77777777" w:rsidR="00307609" w:rsidRPr="00CB13F7" w:rsidRDefault="00307609" w:rsidP="00724EFC">
      <w:pPr>
        <w:spacing w:before="120" w:after="120" w:line="276" w:lineRule="auto"/>
        <w:jc w:val="both"/>
        <w:rPr>
          <w:lang w:eastAsia="en-US"/>
        </w:rPr>
      </w:pPr>
      <w:r w:rsidRPr="00CB13F7">
        <w:rPr>
          <w:lang w:eastAsia="en-US"/>
        </w:rPr>
        <w:t>Ligji nr. 8308, datë 18.3.1998 “Për Transportet Rrugore”, i ndryshuar.</w:t>
      </w:r>
    </w:p>
    <w:p w14:paraId="3B19F785" w14:textId="77777777" w:rsidR="00307609" w:rsidRPr="00CB13F7" w:rsidRDefault="00307609" w:rsidP="00724EFC">
      <w:pPr>
        <w:spacing w:before="120" w:after="120" w:line="276" w:lineRule="auto"/>
        <w:jc w:val="both"/>
        <w:rPr>
          <w:lang w:eastAsia="en-US"/>
        </w:rPr>
      </w:pPr>
      <w:r w:rsidRPr="00CB13F7">
        <w:rPr>
          <w:lang w:eastAsia="en-US"/>
        </w:rPr>
        <w:t>Ligji nr. 8378, datë 22.7.1998 “Kodi Rrugor i Republikës së Shqipërisë”.</w:t>
      </w:r>
    </w:p>
    <w:p w14:paraId="6E39839A" w14:textId="77777777" w:rsidR="00307609" w:rsidRPr="00CB13F7" w:rsidRDefault="00307609" w:rsidP="00724EFC">
      <w:pPr>
        <w:spacing w:before="120" w:after="120" w:line="276" w:lineRule="auto"/>
        <w:jc w:val="both"/>
        <w:rPr>
          <w:lang w:eastAsia="en-US"/>
        </w:rPr>
      </w:pPr>
      <w:r w:rsidRPr="00CB13F7">
        <w:rPr>
          <w:lang w:eastAsia="en-US"/>
        </w:rPr>
        <w:t>Ligji nr. 54 / 2024 Për Komunikimet Elektronike në Republikën e Shqipërisë.</w:t>
      </w:r>
    </w:p>
    <w:p w14:paraId="2F7AA66E" w14:textId="77777777" w:rsidR="00307609" w:rsidRPr="00CB13F7" w:rsidRDefault="2B4FC900" w:rsidP="00724EFC">
      <w:pPr>
        <w:spacing w:before="120" w:after="120" w:line="276" w:lineRule="auto"/>
        <w:jc w:val="both"/>
        <w:rPr>
          <w:shd w:val="clear" w:color="auto" w:fill="FFFFFF"/>
          <w:lang w:eastAsia="en-US"/>
        </w:rPr>
      </w:pPr>
      <w:r w:rsidRPr="00CB13F7">
        <w:rPr>
          <w:shd w:val="clear" w:color="auto" w:fill="FFFFFF"/>
          <w:lang w:eastAsia="en-US"/>
        </w:rPr>
        <w:t xml:space="preserve">Ligji </w:t>
      </w:r>
      <w:r w:rsidR="10561E7E" w:rsidRPr="00CB13F7">
        <w:rPr>
          <w:shd w:val="clear" w:color="auto" w:fill="FFFFFF"/>
          <w:lang w:eastAsia="en-US"/>
        </w:rPr>
        <w:t>Nr. 8530</w:t>
      </w:r>
      <w:r w:rsidRPr="00CB13F7">
        <w:rPr>
          <w:shd w:val="clear" w:color="auto" w:fill="FFFFFF"/>
          <w:lang w:eastAsia="en-US"/>
        </w:rPr>
        <w:t>, datë 23.9.1999. Për Shërbimin Postar në Republikën e Shqipërisë, i ndryshuar me Ligjin Nr. 9223, datë 29.04.2004.</w:t>
      </w:r>
    </w:p>
    <w:p w14:paraId="0F4F8AA1" w14:textId="77777777" w:rsidR="00307609" w:rsidRPr="00CB13F7" w:rsidRDefault="2B4FC900" w:rsidP="00724EFC">
      <w:pPr>
        <w:spacing w:before="120" w:after="120" w:line="276" w:lineRule="auto"/>
        <w:jc w:val="both"/>
        <w:rPr>
          <w:lang w:eastAsia="en-US"/>
        </w:rPr>
      </w:pPr>
      <w:r w:rsidRPr="00CB13F7">
        <w:rPr>
          <w:shd w:val="clear" w:color="auto" w:fill="FFFFFF"/>
          <w:lang w:eastAsia="en-US"/>
        </w:rPr>
        <w:t>Ligji Nr. 27, datë 17.05.2018 “Për Trashëgiminë Kulturore dhe Muzetë”.</w:t>
      </w:r>
    </w:p>
    <w:p w14:paraId="7985EC98" w14:textId="77777777" w:rsidR="00307609" w:rsidRPr="00CB13F7" w:rsidRDefault="00307609" w:rsidP="00724EFC">
      <w:pPr>
        <w:spacing w:before="120" w:after="120" w:line="276" w:lineRule="auto"/>
        <w:jc w:val="both"/>
        <w:rPr>
          <w:lang w:eastAsia="en-US"/>
        </w:rPr>
      </w:pPr>
      <w:r w:rsidRPr="00CB13F7">
        <w:rPr>
          <w:lang w:eastAsia="en-US"/>
        </w:rPr>
        <w:t xml:space="preserve">Kodi i Transmetimit për </w:t>
      </w:r>
      <w:r w:rsidR="00234FBC" w:rsidRPr="00CB13F7">
        <w:rPr>
          <w:lang w:eastAsia="en-US"/>
        </w:rPr>
        <w:t>mediet</w:t>
      </w:r>
      <w:r w:rsidRPr="00CB13F7">
        <w:rPr>
          <w:lang w:eastAsia="en-US"/>
        </w:rPr>
        <w:t xml:space="preserve"> audiovizive, nr. 60 datë 10.07.2023</w:t>
      </w:r>
    </w:p>
    <w:p w14:paraId="21D28692" w14:textId="77777777" w:rsidR="00307609" w:rsidRPr="00CB13F7" w:rsidRDefault="00307609" w:rsidP="00724EFC">
      <w:pPr>
        <w:spacing w:before="120" w:after="120" w:line="276" w:lineRule="auto"/>
        <w:jc w:val="both"/>
        <w:rPr>
          <w:lang w:eastAsia="en-US"/>
        </w:rPr>
      </w:pPr>
      <w:r w:rsidRPr="00CB13F7">
        <w:rPr>
          <w:lang w:eastAsia="en-US"/>
        </w:rPr>
        <w:t xml:space="preserve">Ligji nr. 97/2013 “Për </w:t>
      </w:r>
      <w:r w:rsidR="00234FBC" w:rsidRPr="00CB13F7">
        <w:rPr>
          <w:lang w:eastAsia="en-US"/>
        </w:rPr>
        <w:t>mediet</w:t>
      </w:r>
      <w:r w:rsidRPr="00CB13F7">
        <w:rPr>
          <w:lang w:eastAsia="en-US"/>
        </w:rPr>
        <w:t xml:space="preserve"> audiovizive në Republikën e Shqipërisë”, i ndryshuar.</w:t>
      </w:r>
    </w:p>
    <w:p w14:paraId="2481528D" w14:textId="77777777" w:rsidR="00307609" w:rsidRPr="00CB13F7" w:rsidRDefault="009A09D9" w:rsidP="00724EFC">
      <w:pPr>
        <w:tabs>
          <w:tab w:val="right" w:pos="9360"/>
        </w:tabs>
        <w:spacing w:before="120" w:after="120" w:line="276" w:lineRule="auto"/>
        <w:jc w:val="both"/>
        <w:rPr>
          <w:spacing w:val="5"/>
          <w:lang w:eastAsia="en-US"/>
        </w:rPr>
      </w:pPr>
      <w:hyperlink r:id="rId19" w:tgtFrame="_blank" w:history="1">
        <w:r w:rsidR="00307609" w:rsidRPr="00CB13F7">
          <w:rPr>
            <w:spacing w:val="5"/>
            <w:lang w:eastAsia="en-US"/>
          </w:rPr>
          <w:t>VKM Nr. 408 datë 13.5.2015 “Për miratimin e Rregullores së Zhvillimit të Territorit” e ndryshuar</w:t>
        </w:r>
      </w:hyperlink>
      <w:r w:rsidR="00307609" w:rsidRPr="00CB13F7">
        <w:rPr>
          <w:spacing w:val="5"/>
          <w:lang w:eastAsia="en-US"/>
        </w:rPr>
        <w:t>.</w:t>
      </w:r>
    </w:p>
    <w:p w14:paraId="1048B7F4" w14:textId="77777777" w:rsidR="00307609" w:rsidRPr="00CB13F7" w:rsidRDefault="00307609" w:rsidP="00724EFC">
      <w:pPr>
        <w:spacing w:before="120" w:after="120" w:line="276" w:lineRule="auto"/>
        <w:jc w:val="both"/>
        <w:rPr>
          <w:lang w:eastAsia="en-US"/>
        </w:rPr>
      </w:pPr>
      <w:r w:rsidRPr="00CB13F7">
        <w:rPr>
          <w:lang w:eastAsia="en-US"/>
        </w:rPr>
        <w:t>VKM Nr. 153, datë 7.4.2000, “Për miratimin e Rregullores së zbatimit të Kodit Rrugor të Republikës së Shqipërisë”, i ndryshuar.</w:t>
      </w:r>
    </w:p>
    <w:p w14:paraId="50C5BF1E" w14:textId="77777777" w:rsidR="00307609" w:rsidRPr="00CB13F7" w:rsidRDefault="00307609" w:rsidP="00724EFC">
      <w:pPr>
        <w:spacing w:before="120" w:after="120" w:line="276" w:lineRule="auto"/>
        <w:jc w:val="both"/>
        <w:rPr>
          <w:lang w:eastAsia="en-US"/>
        </w:rPr>
      </w:pPr>
      <w:r w:rsidRPr="00CB13F7">
        <w:rPr>
          <w:lang w:eastAsia="en-US"/>
        </w:rPr>
        <w:t>VKM Nr. 85, datë 08.02.2017 “Për përcaktimin e rregullave për prodhimin shpërndarjen dhe pajisjen e udhëtarëve me bileta transporti rrugor”.</w:t>
      </w:r>
    </w:p>
    <w:p w14:paraId="4D41B392" w14:textId="77777777" w:rsidR="00307609" w:rsidRPr="00CB13F7" w:rsidRDefault="00307609" w:rsidP="00724EFC">
      <w:pPr>
        <w:spacing w:before="120" w:after="120" w:line="276" w:lineRule="auto"/>
        <w:jc w:val="both"/>
        <w:rPr>
          <w:rFonts w:eastAsia="Times New Roman"/>
          <w:lang w:eastAsia="en-US"/>
        </w:rPr>
      </w:pPr>
      <w:r w:rsidRPr="00CB13F7">
        <w:rPr>
          <w:rFonts w:eastAsia="Times New Roman"/>
          <w:lang w:eastAsia="en-US"/>
        </w:rPr>
        <w:t xml:space="preserve">AMA Vendimi </w:t>
      </w:r>
      <w:r w:rsidR="00FA7794" w:rsidRPr="00CB13F7">
        <w:rPr>
          <w:rFonts w:eastAsia="Times New Roman"/>
          <w:lang w:eastAsia="en-US"/>
        </w:rPr>
        <w:t>nr. 70</w:t>
      </w:r>
      <w:r w:rsidRPr="00CB13F7">
        <w:rPr>
          <w:rFonts w:eastAsia="Times New Roman"/>
          <w:lang w:eastAsia="en-US"/>
        </w:rPr>
        <w:t>, datë 17.04.2019</w:t>
      </w:r>
      <w:r w:rsidRPr="00CB13F7">
        <w:rPr>
          <w:rFonts w:eastAsia="Times New Roman"/>
          <w:b/>
          <w:bCs/>
          <w:lang w:eastAsia="en-US"/>
        </w:rPr>
        <w:t xml:space="preserve"> </w:t>
      </w:r>
      <w:r w:rsidRPr="00CB13F7">
        <w:rPr>
          <w:rFonts w:eastAsia="Times New Roman"/>
          <w:lang w:eastAsia="en-US"/>
        </w:rPr>
        <w:t>Mbi respektimin e detyrimeve ligjore dhe nënligjore dhe marrjen e masave për transmetimet audiovizive për personat me nevoja të veçanta shoqërore.</w:t>
      </w:r>
    </w:p>
    <w:bookmarkEnd w:id="10"/>
    <w:p w14:paraId="6C92C16D" w14:textId="77777777" w:rsidR="00307609" w:rsidRPr="00CB13F7" w:rsidRDefault="2B4FC900" w:rsidP="00724EFC">
      <w:pPr>
        <w:spacing w:before="120" w:after="120" w:line="276" w:lineRule="auto"/>
        <w:jc w:val="both"/>
        <w:rPr>
          <w:lang w:eastAsia="en-US"/>
        </w:rPr>
      </w:pPr>
      <w:r w:rsidRPr="00CB13F7">
        <w:rPr>
          <w:color w:val="222222"/>
          <w:shd w:val="clear" w:color="auto" w:fill="FFFFFF"/>
          <w:lang w:eastAsia="en-US"/>
        </w:rPr>
        <w:t xml:space="preserve">VKM </w:t>
      </w:r>
      <w:r w:rsidR="10561E7E" w:rsidRPr="00CB13F7">
        <w:rPr>
          <w:color w:val="222222"/>
          <w:shd w:val="clear" w:color="auto" w:fill="FFFFFF"/>
          <w:lang w:eastAsia="en-US"/>
        </w:rPr>
        <w:t>Nr. 837</w:t>
      </w:r>
      <w:r w:rsidRPr="00CB13F7">
        <w:rPr>
          <w:color w:val="222222"/>
          <w:shd w:val="clear" w:color="auto" w:fill="FFFFFF"/>
          <w:lang w:eastAsia="en-US"/>
        </w:rPr>
        <w:t xml:space="preserve"> Datë 3.12.2014 “Për njohjen e gjuhës së shenjave në Republikën e Shqipërisë”</w:t>
      </w:r>
      <w:r w:rsidRPr="00CB13F7">
        <w:rPr>
          <w:lang w:eastAsia="en-US"/>
        </w:rPr>
        <w:t>.</w:t>
      </w:r>
    </w:p>
    <w:p w14:paraId="5513672F" w14:textId="77777777" w:rsidR="00307609" w:rsidRPr="00CB13F7" w:rsidRDefault="00307609" w:rsidP="00724EFC">
      <w:pPr>
        <w:spacing w:before="120" w:after="120" w:line="276" w:lineRule="auto"/>
        <w:jc w:val="both"/>
        <w:rPr>
          <w:lang w:eastAsia="en-US"/>
        </w:rPr>
      </w:pPr>
      <w:r w:rsidRPr="00CB13F7">
        <w:rPr>
          <w:lang w:eastAsia="en-US"/>
        </w:rPr>
        <w:t>VKM Nr. 1074, datë 23.12.2015, “Për masat për heqjen e pengesave mjedisore dhe të infrastrukturës në ofrimin e shërbimeve publike”.</w:t>
      </w:r>
    </w:p>
    <w:p w14:paraId="646A6830" w14:textId="77777777" w:rsidR="00307609" w:rsidRPr="00CB13F7" w:rsidRDefault="00307609" w:rsidP="00724EFC">
      <w:pPr>
        <w:spacing w:before="120" w:after="120" w:line="276" w:lineRule="auto"/>
        <w:jc w:val="both"/>
        <w:rPr>
          <w:lang w:eastAsia="en-US"/>
        </w:rPr>
      </w:pPr>
      <w:r w:rsidRPr="00CB13F7">
        <w:rPr>
          <w:lang w:eastAsia="en-US"/>
        </w:rPr>
        <w:t>VKM Nr. 411, Datë: 19.06.2019, Për disa ndryshime në Vendimin nr. 708, datë 26.8.2015, i Këshillit të Ministrave, “Për llojet, periodicitetin dhe mënyrën e raportimit të të dhënave statistikore për aftësinë e kufizuar nga strukturat shtetërore përgjegjëse, në nivelin qendror dhe lokal”.</w:t>
      </w:r>
    </w:p>
    <w:p w14:paraId="612BEBC7" w14:textId="77777777" w:rsidR="00307609" w:rsidRPr="00CB13F7" w:rsidRDefault="00307609" w:rsidP="00724EFC">
      <w:pPr>
        <w:spacing w:before="120" w:after="120" w:line="276" w:lineRule="auto"/>
        <w:jc w:val="both"/>
        <w:rPr>
          <w:lang w:eastAsia="en-US"/>
        </w:rPr>
      </w:pPr>
      <w:r w:rsidRPr="00CB13F7">
        <w:rPr>
          <w:lang w:eastAsia="en-US"/>
        </w:rPr>
        <w:lastRenderedPageBreak/>
        <w:t>VKM Nr. 196, datë 4.4.2018 për një ndryshim në vendimin nr. 48, datë 21.1.2015, të Këshillit të Ministrave, “Për miratimin e rregullores për funksionimin e këshillit kombëtar për aftësinë e kufizuar”.</w:t>
      </w:r>
    </w:p>
    <w:p w14:paraId="6D01122C" w14:textId="77777777" w:rsidR="00307609" w:rsidRPr="00CB13F7" w:rsidRDefault="00307609" w:rsidP="00724EFC">
      <w:pPr>
        <w:spacing w:before="120" w:after="120" w:line="276" w:lineRule="auto"/>
        <w:jc w:val="both"/>
        <w:rPr>
          <w:lang w:eastAsia="en-US"/>
        </w:rPr>
      </w:pPr>
      <w:r w:rsidRPr="00CB13F7">
        <w:rPr>
          <w:lang w:eastAsia="en-US"/>
        </w:rPr>
        <w:t>VKM nr. 874, datë 24.12.2019 “Për mënyrën e ofrimit të ndihmës personale dhe kriteret për zgjedhjen e ndihmësit personal”.</w:t>
      </w:r>
    </w:p>
    <w:p w14:paraId="5D231CDE" w14:textId="3C31EE3D" w:rsidR="00307609" w:rsidRPr="00CB13F7" w:rsidRDefault="00307609" w:rsidP="00724EFC">
      <w:pPr>
        <w:spacing w:before="120" w:after="120" w:line="276" w:lineRule="auto"/>
        <w:jc w:val="both"/>
        <w:rPr>
          <w:lang w:eastAsia="en-US"/>
        </w:rPr>
      </w:pPr>
      <w:r w:rsidRPr="00CB13F7">
        <w:rPr>
          <w:lang w:eastAsia="en-US"/>
        </w:rPr>
        <w:t>VKM nr. 107, datë 17.2.2021 “Për miratimin e Strategjisë Kombëtare për Kulturën 2021</w:t>
      </w:r>
      <w:r w:rsidR="00582B12" w:rsidRPr="00CB13F7">
        <w:rPr>
          <w:lang w:eastAsia="en-US"/>
        </w:rPr>
        <w:t>-</w:t>
      </w:r>
      <w:r w:rsidRPr="00CB13F7">
        <w:rPr>
          <w:lang w:eastAsia="en-US"/>
        </w:rPr>
        <w:t>2025 dhe Planit të Veprimit për zbatimin e saj”.</w:t>
      </w:r>
    </w:p>
    <w:p w14:paraId="2717464B" w14:textId="628D6EC1" w:rsidR="00307609" w:rsidRPr="00CB13F7" w:rsidRDefault="00307609" w:rsidP="00724EFC">
      <w:pPr>
        <w:spacing w:before="120" w:after="120" w:line="276" w:lineRule="auto"/>
        <w:jc w:val="both"/>
        <w:rPr>
          <w:lang w:eastAsia="en-US"/>
        </w:rPr>
      </w:pPr>
      <w:r w:rsidRPr="00CB13F7">
        <w:rPr>
          <w:lang w:eastAsia="en-US"/>
        </w:rPr>
        <w:t>VKM nr. 715, datë 24.11.2021 “Për miratimin e Strategjisë Kombëtare të Sportit 2021</w:t>
      </w:r>
      <w:r w:rsidR="00582B12" w:rsidRPr="00CB13F7">
        <w:rPr>
          <w:lang w:eastAsia="en-US"/>
        </w:rPr>
        <w:t>-</w:t>
      </w:r>
      <w:r w:rsidRPr="00CB13F7">
        <w:rPr>
          <w:lang w:eastAsia="en-US"/>
        </w:rPr>
        <w:t>2025 dhe Planit të Veprimit për zbatimin e saj”.</w:t>
      </w:r>
    </w:p>
    <w:p w14:paraId="42F07653" w14:textId="77777777" w:rsidR="00307609" w:rsidRPr="00CB13F7" w:rsidRDefault="009A09D9" w:rsidP="00724EFC">
      <w:pPr>
        <w:spacing w:before="120" w:after="120" w:line="276" w:lineRule="auto"/>
        <w:jc w:val="both"/>
        <w:rPr>
          <w:spacing w:val="5"/>
          <w:lang w:eastAsia="en-US"/>
        </w:rPr>
      </w:pPr>
      <w:hyperlink r:id="rId20" w:tgtFrame="_blank" w:history="1">
        <w:r w:rsidR="00FA7794" w:rsidRPr="00CB13F7">
          <w:rPr>
            <w:spacing w:val="5"/>
            <w:lang w:eastAsia="en-US"/>
          </w:rPr>
          <w:t xml:space="preserve">Rregullore nr. 49, datë 11.03.2021, për mbrojtjen e konsumatorëve dhe pajtimtarëve të shërbimeve </w:t>
        </w:r>
        <w:bookmarkStart w:id="11" w:name="_Hlk223019286"/>
        <w:r w:rsidR="00FA7794" w:rsidRPr="00CB13F7">
          <w:rPr>
            <w:spacing w:val="5"/>
            <w:lang w:eastAsia="en-US"/>
          </w:rPr>
          <w:t>të</w:t>
        </w:r>
        <w:bookmarkEnd w:id="11"/>
        <w:r w:rsidR="00FA7794" w:rsidRPr="00CB13F7">
          <w:rPr>
            <w:spacing w:val="5"/>
            <w:lang w:eastAsia="en-US"/>
          </w:rPr>
          <w:t xml:space="preserve"> komunikimeve elektronike publike</w:t>
        </w:r>
      </w:hyperlink>
      <w:r w:rsidR="00FA7794" w:rsidRPr="00CB13F7">
        <w:rPr>
          <w:spacing w:val="5"/>
          <w:lang w:eastAsia="en-US"/>
        </w:rPr>
        <w:t>.</w:t>
      </w:r>
    </w:p>
    <w:p w14:paraId="1DF82825" w14:textId="77777777" w:rsidR="00307609" w:rsidRPr="00CB13F7" w:rsidRDefault="00307609" w:rsidP="00724EFC">
      <w:pPr>
        <w:spacing w:before="120" w:after="120" w:line="276" w:lineRule="auto"/>
        <w:jc w:val="both"/>
        <w:rPr>
          <w:lang w:eastAsia="en-US"/>
        </w:rPr>
      </w:pPr>
      <w:r w:rsidRPr="00CB13F7">
        <w:rPr>
          <w:lang w:eastAsia="en-US"/>
        </w:rPr>
        <w:t xml:space="preserve">Rregullore </w:t>
      </w:r>
      <w:r w:rsidR="00FA7794" w:rsidRPr="00CB13F7">
        <w:rPr>
          <w:lang w:eastAsia="en-US"/>
        </w:rPr>
        <w:t>nr. 7</w:t>
      </w:r>
      <w:r w:rsidRPr="00CB13F7">
        <w:rPr>
          <w:lang w:eastAsia="en-US"/>
        </w:rPr>
        <w:t>, datë 08.07. 2008 “Për pajisjen me leje drejtimi të posaçëm të personave me aftësi të kufizuar dhe përcaktimi i ndryshimeve të karakteristikave konstruktive ose funksionale të mjeteve rrugore me motor të tyre”.</w:t>
      </w:r>
    </w:p>
    <w:p w14:paraId="5428CCB0" w14:textId="77777777" w:rsidR="00307609" w:rsidRPr="00CB13F7" w:rsidRDefault="00307609" w:rsidP="00724EFC">
      <w:pPr>
        <w:spacing w:before="120" w:after="120" w:line="276" w:lineRule="auto"/>
        <w:jc w:val="both"/>
        <w:rPr>
          <w:lang w:eastAsia="en-US"/>
        </w:rPr>
      </w:pPr>
      <w:r w:rsidRPr="00CB13F7">
        <w:rPr>
          <w:lang w:eastAsia="en-US"/>
        </w:rPr>
        <w:t xml:space="preserve">Udhëzimi nr. 5627, datë 18.11.2016 “Për përcaktimin e kritereve, rregullave dhe dokumentacionit për lëshimin e licencave dhe </w:t>
      </w:r>
      <w:r w:rsidR="00FA7794" w:rsidRPr="00CB13F7">
        <w:rPr>
          <w:lang w:eastAsia="en-US"/>
        </w:rPr>
        <w:t>certifikatave</w:t>
      </w:r>
      <w:r w:rsidRPr="00CB13F7">
        <w:rPr>
          <w:lang w:eastAsia="en-US"/>
        </w:rPr>
        <w:t xml:space="preserve"> për ushtrimin e veprimtarisë në transportin rrugor të udhëtarëve brenda vendit”, i ndryshuar. </w:t>
      </w:r>
    </w:p>
    <w:p w14:paraId="3C414D16" w14:textId="77777777" w:rsidR="00307609" w:rsidRPr="00CB13F7" w:rsidRDefault="00307609" w:rsidP="00724EFC">
      <w:pPr>
        <w:spacing w:before="120" w:after="120" w:line="276" w:lineRule="auto"/>
        <w:jc w:val="both"/>
        <w:rPr>
          <w:lang w:eastAsia="en-US"/>
        </w:rPr>
      </w:pPr>
      <w:r w:rsidRPr="00CB13F7">
        <w:rPr>
          <w:lang w:eastAsia="en-US"/>
        </w:rPr>
        <w:t xml:space="preserve">Udhëzimi nr. 3743, datë 10.7.2017 “Mbi modelet dhe standardet e biletave të Transportit Rrugor të Udhëtarëve” (ndryshuar me udhëzimin </w:t>
      </w:r>
      <w:r w:rsidR="00FA7794" w:rsidRPr="00CB13F7">
        <w:rPr>
          <w:lang w:eastAsia="en-US"/>
        </w:rPr>
        <w:t>nr. 436</w:t>
      </w:r>
      <w:r w:rsidRPr="00CB13F7">
        <w:rPr>
          <w:lang w:eastAsia="en-US"/>
        </w:rPr>
        <w:t>, datë 9.5.2018), i ndryshuar.</w:t>
      </w:r>
    </w:p>
    <w:p w14:paraId="303713F8" w14:textId="77777777" w:rsidR="00307609" w:rsidRPr="00CB13F7" w:rsidRDefault="00307609" w:rsidP="00724EFC">
      <w:pPr>
        <w:spacing w:before="120" w:after="120" w:line="276" w:lineRule="auto"/>
        <w:jc w:val="both"/>
        <w:rPr>
          <w:lang w:eastAsia="en-US"/>
        </w:rPr>
      </w:pPr>
      <w:r w:rsidRPr="00CB13F7">
        <w:rPr>
          <w:lang w:eastAsia="en-US"/>
        </w:rPr>
        <w:t>Udhëzim nr. 1649, datë 16.08.1999 “Mbi plotësimin e disa kushteve të veçanta në transportin rrugor të udhëtarëve”, i ndryshuar.</w:t>
      </w:r>
    </w:p>
    <w:p w14:paraId="5EACD05C" w14:textId="152A58C4" w:rsidR="00307609" w:rsidRPr="00CB13F7" w:rsidRDefault="00307609" w:rsidP="00724EFC">
      <w:pPr>
        <w:spacing w:before="120" w:after="120" w:line="276" w:lineRule="auto"/>
        <w:jc w:val="both"/>
        <w:rPr>
          <w:color w:val="1E1E1E"/>
          <w:lang w:eastAsia="en-US"/>
        </w:rPr>
      </w:pPr>
      <w:r w:rsidRPr="00CB13F7">
        <w:rPr>
          <w:lang w:eastAsia="en-US"/>
        </w:rPr>
        <w:t>Udhëzim nr. 446, datë 10.05.2018 “Për kategorizimin, kushtet që duhet të plotësojë terminali i autobusëve, autorizimi, mënyra e mbajtjes së dokumentacionit, tarifat dhe detyrimet e tjera të terminalit të autobusëve”.</w:t>
      </w:r>
      <w:r w:rsidR="001771D3" w:rsidRPr="00CB13F7">
        <w:rPr>
          <w:lang w:eastAsia="en-US"/>
        </w:rPr>
        <w:t xml:space="preserve"> </w:t>
      </w:r>
    </w:p>
    <w:p w14:paraId="26C23117" w14:textId="77777777" w:rsidR="00307609" w:rsidRPr="00CB13F7" w:rsidRDefault="00FA7794" w:rsidP="00724EFC">
      <w:pPr>
        <w:spacing w:before="120" w:after="120" w:line="276" w:lineRule="auto"/>
        <w:jc w:val="both"/>
        <w:rPr>
          <w:b/>
          <w:bCs/>
          <w:i/>
          <w:iCs/>
          <w:color w:val="1E1E1E"/>
          <w:lang w:eastAsia="en-US"/>
        </w:rPr>
      </w:pPr>
      <w:r w:rsidRPr="00CB13F7">
        <w:rPr>
          <w:b/>
          <w:bCs/>
          <w:i/>
          <w:iCs/>
          <w:color w:val="1E1E1E"/>
          <w:lang w:eastAsia="en-US"/>
        </w:rPr>
        <w:t>II. Të</w:t>
      </w:r>
      <w:r w:rsidR="00307609" w:rsidRPr="00CB13F7">
        <w:rPr>
          <w:b/>
          <w:bCs/>
          <w:i/>
          <w:iCs/>
          <w:color w:val="1E1E1E"/>
          <w:lang w:eastAsia="en-US"/>
        </w:rPr>
        <w:t xml:space="preserve"> Drejtat dhe Barazia</w:t>
      </w:r>
    </w:p>
    <w:p w14:paraId="02E206C4" w14:textId="77777777" w:rsidR="00307609" w:rsidRPr="00CB13F7" w:rsidRDefault="00307609" w:rsidP="00724EFC">
      <w:pPr>
        <w:spacing w:before="120" w:after="120" w:line="276" w:lineRule="auto"/>
        <w:jc w:val="both"/>
        <w:rPr>
          <w:color w:val="1E1E1E"/>
          <w:lang w:eastAsia="en-US"/>
        </w:rPr>
      </w:pPr>
      <w:r w:rsidRPr="00CB13F7">
        <w:rPr>
          <w:color w:val="1E1E1E"/>
          <w:lang w:eastAsia="en-US"/>
        </w:rPr>
        <w:t xml:space="preserve">Ligji </w:t>
      </w:r>
      <w:r w:rsidR="00FA7794" w:rsidRPr="00CB13F7">
        <w:rPr>
          <w:color w:val="1E1E1E"/>
          <w:lang w:eastAsia="en-US"/>
        </w:rPr>
        <w:t>nr. 108/2012</w:t>
      </w:r>
      <w:r w:rsidRPr="00CB13F7">
        <w:rPr>
          <w:color w:val="1E1E1E"/>
          <w:lang w:eastAsia="en-US"/>
        </w:rPr>
        <w:t xml:space="preserve"> datë 15.11.2012 “Për ratifikimin e Konventës së OKB-së “Për të drejtat e personave me aftësi të kufizuara”</w:t>
      </w:r>
    </w:p>
    <w:p w14:paraId="342A44A7" w14:textId="77777777" w:rsidR="00307609" w:rsidRPr="00CB13F7" w:rsidRDefault="00307609" w:rsidP="00724EFC">
      <w:pPr>
        <w:spacing w:before="120" w:after="120" w:line="276" w:lineRule="auto"/>
        <w:jc w:val="both"/>
        <w:rPr>
          <w:color w:val="1E1E1E"/>
          <w:lang w:eastAsia="en-US"/>
        </w:rPr>
      </w:pPr>
      <w:r w:rsidRPr="00CB13F7">
        <w:rPr>
          <w:color w:val="1E1E1E"/>
          <w:lang w:eastAsia="en-US"/>
        </w:rPr>
        <w:t>Ligji nr. 93/2014, datë 24.7.2014 “Për përfshirjen dhe aksesueshmërinë e personave me aftësi të kufizuara”</w:t>
      </w:r>
    </w:p>
    <w:p w14:paraId="54987E08" w14:textId="77777777" w:rsidR="00307609" w:rsidRPr="00CB13F7" w:rsidRDefault="00307609" w:rsidP="00724EFC">
      <w:pPr>
        <w:spacing w:before="120" w:after="120" w:line="276" w:lineRule="auto"/>
        <w:jc w:val="both"/>
        <w:rPr>
          <w:color w:val="1E1E1E"/>
          <w:lang w:eastAsia="en-US"/>
        </w:rPr>
      </w:pPr>
      <w:r w:rsidRPr="00CB13F7">
        <w:rPr>
          <w:color w:val="1E1E1E"/>
          <w:lang w:eastAsia="en-US"/>
        </w:rPr>
        <w:t>Ligji Nr. 10221/2010 “Për mbrojtjen nga diskriminimi” (i ndryshuar)</w:t>
      </w:r>
    </w:p>
    <w:p w14:paraId="1156B1BF" w14:textId="41EA23CB" w:rsidR="00307609" w:rsidRPr="00CB13F7" w:rsidRDefault="2B4FC900" w:rsidP="00724EFC">
      <w:pPr>
        <w:spacing w:before="120" w:after="120" w:line="276" w:lineRule="auto"/>
        <w:jc w:val="both"/>
        <w:rPr>
          <w:lang w:eastAsia="en-US"/>
        </w:rPr>
      </w:pPr>
      <w:r w:rsidRPr="00CB13F7">
        <w:rPr>
          <w:color w:val="1E1E1E"/>
          <w:lang w:eastAsia="en-US"/>
        </w:rPr>
        <w:t>Ligjin Nr. 111/2017 “Për ndihmën juridike të garantuar nga shteti”</w:t>
      </w:r>
      <w:r w:rsidR="0706894F" w:rsidRPr="00CB13F7">
        <w:rPr>
          <w:color w:val="1E1E1E"/>
          <w:lang w:eastAsia="en-US"/>
        </w:rPr>
        <w:t>.</w:t>
      </w:r>
    </w:p>
    <w:p w14:paraId="4914C7B5" w14:textId="212901CE" w:rsidR="00307609" w:rsidRPr="00CB13F7" w:rsidRDefault="00FA7794" w:rsidP="00724EFC">
      <w:pPr>
        <w:spacing w:before="120" w:after="120" w:line="276" w:lineRule="auto"/>
        <w:jc w:val="both"/>
        <w:rPr>
          <w:b/>
          <w:bCs/>
          <w:i/>
          <w:iCs/>
          <w:lang w:eastAsia="en-US"/>
        </w:rPr>
      </w:pPr>
      <w:r w:rsidRPr="00CB13F7">
        <w:rPr>
          <w:b/>
          <w:bCs/>
          <w:i/>
          <w:iCs/>
          <w:lang w:eastAsia="en-US"/>
        </w:rPr>
        <w:t>III. Shëndetësia</w:t>
      </w:r>
    </w:p>
    <w:p w14:paraId="3D3E36E2" w14:textId="77777777" w:rsidR="00307609" w:rsidRPr="00CB13F7" w:rsidRDefault="00307609" w:rsidP="00724EFC">
      <w:pPr>
        <w:spacing w:before="120" w:after="120" w:line="276" w:lineRule="auto"/>
        <w:jc w:val="both"/>
        <w:rPr>
          <w:lang w:eastAsia="en-US"/>
        </w:rPr>
      </w:pPr>
      <w:r w:rsidRPr="00CB13F7">
        <w:rPr>
          <w:lang w:eastAsia="en-US"/>
        </w:rPr>
        <w:t xml:space="preserve">Ligji </w:t>
      </w:r>
      <w:r w:rsidR="00FA7794" w:rsidRPr="00CB13F7">
        <w:rPr>
          <w:lang w:eastAsia="en-US"/>
        </w:rPr>
        <w:t>Nr. 10</w:t>
      </w:r>
      <w:r w:rsidRPr="00CB13F7">
        <w:rPr>
          <w:lang w:eastAsia="en-US"/>
        </w:rPr>
        <w:t xml:space="preserve"> 107, Datë 30.3.2009 “Për kujdesin shëndetësor në Republikën e Shqipërisë”</w:t>
      </w:r>
    </w:p>
    <w:p w14:paraId="16CC448F" w14:textId="51C620D6" w:rsidR="00307609" w:rsidRPr="00CB13F7" w:rsidRDefault="2B4FC900" w:rsidP="00724EFC">
      <w:pPr>
        <w:spacing w:before="120" w:after="120" w:line="276" w:lineRule="auto"/>
        <w:jc w:val="both"/>
        <w:rPr>
          <w:lang w:eastAsia="en-US"/>
        </w:rPr>
      </w:pPr>
      <w:r w:rsidRPr="00CB13F7">
        <w:rPr>
          <w:lang w:eastAsia="en-US"/>
        </w:rPr>
        <w:lastRenderedPageBreak/>
        <w:t xml:space="preserve">Ligji Nr. 10 383, datë 24.2.2011 “Për Sigurimin e Detyrueshëm të Kujdesit Shëndetësor në Republikën e Shqipërisë”, </w:t>
      </w:r>
      <w:r w:rsidR="10C35FFB" w:rsidRPr="00CB13F7">
        <w:rPr>
          <w:lang w:eastAsia="en-US"/>
        </w:rPr>
        <w:t>(</w:t>
      </w:r>
      <w:r w:rsidRPr="00CB13F7">
        <w:rPr>
          <w:lang w:eastAsia="en-US"/>
        </w:rPr>
        <w:t>i ndryshuar</w:t>
      </w:r>
      <w:r w:rsidR="4F215966" w:rsidRPr="00CB13F7">
        <w:rPr>
          <w:lang w:eastAsia="en-US"/>
        </w:rPr>
        <w:t>)</w:t>
      </w:r>
      <w:r w:rsidRPr="00CB13F7">
        <w:rPr>
          <w:lang w:eastAsia="en-US"/>
        </w:rPr>
        <w:t>.</w:t>
      </w:r>
    </w:p>
    <w:p w14:paraId="356EEE3A" w14:textId="278C0B10" w:rsidR="00307609" w:rsidRPr="00CB13F7" w:rsidRDefault="2B4FC900" w:rsidP="00724EFC">
      <w:pPr>
        <w:spacing w:before="120" w:after="120" w:line="276" w:lineRule="auto"/>
        <w:jc w:val="both"/>
        <w:rPr>
          <w:lang w:eastAsia="en-US"/>
        </w:rPr>
      </w:pPr>
      <w:r w:rsidRPr="00CB13F7">
        <w:rPr>
          <w:lang w:eastAsia="en-US"/>
        </w:rPr>
        <w:t xml:space="preserve">Ligji </w:t>
      </w:r>
      <w:r w:rsidR="10561E7E" w:rsidRPr="00CB13F7">
        <w:rPr>
          <w:lang w:eastAsia="en-US"/>
        </w:rPr>
        <w:t>Nr. 44/2012</w:t>
      </w:r>
      <w:r w:rsidRPr="00CB13F7">
        <w:rPr>
          <w:lang w:eastAsia="en-US"/>
        </w:rPr>
        <w:t xml:space="preserve"> “Për Shëndetin Mendor”, </w:t>
      </w:r>
      <w:r w:rsidR="6B4EFCC5" w:rsidRPr="00CB13F7">
        <w:rPr>
          <w:lang w:eastAsia="en-US"/>
        </w:rPr>
        <w:t>(</w:t>
      </w:r>
      <w:r w:rsidRPr="00CB13F7">
        <w:rPr>
          <w:lang w:eastAsia="en-US"/>
        </w:rPr>
        <w:t>i ndryshuar</w:t>
      </w:r>
      <w:r w:rsidR="3A22FFA3" w:rsidRPr="00CB13F7">
        <w:rPr>
          <w:lang w:eastAsia="en-US"/>
        </w:rPr>
        <w:t>)</w:t>
      </w:r>
      <w:r w:rsidRPr="00CB13F7">
        <w:rPr>
          <w:lang w:eastAsia="en-US"/>
        </w:rPr>
        <w:t>.</w:t>
      </w:r>
    </w:p>
    <w:p w14:paraId="7BB5FD76" w14:textId="66DB70B7" w:rsidR="00307609" w:rsidRPr="00CB13F7" w:rsidRDefault="2B4FC900" w:rsidP="00724EFC">
      <w:pPr>
        <w:spacing w:before="120" w:after="120" w:line="276" w:lineRule="auto"/>
        <w:jc w:val="both"/>
        <w:rPr>
          <w:lang w:eastAsia="en-US"/>
        </w:rPr>
      </w:pPr>
      <w:r w:rsidRPr="00CB13F7">
        <w:rPr>
          <w:lang w:eastAsia="en-US"/>
        </w:rPr>
        <w:t xml:space="preserve">Ligji Nr. 105/2014 “Për barnat dhe shërbimin farmaceutik”, </w:t>
      </w:r>
      <w:r w:rsidR="3AC57D8D" w:rsidRPr="00CB13F7">
        <w:rPr>
          <w:lang w:eastAsia="en-US"/>
        </w:rPr>
        <w:t>(</w:t>
      </w:r>
      <w:r w:rsidRPr="00CB13F7">
        <w:rPr>
          <w:lang w:eastAsia="en-US"/>
        </w:rPr>
        <w:t>i ndryshuar</w:t>
      </w:r>
      <w:r w:rsidR="3D96C8A0" w:rsidRPr="00CB13F7">
        <w:rPr>
          <w:lang w:eastAsia="en-US"/>
        </w:rPr>
        <w:t>)</w:t>
      </w:r>
      <w:r w:rsidRPr="00CB13F7">
        <w:rPr>
          <w:lang w:eastAsia="en-US"/>
        </w:rPr>
        <w:t>.</w:t>
      </w:r>
    </w:p>
    <w:p w14:paraId="0FC98245" w14:textId="77777777" w:rsidR="00307609" w:rsidRPr="00CB13F7" w:rsidRDefault="00307609" w:rsidP="00724EFC">
      <w:pPr>
        <w:spacing w:before="120" w:after="120" w:line="276" w:lineRule="auto"/>
        <w:jc w:val="both"/>
        <w:rPr>
          <w:lang w:eastAsia="en-US"/>
        </w:rPr>
      </w:pPr>
      <w:r w:rsidRPr="00CB13F7">
        <w:rPr>
          <w:lang w:eastAsia="en-US"/>
        </w:rPr>
        <w:t>Ligji Nr. 9928, datë 09.06.2008 “Për shërbimin shëndetësor stomatologjik në Republikën e Shqipërisë”.</w:t>
      </w:r>
    </w:p>
    <w:p w14:paraId="409741D8" w14:textId="77777777" w:rsidR="00307609" w:rsidRPr="00CB13F7" w:rsidRDefault="00307609" w:rsidP="00724EFC">
      <w:pPr>
        <w:spacing w:before="120" w:after="120" w:line="276" w:lineRule="auto"/>
        <w:jc w:val="both"/>
        <w:rPr>
          <w:lang w:eastAsia="en-US"/>
        </w:rPr>
      </w:pPr>
      <w:r w:rsidRPr="00CB13F7">
        <w:rPr>
          <w:lang w:eastAsia="en-US"/>
        </w:rPr>
        <w:t>VKM Nr. 419, datë 4.7.2018 “Për krijimin, mënyrën e organizimit dhe të funksionimit të Operatorit të Shërbimeve të Kujdesit Shëndetësor”.</w:t>
      </w:r>
    </w:p>
    <w:p w14:paraId="130218F3" w14:textId="147915CC" w:rsidR="00307609" w:rsidRPr="00CB13F7" w:rsidRDefault="2B4FC900" w:rsidP="00724EFC">
      <w:pPr>
        <w:spacing w:before="120" w:after="120" w:line="276" w:lineRule="auto"/>
        <w:jc w:val="both"/>
        <w:rPr>
          <w:lang w:eastAsia="en-US"/>
        </w:rPr>
      </w:pPr>
      <w:r w:rsidRPr="00CB13F7">
        <w:rPr>
          <w:lang w:eastAsia="en-US"/>
        </w:rPr>
        <w:t xml:space="preserve">VKM </w:t>
      </w:r>
      <w:r w:rsidR="10561E7E" w:rsidRPr="00CB13F7">
        <w:rPr>
          <w:lang w:eastAsia="en-US"/>
        </w:rPr>
        <w:t>Nr. 101</w:t>
      </w:r>
      <w:r w:rsidRPr="00CB13F7">
        <w:rPr>
          <w:lang w:eastAsia="en-US"/>
        </w:rPr>
        <w:t>, datë 4.2.2015 “Për miratimin e Paketës së Shërbimeve Shëndetësore, në kujdesin shëndetësor parësor publik, që financohet nga Fondi i Sigurimit të Detyrueshëm</w:t>
      </w:r>
      <w:r w:rsidR="00307609" w:rsidRPr="00CB13F7">
        <w:rPr>
          <w:lang w:eastAsia="en-US"/>
        </w:rPr>
        <w:t xml:space="preserve">të Kujdesit Shëndetësor”, i ndryshuar me VKM </w:t>
      </w:r>
      <w:r w:rsidR="00FA7794" w:rsidRPr="00CB13F7">
        <w:rPr>
          <w:lang w:eastAsia="en-US"/>
        </w:rPr>
        <w:t>nr. 352</w:t>
      </w:r>
      <w:r w:rsidR="00307609" w:rsidRPr="00CB13F7">
        <w:rPr>
          <w:lang w:eastAsia="en-US"/>
        </w:rPr>
        <w:t xml:space="preserve">, </w:t>
      </w:r>
      <w:r w:rsidR="00FA7794" w:rsidRPr="00CB13F7">
        <w:rPr>
          <w:lang w:eastAsia="en-US"/>
        </w:rPr>
        <w:t>datë 12.6.2018</w:t>
      </w:r>
      <w:r w:rsidR="00307609" w:rsidRPr="00CB13F7">
        <w:rPr>
          <w:lang w:eastAsia="en-US"/>
        </w:rPr>
        <w:t>.</w:t>
      </w:r>
    </w:p>
    <w:p w14:paraId="5283E304" w14:textId="77777777" w:rsidR="00307609" w:rsidRPr="00CB13F7" w:rsidRDefault="00307609" w:rsidP="00724EFC">
      <w:pPr>
        <w:spacing w:before="120" w:after="120" w:line="276" w:lineRule="auto"/>
        <w:jc w:val="both"/>
        <w:rPr>
          <w:lang w:eastAsia="en-US"/>
        </w:rPr>
      </w:pPr>
      <w:r w:rsidRPr="00CB13F7">
        <w:rPr>
          <w:lang w:eastAsia="en-US"/>
        </w:rPr>
        <w:t xml:space="preserve">VKM </w:t>
      </w:r>
      <w:r w:rsidR="00FA7794" w:rsidRPr="00CB13F7">
        <w:rPr>
          <w:lang w:eastAsia="en-US"/>
        </w:rPr>
        <w:t>Nr. 837</w:t>
      </w:r>
      <w:r w:rsidRPr="00CB13F7">
        <w:rPr>
          <w:lang w:eastAsia="en-US"/>
        </w:rPr>
        <w:t xml:space="preserve"> Datë 3.12.2014 “Për njohjen e gjuhës së shenjave në Republikën e Shqipërisë”</w:t>
      </w:r>
    </w:p>
    <w:p w14:paraId="28A8E7E5" w14:textId="77777777" w:rsidR="00307609" w:rsidRPr="00CB13F7" w:rsidRDefault="00307609" w:rsidP="00724EFC">
      <w:pPr>
        <w:spacing w:before="120" w:after="120" w:line="276" w:lineRule="auto"/>
        <w:jc w:val="both"/>
        <w:rPr>
          <w:lang w:eastAsia="en-US"/>
        </w:rPr>
      </w:pPr>
      <w:r w:rsidRPr="00CB13F7">
        <w:rPr>
          <w:lang w:eastAsia="en-US"/>
        </w:rPr>
        <w:t>VKM Nr. 1074, datë 23.12.2015, Për masat për heqjen e pengesave mjedisore dhe të infrastrukturës në ofrimin e shërbimeve publike.</w:t>
      </w:r>
    </w:p>
    <w:p w14:paraId="72D5150E" w14:textId="77777777" w:rsidR="00307609" w:rsidRPr="00CB13F7" w:rsidRDefault="00307609" w:rsidP="00724EFC">
      <w:pPr>
        <w:spacing w:before="120" w:after="120" w:line="276" w:lineRule="auto"/>
        <w:jc w:val="both"/>
        <w:rPr>
          <w:lang w:eastAsia="en-US"/>
        </w:rPr>
      </w:pPr>
      <w:r w:rsidRPr="00CB13F7">
        <w:rPr>
          <w:lang w:eastAsia="en-US"/>
        </w:rPr>
        <w:t>VKM Nr. 411, Datë: 19.06.2019, Për disa ndryshime në Vendimin nr. 708, datë 26.8.2015, i Këshillit të Ministrave. Për llojet, periodicitetin dhe mënyrën e raportimit të të dhënave statistikore për aftësinë e kufizuar nga strukturat shtetërore përgjegjëse, në nivelin qendror dhe lokal.</w:t>
      </w:r>
    </w:p>
    <w:p w14:paraId="7395A442" w14:textId="77777777" w:rsidR="00307609" w:rsidRPr="00CB13F7" w:rsidRDefault="00307609" w:rsidP="00724EFC">
      <w:pPr>
        <w:spacing w:before="120" w:after="120" w:line="276" w:lineRule="auto"/>
        <w:jc w:val="both"/>
        <w:rPr>
          <w:lang w:eastAsia="en-US"/>
        </w:rPr>
      </w:pPr>
      <w:r w:rsidRPr="00CB13F7">
        <w:rPr>
          <w:lang w:eastAsia="en-US"/>
        </w:rPr>
        <w:t>VKM Nr. 196, datë 4.4.2018 për një ndryshim në vendimin nr. 48, datë 21.1.2015, të Këshillit</w:t>
      </w:r>
    </w:p>
    <w:p w14:paraId="4ECB60A7" w14:textId="77777777" w:rsidR="00307609" w:rsidRPr="00CB13F7" w:rsidRDefault="00307609" w:rsidP="00724EFC">
      <w:pPr>
        <w:spacing w:before="120" w:after="120" w:line="276" w:lineRule="auto"/>
        <w:jc w:val="both"/>
        <w:rPr>
          <w:lang w:eastAsia="en-US"/>
        </w:rPr>
      </w:pPr>
      <w:r w:rsidRPr="00CB13F7">
        <w:rPr>
          <w:lang w:eastAsia="en-US"/>
        </w:rPr>
        <w:t>të Ministrave, “Për miratimin e rregullores për funksionimin e Këshillit Kombëtar për Aftësinë e Kufizuar”.</w:t>
      </w:r>
    </w:p>
    <w:p w14:paraId="6B47B710" w14:textId="77777777" w:rsidR="00307609" w:rsidRPr="00CB13F7" w:rsidRDefault="00307609" w:rsidP="00724EFC">
      <w:pPr>
        <w:spacing w:before="120" w:after="120" w:line="276" w:lineRule="auto"/>
        <w:jc w:val="both"/>
        <w:rPr>
          <w:lang w:eastAsia="en-US"/>
        </w:rPr>
      </w:pPr>
      <w:r w:rsidRPr="00CB13F7">
        <w:rPr>
          <w:lang w:eastAsia="en-US"/>
        </w:rPr>
        <w:t>VKM nr. 874, datë 24.12.2019 “Për mënyrën e ofrimit të ndihmës personale dhe kriteret për</w:t>
      </w:r>
    </w:p>
    <w:p w14:paraId="3946DD32" w14:textId="77777777" w:rsidR="00307609" w:rsidRPr="00CB13F7" w:rsidRDefault="00307609" w:rsidP="00724EFC">
      <w:pPr>
        <w:spacing w:before="120" w:after="120" w:line="276" w:lineRule="auto"/>
        <w:jc w:val="both"/>
        <w:rPr>
          <w:lang w:eastAsia="en-US"/>
        </w:rPr>
      </w:pPr>
      <w:r w:rsidRPr="00CB13F7">
        <w:rPr>
          <w:lang w:eastAsia="en-US"/>
        </w:rPr>
        <w:t>zgjedhjen e ndihmësit personal”.</w:t>
      </w:r>
    </w:p>
    <w:p w14:paraId="6EA08EB8" w14:textId="77777777" w:rsidR="00307609" w:rsidRPr="00CB13F7" w:rsidRDefault="00FA7794" w:rsidP="00724EFC">
      <w:pPr>
        <w:spacing w:before="120" w:after="120" w:line="276" w:lineRule="auto"/>
        <w:jc w:val="both"/>
        <w:rPr>
          <w:lang w:eastAsia="en-US"/>
        </w:rPr>
      </w:pPr>
      <w:r w:rsidRPr="00CB13F7">
        <w:rPr>
          <w:lang w:eastAsia="en-US"/>
        </w:rPr>
        <w:t>Urdhri</w:t>
      </w:r>
      <w:r w:rsidR="00307609" w:rsidRPr="00CB13F7">
        <w:rPr>
          <w:lang w:eastAsia="en-US"/>
        </w:rPr>
        <w:t xml:space="preserve"> Ministri nr. 608, datë 21.11.2024; Për referimin e personave me çrregullime të shëndetit mendor për vlerësimin e aftësisë së kufizuar dhe invaliditetit në punë.</w:t>
      </w:r>
    </w:p>
    <w:p w14:paraId="5272C656" w14:textId="032A7A7F" w:rsidR="00307609" w:rsidRPr="00CB13F7" w:rsidRDefault="00FA7794" w:rsidP="00724EFC">
      <w:pPr>
        <w:spacing w:before="120" w:after="120" w:line="276" w:lineRule="auto"/>
        <w:jc w:val="both"/>
        <w:rPr>
          <w:b/>
          <w:bCs/>
          <w:lang w:eastAsia="en-US"/>
        </w:rPr>
      </w:pPr>
      <w:r w:rsidRPr="00CB13F7">
        <w:rPr>
          <w:lang w:eastAsia="en-US"/>
        </w:rPr>
        <w:t>Urdhri</w:t>
      </w:r>
      <w:r w:rsidR="00307609" w:rsidRPr="00CB13F7">
        <w:rPr>
          <w:lang w:eastAsia="en-US"/>
        </w:rPr>
        <w:t xml:space="preserve"> i Ministrit Nr. 413, datë 13.07.2022 “Për miratimin e Statusit të Qendrës Shëndetësore”.</w:t>
      </w:r>
    </w:p>
    <w:p w14:paraId="182FB726" w14:textId="77777777" w:rsidR="00307609" w:rsidRPr="00CB13F7" w:rsidRDefault="00FA7794" w:rsidP="00724EFC">
      <w:pPr>
        <w:spacing w:before="120" w:after="120" w:line="276" w:lineRule="auto"/>
        <w:jc w:val="both"/>
        <w:rPr>
          <w:b/>
          <w:bCs/>
          <w:i/>
          <w:iCs/>
          <w:lang w:eastAsia="en-US"/>
        </w:rPr>
      </w:pPr>
      <w:r w:rsidRPr="00CB13F7">
        <w:rPr>
          <w:b/>
          <w:bCs/>
          <w:i/>
          <w:iCs/>
          <w:lang w:eastAsia="en-US"/>
        </w:rPr>
        <w:t>IV. Mbrojtja</w:t>
      </w:r>
      <w:r w:rsidR="00307609" w:rsidRPr="00CB13F7">
        <w:rPr>
          <w:b/>
          <w:bCs/>
          <w:i/>
          <w:iCs/>
          <w:lang w:eastAsia="en-US"/>
        </w:rPr>
        <w:t xml:space="preserve"> Sociale</w:t>
      </w:r>
    </w:p>
    <w:p w14:paraId="7991E17A"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 xml:space="preserve">Ligji Nr. 121/2016 “Për shërbimet e </w:t>
      </w:r>
      <w:r w:rsidR="00FA7794" w:rsidRPr="00CB13F7">
        <w:rPr>
          <w:rFonts w:eastAsia="Times New Roman"/>
          <w:color w:val="000000"/>
          <w:lang w:eastAsia="en-US"/>
        </w:rPr>
        <w:t>kujdesit</w:t>
      </w:r>
      <w:r w:rsidRPr="00CB13F7">
        <w:rPr>
          <w:rFonts w:eastAsia="Times New Roman"/>
          <w:color w:val="000000"/>
          <w:lang w:eastAsia="en-US"/>
        </w:rPr>
        <w:t xml:space="preserve"> shoqëror në Republikën e Shqipërisë”</w:t>
      </w:r>
    </w:p>
    <w:p w14:paraId="6C83F9C2"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Ligji Nr. 92/2025 “Për kujdesin alternativ në familje në Republikën e Shqipërisë”.</w:t>
      </w:r>
    </w:p>
    <w:p w14:paraId="1E116BA8"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VKM Nr. 637, datë 27.10.2021 “Për krijimin dhe mënyrën e organizimit e të funksionimit të Agjencisë së Sigurimit të Cilësisë së Kujdesit Shëndetësor dhe Shoqëror”</w:t>
      </w:r>
    </w:p>
    <w:p w14:paraId="1D5BE054"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VKM Nr. 111, datë 23.2.2018 “Për krijimin dhe funksionimin e Fondit Social” (Ndryshuar me VKM Nr. 613, datë 2.10.2024).</w:t>
      </w:r>
    </w:p>
    <w:p w14:paraId="68B9B740"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lastRenderedPageBreak/>
        <w:t>VKM Nr. 224/2024 “Për metodologjinë e llogaritjes së fondeve për financimin e shërbimeve të kujdesit shoqëror”.</w:t>
      </w:r>
    </w:p>
    <w:p w14:paraId="37B8100E"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 xml:space="preserve">VKM </w:t>
      </w:r>
      <w:r w:rsidR="00FA7794" w:rsidRPr="00CB13F7">
        <w:rPr>
          <w:rFonts w:eastAsia="Times New Roman"/>
          <w:color w:val="000000"/>
          <w:lang w:eastAsia="en-US"/>
        </w:rPr>
        <w:t>nr. 189</w:t>
      </w:r>
      <w:r w:rsidRPr="00CB13F7">
        <w:rPr>
          <w:rFonts w:eastAsia="Times New Roman"/>
          <w:color w:val="000000"/>
          <w:lang w:eastAsia="en-US"/>
        </w:rPr>
        <w:t xml:space="preserve">, datë 27.3.2024 </w:t>
      </w:r>
      <w:r w:rsidR="00234FBC" w:rsidRPr="00CB13F7">
        <w:rPr>
          <w:rFonts w:eastAsia="Times New Roman"/>
          <w:color w:val="000000"/>
          <w:lang w:eastAsia="en-US"/>
        </w:rPr>
        <w:t>Për</w:t>
      </w:r>
      <w:r w:rsidRPr="00CB13F7">
        <w:rPr>
          <w:rFonts w:eastAsia="Times New Roman"/>
          <w:color w:val="000000"/>
          <w:lang w:eastAsia="en-US"/>
        </w:rPr>
        <w:t xml:space="preserve"> disa shtesa dhe ndryshime ne VKM </w:t>
      </w:r>
      <w:r w:rsidR="00FA7794" w:rsidRPr="00CB13F7">
        <w:rPr>
          <w:rFonts w:eastAsia="Times New Roman"/>
          <w:color w:val="000000"/>
          <w:lang w:eastAsia="en-US"/>
        </w:rPr>
        <w:t>nr. 182</w:t>
      </w:r>
      <w:r w:rsidRPr="00CB13F7">
        <w:rPr>
          <w:rFonts w:eastAsia="Times New Roman"/>
          <w:color w:val="000000"/>
          <w:lang w:eastAsia="en-US"/>
        </w:rPr>
        <w:t>,"Për përcaktimin e masës, të kritereve, procedurave e dokumentacionit për vlerësimin dhe përfitimin e pagesës për personat me aftësi të kufizuara, si dhe të ndihmësit personal”</w:t>
      </w:r>
    </w:p>
    <w:p w14:paraId="2B4CC1F4"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 xml:space="preserve">VKM nr. 492, datë 24.7.2024 </w:t>
      </w:r>
      <w:r w:rsidR="00234FBC" w:rsidRPr="00CB13F7">
        <w:rPr>
          <w:rFonts w:eastAsia="Times New Roman"/>
          <w:color w:val="000000"/>
          <w:lang w:eastAsia="en-US"/>
        </w:rPr>
        <w:t>Për</w:t>
      </w:r>
      <w:r w:rsidRPr="00CB13F7">
        <w:rPr>
          <w:rFonts w:eastAsia="Times New Roman"/>
          <w:color w:val="000000"/>
          <w:lang w:eastAsia="en-US"/>
        </w:rPr>
        <w:t> </w:t>
      </w:r>
      <w:r w:rsidR="00234FBC" w:rsidRPr="00CB13F7">
        <w:rPr>
          <w:rFonts w:eastAsia="Times New Roman"/>
          <w:color w:val="000000"/>
          <w:lang w:eastAsia="en-US"/>
        </w:rPr>
        <w:t>një</w:t>
      </w:r>
      <w:r w:rsidRPr="00CB13F7">
        <w:rPr>
          <w:rFonts w:eastAsia="Times New Roman"/>
          <w:color w:val="000000"/>
          <w:lang w:eastAsia="en-US"/>
        </w:rPr>
        <w:t xml:space="preserve"> ndryshim ne VKM </w:t>
      </w:r>
      <w:r w:rsidR="00FA7794" w:rsidRPr="00CB13F7">
        <w:rPr>
          <w:rFonts w:eastAsia="Times New Roman"/>
          <w:color w:val="000000"/>
          <w:lang w:eastAsia="en-US"/>
        </w:rPr>
        <w:t>nr. 61</w:t>
      </w:r>
      <w:r w:rsidRPr="00CB13F7">
        <w:rPr>
          <w:rFonts w:eastAsia="Times New Roman"/>
          <w:color w:val="000000"/>
          <w:lang w:eastAsia="en-US"/>
        </w:rPr>
        <w:t>, date 3.2.2017, "Për miratimin e paketave të pajisjeve mjekësore të rimbursueshme të ndryshuar (këtu janë miratuar fishat e diabetit për Pak dhe invalidë pa kufi moshe)</w:t>
      </w:r>
    </w:p>
    <w:p w14:paraId="3AB97174" w14:textId="2810E2B2" w:rsidR="00307609" w:rsidRPr="00CB13F7" w:rsidRDefault="2B4FC900" w:rsidP="00724EFC">
      <w:pPr>
        <w:spacing w:before="120" w:after="120" w:line="276" w:lineRule="auto"/>
        <w:jc w:val="both"/>
        <w:rPr>
          <w:rFonts w:eastAsia="Times New Roman"/>
          <w:color w:val="000000"/>
          <w:lang w:eastAsia="en-US"/>
        </w:rPr>
      </w:pPr>
      <w:r w:rsidRPr="00CB13F7">
        <w:rPr>
          <w:rFonts w:eastAsia="Times New Roman"/>
          <w:color w:val="000000" w:themeColor="text1"/>
          <w:lang w:eastAsia="en-US"/>
        </w:rPr>
        <w:t xml:space="preserve">VKM nr. 744, datë 4.12.2024 Për disa ndryshime dhe ne shtesa ne VKM nr. 78 datë 7.2.2007, “Për masën, kriteret dhe procedurat e përfitimit të një pakete të veçante higjeno-sanitare për invalidët </w:t>
      </w:r>
      <w:r w:rsidR="10561E7E" w:rsidRPr="00CB13F7">
        <w:rPr>
          <w:rFonts w:eastAsia="Times New Roman"/>
          <w:color w:val="000000" w:themeColor="text1"/>
          <w:lang w:eastAsia="en-US"/>
        </w:rPr>
        <w:t>paraplegjik</w:t>
      </w:r>
      <w:r w:rsidRPr="00CB13F7">
        <w:rPr>
          <w:rFonts w:eastAsia="Times New Roman"/>
          <w:color w:val="000000" w:themeColor="text1"/>
          <w:lang w:eastAsia="en-US"/>
        </w:rPr>
        <w:t xml:space="preserve"> dhe </w:t>
      </w:r>
      <w:r w:rsidR="10561E7E" w:rsidRPr="00CB13F7">
        <w:rPr>
          <w:rFonts w:eastAsia="Times New Roman"/>
          <w:color w:val="000000" w:themeColor="text1"/>
          <w:lang w:eastAsia="en-US"/>
        </w:rPr>
        <w:t>tetraplegjik</w:t>
      </w:r>
      <w:r w:rsidRPr="00CB13F7">
        <w:rPr>
          <w:rFonts w:eastAsia="Times New Roman"/>
          <w:color w:val="000000" w:themeColor="text1"/>
          <w:lang w:eastAsia="en-US"/>
        </w:rPr>
        <w:t>”</w:t>
      </w:r>
      <w:r w:rsidR="2955BD79" w:rsidRPr="00CB13F7">
        <w:rPr>
          <w:rFonts w:eastAsia="Times New Roman"/>
          <w:color w:val="000000" w:themeColor="text1"/>
          <w:lang w:eastAsia="en-US"/>
        </w:rPr>
        <w:t>,</w:t>
      </w:r>
      <w:r w:rsidRPr="00CB13F7">
        <w:rPr>
          <w:rFonts w:eastAsia="Times New Roman"/>
          <w:color w:val="000000" w:themeColor="text1"/>
          <w:lang w:eastAsia="en-US"/>
        </w:rPr>
        <w:t xml:space="preserve"> </w:t>
      </w:r>
      <w:r w:rsidR="358AF195" w:rsidRPr="00CB13F7">
        <w:rPr>
          <w:rFonts w:eastAsia="Times New Roman"/>
          <w:color w:val="000000" w:themeColor="text1"/>
          <w:lang w:eastAsia="en-US"/>
        </w:rPr>
        <w:t>(</w:t>
      </w:r>
      <w:r w:rsidRPr="00CB13F7">
        <w:rPr>
          <w:rFonts w:eastAsia="Times New Roman"/>
          <w:color w:val="000000" w:themeColor="text1"/>
          <w:lang w:eastAsia="en-US"/>
        </w:rPr>
        <w:t>të ndryshuar</w:t>
      </w:r>
      <w:r w:rsidR="3F70D8BE" w:rsidRPr="00CB13F7">
        <w:rPr>
          <w:rFonts w:eastAsia="Times New Roman"/>
          <w:color w:val="000000" w:themeColor="text1"/>
          <w:lang w:eastAsia="en-US"/>
        </w:rPr>
        <w:t>)</w:t>
      </w:r>
      <w:r w:rsidRPr="00CB13F7">
        <w:rPr>
          <w:rFonts w:eastAsia="Times New Roman"/>
          <w:color w:val="000000" w:themeColor="text1"/>
          <w:lang w:eastAsia="en-US"/>
        </w:rPr>
        <w:t>.</w:t>
      </w:r>
    </w:p>
    <w:p w14:paraId="77423160" w14:textId="16819F31" w:rsidR="00307609" w:rsidRPr="00CB13F7" w:rsidRDefault="2B4FC900" w:rsidP="00724EFC">
      <w:pPr>
        <w:spacing w:before="120" w:after="120" w:line="276" w:lineRule="auto"/>
        <w:jc w:val="both"/>
        <w:rPr>
          <w:rFonts w:eastAsia="Times New Roman"/>
          <w:color w:val="000000"/>
          <w:lang w:eastAsia="en-US"/>
        </w:rPr>
      </w:pPr>
      <w:r w:rsidRPr="00CB13F7">
        <w:rPr>
          <w:rFonts w:eastAsia="Times New Roman"/>
          <w:color w:val="000000" w:themeColor="text1"/>
          <w:lang w:eastAsia="en-US"/>
        </w:rPr>
        <w:t xml:space="preserve">VKM nr. 772, datë 13.12.2024 Për disa shtesa dhe ndryshime në VKM nr. 869, datë 18.6.2008, “Për zbatimin e ligjit nr. 7889, datë 14.12.1994, ‘Statusi i invalidit’, </w:t>
      </w:r>
      <w:r w:rsidR="073EB361" w:rsidRPr="00CB13F7">
        <w:rPr>
          <w:rFonts w:eastAsia="Times New Roman"/>
          <w:color w:val="000000" w:themeColor="text1"/>
          <w:lang w:eastAsia="en-US"/>
        </w:rPr>
        <w:t>(</w:t>
      </w:r>
      <w:r w:rsidRPr="00CB13F7">
        <w:rPr>
          <w:rFonts w:eastAsia="Times New Roman"/>
          <w:color w:val="000000" w:themeColor="text1"/>
          <w:lang w:eastAsia="en-US"/>
        </w:rPr>
        <w:t>të ndryshuar</w:t>
      </w:r>
      <w:r w:rsidR="6483167A" w:rsidRPr="00CB13F7">
        <w:rPr>
          <w:rFonts w:eastAsia="Times New Roman"/>
          <w:color w:val="000000" w:themeColor="text1"/>
          <w:lang w:eastAsia="en-US"/>
        </w:rPr>
        <w:t>)</w:t>
      </w:r>
      <w:r w:rsidRPr="00CB13F7">
        <w:rPr>
          <w:rFonts w:eastAsia="Times New Roman"/>
          <w:color w:val="000000" w:themeColor="text1"/>
          <w:lang w:eastAsia="en-US"/>
        </w:rPr>
        <w:t>.</w:t>
      </w:r>
    </w:p>
    <w:p w14:paraId="416D1F98"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Udhëzim i ministrit të Shëndetësisë dhe Mbrojtjes Sociale nr. 252, datë 18.5.2021 “Për miratimin e “Standardet minimale për shërbimet e përkujdesjes shoqërore për personat LGBTI+ në qendrat rezidenciale publike dhe jopublike, në Shqipëri”.</w:t>
      </w:r>
    </w:p>
    <w:p w14:paraId="1261DD78"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Udhëzim i ministrit të Shëndetësisë dhe Mbrojtjes Sociale nr. 354, datë 2.6.2022 “Për miratimin e standardeve për shërbimin e strehimit emergjent të sigurt”.</w:t>
      </w:r>
    </w:p>
    <w:p w14:paraId="4F79F080"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Udhëzim i ministrit të Shëndetësisë dhe Mbrojtjes Sociale nr. 355, datë 2.6.2022 “Për miratimin e standardeve të shërbimit të integruar lëvizës në familje, për fëmijët me aftësi të kufizuara dhe familjet e tyre dhe manuali i zbatimit”.</w:t>
      </w:r>
    </w:p>
    <w:p w14:paraId="140C4947"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Udhëzim i ministrit të Shëndetësisë dhe Mbrojtjes Sociale nr. 564, datë 5.10.2022 “Për miratimin e standardeve për qendrat e trajtimit të fëmijëve viktima apo dëshmitarë të abuzimit seksual dhe formave të rënda të dhunës”.</w:t>
      </w:r>
    </w:p>
    <w:p w14:paraId="3663D60D"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Udhëzim i ministrit të Shëndetësisë dhe Mbrojtjes Sociale nr. 637, datë 21.11.2022 “Për miratimin e standardeve të shërbimeve të përkujdesit shoqëror në institucionet rezidenciale, për fëmijët 6-15 vjeç”.</w:t>
      </w:r>
    </w:p>
    <w:p w14:paraId="2F177F79" w14:textId="77777777" w:rsidR="00307609" w:rsidRPr="00CB13F7" w:rsidRDefault="00307609" w:rsidP="00724EFC">
      <w:pPr>
        <w:spacing w:before="120" w:after="120" w:line="276" w:lineRule="auto"/>
        <w:jc w:val="both"/>
        <w:rPr>
          <w:rFonts w:eastAsia="Times New Roman"/>
          <w:color w:val="000000"/>
          <w:lang w:eastAsia="en-US"/>
        </w:rPr>
      </w:pPr>
      <w:r w:rsidRPr="00CB13F7">
        <w:rPr>
          <w:rFonts w:eastAsia="Times New Roman"/>
          <w:color w:val="000000"/>
          <w:lang w:eastAsia="en-US"/>
        </w:rPr>
        <w:t xml:space="preserve">Udhëzim i ministrit të Shëndetësisë dhe Mbrojtjes Sociale nr. 276, datë 27.4.2023 “Për miratimin e standardeve të shërbimit të jetesës së </w:t>
      </w:r>
      <w:r w:rsidR="00FA7794" w:rsidRPr="00CB13F7">
        <w:rPr>
          <w:rFonts w:eastAsia="Times New Roman"/>
          <w:color w:val="000000"/>
          <w:lang w:eastAsia="en-US"/>
        </w:rPr>
        <w:t>pavarur</w:t>
      </w:r>
      <w:r w:rsidRPr="00CB13F7">
        <w:rPr>
          <w:rFonts w:eastAsia="Times New Roman"/>
          <w:color w:val="000000"/>
          <w:lang w:eastAsia="en-US"/>
        </w:rPr>
        <w:t xml:space="preserve"> për personat me aftësi të kufizuara dhe manuali i zbatimit të tyre”.</w:t>
      </w:r>
    </w:p>
    <w:p w14:paraId="33821B20" w14:textId="127E632D" w:rsidR="00307609" w:rsidRPr="00CB13F7" w:rsidRDefault="2B4FC900" w:rsidP="00724EFC">
      <w:pPr>
        <w:spacing w:before="120" w:after="120" w:line="276" w:lineRule="auto"/>
        <w:jc w:val="both"/>
        <w:rPr>
          <w:rFonts w:eastAsia="Times New Roman"/>
          <w:color w:val="000000"/>
          <w:lang w:eastAsia="en-US"/>
        </w:rPr>
      </w:pPr>
      <w:r w:rsidRPr="00CB13F7">
        <w:rPr>
          <w:rFonts w:eastAsia="Times New Roman"/>
          <w:color w:val="000000" w:themeColor="text1"/>
          <w:lang w:eastAsia="en-US"/>
        </w:rPr>
        <w:t xml:space="preserve">Udhëzim </w:t>
      </w:r>
      <w:r w:rsidR="10561E7E" w:rsidRPr="00CB13F7">
        <w:rPr>
          <w:rFonts w:eastAsia="Times New Roman"/>
          <w:color w:val="000000" w:themeColor="text1"/>
          <w:lang w:eastAsia="en-US"/>
        </w:rPr>
        <w:t>nr. 80</w:t>
      </w:r>
      <w:r w:rsidRPr="00CB13F7">
        <w:rPr>
          <w:rFonts w:eastAsia="Times New Roman"/>
          <w:color w:val="000000" w:themeColor="text1"/>
          <w:lang w:eastAsia="en-US"/>
        </w:rPr>
        <w:t>, datë 17.5.2024 Për disa ndryshime në udhëzimin nr. 2365, datë 26.11.2008, mbi zbatimin e VKM nr 277, date 18.6.1997 “</w:t>
      </w:r>
      <w:r w:rsidR="48A00EEC" w:rsidRPr="00CB13F7">
        <w:rPr>
          <w:rFonts w:eastAsia="Times New Roman"/>
          <w:color w:val="000000" w:themeColor="text1"/>
          <w:lang w:eastAsia="en-US"/>
        </w:rPr>
        <w:t>Për</w:t>
      </w:r>
      <w:r w:rsidRPr="00CB13F7">
        <w:rPr>
          <w:rFonts w:eastAsia="Times New Roman"/>
          <w:color w:val="000000" w:themeColor="text1"/>
          <w:lang w:eastAsia="en-US"/>
        </w:rPr>
        <w:t xml:space="preserve"> </w:t>
      </w:r>
      <w:r w:rsidR="10561E7E" w:rsidRPr="00CB13F7">
        <w:rPr>
          <w:rFonts w:eastAsia="Times New Roman"/>
          <w:color w:val="000000" w:themeColor="text1"/>
          <w:lang w:eastAsia="en-US"/>
        </w:rPr>
        <w:t>përfitimet</w:t>
      </w:r>
      <w:r w:rsidRPr="00CB13F7">
        <w:rPr>
          <w:rFonts w:eastAsia="Times New Roman"/>
          <w:color w:val="000000" w:themeColor="text1"/>
          <w:lang w:eastAsia="en-US"/>
        </w:rPr>
        <w:t xml:space="preserve"> nga statusi i t</w:t>
      </w:r>
      <w:r w:rsidR="10561E7E" w:rsidRPr="00CB13F7">
        <w:rPr>
          <w:rFonts w:eastAsia="Times New Roman"/>
          <w:color w:val="000000" w:themeColor="text1"/>
          <w:lang w:eastAsia="en-US"/>
        </w:rPr>
        <w:t>ë</w:t>
      </w:r>
      <w:r w:rsidRPr="00CB13F7">
        <w:rPr>
          <w:rFonts w:eastAsia="Times New Roman"/>
          <w:color w:val="000000" w:themeColor="text1"/>
          <w:lang w:eastAsia="en-US"/>
        </w:rPr>
        <w:t xml:space="preserve"> </w:t>
      </w:r>
      <w:r w:rsidR="10561E7E" w:rsidRPr="00CB13F7">
        <w:rPr>
          <w:rFonts w:eastAsia="Times New Roman"/>
          <w:color w:val="000000" w:themeColor="text1"/>
          <w:lang w:eastAsia="en-US"/>
        </w:rPr>
        <w:t>verbrit</w:t>
      </w:r>
      <w:r w:rsidRPr="00CB13F7">
        <w:rPr>
          <w:rFonts w:eastAsia="Times New Roman"/>
          <w:color w:val="000000" w:themeColor="text1"/>
          <w:lang w:eastAsia="en-US"/>
        </w:rPr>
        <w:t xml:space="preserve">”, </w:t>
      </w:r>
      <w:r w:rsidR="271C6891" w:rsidRPr="00CB13F7">
        <w:rPr>
          <w:rFonts w:eastAsia="Times New Roman"/>
          <w:color w:val="000000" w:themeColor="text1"/>
          <w:lang w:eastAsia="en-US"/>
        </w:rPr>
        <w:t>(</w:t>
      </w:r>
      <w:r w:rsidRPr="00CB13F7">
        <w:rPr>
          <w:rFonts w:eastAsia="Times New Roman"/>
          <w:color w:val="000000" w:themeColor="text1"/>
          <w:lang w:eastAsia="en-US"/>
        </w:rPr>
        <w:t>i ndryshuar</w:t>
      </w:r>
      <w:r w:rsidR="1CA82D62" w:rsidRPr="00CB13F7">
        <w:rPr>
          <w:rFonts w:eastAsia="Times New Roman"/>
          <w:color w:val="000000" w:themeColor="text1"/>
          <w:lang w:eastAsia="en-US"/>
        </w:rPr>
        <w:t>).</w:t>
      </w:r>
    </w:p>
    <w:p w14:paraId="32751268" w14:textId="45DF9A62" w:rsidR="00307609" w:rsidRPr="00CB13F7" w:rsidRDefault="00307609" w:rsidP="00724EFC">
      <w:pPr>
        <w:spacing w:before="120" w:after="120" w:line="276" w:lineRule="auto"/>
        <w:jc w:val="both"/>
        <w:rPr>
          <w:lang w:eastAsia="en-US"/>
        </w:rPr>
      </w:pPr>
      <w:r w:rsidRPr="00CB13F7">
        <w:rPr>
          <w:rFonts w:eastAsia="Times New Roman"/>
          <w:color w:val="000000"/>
          <w:lang w:eastAsia="en-US"/>
        </w:rPr>
        <w:t xml:space="preserve">Udhëzim </w:t>
      </w:r>
      <w:r w:rsidR="00FA7794" w:rsidRPr="00CB13F7">
        <w:rPr>
          <w:rFonts w:eastAsia="Times New Roman"/>
          <w:color w:val="000000"/>
          <w:lang w:eastAsia="en-US"/>
        </w:rPr>
        <w:t>nr. 20</w:t>
      </w:r>
      <w:r w:rsidRPr="00CB13F7">
        <w:rPr>
          <w:rFonts w:eastAsia="Times New Roman"/>
          <w:color w:val="000000"/>
          <w:lang w:eastAsia="en-US"/>
        </w:rPr>
        <w:t>, datë 17.01.2025 “</w:t>
      </w:r>
      <w:r w:rsidR="00234FBC" w:rsidRPr="00CB13F7">
        <w:rPr>
          <w:rFonts w:eastAsia="Times New Roman"/>
          <w:color w:val="000000"/>
          <w:lang w:eastAsia="en-US"/>
        </w:rPr>
        <w:t>Për</w:t>
      </w:r>
      <w:r w:rsidRPr="00CB13F7">
        <w:rPr>
          <w:rFonts w:eastAsia="Times New Roman"/>
          <w:color w:val="000000"/>
          <w:lang w:eastAsia="en-US"/>
        </w:rPr>
        <w:t xml:space="preserve"> miratimin e kritereve për vlerësimin bio-psiko-social të aftësisë së kufizuar tek të rriturit dhe </w:t>
      </w:r>
      <w:r w:rsidR="00FA7794" w:rsidRPr="00CB13F7">
        <w:rPr>
          <w:rFonts w:eastAsia="Times New Roman"/>
          <w:color w:val="000000"/>
          <w:lang w:eastAsia="en-US"/>
        </w:rPr>
        <w:t>fëmijët</w:t>
      </w:r>
      <w:r w:rsidRPr="00CB13F7">
        <w:rPr>
          <w:rFonts w:eastAsia="Times New Roman"/>
          <w:color w:val="000000"/>
          <w:lang w:eastAsia="en-US"/>
        </w:rPr>
        <w:t xml:space="preserve"> dhe </w:t>
      </w:r>
      <w:r w:rsidR="00FA7794" w:rsidRPr="00CB13F7">
        <w:rPr>
          <w:rFonts w:eastAsia="Times New Roman"/>
          <w:color w:val="000000"/>
          <w:lang w:eastAsia="en-US"/>
        </w:rPr>
        <w:t>metodologjinë</w:t>
      </w:r>
      <w:r w:rsidRPr="00CB13F7">
        <w:rPr>
          <w:rFonts w:eastAsia="Times New Roman"/>
          <w:color w:val="000000"/>
          <w:lang w:eastAsia="en-US"/>
        </w:rPr>
        <w:t xml:space="preserve"> e tyre. </w:t>
      </w:r>
    </w:p>
    <w:p w14:paraId="504FDBA6" w14:textId="77777777" w:rsidR="00307609" w:rsidRPr="00CB13F7" w:rsidRDefault="00FA7794" w:rsidP="00724EFC">
      <w:pPr>
        <w:spacing w:before="120" w:after="120" w:line="276" w:lineRule="auto"/>
        <w:jc w:val="both"/>
        <w:rPr>
          <w:b/>
          <w:bCs/>
          <w:i/>
          <w:iCs/>
          <w:lang w:eastAsia="en-US"/>
        </w:rPr>
      </w:pPr>
      <w:r w:rsidRPr="00CB13F7">
        <w:rPr>
          <w:b/>
          <w:bCs/>
          <w:i/>
          <w:iCs/>
          <w:lang w:eastAsia="en-US"/>
        </w:rPr>
        <w:t>V. Strehimi</w:t>
      </w:r>
    </w:p>
    <w:p w14:paraId="22AA4E2B" w14:textId="77777777" w:rsidR="00307609" w:rsidRPr="00CB13F7" w:rsidRDefault="00307609" w:rsidP="00724EFC">
      <w:pPr>
        <w:spacing w:before="120" w:after="120" w:line="276" w:lineRule="auto"/>
        <w:jc w:val="both"/>
      </w:pPr>
      <w:r w:rsidRPr="00CB13F7">
        <w:lastRenderedPageBreak/>
        <w:t>Ligji 22/2018 “Për strehimin Social”.</w:t>
      </w:r>
    </w:p>
    <w:p w14:paraId="7A857972" w14:textId="77777777" w:rsidR="00307609" w:rsidRPr="00CB13F7" w:rsidRDefault="00307609" w:rsidP="00724EFC">
      <w:pPr>
        <w:spacing w:before="120" w:after="120" w:line="276" w:lineRule="auto"/>
        <w:jc w:val="both"/>
        <w:rPr>
          <w:lang w:eastAsia="en-US"/>
        </w:rPr>
      </w:pPr>
      <w:r w:rsidRPr="00CB13F7">
        <w:rPr>
          <w:lang w:eastAsia="en-US"/>
        </w:rPr>
        <w:t>Ligji nr. 48/2023 për disa ndryshime dhe shtesa në ligjin nr. 22/2018 “për strehimin social”.</w:t>
      </w:r>
    </w:p>
    <w:p w14:paraId="6D910299" w14:textId="77777777" w:rsidR="00307609" w:rsidRPr="00CB13F7" w:rsidRDefault="00307609" w:rsidP="00724EFC">
      <w:pPr>
        <w:spacing w:before="120" w:after="120" w:line="276" w:lineRule="auto"/>
        <w:jc w:val="both"/>
        <w:rPr>
          <w:lang w:eastAsia="en-US"/>
        </w:rPr>
      </w:pPr>
      <w:r w:rsidRPr="00CB13F7">
        <w:rPr>
          <w:lang w:eastAsia="en-US"/>
        </w:rPr>
        <w:t>VKM Nr. 555 datë 15/07/2020 “Për procedurat, kriteret dhe përparësitë për akordimin e grantit të menjëhershëm për banesat me kosto të ulët nga buxheti i shtetit”.</w:t>
      </w:r>
    </w:p>
    <w:p w14:paraId="6F1D8EE8" w14:textId="0445E35F" w:rsidR="00307609" w:rsidRPr="00CB13F7" w:rsidRDefault="2B4FC900" w:rsidP="00724EFC">
      <w:pPr>
        <w:spacing w:before="120" w:after="120" w:line="276" w:lineRule="auto"/>
        <w:jc w:val="both"/>
        <w:rPr>
          <w:lang w:eastAsia="en-US"/>
        </w:rPr>
      </w:pPr>
      <w:r w:rsidRPr="00CB13F7">
        <w:rPr>
          <w:lang w:eastAsia="en-US"/>
        </w:rPr>
        <w:t xml:space="preserve">VKM Nr. 362, datë 29.05.2019 “Për kriteret e dhënies së subvencionit të qirasë për kategoritë që gëzojnë përparësi në subvencionimin e </w:t>
      </w:r>
      <w:r w:rsidR="10561E7E" w:rsidRPr="00CB13F7">
        <w:rPr>
          <w:lang w:eastAsia="en-US"/>
        </w:rPr>
        <w:t>qirasë</w:t>
      </w:r>
      <w:r w:rsidRPr="00CB13F7">
        <w:rPr>
          <w:lang w:eastAsia="en-US"/>
        </w:rPr>
        <w:t xml:space="preserve"> në tregun e lir</w:t>
      </w:r>
      <w:r w:rsidR="50973E43" w:rsidRPr="00CB13F7">
        <w:rPr>
          <w:lang w:eastAsia="en-US"/>
        </w:rPr>
        <w:t>ë</w:t>
      </w:r>
      <w:r w:rsidRPr="00CB13F7">
        <w:rPr>
          <w:lang w:eastAsia="en-US"/>
        </w:rPr>
        <w:t>”.</w:t>
      </w:r>
    </w:p>
    <w:p w14:paraId="5C0046B3" w14:textId="77777777" w:rsidR="00307609" w:rsidRPr="00CB13F7" w:rsidRDefault="00307609" w:rsidP="00724EFC">
      <w:pPr>
        <w:spacing w:before="120" w:after="120" w:line="276" w:lineRule="auto"/>
        <w:jc w:val="both"/>
        <w:rPr>
          <w:lang w:eastAsia="en-US"/>
        </w:rPr>
      </w:pPr>
      <w:r w:rsidRPr="00CB13F7">
        <w:rPr>
          <w:lang w:eastAsia="en-US"/>
        </w:rPr>
        <w:t>VKM Nr. 58 për banesat e specializuara, e cila pritet të miratohet sa më parë.</w:t>
      </w:r>
    </w:p>
    <w:p w14:paraId="11A53AF0" w14:textId="77777777" w:rsidR="00307609" w:rsidRPr="00CB13F7" w:rsidRDefault="00307609" w:rsidP="00724EFC">
      <w:pPr>
        <w:spacing w:before="120" w:after="120" w:line="276" w:lineRule="auto"/>
        <w:jc w:val="both"/>
        <w:rPr>
          <w:lang w:eastAsia="en-US"/>
        </w:rPr>
      </w:pPr>
      <w:r w:rsidRPr="00CB13F7">
        <w:rPr>
          <w:lang w:eastAsia="en-US"/>
        </w:rPr>
        <w:t xml:space="preserve">VKM Nr. 454, date 03.07.2019 “Për kriteret dhe </w:t>
      </w:r>
      <w:r w:rsidR="00FA7794" w:rsidRPr="00CB13F7">
        <w:rPr>
          <w:lang w:eastAsia="en-US"/>
        </w:rPr>
        <w:t>procedurat</w:t>
      </w:r>
      <w:r w:rsidRPr="00CB13F7">
        <w:rPr>
          <w:lang w:eastAsia="en-US"/>
        </w:rPr>
        <w:t xml:space="preserve"> e përfitimit e të dhënies së granteve </w:t>
      </w:r>
      <w:r w:rsidR="00FA7794" w:rsidRPr="00CB13F7">
        <w:rPr>
          <w:lang w:eastAsia="en-US"/>
        </w:rPr>
        <w:t>konkurruese</w:t>
      </w:r>
      <w:r w:rsidRPr="00CB13F7">
        <w:rPr>
          <w:lang w:eastAsia="en-US"/>
        </w:rPr>
        <w:t xml:space="preserve"> për </w:t>
      </w:r>
      <w:r w:rsidR="00FA7794" w:rsidRPr="00CB13F7">
        <w:rPr>
          <w:lang w:eastAsia="en-US"/>
        </w:rPr>
        <w:t>përmirësimin</w:t>
      </w:r>
      <w:r w:rsidRPr="00CB13F7">
        <w:rPr>
          <w:lang w:eastAsia="en-US"/>
        </w:rPr>
        <w:t xml:space="preserve"> e kushteve të objekteve dhe banesave ekzistuese”.</w:t>
      </w:r>
    </w:p>
    <w:p w14:paraId="0AD2D0F9" w14:textId="77777777" w:rsidR="00307609" w:rsidRPr="00CB13F7" w:rsidRDefault="00307609" w:rsidP="00724EFC">
      <w:pPr>
        <w:spacing w:before="120" w:after="120" w:line="276" w:lineRule="auto"/>
        <w:jc w:val="both"/>
        <w:rPr>
          <w:lang w:eastAsia="en-US"/>
        </w:rPr>
      </w:pPr>
      <w:r w:rsidRPr="00CB13F7">
        <w:rPr>
          <w:lang w:eastAsia="en-US"/>
        </w:rPr>
        <w:t>VKM Nr. 301, datë 15/04/2020 “Për normat e strehimit, si dhe kushtet e standardet për banesat sociale me qira që blihen në treg dhe banesat me kosto të ulët”.</w:t>
      </w:r>
    </w:p>
    <w:p w14:paraId="3BF448B8" w14:textId="083056BB" w:rsidR="00307609" w:rsidRPr="00CB13F7" w:rsidRDefault="2B4FC900" w:rsidP="00724EFC">
      <w:pPr>
        <w:spacing w:before="120" w:after="120" w:line="276" w:lineRule="auto"/>
        <w:jc w:val="both"/>
        <w:rPr>
          <w:lang w:eastAsia="en-US"/>
        </w:rPr>
      </w:pPr>
      <w:r w:rsidRPr="00CB13F7">
        <w:rPr>
          <w:lang w:eastAsia="en-US"/>
        </w:rPr>
        <w:t>VKM Nr. 468, datë 26.7.2023, “Për trajtimin me kredi të lehtësuar të të punësuarve në administratën</w:t>
      </w:r>
      <w:r w:rsidR="401D4A85" w:rsidRPr="00CB13F7">
        <w:rPr>
          <w:lang w:eastAsia="en-US"/>
        </w:rPr>
        <w:t>.</w:t>
      </w:r>
      <w:r w:rsidR="00307609" w:rsidRPr="00CB13F7">
        <w:rPr>
          <w:lang w:eastAsia="en-US"/>
        </w:rPr>
        <w:t>publike për blerjen e banesës”.</w:t>
      </w:r>
    </w:p>
    <w:p w14:paraId="1ECCB87D" w14:textId="26A94490" w:rsidR="00307609" w:rsidRPr="00CB13F7" w:rsidRDefault="00307609" w:rsidP="00724EFC">
      <w:pPr>
        <w:spacing w:before="120" w:after="120" w:line="276" w:lineRule="auto"/>
        <w:jc w:val="both"/>
        <w:rPr>
          <w:rFonts w:eastAsia="Times New Roman"/>
          <w:b/>
          <w:bCs/>
          <w:color w:val="1D2228"/>
          <w:lang w:eastAsia="en-US"/>
        </w:rPr>
      </w:pPr>
      <w:r w:rsidRPr="00CB13F7">
        <w:rPr>
          <w:lang w:eastAsia="en-US"/>
        </w:rPr>
        <w:t xml:space="preserve">VKM Nr. 456, datë 31.7.2025 Për përcaktimin e institucioneve përgjegjëse, të </w:t>
      </w:r>
      <w:r w:rsidR="00FA7794" w:rsidRPr="00CB13F7">
        <w:rPr>
          <w:lang w:eastAsia="en-US"/>
        </w:rPr>
        <w:t>procedurave</w:t>
      </w:r>
      <w:r w:rsidRPr="00CB13F7">
        <w:rPr>
          <w:lang w:eastAsia="en-US"/>
        </w:rPr>
        <w:t xml:space="preserve"> të miratimit dhe të dokumentacionit që duhet të plotësojnë familjet që përfitojnë kredi me interes të barabartë me 0%, të subvencionuar nga buxheti i shtetit, nëpërmjet entit kombëtar të banesave.</w:t>
      </w:r>
    </w:p>
    <w:p w14:paraId="2ECE4A09" w14:textId="77777777" w:rsidR="00307609" w:rsidRPr="00CB13F7" w:rsidRDefault="00FA7794" w:rsidP="00724EFC">
      <w:pPr>
        <w:spacing w:before="120" w:after="120" w:line="276" w:lineRule="auto"/>
        <w:jc w:val="both"/>
        <w:rPr>
          <w:rFonts w:eastAsia="Times New Roman"/>
          <w:b/>
          <w:bCs/>
          <w:i/>
          <w:iCs/>
          <w:color w:val="1D2228"/>
          <w:lang w:eastAsia="en-US"/>
        </w:rPr>
      </w:pPr>
      <w:r w:rsidRPr="00CB13F7">
        <w:rPr>
          <w:rFonts w:eastAsia="Times New Roman"/>
          <w:b/>
          <w:bCs/>
          <w:i/>
          <w:iCs/>
          <w:color w:val="1D2228"/>
          <w:lang w:eastAsia="en-US"/>
        </w:rPr>
        <w:t>VI. Punësimi</w:t>
      </w:r>
      <w:r w:rsidR="00307609" w:rsidRPr="00CB13F7">
        <w:rPr>
          <w:rFonts w:eastAsia="Times New Roman"/>
          <w:b/>
          <w:bCs/>
          <w:i/>
          <w:iCs/>
          <w:color w:val="1D2228"/>
          <w:lang w:eastAsia="en-US"/>
        </w:rPr>
        <w:t xml:space="preserve"> dhe aftësimi</w:t>
      </w:r>
    </w:p>
    <w:p w14:paraId="3AFAFEB5" w14:textId="77777777" w:rsidR="00307609" w:rsidRPr="00CB13F7" w:rsidRDefault="00307609" w:rsidP="00724EFC">
      <w:pPr>
        <w:spacing w:before="120" w:after="120" w:line="276" w:lineRule="auto"/>
        <w:jc w:val="both"/>
        <w:rPr>
          <w:spacing w:val="5"/>
          <w:lang w:eastAsia="en-US"/>
        </w:rPr>
      </w:pPr>
      <w:r w:rsidRPr="00CB13F7">
        <w:rPr>
          <w:spacing w:val="5"/>
          <w:lang w:eastAsia="en-US"/>
        </w:rPr>
        <w:t xml:space="preserve">Ligj nr. </w:t>
      </w:r>
      <w:r w:rsidR="00FA7794" w:rsidRPr="00CB13F7">
        <w:rPr>
          <w:spacing w:val="5"/>
          <w:lang w:eastAsia="en-US"/>
        </w:rPr>
        <w:t>Nr. 7961/1995</w:t>
      </w:r>
      <w:r w:rsidRPr="00CB13F7">
        <w:rPr>
          <w:spacing w:val="5"/>
          <w:lang w:eastAsia="en-US"/>
        </w:rPr>
        <w:t xml:space="preserve"> “Kodi i punës së Republikën e Shqipërisë”, (i ndryshuar).</w:t>
      </w:r>
    </w:p>
    <w:p w14:paraId="4A0A2B83" w14:textId="77777777" w:rsidR="00307609" w:rsidRPr="00CB13F7" w:rsidRDefault="00307609" w:rsidP="00724EFC">
      <w:pPr>
        <w:spacing w:before="120" w:after="120" w:line="276" w:lineRule="auto"/>
        <w:jc w:val="both"/>
        <w:rPr>
          <w:spacing w:val="5"/>
          <w:lang w:eastAsia="en-US"/>
        </w:rPr>
      </w:pPr>
      <w:r w:rsidRPr="00CB13F7">
        <w:rPr>
          <w:spacing w:val="5"/>
          <w:lang w:eastAsia="en-US"/>
        </w:rPr>
        <w:t>Ligj nr 15/2019 "Për nxitjen e Punësimit" (i ndryshuar).</w:t>
      </w:r>
    </w:p>
    <w:p w14:paraId="03341E8E" w14:textId="77777777" w:rsidR="00307609" w:rsidRPr="00CB13F7" w:rsidRDefault="00307609" w:rsidP="00724EFC">
      <w:pPr>
        <w:spacing w:before="120" w:after="120" w:line="276" w:lineRule="auto"/>
        <w:jc w:val="both"/>
        <w:rPr>
          <w:spacing w:val="5"/>
          <w:lang w:eastAsia="en-US"/>
        </w:rPr>
      </w:pPr>
      <w:r w:rsidRPr="00CB13F7">
        <w:rPr>
          <w:spacing w:val="5"/>
          <w:lang w:eastAsia="en-US"/>
        </w:rPr>
        <w:t>Ligj nr. 15/2017 “Për arsimin profesional në Republikën e Shqipërisë”.</w:t>
      </w:r>
    </w:p>
    <w:p w14:paraId="0184D886" w14:textId="77777777" w:rsidR="00307609" w:rsidRPr="00CB13F7" w:rsidRDefault="00307609" w:rsidP="00724EFC">
      <w:pPr>
        <w:spacing w:before="120" w:after="120" w:line="276" w:lineRule="auto"/>
        <w:jc w:val="both"/>
        <w:rPr>
          <w:spacing w:val="5"/>
          <w:lang w:eastAsia="en-US"/>
        </w:rPr>
      </w:pPr>
      <w:r w:rsidRPr="00CB13F7">
        <w:rPr>
          <w:spacing w:val="5"/>
          <w:lang w:eastAsia="en-US"/>
        </w:rPr>
        <w:t>VKM Nr. 177/2020 “Për përbërjen, kriteret dhe detyrat e bordit të administrimit të fondit social të punësimit dhe mënyrat e përdorimit të tij”.</w:t>
      </w:r>
    </w:p>
    <w:p w14:paraId="6073433A" w14:textId="77777777" w:rsidR="00307609" w:rsidRPr="00CB13F7" w:rsidRDefault="00307609" w:rsidP="00724EFC">
      <w:pPr>
        <w:spacing w:before="120" w:after="120" w:line="276" w:lineRule="auto"/>
        <w:jc w:val="both"/>
        <w:rPr>
          <w:spacing w:val="5"/>
          <w:lang w:eastAsia="en-US"/>
        </w:rPr>
      </w:pPr>
      <w:r w:rsidRPr="00CB13F7">
        <w:rPr>
          <w:spacing w:val="5"/>
          <w:lang w:eastAsia="en-US"/>
        </w:rPr>
        <w:t>VKM Nr. 17/2020 "Për procedurat, kriteret dhe rregullat për zbatimin e programeve të nxitjes së punësimit nëpërmjet punësimit, formimit në punë dhe praktikave profesionale”, i ndryshuar;</w:t>
      </w:r>
    </w:p>
    <w:p w14:paraId="40E701E6" w14:textId="72809110" w:rsidR="00307609" w:rsidRPr="00CB13F7" w:rsidRDefault="2B4FC900" w:rsidP="00724EFC">
      <w:pPr>
        <w:spacing w:before="120" w:after="120" w:line="276" w:lineRule="auto"/>
        <w:jc w:val="both"/>
        <w:rPr>
          <w:spacing w:val="5"/>
          <w:lang w:eastAsia="en-US"/>
        </w:rPr>
      </w:pPr>
      <w:r w:rsidRPr="00CB13F7">
        <w:rPr>
          <w:spacing w:val="5"/>
          <w:lang w:eastAsia="en-US"/>
        </w:rPr>
        <w:t xml:space="preserve">VKM Nr. 348/2020 "Për </w:t>
      </w:r>
      <w:r w:rsidR="10561E7E" w:rsidRPr="00CB13F7">
        <w:rPr>
          <w:spacing w:val="5"/>
          <w:lang w:eastAsia="en-US"/>
        </w:rPr>
        <w:t>procedurat</w:t>
      </w:r>
      <w:r w:rsidRPr="00CB13F7">
        <w:rPr>
          <w:spacing w:val="5"/>
          <w:lang w:eastAsia="en-US"/>
        </w:rPr>
        <w:t xml:space="preserve">, kriteret dhe rregullat për zbatimin e programit të nxitjes nëpërmjet vetëpunësimit", </w:t>
      </w:r>
      <w:r w:rsidR="6EA8A828" w:rsidRPr="00CB13F7">
        <w:rPr>
          <w:spacing w:val="5"/>
          <w:lang w:eastAsia="en-US"/>
        </w:rPr>
        <w:t>(</w:t>
      </w:r>
      <w:r w:rsidRPr="00CB13F7">
        <w:rPr>
          <w:spacing w:val="5"/>
          <w:lang w:eastAsia="en-US"/>
        </w:rPr>
        <w:t>i ndryshuar</w:t>
      </w:r>
      <w:r w:rsidR="395E2205" w:rsidRPr="00CB13F7">
        <w:rPr>
          <w:spacing w:val="5"/>
          <w:lang w:eastAsia="en-US"/>
        </w:rPr>
        <w:t>)</w:t>
      </w:r>
      <w:r w:rsidRPr="00CB13F7">
        <w:rPr>
          <w:spacing w:val="5"/>
          <w:lang w:eastAsia="en-US"/>
        </w:rPr>
        <w:t>.</w:t>
      </w:r>
    </w:p>
    <w:p w14:paraId="7940A89F" w14:textId="77372B4A" w:rsidR="00307609" w:rsidRPr="00CB13F7" w:rsidRDefault="2B4FC900" w:rsidP="00724EFC">
      <w:pPr>
        <w:spacing w:before="120" w:after="120" w:line="276" w:lineRule="auto"/>
        <w:jc w:val="both"/>
        <w:rPr>
          <w:spacing w:val="5"/>
          <w:lang w:eastAsia="en-US"/>
        </w:rPr>
      </w:pPr>
      <w:r w:rsidRPr="00CB13F7">
        <w:rPr>
          <w:spacing w:val="5"/>
          <w:lang w:eastAsia="en-US"/>
        </w:rPr>
        <w:t xml:space="preserve">VKM Nr. 535/2020 "Për procedurat, kriteret dhe rregullat për zbatimin e programit të punëve publike në komunitet”, </w:t>
      </w:r>
      <w:r w:rsidR="4413EADF" w:rsidRPr="00CB13F7">
        <w:rPr>
          <w:spacing w:val="5"/>
          <w:lang w:eastAsia="en-US"/>
        </w:rPr>
        <w:t>(</w:t>
      </w:r>
      <w:r w:rsidRPr="00CB13F7">
        <w:rPr>
          <w:spacing w:val="5"/>
          <w:lang w:eastAsia="en-US"/>
        </w:rPr>
        <w:t>i ndryshuar</w:t>
      </w:r>
      <w:r w:rsidR="62FC261B" w:rsidRPr="00CB13F7">
        <w:rPr>
          <w:spacing w:val="5"/>
          <w:lang w:eastAsia="en-US"/>
        </w:rPr>
        <w:t>)</w:t>
      </w:r>
      <w:r w:rsidRPr="00CB13F7">
        <w:rPr>
          <w:spacing w:val="5"/>
          <w:lang w:eastAsia="en-US"/>
        </w:rPr>
        <w:t>.</w:t>
      </w:r>
    </w:p>
    <w:p w14:paraId="4091D452" w14:textId="719EE1AE" w:rsidR="00307609" w:rsidRPr="00CB13F7" w:rsidRDefault="009A09D9" w:rsidP="00724EFC">
      <w:pPr>
        <w:spacing w:before="120" w:after="120" w:line="276" w:lineRule="auto"/>
        <w:jc w:val="both"/>
        <w:rPr>
          <w:spacing w:val="5"/>
          <w:lang w:eastAsia="en-US"/>
        </w:rPr>
      </w:pPr>
      <w:hyperlink r:id="rId21" w:history="1">
        <w:r w:rsidR="2B4FC900" w:rsidRPr="00CB13F7">
          <w:rPr>
            <w:spacing w:val="5"/>
            <w:lang w:eastAsia="en-US"/>
          </w:rPr>
          <w:t xml:space="preserve">VKM Nr. 837, datë 28.10.2020 “Procedurat, Kriteret e Rregullat për Ofrimin e Shërbimeve të Punësimit”, </w:t>
        </w:r>
        <w:r w:rsidR="1504A77B" w:rsidRPr="00CB13F7">
          <w:rPr>
            <w:spacing w:val="5"/>
            <w:lang w:eastAsia="en-US"/>
          </w:rPr>
          <w:t>(</w:t>
        </w:r>
        <w:r w:rsidR="2B4FC900" w:rsidRPr="00CB13F7">
          <w:rPr>
            <w:spacing w:val="5"/>
            <w:lang w:eastAsia="en-US"/>
          </w:rPr>
          <w:t>i ndryshuar</w:t>
        </w:r>
        <w:r w:rsidR="519DDE49" w:rsidRPr="00CB13F7">
          <w:rPr>
            <w:spacing w:val="5"/>
            <w:lang w:eastAsia="en-US"/>
          </w:rPr>
          <w:t>)</w:t>
        </w:r>
      </w:hyperlink>
      <w:r w:rsidR="2B4FC900" w:rsidRPr="00CB13F7">
        <w:rPr>
          <w:spacing w:val="5"/>
          <w:lang w:eastAsia="en-US"/>
        </w:rPr>
        <w:t>.</w:t>
      </w:r>
    </w:p>
    <w:p w14:paraId="358B31AB" w14:textId="77777777" w:rsidR="00307609" w:rsidRPr="00CB13F7" w:rsidRDefault="00307609" w:rsidP="00724EFC">
      <w:pPr>
        <w:spacing w:before="120" w:after="120" w:line="276" w:lineRule="auto"/>
        <w:jc w:val="both"/>
        <w:rPr>
          <w:spacing w:val="5"/>
          <w:lang w:eastAsia="en-US"/>
        </w:rPr>
      </w:pPr>
      <w:r w:rsidRPr="00CB13F7">
        <w:rPr>
          <w:spacing w:val="5"/>
          <w:lang w:eastAsia="en-US"/>
        </w:rPr>
        <w:t>VKM Nr. 264, datë 27.4.2023 “Për miratimin e procedurave, kritereve dhe rregullave për zbatimin e programit të nxitjes së punësimit, sipas skemës së garancisë rinore nëpërmjet të nxënit në vendin e punës”.</w:t>
      </w:r>
    </w:p>
    <w:p w14:paraId="37FD4BD5" w14:textId="77777777" w:rsidR="00307609" w:rsidRPr="00CB13F7" w:rsidRDefault="00307609" w:rsidP="00724EFC">
      <w:pPr>
        <w:spacing w:before="120" w:after="120" w:line="276" w:lineRule="auto"/>
        <w:jc w:val="both"/>
        <w:rPr>
          <w:spacing w:val="5"/>
          <w:lang w:eastAsia="en-US"/>
        </w:rPr>
      </w:pPr>
      <w:r w:rsidRPr="00CB13F7">
        <w:rPr>
          <w:spacing w:val="5"/>
          <w:lang w:eastAsia="en-US"/>
        </w:rPr>
        <w:lastRenderedPageBreak/>
        <w:t>VKM Nr. 401, datë 19.06.2024 “Për përcaktimin e procedurave, kritereve dhe rregullave për zbatimin e programit të nxitjes së punësimit nëpërmjet riintegrimit social”.</w:t>
      </w:r>
    </w:p>
    <w:p w14:paraId="0B52F4A3" w14:textId="77777777" w:rsidR="00307609" w:rsidRPr="00CB13F7" w:rsidRDefault="009A09D9" w:rsidP="00724EFC">
      <w:pPr>
        <w:spacing w:before="120" w:after="120" w:line="276" w:lineRule="auto"/>
        <w:jc w:val="both"/>
        <w:rPr>
          <w:spacing w:val="5"/>
          <w:lang w:eastAsia="en-US"/>
        </w:rPr>
      </w:pPr>
      <w:hyperlink r:id="rId22" w:tgtFrame="_blank" w:history="1">
        <w:r w:rsidR="00FA7794" w:rsidRPr="00CB13F7">
          <w:rPr>
            <w:spacing w:val="5"/>
            <w:lang w:eastAsia="en-US"/>
          </w:rPr>
          <w:t>VKM Nr. 646, datë 5.10.2022 “Për procedurat, kriteret dhe rregullat për zbatimin e programeve të formimit profesional nëpërmjet mbështetjes financiare të ofruar, sipas procedurave të konkurrimit, për kurset e formimit profesional të organizuara nga institucionet e formimit profesional, publike apo privatë</w:t>
        </w:r>
      </w:hyperlink>
      <w:r w:rsidR="00FA7794" w:rsidRPr="00CB13F7">
        <w:rPr>
          <w:spacing w:val="5"/>
          <w:lang w:eastAsia="en-US"/>
        </w:rPr>
        <w:t>.</w:t>
      </w:r>
    </w:p>
    <w:p w14:paraId="563EE684" w14:textId="400AE2E2" w:rsidR="00307609" w:rsidRPr="00CB13F7" w:rsidRDefault="00307609" w:rsidP="00724EFC">
      <w:pPr>
        <w:spacing w:before="120" w:after="120" w:line="276" w:lineRule="auto"/>
        <w:jc w:val="both"/>
        <w:rPr>
          <w:b/>
          <w:bCs/>
          <w:i/>
          <w:iCs/>
          <w:lang w:eastAsia="en-US"/>
        </w:rPr>
      </w:pPr>
      <w:r w:rsidRPr="00CB13F7">
        <w:rPr>
          <w:spacing w:val="5"/>
          <w:lang w:eastAsia="en-US"/>
        </w:rPr>
        <w:t>Udhëzimit Nr. 13, datë 13.04.2022 “Për mësuesin ndihmës dhe ngritjen e funksionimin e komisionit për nxënësit me aftësi të kufizuara në institucionet publike të arsimit profesional.</w:t>
      </w:r>
    </w:p>
    <w:p w14:paraId="461E4BAA" w14:textId="77777777" w:rsidR="00307609" w:rsidRPr="00CB13F7" w:rsidRDefault="00FA7794" w:rsidP="00724EFC">
      <w:pPr>
        <w:spacing w:before="120" w:after="120" w:line="276" w:lineRule="auto"/>
        <w:jc w:val="both"/>
        <w:rPr>
          <w:b/>
          <w:bCs/>
          <w:i/>
          <w:iCs/>
          <w:lang w:eastAsia="en-US"/>
        </w:rPr>
      </w:pPr>
      <w:r w:rsidRPr="00CB13F7">
        <w:rPr>
          <w:b/>
          <w:bCs/>
          <w:i/>
          <w:iCs/>
          <w:lang w:eastAsia="en-US"/>
        </w:rPr>
        <w:t>VII. Arsimi</w:t>
      </w:r>
      <w:r w:rsidR="00307609" w:rsidRPr="00CB13F7">
        <w:rPr>
          <w:b/>
          <w:bCs/>
          <w:i/>
          <w:iCs/>
          <w:lang w:eastAsia="en-US"/>
        </w:rPr>
        <w:t xml:space="preserve"> </w:t>
      </w:r>
    </w:p>
    <w:p w14:paraId="1349A050" w14:textId="77777777" w:rsidR="00307609" w:rsidRPr="00CB13F7" w:rsidRDefault="00307609" w:rsidP="00724EFC">
      <w:pPr>
        <w:spacing w:before="120" w:after="120" w:line="276" w:lineRule="auto"/>
        <w:jc w:val="both"/>
        <w:rPr>
          <w:lang w:eastAsia="en-US"/>
        </w:rPr>
      </w:pPr>
      <w:r w:rsidRPr="00CB13F7">
        <w:rPr>
          <w:lang w:eastAsia="en-US"/>
        </w:rPr>
        <w:t>Ligji 69/2012 “Për sistemin arsimor parauniversitar në Republikën e Shqipërisë”, (i ndryshuar).</w:t>
      </w:r>
    </w:p>
    <w:p w14:paraId="0A97D197" w14:textId="77777777" w:rsidR="00307609" w:rsidRPr="00CB13F7" w:rsidRDefault="00307609" w:rsidP="00724EFC">
      <w:pPr>
        <w:spacing w:before="120" w:after="120" w:line="276" w:lineRule="auto"/>
        <w:jc w:val="both"/>
        <w:rPr>
          <w:lang w:eastAsia="en-US"/>
        </w:rPr>
      </w:pPr>
      <w:r w:rsidRPr="00CB13F7">
        <w:rPr>
          <w:lang w:eastAsia="en-US"/>
        </w:rPr>
        <w:t>VKM Nr. 269, datë 29.03.2017 të Këshillit të Ministrave për përcaktimin e kategorive të individëve që plotësojnë kriteret e pranimit në një program të ciklit të parë të studimeve, në një program të integruar të studimeve ose në një program të studimeve profesionale që përjashtohen nga tarifa vjetore e shkollimit" ndryshuar me VKM-në Nr. 40 datë 23.01.2019 dhe VKM-në Nr. 251 datë 27.03.2020.</w:t>
      </w:r>
    </w:p>
    <w:p w14:paraId="7D504DFE" w14:textId="417C05A5" w:rsidR="00307609" w:rsidRPr="00CB13F7" w:rsidRDefault="2B4FC900" w:rsidP="00724EFC">
      <w:pPr>
        <w:spacing w:before="120" w:after="120" w:line="276" w:lineRule="auto"/>
        <w:jc w:val="both"/>
        <w:rPr>
          <w:lang w:eastAsia="en-US"/>
        </w:rPr>
      </w:pPr>
      <w:r w:rsidRPr="00CB13F7">
        <w:rPr>
          <w:lang w:eastAsia="en-US"/>
        </w:rPr>
        <w:t xml:space="preserve">VKM </w:t>
      </w:r>
      <w:r w:rsidR="10561E7E" w:rsidRPr="00CB13F7">
        <w:rPr>
          <w:lang w:eastAsia="en-US"/>
        </w:rPr>
        <w:t>nr. 148</w:t>
      </w:r>
      <w:r w:rsidRPr="00CB13F7">
        <w:rPr>
          <w:lang w:eastAsia="en-US"/>
        </w:rPr>
        <w:t xml:space="preserve">, datë 13.3.2024 “Për kriteret dhe </w:t>
      </w:r>
      <w:r w:rsidR="10561E7E" w:rsidRPr="00CB13F7">
        <w:rPr>
          <w:lang w:eastAsia="en-US"/>
        </w:rPr>
        <w:t>procedurat</w:t>
      </w:r>
      <w:r w:rsidRPr="00CB13F7">
        <w:rPr>
          <w:lang w:eastAsia="en-US"/>
        </w:rPr>
        <w:t xml:space="preserve"> për hapjen, mbylljen dhe riorganizimin e institucioneve të arsimit special në qendra burimore, si dhe për mënyrën e organizimit e të funksionimit të tyre”.</w:t>
      </w:r>
    </w:p>
    <w:p w14:paraId="0CCCF5B3" w14:textId="55F42BDD" w:rsidR="00307609" w:rsidRPr="00CB13F7" w:rsidRDefault="2B4FC900" w:rsidP="00724EFC">
      <w:pPr>
        <w:spacing w:before="120" w:after="120" w:line="276" w:lineRule="auto"/>
        <w:jc w:val="both"/>
        <w:rPr>
          <w:lang w:eastAsia="en-US"/>
        </w:rPr>
      </w:pPr>
      <w:r w:rsidRPr="00CB13F7">
        <w:rPr>
          <w:lang w:eastAsia="en-US"/>
        </w:rPr>
        <w:t xml:space="preserve">VKM Nr. 511, datë 27.7.2022 “Për disa ndryshime dhe shtesa në vendimin nr. </w:t>
      </w:r>
      <w:r w:rsidR="10561E7E" w:rsidRPr="00CB13F7">
        <w:rPr>
          <w:lang w:eastAsia="en-US"/>
        </w:rPr>
        <w:t xml:space="preserve">666, datë 10.10.2019, të këshillit të ministrave, “Për kuotat financiare të ushqimit në mensa e konvikte dhe përcaktimin e kritereve për përfitimin e bursave e të pagesave për nxënësit e arsimit parauniversitar në institucionet arsimore publike”, </w:t>
      </w:r>
      <w:r w:rsidR="2FA03900" w:rsidRPr="00CB13F7">
        <w:rPr>
          <w:lang w:eastAsia="en-US"/>
        </w:rPr>
        <w:t>(</w:t>
      </w:r>
      <w:r w:rsidR="10561E7E" w:rsidRPr="00CB13F7">
        <w:rPr>
          <w:lang w:eastAsia="en-US"/>
        </w:rPr>
        <w:t>të ndryshuar</w:t>
      </w:r>
      <w:r w:rsidR="6087DBB7" w:rsidRPr="00CB13F7">
        <w:rPr>
          <w:lang w:eastAsia="en-US"/>
        </w:rPr>
        <w:t>)</w:t>
      </w:r>
      <w:r w:rsidR="10561E7E" w:rsidRPr="00CB13F7">
        <w:rPr>
          <w:lang w:eastAsia="en-US"/>
        </w:rPr>
        <w:t>.</w:t>
      </w:r>
    </w:p>
    <w:p w14:paraId="2DFA8136" w14:textId="08AED563" w:rsidR="00307609" w:rsidRPr="00CB13F7" w:rsidRDefault="2B4FC900" w:rsidP="00724EFC">
      <w:pPr>
        <w:spacing w:before="120" w:after="120" w:line="276" w:lineRule="auto"/>
        <w:jc w:val="both"/>
        <w:rPr>
          <w:lang w:eastAsia="en-US"/>
        </w:rPr>
      </w:pPr>
      <w:r w:rsidRPr="00CB13F7">
        <w:rPr>
          <w:lang w:eastAsia="en-US"/>
        </w:rPr>
        <w:t>VKM Nr. 682, datë 29.7.2015 “Për përdorimin e fondeve publike për transportimin e punonjësve arsimorë që punojnë dhe të nxënësve që mësojnë jashtë vendbanimit”, (</w:t>
      </w:r>
      <w:r w:rsidR="0AD90E06" w:rsidRPr="00CB13F7">
        <w:rPr>
          <w:lang w:eastAsia="en-US"/>
        </w:rPr>
        <w:t xml:space="preserve">i </w:t>
      </w:r>
      <w:r w:rsidRPr="00CB13F7">
        <w:rPr>
          <w:lang w:eastAsia="en-US"/>
        </w:rPr>
        <w:t>ndryshuar).</w:t>
      </w:r>
    </w:p>
    <w:p w14:paraId="7E3BBC65" w14:textId="77777777" w:rsidR="00307609" w:rsidRPr="00CB13F7" w:rsidRDefault="00307609" w:rsidP="00724EFC">
      <w:pPr>
        <w:spacing w:before="120" w:after="120" w:line="276" w:lineRule="auto"/>
        <w:jc w:val="both"/>
        <w:rPr>
          <w:lang w:eastAsia="en-US"/>
        </w:rPr>
      </w:pPr>
      <w:r w:rsidRPr="00CB13F7">
        <w:rPr>
          <w:lang w:eastAsia="en-US"/>
        </w:rPr>
        <w:t>Udhëzues për veprimtarinë e Komisioneve Multidisiplinare për vlerësimin e nevojave të nxënësve me aftësi të kufizuara, me nr. 1448/2, datë 11.3.2024.</w:t>
      </w:r>
    </w:p>
    <w:p w14:paraId="54B76F58" w14:textId="77777777" w:rsidR="00307609" w:rsidRPr="00CB13F7" w:rsidRDefault="00307609" w:rsidP="00724EFC">
      <w:pPr>
        <w:spacing w:before="120" w:after="120" w:line="276" w:lineRule="auto"/>
        <w:jc w:val="both"/>
        <w:rPr>
          <w:lang w:eastAsia="en-US"/>
        </w:rPr>
      </w:pPr>
      <w:r w:rsidRPr="00CB13F7">
        <w:rPr>
          <w:lang w:eastAsia="en-US"/>
        </w:rPr>
        <w:t>Urdhër Nr. 32, datë 3.2.2026 “Për miratimin e metodologjisë dhe instrumentet për vlerësimin e gjithëpërfshirjes në sistemin arsimor parauniversitar”.</w:t>
      </w:r>
    </w:p>
    <w:p w14:paraId="1C37582A" w14:textId="77777777" w:rsidR="00307609" w:rsidRPr="00CB13F7" w:rsidRDefault="00307609" w:rsidP="00724EFC">
      <w:pPr>
        <w:spacing w:before="120" w:after="120" w:line="276" w:lineRule="auto"/>
        <w:jc w:val="both"/>
        <w:rPr>
          <w:lang w:eastAsia="en-US"/>
        </w:rPr>
      </w:pPr>
      <w:r w:rsidRPr="00CB13F7">
        <w:rPr>
          <w:lang w:eastAsia="en-US"/>
        </w:rPr>
        <w:t>Marrëveshja e bashkëpunimit nr. 7522 prot., datë 12.7.2018, “Për identifikimin dhe regjistrimin në IAP të të gjithë fëmijëve të moshës shkollore” ndërmjet Ministrisë së Arsimit, Sportit dhe Rinisë, Ministrisë së Shëndetësisë dhe Mbrojtjes Sociale dhe Ministrisë së Brendshme.</w:t>
      </w:r>
    </w:p>
    <w:p w14:paraId="123E0AE4" w14:textId="77777777" w:rsidR="00307609" w:rsidRPr="00CB13F7" w:rsidRDefault="00307609" w:rsidP="00724EFC">
      <w:pPr>
        <w:spacing w:before="120" w:after="120" w:line="276" w:lineRule="auto"/>
        <w:jc w:val="both"/>
        <w:rPr>
          <w:bCs/>
          <w:lang w:eastAsia="en-US"/>
        </w:rPr>
      </w:pPr>
      <w:r w:rsidRPr="00CB13F7">
        <w:rPr>
          <w:bCs/>
          <w:lang w:eastAsia="en-US"/>
        </w:rPr>
        <w:t>Udhëzim nr. 21, datë 18.8.2016 “Për organizimin dhe funksionimin e gjimnazit me kohë të pjesshme”, (i ndryshuar).</w:t>
      </w:r>
    </w:p>
    <w:p w14:paraId="7134992D" w14:textId="4DF1703E" w:rsidR="00307609" w:rsidRPr="00CB13F7" w:rsidRDefault="2B4FC900" w:rsidP="661F9D2E">
      <w:pPr>
        <w:spacing w:before="120" w:after="120" w:line="276" w:lineRule="auto"/>
        <w:jc w:val="both"/>
        <w:rPr>
          <w:lang w:eastAsia="en-US"/>
        </w:rPr>
      </w:pPr>
      <w:r w:rsidRPr="00CB13F7">
        <w:rPr>
          <w:lang w:eastAsia="en-US"/>
        </w:rPr>
        <w:t xml:space="preserve">Udhëzim nr. 17, datë 9.5.2018 “Për </w:t>
      </w:r>
      <w:r w:rsidR="10561E7E" w:rsidRPr="00CB13F7">
        <w:rPr>
          <w:lang w:eastAsia="en-US"/>
        </w:rPr>
        <w:t>procedurat</w:t>
      </w:r>
      <w:r w:rsidRPr="00CB13F7">
        <w:rPr>
          <w:lang w:eastAsia="en-US"/>
        </w:rPr>
        <w:t xml:space="preserve"> e ndjekjes së arsimit të detyruar nga nxënësit që nuk kanë ndjekur të paktën dy klasa të arsimit bazë dhe për arsimimin me kohë të pjesshme në arsimin bazë”.</w:t>
      </w:r>
    </w:p>
    <w:p w14:paraId="09E55713" w14:textId="77777777" w:rsidR="00307609" w:rsidRPr="00CB13F7" w:rsidRDefault="00307609" w:rsidP="00724EFC">
      <w:pPr>
        <w:spacing w:before="120" w:after="120" w:line="276" w:lineRule="auto"/>
        <w:jc w:val="both"/>
        <w:rPr>
          <w:lang w:eastAsia="en-US"/>
        </w:rPr>
      </w:pPr>
      <w:r w:rsidRPr="00CB13F7">
        <w:rPr>
          <w:lang w:eastAsia="en-US"/>
        </w:rPr>
        <w:lastRenderedPageBreak/>
        <w:t>Udhëzimi nr. 38, datë 07.10.2014 “Për kriteret e mësuesit ndihmës për nxënësit me AK në institucionet publike të arsimit parauniversitar”.</w:t>
      </w:r>
    </w:p>
    <w:p w14:paraId="3E4A33D1" w14:textId="77777777" w:rsidR="00307609" w:rsidRPr="00CB13F7" w:rsidRDefault="00307609" w:rsidP="00724EFC">
      <w:pPr>
        <w:spacing w:before="120" w:after="120" w:line="276" w:lineRule="auto"/>
        <w:jc w:val="both"/>
        <w:rPr>
          <w:lang w:eastAsia="en-US"/>
        </w:rPr>
      </w:pPr>
      <w:r w:rsidRPr="00CB13F7">
        <w:rPr>
          <w:lang w:eastAsia="en-US"/>
        </w:rPr>
        <w:t>Udhëzimi nr. 26, datë 25.11.2019, “Për mësuesin ndihmës për nxënësit me aftësi të kufizuara në institucionet publike të arsimit parauniversitar”, (i ndryshuar).</w:t>
      </w:r>
    </w:p>
    <w:p w14:paraId="4527BEE2" w14:textId="02B65F57" w:rsidR="00307609" w:rsidRPr="00CB13F7" w:rsidRDefault="00307609" w:rsidP="00724EFC">
      <w:pPr>
        <w:spacing w:before="120" w:after="120" w:line="276" w:lineRule="auto"/>
        <w:jc w:val="both"/>
        <w:rPr>
          <w:rFonts w:eastAsia="Times New Roman"/>
          <w:b/>
          <w:bCs/>
          <w:color w:val="242424"/>
          <w:lang w:eastAsia="en-US"/>
        </w:rPr>
      </w:pPr>
      <w:r w:rsidRPr="00CB13F7">
        <w:rPr>
          <w:lang w:eastAsia="en-US"/>
        </w:rPr>
        <w:t>Urdhri nr. 31, datë 28.01.2020 “Rregullorja për funksionimin e institucioneve arsimore parauniversitare në Republikën e Shqipërisë”, (i ndryshuar).</w:t>
      </w:r>
    </w:p>
    <w:p w14:paraId="20D2CA28" w14:textId="77777777" w:rsidR="00307609" w:rsidRPr="00CB13F7" w:rsidRDefault="00FA7794" w:rsidP="00724EFC">
      <w:pPr>
        <w:spacing w:before="120" w:after="120" w:line="276" w:lineRule="auto"/>
        <w:jc w:val="both"/>
        <w:rPr>
          <w:b/>
          <w:bCs/>
          <w:i/>
          <w:iCs/>
        </w:rPr>
      </w:pPr>
      <w:r w:rsidRPr="00CB13F7">
        <w:rPr>
          <w:b/>
          <w:bCs/>
          <w:i/>
          <w:iCs/>
        </w:rPr>
        <w:t>VIII. Kultura</w:t>
      </w:r>
    </w:p>
    <w:p w14:paraId="51A22324" w14:textId="77777777" w:rsidR="00307609" w:rsidRPr="00CB13F7" w:rsidRDefault="00307609" w:rsidP="00724EFC">
      <w:pPr>
        <w:spacing w:before="120" w:after="120" w:line="276" w:lineRule="auto"/>
        <w:jc w:val="both"/>
      </w:pPr>
      <w:r w:rsidRPr="00CB13F7">
        <w:t>Ligjin nr. 27/2018 “Për Trashëgiminë Kulturore dhe Muzetë“.</w:t>
      </w:r>
    </w:p>
    <w:p w14:paraId="542B0846" w14:textId="214237AA" w:rsidR="00307609" w:rsidRPr="00CB13F7" w:rsidRDefault="2B4FC900" w:rsidP="00724EFC">
      <w:pPr>
        <w:spacing w:before="120" w:after="120" w:line="276" w:lineRule="auto"/>
        <w:jc w:val="both"/>
      </w:pPr>
      <w:r w:rsidRPr="00CB13F7">
        <w:t xml:space="preserve">Ligjin </w:t>
      </w:r>
      <w:r w:rsidR="10561E7E" w:rsidRPr="00CB13F7">
        <w:t>Nr. 10</w:t>
      </w:r>
      <w:r w:rsidRPr="00CB13F7">
        <w:t xml:space="preserve"> 352, datë 18.11.2010 “Për Artin dhe Kulturën” (i ndryshua</w:t>
      </w:r>
      <w:r w:rsidR="109D0D4D" w:rsidRPr="00CB13F7">
        <w:t>r</w:t>
      </w:r>
      <w:r w:rsidRPr="00CB13F7">
        <w:t>).</w:t>
      </w:r>
    </w:p>
    <w:p w14:paraId="11E94A5C" w14:textId="77777777" w:rsidR="00307609" w:rsidRPr="00CB13F7" w:rsidRDefault="00307609" w:rsidP="00724EFC">
      <w:pPr>
        <w:spacing w:before="120" w:after="120" w:line="276" w:lineRule="auto"/>
        <w:jc w:val="both"/>
      </w:pPr>
      <w:r w:rsidRPr="00CB13F7">
        <w:t xml:space="preserve">Ligji </w:t>
      </w:r>
      <w:r w:rsidR="00FA7794" w:rsidRPr="00CB13F7">
        <w:t>Nr. 35/2016</w:t>
      </w:r>
      <w:r w:rsidRPr="00CB13F7">
        <w:t xml:space="preserve"> “Për të drejtat e autorit dhe të drejtat e ngjashme”.</w:t>
      </w:r>
    </w:p>
    <w:p w14:paraId="67DD62DE" w14:textId="250720D4" w:rsidR="00307609" w:rsidRPr="00CB13F7" w:rsidRDefault="2B4FC900" w:rsidP="00724EFC">
      <w:pPr>
        <w:spacing w:before="120" w:after="120" w:line="276" w:lineRule="auto"/>
        <w:jc w:val="both"/>
        <w:rPr>
          <w:lang w:eastAsia="en-US"/>
        </w:rPr>
      </w:pPr>
      <w:r w:rsidRPr="00CB13F7">
        <w:t xml:space="preserve">VKM nr. 776, datë 14.12.2005, “Për vendosjen e çmimeve të reduktuara të biletave të muzeve publike për kategori të caktuara shoqërore”, </w:t>
      </w:r>
      <w:r w:rsidR="2596FE37" w:rsidRPr="00CB13F7">
        <w:t>(</w:t>
      </w:r>
      <w:r w:rsidRPr="00CB13F7">
        <w:t>i ndryshuar</w:t>
      </w:r>
      <w:r w:rsidR="1F4E7E9D" w:rsidRPr="00CB13F7">
        <w:t>)</w:t>
      </w:r>
      <w:r w:rsidRPr="00CB13F7">
        <w:t xml:space="preserve">. </w:t>
      </w:r>
    </w:p>
    <w:p w14:paraId="3326BDF5" w14:textId="77777777" w:rsidR="00307609" w:rsidRPr="00CB13F7" w:rsidRDefault="00FA7794" w:rsidP="00724EFC">
      <w:pPr>
        <w:pStyle w:val="NoSpacing"/>
        <w:spacing w:before="120" w:after="120" w:line="276" w:lineRule="auto"/>
        <w:jc w:val="both"/>
        <w:rPr>
          <w:rFonts w:ascii="Times New Roman" w:hAnsi="Times New Roman"/>
          <w:b/>
          <w:bCs/>
          <w:i/>
          <w:iCs/>
          <w:sz w:val="24"/>
          <w:szCs w:val="24"/>
          <w:lang w:val="sq-AL"/>
        </w:rPr>
      </w:pPr>
      <w:r w:rsidRPr="00CB13F7">
        <w:rPr>
          <w:rFonts w:ascii="Times New Roman" w:hAnsi="Times New Roman"/>
          <w:b/>
          <w:bCs/>
          <w:i/>
          <w:iCs/>
          <w:sz w:val="24"/>
          <w:szCs w:val="24"/>
          <w:lang w:val="sq-AL"/>
        </w:rPr>
        <w:t>IX. Kuadri</w:t>
      </w:r>
      <w:r w:rsidR="00307609" w:rsidRPr="00CB13F7">
        <w:rPr>
          <w:rFonts w:ascii="Times New Roman" w:hAnsi="Times New Roman"/>
          <w:b/>
          <w:bCs/>
          <w:i/>
          <w:iCs/>
          <w:sz w:val="24"/>
          <w:szCs w:val="24"/>
          <w:lang w:val="sq-AL"/>
        </w:rPr>
        <w:t xml:space="preserve"> ligjor Pjesëmarrja në jetën publike e politike</w:t>
      </w:r>
    </w:p>
    <w:p w14:paraId="70523BA3" w14:textId="77777777" w:rsidR="00307609" w:rsidRPr="00CB13F7" w:rsidRDefault="00307609"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Ligji nr. 10019, datë 29.12.2008 “Për Kodin Zgjedhor të Republikës së Shqipërisë”, i ndryshuar me Ligji nr. 118/2020, datë 5.10.2020.</w:t>
      </w:r>
    </w:p>
    <w:p w14:paraId="1DC6E20A" w14:textId="4A0FDAD4"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Ligji nr. 25/2014 “Për disa ndryshime dhe shtesa në Ligjin nr. 10 352, datë 18.11.2010, “Për Artin dhe Kulturën”</w:t>
      </w:r>
      <w:r w:rsidR="60585C55" w:rsidRPr="00CB13F7">
        <w:rPr>
          <w:rFonts w:ascii="Times New Roman" w:hAnsi="Times New Roman"/>
          <w:sz w:val="24"/>
          <w:szCs w:val="24"/>
          <w:lang w:val="sq-AL"/>
        </w:rPr>
        <w:t>.</w:t>
      </w:r>
      <w:r w:rsidRPr="00CB13F7">
        <w:rPr>
          <w:rFonts w:ascii="Times New Roman" w:hAnsi="Times New Roman"/>
          <w:sz w:val="24"/>
          <w:szCs w:val="24"/>
          <w:lang w:val="sq-AL"/>
        </w:rPr>
        <w:t xml:space="preserve"> </w:t>
      </w:r>
    </w:p>
    <w:p w14:paraId="71DA5CD7" w14:textId="444FA178"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Ligji nr. 27/2018 “Për Trashëgiminë dhe Muzetë”</w:t>
      </w:r>
      <w:r w:rsidR="37F74927" w:rsidRPr="00CB13F7">
        <w:rPr>
          <w:rFonts w:ascii="Times New Roman" w:hAnsi="Times New Roman"/>
          <w:sz w:val="24"/>
          <w:szCs w:val="24"/>
          <w:lang w:val="sq-AL"/>
        </w:rPr>
        <w:t>.</w:t>
      </w:r>
    </w:p>
    <w:p w14:paraId="6128A1AF" w14:textId="756C5090"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LIGJ Nr. 79/2017 PËR SPORTIN (Ndryshuar me ligjin nr. 105/2020, datë 29.7.2020; nr. 42/2025, datë 26.6.2025) (Ndryshuar me ligjin nr. 105/2020, datë 29.7.2020; nr. 42/2025, datë 26.6.2025)</w:t>
      </w:r>
      <w:r w:rsidR="14374FE9" w:rsidRPr="00CB13F7">
        <w:rPr>
          <w:rFonts w:ascii="Times New Roman" w:hAnsi="Times New Roman"/>
          <w:sz w:val="24"/>
          <w:szCs w:val="24"/>
          <w:lang w:val="sq-AL"/>
        </w:rPr>
        <w:t>.</w:t>
      </w:r>
    </w:p>
    <w:p w14:paraId="6ECFA0E5" w14:textId="426BEA8B"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VKM Nr. 411, Datë: 19.06.2019, Për disa ndryshime në Vendimin nr. 708, datë 26.8.2015, i Këshillit të Ministrave, "Për llojet, periodicitetin dhe mënyrën e raportimit të të dhënave statistikore për aftësinë e kufizuar nga strukturat shtetërore përgjegjëse, në nivelin qendror dhe lokal</w:t>
      </w:r>
      <w:r w:rsidR="63BA7821" w:rsidRPr="00CB13F7">
        <w:rPr>
          <w:rFonts w:ascii="Times New Roman" w:hAnsi="Times New Roman"/>
          <w:sz w:val="24"/>
          <w:szCs w:val="24"/>
          <w:lang w:val="sq-AL"/>
        </w:rPr>
        <w:t>”.</w:t>
      </w:r>
    </w:p>
    <w:p w14:paraId="2E5C67BB" w14:textId="77777777" w:rsidR="00307609" w:rsidRPr="00CB13F7" w:rsidRDefault="00307609"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VKM Nr. 196, datë 4.4.2018</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Për një ndryshim në vendimin nr. 48, datë 21.1.2015, të Këshillit</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të Ministrave, “Për miratimin</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e rregullores për funksionimin</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e këshillit</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kombëtar për</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aftësinë e kufizuar”</w:t>
      </w:r>
    </w:p>
    <w:p w14:paraId="2A04320C" w14:textId="6CF987C2"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VKM nr. 107, datë 17.2.2021 “Për miratimin e Strategjisë Kombëtare për Kulturën 2021</w:t>
      </w:r>
      <w:r w:rsidR="77B74F3F" w:rsidRPr="00CB13F7">
        <w:rPr>
          <w:rFonts w:ascii="Times New Roman" w:hAnsi="Times New Roman"/>
          <w:sz w:val="24"/>
          <w:szCs w:val="24"/>
          <w:lang w:val="sq-AL"/>
        </w:rPr>
        <w:t>-</w:t>
      </w:r>
      <w:r w:rsidRPr="00CB13F7">
        <w:rPr>
          <w:rFonts w:ascii="Times New Roman" w:hAnsi="Times New Roman"/>
          <w:sz w:val="24"/>
          <w:szCs w:val="24"/>
          <w:lang w:val="sq-AL"/>
        </w:rPr>
        <w:t>2025 dhe Planit të Veprimit për zbatimin e saj”</w:t>
      </w:r>
      <w:r w:rsidR="546762A5" w:rsidRPr="00CB13F7">
        <w:rPr>
          <w:rFonts w:ascii="Times New Roman" w:hAnsi="Times New Roman"/>
          <w:sz w:val="24"/>
          <w:szCs w:val="24"/>
          <w:lang w:val="sq-AL"/>
        </w:rPr>
        <w:t>.</w:t>
      </w:r>
    </w:p>
    <w:p w14:paraId="7E00CA47" w14:textId="37BA7903"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VKM nr. 715, datë 24.11.2021 “Për miratimin e Strategjisë Kombëtare të Sportit 2021</w:t>
      </w:r>
      <w:r w:rsidR="77B74F3F" w:rsidRPr="00CB13F7">
        <w:rPr>
          <w:rFonts w:ascii="Times New Roman" w:hAnsi="Times New Roman"/>
          <w:sz w:val="24"/>
          <w:szCs w:val="24"/>
          <w:lang w:val="sq-AL"/>
        </w:rPr>
        <w:t>-</w:t>
      </w:r>
      <w:r w:rsidRPr="00CB13F7">
        <w:rPr>
          <w:rFonts w:ascii="Times New Roman" w:hAnsi="Times New Roman"/>
          <w:sz w:val="24"/>
          <w:szCs w:val="24"/>
          <w:lang w:val="sq-AL"/>
        </w:rPr>
        <w:t>2025 dhe Planit të Veprimit për zbatimin e saj”</w:t>
      </w:r>
      <w:r w:rsidR="794B19CD" w:rsidRPr="00CB13F7">
        <w:rPr>
          <w:rFonts w:ascii="Times New Roman" w:hAnsi="Times New Roman"/>
          <w:sz w:val="24"/>
          <w:szCs w:val="24"/>
          <w:lang w:val="sq-AL"/>
        </w:rPr>
        <w:t>.</w:t>
      </w:r>
    </w:p>
    <w:p w14:paraId="2B7FFEA2" w14:textId="41119F2D" w:rsidR="00307609" w:rsidRPr="00CB13F7" w:rsidRDefault="794B19CD" w:rsidP="00724EFC">
      <w:pPr>
        <w:pStyle w:val="NoSpacing"/>
        <w:spacing w:before="120" w:after="120" w:line="276" w:lineRule="auto"/>
        <w:jc w:val="both"/>
        <w:rPr>
          <w:lang w:val="sq-AL"/>
        </w:rPr>
      </w:pPr>
      <w:r w:rsidRPr="00CB13F7">
        <w:rPr>
          <w:rFonts w:ascii="Times New Roman" w:hAnsi="Times New Roman"/>
          <w:sz w:val="24"/>
          <w:szCs w:val="24"/>
          <w:lang w:val="sq-AL"/>
        </w:rPr>
        <w:t>V</w:t>
      </w:r>
      <w:r w:rsidR="77B74F3F" w:rsidRPr="00CB13F7">
        <w:rPr>
          <w:rFonts w:ascii="Times New Roman" w:hAnsi="Times New Roman"/>
          <w:sz w:val="24"/>
          <w:szCs w:val="24"/>
          <w:lang w:val="sq-AL"/>
        </w:rPr>
        <w:t>endim nr. 789, datë 15.12.2021 për kriteret, mënyrën e shpërblimit dhe trajtimin esportistëve, që përfitojnë statusin e nivelit të lartë, dhe trajnerëve të tyre (ndryshuar me vkm nr. 167, datë 20.3.2024; nr. 631, datë 10.10.2024</w:t>
      </w:r>
      <w:r w:rsidR="2B6D448E" w:rsidRPr="00CB13F7">
        <w:rPr>
          <w:rFonts w:ascii="Times New Roman" w:hAnsi="Times New Roman"/>
          <w:sz w:val="24"/>
          <w:szCs w:val="24"/>
          <w:lang w:val="sq-AL"/>
        </w:rPr>
        <w:t>).</w:t>
      </w:r>
    </w:p>
    <w:p w14:paraId="68584485" w14:textId="77777777" w:rsidR="00307609" w:rsidRPr="00CB13F7" w:rsidRDefault="00307609" w:rsidP="00724EFC">
      <w:pPr>
        <w:spacing w:before="120" w:after="120" w:line="276" w:lineRule="auto"/>
        <w:jc w:val="both"/>
        <w:rPr>
          <w:b/>
          <w:bCs/>
          <w:i/>
          <w:iCs/>
          <w:lang w:eastAsia="en-US"/>
        </w:rPr>
      </w:pPr>
      <w:r w:rsidRPr="00CB13F7">
        <w:rPr>
          <w:b/>
          <w:bCs/>
          <w:i/>
          <w:iCs/>
          <w:lang w:eastAsia="en-US"/>
        </w:rPr>
        <w:lastRenderedPageBreak/>
        <w:t>X. Bashkëpunimi dhe koordinimi</w:t>
      </w:r>
    </w:p>
    <w:p w14:paraId="1D49A0F3" w14:textId="282EAA40" w:rsidR="00307609" w:rsidRPr="00CB13F7" w:rsidRDefault="2B4FC900" w:rsidP="00724EFC">
      <w:pPr>
        <w:pStyle w:val="NoSpacing"/>
        <w:spacing w:before="120" w:after="120" w:line="276" w:lineRule="auto"/>
        <w:jc w:val="both"/>
        <w:rPr>
          <w:rFonts w:ascii="Times New Roman" w:hAnsi="Times New Roman"/>
          <w:sz w:val="24"/>
          <w:szCs w:val="24"/>
          <w:shd w:val="clear" w:color="auto" w:fill="FFFFFF"/>
          <w:lang w:val="sq-AL"/>
        </w:rPr>
      </w:pPr>
      <w:r w:rsidRPr="00CB13F7">
        <w:rPr>
          <w:rFonts w:ascii="Times New Roman" w:hAnsi="Times New Roman"/>
          <w:sz w:val="24"/>
          <w:szCs w:val="24"/>
          <w:shd w:val="clear" w:color="auto" w:fill="FFFFFF"/>
          <w:lang w:val="sq-AL"/>
        </w:rPr>
        <w:t>LIGJ. Nr. 139/2015. Për Vetëqeverisjen Vendore</w:t>
      </w:r>
      <w:r w:rsidR="2CC72745" w:rsidRPr="00CB13F7">
        <w:rPr>
          <w:rFonts w:ascii="Times New Roman" w:hAnsi="Times New Roman"/>
          <w:sz w:val="24"/>
          <w:szCs w:val="24"/>
          <w:shd w:val="clear" w:color="auto" w:fill="FFFFFF"/>
          <w:lang w:val="sq-AL"/>
        </w:rPr>
        <w:t>.</w:t>
      </w:r>
    </w:p>
    <w:bookmarkStart w:id="12" w:name="_Hlk223027059"/>
    <w:p w14:paraId="2CB03CB5" w14:textId="0FE4CF59" w:rsidR="00307609" w:rsidRPr="00CB13F7" w:rsidRDefault="00307609"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fldChar w:fldCharType="begin"/>
      </w:r>
      <w:r w:rsidRPr="00CB13F7">
        <w:rPr>
          <w:rFonts w:ascii="Times New Roman" w:hAnsi="Times New Roman"/>
          <w:sz w:val="24"/>
          <w:szCs w:val="24"/>
          <w:lang w:val="sq-AL"/>
        </w:rPr>
        <w:instrText xml:space="preserve"> HYPERLINK "https://www.instat.gov.al/media/3973/ligj-nr-17-dt-542018_per-statistikat-zyrtare.pdf" </w:instrText>
      </w:r>
      <w:r w:rsidRPr="00CB13F7">
        <w:rPr>
          <w:rFonts w:ascii="Times New Roman" w:hAnsi="Times New Roman"/>
          <w:sz w:val="24"/>
          <w:szCs w:val="24"/>
          <w:lang w:val="sq-AL"/>
        </w:rPr>
        <w:fldChar w:fldCharType="separate"/>
      </w:r>
      <w:r w:rsidR="2B4FC900" w:rsidRPr="00CB13F7">
        <w:rPr>
          <w:rFonts w:ascii="Times New Roman" w:hAnsi="Times New Roman"/>
          <w:sz w:val="24"/>
          <w:szCs w:val="24"/>
          <w:lang w:val="sq-AL"/>
        </w:rPr>
        <w:t>Ligji nr. 17/2018 për Statistikat Zyrtare</w:t>
      </w:r>
      <w:r w:rsidRPr="00CB13F7">
        <w:rPr>
          <w:rFonts w:ascii="Times New Roman" w:hAnsi="Times New Roman"/>
          <w:sz w:val="24"/>
          <w:szCs w:val="24"/>
          <w:lang w:val="sq-AL"/>
        </w:rPr>
        <w:fldChar w:fldCharType="end"/>
      </w:r>
      <w:r w:rsidR="246BFFBD" w:rsidRPr="00CB13F7">
        <w:rPr>
          <w:rFonts w:ascii="Times New Roman" w:hAnsi="Times New Roman"/>
          <w:sz w:val="24"/>
          <w:szCs w:val="24"/>
          <w:lang w:val="sq-AL"/>
        </w:rPr>
        <w:t>.</w:t>
      </w:r>
    </w:p>
    <w:bookmarkEnd w:id="12"/>
    <w:p w14:paraId="0015A89A" w14:textId="7AB29167" w:rsidR="00307609" w:rsidRPr="00CB13F7" w:rsidRDefault="00307609"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fldChar w:fldCharType="begin"/>
      </w:r>
      <w:r w:rsidRPr="00CB13F7">
        <w:rPr>
          <w:rFonts w:ascii="Times New Roman" w:hAnsi="Times New Roman"/>
          <w:sz w:val="24"/>
          <w:szCs w:val="24"/>
          <w:lang w:val="sq-AL"/>
        </w:rPr>
        <w:instrText xml:space="preserve"> HYPERLINK "https://www.instat.gov.al/media/vnsfi1nx/fz-2025-61.pdf" \o "FZ 2025 61" </w:instrText>
      </w:r>
      <w:r w:rsidRPr="00CB13F7">
        <w:rPr>
          <w:rFonts w:ascii="Times New Roman" w:hAnsi="Times New Roman"/>
          <w:sz w:val="24"/>
          <w:szCs w:val="24"/>
          <w:lang w:val="sq-AL"/>
        </w:rPr>
        <w:fldChar w:fldCharType="separate"/>
      </w:r>
      <w:r w:rsidR="2B4FC900" w:rsidRPr="00CB13F7">
        <w:rPr>
          <w:rFonts w:ascii="Times New Roman" w:hAnsi="Times New Roman"/>
          <w:sz w:val="24"/>
          <w:szCs w:val="24"/>
          <w:shd w:val="clear" w:color="auto" w:fill="FFFFFF"/>
          <w:lang w:val="sq-AL"/>
        </w:rPr>
        <w:t>Vendim i Kuvendit Nr. 29/2025, datë 17.3.2025 “Për miratimin e Planit Vjetor 2025</w:t>
      </w:r>
      <w:r w:rsidR="6309BE2C" w:rsidRPr="00CB13F7">
        <w:rPr>
          <w:rFonts w:ascii="Times New Roman" w:hAnsi="Times New Roman"/>
          <w:sz w:val="24"/>
          <w:szCs w:val="24"/>
          <w:shd w:val="clear" w:color="auto" w:fill="FFFFFF"/>
          <w:lang w:val="sq-AL"/>
        </w:rPr>
        <w:t xml:space="preserve"> </w:t>
      </w:r>
      <w:r w:rsidR="2B4FC900" w:rsidRPr="00CB13F7">
        <w:rPr>
          <w:rFonts w:ascii="Times New Roman" w:hAnsi="Times New Roman"/>
          <w:sz w:val="24"/>
          <w:szCs w:val="24"/>
          <w:shd w:val="clear" w:color="auto" w:fill="FFFFFF"/>
          <w:lang w:val="sq-AL"/>
        </w:rPr>
        <w:t>për zbatimin e Programit të Statistikave Zyrtare 2022</w:t>
      </w:r>
      <w:r w:rsidR="77B74F3F" w:rsidRPr="00CB13F7">
        <w:rPr>
          <w:rFonts w:ascii="Times New Roman" w:hAnsi="Times New Roman"/>
          <w:sz w:val="24"/>
          <w:szCs w:val="24"/>
          <w:shd w:val="clear" w:color="auto" w:fill="FFFFFF"/>
          <w:lang w:val="sq-AL"/>
        </w:rPr>
        <w:t>-</w:t>
      </w:r>
      <w:r w:rsidR="2B4FC900" w:rsidRPr="00CB13F7">
        <w:rPr>
          <w:rFonts w:ascii="Times New Roman" w:hAnsi="Times New Roman"/>
          <w:sz w:val="24"/>
          <w:szCs w:val="24"/>
          <w:shd w:val="clear" w:color="auto" w:fill="FFFFFF"/>
          <w:lang w:val="sq-AL"/>
        </w:rPr>
        <w:t>2026"</w:t>
      </w:r>
      <w:r w:rsidRPr="00CB13F7">
        <w:rPr>
          <w:rFonts w:ascii="Times New Roman" w:hAnsi="Times New Roman"/>
          <w:sz w:val="24"/>
          <w:szCs w:val="24"/>
          <w:lang w:val="sq-AL"/>
        </w:rPr>
        <w:fldChar w:fldCharType="end"/>
      </w:r>
    </w:p>
    <w:p w14:paraId="59F1BBF0" w14:textId="5C146287" w:rsidR="00307609" w:rsidRPr="00CB13F7" w:rsidRDefault="2B4FC900" w:rsidP="00724EFC">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VKM Nr. 411, Datë: 19.06.2019, Për disa ndryshime në Vendimin nr. 708, datë 26.8.2015, i Këshillit të Ministrave, "Për llojet, periodicitetin dhe mënyrën e raportimit të të dhënave statistikore për aftësinë e kufizuar nga strukturat shtetërore përgjegjëse, në nivelin qendror dhe lokal</w:t>
      </w:r>
      <w:r w:rsidR="7775E14F" w:rsidRPr="00CB13F7">
        <w:rPr>
          <w:rFonts w:ascii="Times New Roman" w:hAnsi="Times New Roman"/>
          <w:sz w:val="24"/>
          <w:szCs w:val="24"/>
          <w:lang w:val="sq-AL"/>
        </w:rPr>
        <w:t>”</w:t>
      </w:r>
    </w:p>
    <w:p w14:paraId="30805C74" w14:textId="7C1988E4" w:rsidR="00026CE4" w:rsidRPr="00CB13F7" w:rsidRDefault="00307609" w:rsidP="00724EFC">
      <w:pPr>
        <w:pStyle w:val="NoSpacing"/>
        <w:spacing w:before="120" w:after="120" w:line="276" w:lineRule="auto"/>
        <w:jc w:val="both"/>
        <w:rPr>
          <w:rFonts w:ascii="Times New Roman" w:hAnsi="Times New Roman"/>
          <w:b/>
          <w:bCs/>
          <w:sz w:val="24"/>
          <w:szCs w:val="24"/>
          <w:lang w:val="sq-AL"/>
        </w:rPr>
      </w:pPr>
      <w:r w:rsidRPr="00CB13F7">
        <w:rPr>
          <w:rFonts w:ascii="Times New Roman" w:hAnsi="Times New Roman"/>
          <w:sz w:val="24"/>
          <w:szCs w:val="24"/>
          <w:lang w:val="sq-AL"/>
        </w:rPr>
        <w:t xml:space="preserve">VKM Nr. 196, datë 4.4.2018 “Për një ndryshim në </w:t>
      </w:r>
      <w:bookmarkStart w:id="13" w:name="_Hlk223026861"/>
      <w:r w:rsidRPr="00CB13F7">
        <w:rPr>
          <w:rFonts w:ascii="Times New Roman" w:hAnsi="Times New Roman"/>
          <w:sz w:val="24"/>
          <w:szCs w:val="24"/>
          <w:lang w:val="sq-AL"/>
        </w:rPr>
        <w:t>vendimin nr. 48, datë 21.1.2015, të Këshillit të Ministrave, “Për miratimin</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e rregullores për funksionimin</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e këshillit</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kombëtar për</w:t>
      </w:r>
      <w:r w:rsidR="001771D3" w:rsidRPr="00CB13F7">
        <w:rPr>
          <w:rFonts w:ascii="Times New Roman" w:hAnsi="Times New Roman"/>
          <w:sz w:val="24"/>
          <w:szCs w:val="24"/>
          <w:lang w:val="sq-AL"/>
        </w:rPr>
        <w:t xml:space="preserve"> </w:t>
      </w:r>
      <w:r w:rsidRPr="00CB13F7">
        <w:rPr>
          <w:rFonts w:ascii="Times New Roman" w:hAnsi="Times New Roman"/>
          <w:sz w:val="24"/>
          <w:szCs w:val="24"/>
          <w:lang w:val="sq-AL"/>
        </w:rPr>
        <w:t xml:space="preserve">aftësinë e kufizuar”. </w:t>
      </w:r>
    </w:p>
    <w:p w14:paraId="1890764F" w14:textId="01E6F9CC" w:rsidR="00307609" w:rsidRPr="00CD7884" w:rsidRDefault="00307609" w:rsidP="661F9D2E">
      <w:pPr>
        <w:pStyle w:val="NoSpacing"/>
        <w:spacing w:before="120" w:after="120" w:line="276" w:lineRule="auto"/>
        <w:jc w:val="both"/>
        <w:rPr>
          <w:rFonts w:ascii="Times New Roman" w:eastAsia="Times New Roman" w:hAnsi="Times New Roman"/>
          <w:b/>
          <w:bCs/>
          <w:sz w:val="24"/>
          <w:szCs w:val="24"/>
          <w:lang w:val="sq-AL"/>
        </w:rPr>
      </w:pPr>
      <w:r w:rsidRPr="00CB13F7">
        <w:rPr>
          <w:rFonts w:ascii="Times New Roman" w:hAnsi="Times New Roman"/>
          <w:b/>
          <w:bCs/>
          <w:sz w:val="24"/>
          <w:szCs w:val="24"/>
          <w:lang w:val="sq-AL"/>
        </w:rPr>
        <w:t>8.2. Strategjitë Sektoriale</w:t>
      </w:r>
      <w:bookmarkEnd w:id="13"/>
    </w:p>
    <w:p w14:paraId="79176FF7" w14:textId="2F811EDF"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14" w:name="_Hlk223088928"/>
      <w:r w:rsidRPr="00CB13F7">
        <w:rPr>
          <w:rFonts w:ascii="Times New Roman" w:hAnsi="Times New Roman"/>
          <w:sz w:val="24"/>
          <w:szCs w:val="24"/>
          <w:lang w:val="sq-AL"/>
        </w:rPr>
        <w:t>Strategjia Ndërsektoriale e Drejtësisë 2024</w:t>
      </w:r>
      <w:r w:rsidR="00582B12" w:rsidRPr="00CB13F7">
        <w:rPr>
          <w:rFonts w:ascii="Times New Roman" w:hAnsi="Times New Roman"/>
          <w:sz w:val="24"/>
          <w:szCs w:val="24"/>
          <w:lang w:val="sq-AL"/>
        </w:rPr>
        <w:t>-</w:t>
      </w:r>
      <w:r w:rsidRPr="00CB13F7">
        <w:rPr>
          <w:rFonts w:ascii="Times New Roman" w:hAnsi="Times New Roman"/>
          <w:sz w:val="24"/>
          <w:szCs w:val="24"/>
          <w:lang w:val="sq-AL"/>
        </w:rPr>
        <w:t>2030.</w:t>
      </w:r>
    </w:p>
    <w:p w14:paraId="132F4A93" w14:textId="078A0DA2"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15" w:name="_Hlk223088947"/>
      <w:bookmarkEnd w:id="14"/>
      <w:r w:rsidRPr="00CB13F7">
        <w:rPr>
          <w:rFonts w:ascii="Times New Roman" w:hAnsi="Times New Roman"/>
          <w:sz w:val="24"/>
          <w:szCs w:val="24"/>
          <w:lang w:val="sq-AL"/>
        </w:rPr>
        <w:t>Strategjia Ndërsektoriale për Mbrojtjen e Viktimave të Krimit 2024</w:t>
      </w:r>
      <w:r w:rsidR="00582B12" w:rsidRPr="00CB13F7">
        <w:rPr>
          <w:rFonts w:ascii="Times New Roman" w:hAnsi="Times New Roman"/>
          <w:sz w:val="24"/>
          <w:szCs w:val="24"/>
          <w:lang w:val="sq-AL"/>
        </w:rPr>
        <w:t>-</w:t>
      </w:r>
      <w:r w:rsidRPr="00CB13F7">
        <w:rPr>
          <w:rFonts w:ascii="Times New Roman" w:hAnsi="Times New Roman"/>
          <w:sz w:val="24"/>
          <w:szCs w:val="24"/>
          <w:lang w:val="sq-AL"/>
        </w:rPr>
        <w:t xml:space="preserve">2030. </w:t>
      </w:r>
    </w:p>
    <w:p w14:paraId="184C95D6" w14:textId="5639B14E"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16" w:name="_Hlk223088965"/>
      <w:bookmarkEnd w:id="15"/>
      <w:r w:rsidRPr="00CB13F7">
        <w:rPr>
          <w:rFonts w:ascii="Times New Roman" w:hAnsi="Times New Roman"/>
          <w:sz w:val="24"/>
          <w:szCs w:val="24"/>
          <w:lang w:val="sq-AL"/>
        </w:rPr>
        <w:t>Strategjia Ndërsektoriale e Drejtësisë për të Mitur 2022</w:t>
      </w:r>
      <w:r w:rsidR="00582B12" w:rsidRPr="00CB13F7">
        <w:rPr>
          <w:rFonts w:ascii="Times New Roman" w:hAnsi="Times New Roman"/>
          <w:sz w:val="24"/>
          <w:szCs w:val="24"/>
          <w:lang w:val="sq-AL"/>
        </w:rPr>
        <w:t>-</w:t>
      </w:r>
      <w:r w:rsidRPr="00CB13F7">
        <w:rPr>
          <w:rFonts w:ascii="Times New Roman" w:hAnsi="Times New Roman"/>
          <w:sz w:val="24"/>
          <w:szCs w:val="24"/>
          <w:lang w:val="sq-AL"/>
        </w:rPr>
        <w:t xml:space="preserve">2026. </w:t>
      </w:r>
    </w:p>
    <w:p w14:paraId="4D1D0191" w14:textId="35973769" w:rsidR="00307609" w:rsidRPr="00CB13F7" w:rsidRDefault="2B4FC900" w:rsidP="00724EFC">
      <w:pPr>
        <w:pStyle w:val="NoSpacing"/>
        <w:spacing w:before="120" w:after="120" w:line="276" w:lineRule="auto"/>
        <w:jc w:val="both"/>
        <w:rPr>
          <w:rFonts w:ascii="Times New Roman" w:hAnsi="Times New Roman"/>
          <w:sz w:val="24"/>
          <w:szCs w:val="24"/>
          <w:lang w:val="sq-AL"/>
        </w:rPr>
      </w:pPr>
      <w:bookmarkStart w:id="17" w:name="_Hlk223088991"/>
      <w:bookmarkEnd w:id="16"/>
      <w:r w:rsidRPr="00CB13F7">
        <w:rPr>
          <w:rFonts w:ascii="Times New Roman" w:hAnsi="Times New Roman"/>
          <w:sz w:val="24"/>
          <w:szCs w:val="24"/>
          <w:lang w:val="sq-AL"/>
        </w:rPr>
        <w:t>Strategjia Kombëtare për Punësim dhe Aftësi 2023</w:t>
      </w:r>
      <w:r w:rsidR="77B74F3F" w:rsidRPr="00CB13F7">
        <w:rPr>
          <w:rFonts w:ascii="Times New Roman" w:hAnsi="Times New Roman"/>
          <w:sz w:val="24"/>
          <w:szCs w:val="24"/>
          <w:lang w:val="sq-AL"/>
        </w:rPr>
        <w:t>-</w:t>
      </w:r>
      <w:r w:rsidRPr="00CB13F7">
        <w:rPr>
          <w:rFonts w:ascii="Times New Roman" w:hAnsi="Times New Roman"/>
          <w:sz w:val="24"/>
          <w:szCs w:val="24"/>
          <w:lang w:val="sq-AL"/>
        </w:rPr>
        <w:t xml:space="preserve">2030. </w:t>
      </w:r>
    </w:p>
    <w:p w14:paraId="6CD1F4CF" w14:textId="70C632C7"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18" w:name="_Hlk223089020"/>
      <w:bookmarkEnd w:id="17"/>
      <w:r w:rsidRPr="00CB13F7">
        <w:rPr>
          <w:rFonts w:ascii="Times New Roman" w:hAnsi="Times New Roman"/>
          <w:sz w:val="24"/>
          <w:szCs w:val="24"/>
          <w:lang w:val="sq-AL"/>
        </w:rPr>
        <w:t>Strategjia Kombëtare për Arsimin 2021</w:t>
      </w:r>
      <w:r w:rsidR="00582B12" w:rsidRPr="00CB13F7">
        <w:rPr>
          <w:rFonts w:ascii="Times New Roman" w:hAnsi="Times New Roman"/>
          <w:sz w:val="24"/>
          <w:szCs w:val="24"/>
          <w:lang w:val="sq-AL"/>
        </w:rPr>
        <w:t>-</w:t>
      </w:r>
      <w:r w:rsidRPr="00CB13F7">
        <w:rPr>
          <w:rFonts w:ascii="Times New Roman" w:hAnsi="Times New Roman"/>
          <w:sz w:val="24"/>
          <w:szCs w:val="24"/>
          <w:lang w:val="sq-AL"/>
        </w:rPr>
        <w:t>2026.</w:t>
      </w:r>
    </w:p>
    <w:p w14:paraId="4DA9A0EF" w14:textId="0535830D" w:rsidR="00307609" w:rsidRPr="00CB13F7" w:rsidRDefault="2B4FC900" w:rsidP="00724EFC">
      <w:pPr>
        <w:pStyle w:val="NoSpacing"/>
        <w:spacing w:before="120" w:after="120" w:line="276" w:lineRule="auto"/>
        <w:jc w:val="both"/>
        <w:rPr>
          <w:rFonts w:ascii="Times New Roman" w:hAnsi="Times New Roman"/>
          <w:sz w:val="24"/>
          <w:szCs w:val="24"/>
          <w:lang w:val="sq-AL"/>
        </w:rPr>
      </w:pPr>
      <w:bookmarkStart w:id="19" w:name="_Hlk223089042"/>
      <w:bookmarkEnd w:id="18"/>
      <w:r w:rsidRPr="00CB13F7">
        <w:rPr>
          <w:rFonts w:ascii="Times New Roman" w:hAnsi="Times New Roman"/>
          <w:sz w:val="24"/>
          <w:szCs w:val="24"/>
          <w:lang w:val="sq-AL"/>
        </w:rPr>
        <w:t>Strategjia Kombëtare për Mbrojtjen Sociale 2024</w:t>
      </w:r>
      <w:r w:rsidR="77B74F3F" w:rsidRPr="00CB13F7">
        <w:rPr>
          <w:rFonts w:ascii="Times New Roman" w:hAnsi="Times New Roman"/>
          <w:sz w:val="24"/>
          <w:szCs w:val="24"/>
          <w:lang w:val="sq-AL"/>
        </w:rPr>
        <w:t>-</w:t>
      </w:r>
      <w:r w:rsidRPr="00CB13F7">
        <w:rPr>
          <w:rFonts w:ascii="Times New Roman" w:hAnsi="Times New Roman"/>
          <w:sz w:val="24"/>
          <w:szCs w:val="24"/>
          <w:lang w:val="sq-AL"/>
        </w:rPr>
        <w:t xml:space="preserve">2030 dhe plani i veprimit. </w:t>
      </w:r>
    </w:p>
    <w:p w14:paraId="7F8FD4B3" w14:textId="70F13D45" w:rsidR="00307609" w:rsidRPr="00CB13F7" w:rsidRDefault="2B4FC900" w:rsidP="00724EFC">
      <w:pPr>
        <w:pStyle w:val="NoSpacing"/>
        <w:spacing w:before="120" w:after="120" w:line="276" w:lineRule="auto"/>
        <w:jc w:val="both"/>
        <w:rPr>
          <w:rFonts w:ascii="Times New Roman" w:hAnsi="Times New Roman"/>
          <w:sz w:val="24"/>
          <w:szCs w:val="24"/>
          <w:lang w:val="sq-AL"/>
        </w:rPr>
      </w:pPr>
      <w:bookmarkStart w:id="20" w:name="_Hlk223089085"/>
      <w:bookmarkEnd w:id="19"/>
      <w:r w:rsidRPr="00CB13F7">
        <w:rPr>
          <w:rFonts w:ascii="Times New Roman" w:hAnsi="Times New Roman"/>
          <w:sz w:val="24"/>
          <w:szCs w:val="24"/>
          <w:lang w:val="sq-AL"/>
        </w:rPr>
        <w:t>Dokumenti i Politikave të Përfshirjes Sociale 2024</w:t>
      </w:r>
      <w:r w:rsidR="77B74F3F" w:rsidRPr="00CB13F7">
        <w:rPr>
          <w:rFonts w:ascii="Times New Roman" w:hAnsi="Times New Roman"/>
          <w:sz w:val="24"/>
          <w:szCs w:val="24"/>
          <w:lang w:val="sq-AL"/>
        </w:rPr>
        <w:t>-</w:t>
      </w:r>
      <w:r w:rsidRPr="00CB13F7">
        <w:rPr>
          <w:rFonts w:ascii="Times New Roman" w:hAnsi="Times New Roman"/>
          <w:sz w:val="24"/>
          <w:szCs w:val="24"/>
          <w:lang w:val="sq-AL"/>
        </w:rPr>
        <w:t>2028</w:t>
      </w:r>
    </w:p>
    <w:p w14:paraId="4BDFDC19" w14:textId="71C87F11" w:rsidR="00307609" w:rsidRPr="00CB13F7" w:rsidRDefault="2B4FC900" w:rsidP="00724EFC">
      <w:pPr>
        <w:pStyle w:val="NoSpacing"/>
        <w:spacing w:before="120" w:after="120" w:line="276" w:lineRule="auto"/>
        <w:jc w:val="both"/>
        <w:rPr>
          <w:rFonts w:ascii="Times New Roman" w:hAnsi="Times New Roman"/>
          <w:sz w:val="24"/>
          <w:szCs w:val="24"/>
          <w:lang w:val="sq-AL"/>
        </w:rPr>
      </w:pPr>
      <w:bookmarkStart w:id="21" w:name="_Hlk223089128"/>
      <w:bookmarkEnd w:id="20"/>
      <w:r w:rsidRPr="00CB13F7">
        <w:rPr>
          <w:rFonts w:ascii="Times New Roman" w:hAnsi="Times New Roman"/>
          <w:sz w:val="24"/>
          <w:szCs w:val="24"/>
          <w:lang w:val="sq-AL"/>
        </w:rPr>
        <w:t>Strategjia Kombëtare e Shëndetësisë 2021</w:t>
      </w:r>
      <w:r w:rsidR="77B74F3F" w:rsidRPr="00CB13F7">
        <w:rPr>
          <w:rFonts w:ascii="Times New Roman" w:hAnsi="Times New Roman"/>
          <w:sz w:val="24"/>
          <w:szCs w:val="24"/>
          <w:lang w:val="sq-AL"/>
        </w:rPr>
        <w:t>-</w:t>
      </w:r>
      <w:r w:rsidRPr="00CB13F7">
        <w:rPr>
          <w:rFonts w:ascii="Times New Roman" w:hAnsi="Times New Roman"/>
          <w:sz w:val="24"/>
          <w:szCs w:val="24"/>
          <w:lang w:val="sq-AL"/>
        </w:rPr>
        <w:t xml:space="preserve">2030. </w:t>
      </w:r>
    </w:p>
    <w:p w14:paraId="660B9BB2" w14:textId="77777777"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22" w:name="_Hlk223089170"/>
      <w:bookmarkEnd w:id="21"/>
      <w:r w:rsidRPr="00CB13F7">
        <w:rPr>
          <w:rFonts w:ascii="Times New Roman" w:hAnsi="Times New Roman"/>
          <w:sz w:val="24"/>
          <w:szCs w:val="24"/>
          <w:lang w:val="sq-AL"/>
        </w:rPr>
        <w:t>Strategjia e Zhvillimit të Shërbimeve të Kujdesit Shëndetësor Parësor në Shqipëri 2020-2025.</w:t>
      </w:r>
      <w:bookmarkEnd w:id="22"/>
    </w:p>
    <w:p w14:paraId="6660FC17" w14:textId="6916EC16"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23" w:name="_Hlk223089606"/>
      <w:r w:rsidRPr="00CB13F7">
        <w:rPr>
          <w:rFonts w:ascii="Times New Roman" w:hAnsi="Times New Roman"/>
          <w:sz w:val="24"/>
          <w:szCs w:val="24"/>
          <w:lang w:val="sq-AL"/>
        </w:rPr>
        <w:t>Strategjia Kombëtare e Turizmit 2024</w:t>
      </w:r>
      <w:r w:rsidR="00582B12" w:rsidRPr="00CB13F7">
        <w:rPr>
          <w:rFonts w:ascii="Times New Roman" w:hAnsi="Times New Roman"/>
          <w:sz w:val="24"/>
          <w:szCs w:val="24"/>
          <w:lang w:val="sq-AL"/>
        </w:rPr>
        <w:t>-</w:t>
      </w:r>
      <w:r w:rsidRPr="00CB13F7">
        <w:rPr>
          <w:rFonts w:ascii="Times New Roman" w:hAnsi="Times New Roman"/>
          <w:sz w:val="24"/>
          <w:szCs w:val="24"/>
          <w:lang w:val="sq-AL"/>
        </w:rPr>
        <w:t xml:space="preserve">2030. </w:t>
      </w:r>
    </w:p>
    <w:p w14:paraId="31B3E4EF" w14:textId="2F6C068C" w:rsidR="00307609" w:rsidRPr="00CB13F7" w:rsidRDefault="00307609" w:rsidP="00724EFC">
      <w:pPr>
        <w:pStyle w:val="NoSpacing"/>
        <w:spacing w:before="120" w:after="120" w:line="276" w:lineRule="auto"/>
        <w:jc w:val="both"/>
        <w:rPr>
          <w:rFonts w:ascii="Times New Roman" w:hAnsi="Times New Roman"/>
          <w:sz w:val="24"/>
          <w:szCs w:val="24"/>
          <w:lang w:val="sq-AL"/>
        </w:rPr>
      </w:pPr>
      <w:bookmarkStart w:id="24" w:name="_Hlk223089586"/>
      <w:bookmarkEnd w:id="23"/>
      <w:r w:rsidRPr="00CB13F7">
        <w:rPr>
          <w:rFonts w:ascii="Times New Roman" w:hAnsi="Times New Roman"/>
          <w:sz w:val="24"/>
          <w:szCs w:val="24"/>
          <w:lang w:val="sq-AL"/>
        </w:rPr>
        <w:t>Strategjia Kombëtare për Kulturën 2019</w:t>
      </w:r>
      <w:r w:rsidR="00582B12" w:rsidRPr="00CB13F7">
        <w:rPr>
          <w:rFonts w:ascii="Times New Roman" w:hAnsi="Times New Roman"/>
          <w:sz w:val="24"/>
          <w:szCs w:val="24"/>
          <w:lang w:val="sq-AL"/>
        </w:rPr>
        <w:t>-</w:t>
      </w:r>
      <w:r w:rsidRPr="00CB13F7">
        <w:rPr>
          <w:rFonts w:ascii="Times New Roman" w:hAnsi="Times New Roman"/>
          <w:sz w:val="24"/>
          <w:szCs w:val="24"/>
          <w:lang w:val="sq-AL"/>
        </w:rPr>
        <w:t xml:space="preserve">2025. </w:t>
      </w:r>
    </w:p>
    <w:bookmarkEnd w:id="24"/>
    <w:p w14:paraId="5D6271D9" w14:textId="536FC0BA" w:rsidR="00307609" w:rsidRPr="00CB13F7" w:rsidRDefault="2B4FC900" w:rsidP="661F9D2E">
      <w:pPr>
        <w:pStyle w:val="NoSpacing"/>
        <w:spacing w:before="120" w:after="120" w:line="276" w:lineRule="auto"/>
        <w:jc w:val="both"/>
        <w:rPr>
          <w:rFonts w:ascii="Times New Roman" w:hAnsi="Times New Roman"/>
          <w:sz w:val="24"/>
          <w:szCs w:val="24"/>
          <w:lang w:val="sq-AL"/>
        </w:rPr>
      </w:pPr>
      <w:r w:rsidRPr="00CB13F7">
        <w:rPr>
          <w:rFonts w:ascii="Times New Roman" w:hAnsi="Times New Roman"/>
          <w:sz w:val="24"/>
          <w:szCs w:val="24"/>
          <w:lang w:val="sq-AL"/>
        </w:rPr>
        <w:t>Strategjia Kombëtare për Sportin 2025</w:t>
      </w:r>
      <w:r w:rsidR="77B74F3F" w:rsidRPr="00CB13F7">
        <w:rPr>
          <w:rFonts w:ascii="Times New Roman" w:hAnsi="Times New Roman"/>
          <w:sz w:val="24"/>
          <w:szCs w:val="24"/>
          <w:lang w:val="sq-AL"/>
        </w:rPr>
        <w:t>-</w:t>
      </w:r>
      <w:r w:rsidRPr="00CB13F7">
        <w:rPr>
          <w:rFonts w:ascii="Times New Roman" w:hAnsi="Times New Roman"/>
          <w:sz w:val="24"/>
          <w:szCs w:val="24"/>
          <w:lang w:val="sq-AL"/>
        </w:rPr>
        <w:t xml:space="preserve">2030. </w:t>
      </w:r>
    </w:p>
    <w:p w14:paraId="45F3C874" w14:textId="77777777" w:rsidR="00461450" w:rsidRPr="00CB13F7" w:rsidRDefault="00461450" w:rsidP="661F9D2E">
      <w:pPr>
        <w:pStyle w:val="NoSpacing"/>
        <w:spacing w:before="120" w:after="120" w:line="276" w:lineRule="auto"/>
        <w:jc w:val="both"/>
        <w:rPr>
          <w:rFonts w:ascii="Times New Roman" w:hAnsi="Times New Roman"/>
          <w:sz w:val="24"/>
          <w:szCs w:val="24"/>
          <w:lang w:val="sq-AL"/>
        </w:rPr>
        <w:sectPr w:rsidR="00461450" w:rsidRPr="00CB13F7" w:rsidSect="00307609">
          <w:pgSz w:w="12240" w:h="15840"/>
          <w:pgMar w:top="1440" w:right="1440" w:bottom="1440" w:left="1440" w:header="720" w:footer="720" w:gutter="0"/>
          <w:cols w:space="720"/>
          <w:docGrid w:linePitch="360"/>
        </w:sectPr>
      </w:pPr>
    </w:p>
    <w:p w14:paraId="13A64A80" w14:textId="21C07522" w:rsidR="00461450" w:rsidRDefault="00461450" w:rsidP="661F9D2E">
      <w:pPr>
        <w:pStyle w:val="NoSpacing"/>
        <w:spacing w:before="120" w:after="120" w:line="276" w:lineRule="auto"/>
        <w:jc w:val="both"/>
        <w:rPr>
          <w:rFonts w:ascii="Times New Roman" w:hAnsi="Times New Roman"/>
          <w:b/>
          <w:lang w:val="sq-AL"/>
        </w:rPr>
      </w:pPr>
      <w:r w:rsidRPr="00CB13F7">
        <w:rPr>
          <w:rFonts w:ascii="Times New Roman" w:hAnsi="Times New Roman"/>
          <w:b/>
          <w:lang w:val="sq-AL"/>
        </w:rPr>
        <w:lastRenderedPageBreak/>
        <w:t>9. LOGJIKA E ND</w:t>
      </w:r>
      <w:r w:rsidR="00D43656" w:rsidRPr="00CB13F7">
        <w:rPr>
          <w:rFonts w:eastAsia="Times New Roman"/>
          <w:b/>
          <w:bCs/>
          <w:color w:val="000000"/>
          <w:lang w:val="sq-AL"/>
        </w:rPr>
        <w:t>Ë</w:t>
      </w:r>
      <w:r w:rsidRPr="00CB13F7">
        <w:rPr>
          <w:rFonts w:ascii="Times New Roman" w:hAnsi="Times New Roman"/>
          <w:b/>
          <w:lang w:val="sq-AL"/>
        </w:rPr>
        <w:t>RHYRJES</w:t>
      </w:r>
      <w:r w:rsidR="004D73D3">
        <w:rPr>
          <w:rFonts w:ascii="Times New Roman" w:hAnsi="Times New Roman"/>
          <w:b/>
          <w:lang w:val="sq-AL"/>
        </w:rPr>
        <w:t xml:space="preserve"> SIPAS FUSHAVE,OBJEKTIVAVE,MASAVE,AKTIVITETEV P</w:t>
      </w:r>
      <w:r w:rsidR="0048716F">
        <w:rPr>
          <w:rFonts w:ascii="Times New Roman" w:hAnsi="Times New Roman"/>
          <w:b/>
          <w:lang w:val="sq-AL"/>
        </w:rPr>
        <w:t>E</w:t>
      </w:r>
      <w:r w:rsidR="004D73D3">
        <w:rPr>
          <w:rFonts w:ascii="Times New Roman" w:hAnsi="Times New Roman"/>
          <w:b/>
          <w:lang w:val="sq-AL"/>
        </w:rPr>
        <w:t>R PVKPAK VITI 2026-2030</w:t>
      </w:r>
    </w:p>
    <w:tbl>
      <w:tblPr>
        <w:tblW w:w="144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5"/>
        <w:gridCol w:w="1080"/>
        <w:gridCol w:w="1260"/>
        <w:gridCol w:w="1411"/>
        <w:gridCol w:w="29"/>
        <w:gridCol w:w="1492"/>
        <w:gridCol w:w="38"/>
        <w:gridCol w:w="1072"/>
        <w:gridCol w:w="8"/>
        <w:gridCol w:w="1080"/>
        <w:gridCol w:w="22"/>
        <w:gridCol w:w="1058"/>
        <w:gridCol w:w="52"/>
        <w:gridCol w:w="1110"/>
        <w:gridCol w:w="8"/>
        <w:gridCol w:w="810"/>
      </w:tblGrid>
      <w:tr w:rsidR="004D73D3" w:rsidRPr="0048716F" w14:paraId="7A063131" w14:textId="77777777" w:rsidTr="00597AD8">
        <w:trPr>
          <w:trHeight w:val="288"/>
        </w:trPr>
        <w:tc>
          <w:tcPr>
            <w:tcW w:w="3885" w:type="dxa"/>
            <w:vMerge w:val="restart"/>
            <w:hideMark/>
          </w:tcPr>
          <w:p w14:paraId="7366C98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FUSHAT</w:t>
            </w:r>
          </w:p>
        </w:tc>
        <w:tc>
          <w:tcPr>
            <w:tcW w:w="2340" w:type="dxa"/>
            <w:gridSpan w:val="2"/>
            <w:shd w:val="clear" w:color="000000" w:fill="C2D69B"/>
            <w:hideMark/>
          </w:tcPr>
          <w:p w14:paraId="494F101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AFATI ZBATIMIT</w:t>
            </w:r>
          </w:p>
        </w:tc>
        <w:tc>
          <w:tcPr>
            <w:tcW w:w="2932" w:type="dxa"/>
            <w:gridSpan w:val="3"/>
            <w:shd w:val="clear" w:color="000000" w:fill="C2D69B"/>
            <w:hideMark/>
          </w:tcPr>
          <w:p w14:paraId="79295BE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INSTITUCIONI PËRGJEGJËS</w:t>
            </w:r>
          </w:p>
        </w:tc>
        <w:tc>
          <w:tcPr>
            <w:tcW w:w="5258" w:type="dxa"/>
            <w:gridSpan w:val="10"/>
            <w:shd w:val="clear" w:color="000000" w:fill="C2D69B"/>
            <w:hideMark/>
          </w:tcPr>
          <w:p w14:paraId="42B6CDE9" w14:textId="77777777" w:rsidR="004D73D3" w:rsidRPr="0048716F" w:rsidRDefault="004D73D3" w:rsidP="0048716F">
            <w:pPr>
              <w:jc w:val="center"/>
              <w:rPr>
                <w:rFonts w:eastAsia="Times New Roman"/>
                <w:b/>
                <w:bCs/>
                <w:color w:val="000000"/>
                <w:sz w:val="18"/>
                <w:szCs w:val="18"/>
                <w:lang w:val="en-US" w:eastAsia="en-US"/>
              </w:rPr>
            </w:pPr>
            <w:r w:rsidRPr="0048716F">
              <w:rPr>
                <w:rFonts w:eastAsia="Times New Roman"/>
                <w:b/>
                <w:bCs/>
                <w:color w:val="000000"/>
                <w:sz w:val="18"/>
                <w:szCs w:val="18"/>
                <w:lang w:val="en-US" w:eastAsia="en-US"/>
              </w:rPr>
              <w:t>Vitet</w:t>
            </w:r>
          </w:p>
        </w:tc>
      </w:tr>
      <w:tr w:rsidR="004D73D3" w:rsidRPr="0048716F" w14:paraId="5A75D265" w14:textId="77777777" w:rsidTr="00597AD8">
        <w:trPr>
          <w:trHeight w:val="1164"/>
        </w:trPr>
        <w:tc>
          <w:tcPr>
            <w:tcW w:w="3885" w:type="dxa"/>
            <w:vMerge/>
            <w:vAlign w:val="center"/>
            <w:hideMark/>
          </w:tcPr>
          <w:p w14:paraId="5A9A24ED" w14:textId="77777777" w:rsidR="004D73D3" w:rsidRPr="0048716F" w:rsidRDefault="004D73D3" w:rsidP="0048716F">
            <w:pPr>
              <w:jc w:val="both"/>
              <w:rPr>
                <w:rFonts w:eastAsia="Times New Roman"/>
                <w:b/>
                <w:bCs/>
                <w:color w:val="000000"/>
                <w:sz w:val="18"/>
                <w:szCs w:val="18"/>
                <w:lang w:val="en-US" w:eastAsia="en-US"/>
              </w:rPr>
            </w:pPr>
          </w:p>
        </w:tc>
        <w:tc>
          <w:tcPr>
            <w:tcW w:w="1080" w:type="dxa"/>
            <w:shd w:val="clear" w:color="000000" w:fill="C2D69B"/>
            <w:hideMark/>
          </w:tcPr>
          <w:p w14:paraId="6687892A" w14:textId="77777777" w:rsidR="004D73D3" w:rsidRPr="00597AD8" w:rsidRDefault="004D73D3" w:rsidP="0048716F">
            <w:pPr>
              <w:jc w:val="both"/>
              <w:rPr>
                <w:rFonts w:eastAsia="Times New Roman"/>
                <w:b/>
                <w:bCs/>
                <w:color w:val="000000"/>
                <w:sz w:val="16"/>
                <w:szCs w:val="16"/>
                <w:lang w:val="en-US" w:eastAsia="en-US"/>
              </w:rPr>
            </w:pPr>
            <w:r w:rsidRPr="00597AD8">
              <w:rPr>
                <w:rFonts w:eastAsia="Times New Roman"/>
                <w:b/>
                <w:bCs/>
                <w:color w:val="000000"/>
                <w:sz w:val="16"/>
                <w:szCs w:val="16"/>
                <w:lang w:val="en-US" w:eastAsia="en-US"/>
              </w:rPr>
              <w:t>AFATI I FILLIMIT</w:t>
            </w:r>
          </w:p>
        </w:tc>
        <w:tc>
          <w:tcPr>
            <w:tcW w:w="1260" w:type="dxa"/>
            <w:shd w:val="clear" w:color="000000" w:fill="C2D69B"/>
            <w:hideMark/>
          </w:tcPr>
          <w:p w14:paraId="78A5EDC4" w14:textId="77777777" w:rsidR="004D73D3" w:rsidRPr="00597AD8" w:rsidRDefault="004D73D3" w:rsidP="0048716F">
            <w:pPr>
              <w:jc w:val="both"/>
              <w:rPr>
                <w:rFonts w:eastAsia="Times New Roman"/>
                <w:b/>
                <w:bCs/>
                <w:color w:val="000000"/>
                <w:sz w:val="16"/>
                <w:szCs w:val="16"/>
                <w:lang w:val="en-US" w:eastAsia="en-US"/>
              </w:rPr>
            </w:pPr>
            <w:r w:rsidRPr="00597AD8">
              <w:rPr>
                <w:rFonts w:eastAsia="Times New Roman"/>
                <w:b/>
                <w:bCs/>
                <w:color w:val="000000"/>
                <w:sz w:val="16"/>
                <w:szCs w:val="16"/>
                <w:lang w:val="en-US" w:eastAsia="en-US"/>
              </w:rPr>
              <w:t>AFATI I MBARIMIT</w:t>
            </w:r>
          </w:p>
        </w:tc>
        <w:tc>
          <w:tcPr>
            <w:tcW w:w="1411" w:type="dxa"/>
            <w:shd w:val="clear" w:color="000000" w:fill="C2D69B"/>
            <w:hideMark/>
          </w:tcPr>
          <w:p w14:paraId="109F6C6C" w14:textId="77777777" w:rsidR="004D73D3" w:rsidRPr="00597AD8" w:rsidRDefault="004D73D3" w:rsidP="0048716F">
            <w:pPr>
              <w:jc w:val="both"/>
              <w:rPr>
                <w:rFonts w:eastAsia="Times New Roman"/>
                <w:b/>
                <w:bCs/>
                <w:color w:val="000000"/>
                <w:sz w:val="16"/>
                <w:szCs w:val="16"/>
                <w:lang w:val="en-US" w:eastAsia="en-US"/>
              </w:rPr>
            </w:pPr>
            <w:r w:rsidRPr="00597AD8">
              <w:rPr>
                <w:rFonts w:eastAsia="Times New Roman"/>
                <w:b/>
                <w:bCs/>
                <w:color w:val="000000"/>
                <w:sz w:val="16"/>
                <w:szCs w:val="16"/>
                <w:lang w:val="en-US" w:eastAsia="en-US"/>
              </w:rPr>
              <w:t>INSTITUCIONI PËRGJEGJËS</w:t>
            </w:r>
          </w:p>
        </w:tc>
        <w:tc>
          <w:tcPr>
            <w:tcW w:w="1521" w:type="dxa"/>
            <w:gridSpan w:val="2"/>
            <w:shd w:val="clear" w:color="000000" w:fill="C2D69B"/>
            <w:hideMark/>
          </w:tcPr>
          <w:p w14:paraId="4F0F1438" w14:textId="77777777" w:rsidR="004D73D3" w:rsidRPr="00597AD8" w:rsidRDefault="004D73D3" w:rsidP="0048716F">
            <w:pPr>
              <w:jc w:val="both"/>
              <w:rPr>
                <w:rFonts w:eastAsia="Times New Roman"/>
                <w:b/>
                <w:bCs/>
                <w:color w:val="000000"/>
                <w:sz w:val="16"/>
                <w:szCs w:val="16"/>
                <w:lang w:val="en-US" w:eastAsia="en-US"/>
              </w:rPr>
            </w:pPr>
            <w:r w:rsidRPr="00597AD8">
              <w:rPr>
                <w:rFonts w:eastAsia="Times New Roman"/>
                <w:b/>
                <w:bCs/>
                <w:color w:val="000000"/>
                <w:sz w:val="16"/>
                <w:szCs w:val="16"/>
                <w:lang w:val="en-US" w:eastAsia="en-US"/>
              </w:rPr>
              <w:t>INSTITUCIONET KONTRIBUESE</w:t>
            </w:r>
          </w:p>
        </w:tc>
        <w:tc>
          <w:tcPr>
            <w:tcW w:w="1110" w:type="dxa"/>
            <w:gridSpan w:val="2"/>
            <w:shd w:val="clear" w:color="000000" w:fill="C2D69B"/>
            <w:hideMark/>
          </w:tcPr>
          <w:p w14:paraId="10878FE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110" w:type="dxa"/>
            <w:gridSpan w:val="3"/>
            <w:shd w:val="clear" w:color="000000" w:fill="C2D69B"/>
            <w:hideMark/>
          </w:tcPr>
          <w:p w14:paraId="3BA81F1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110" w:type="dxa"/>
            <w:gridSpan w:val="2"/>
            <w:shd w:val="clear" w:color="000000" w:fill="C2D69B"/>
            <w:hideMark/>
          </w:tcPr>
          <w:p w14:paraId="3BBD28C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110" w:type="dxa"/>
            <w:shd w:val="clear" w:color="000000" w:fill="C2D69B"/>
            <w:hideMark/>
          </w:tcPr>
          <w:p w14:paraId="62D1D39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818" w:type="dxa"/>
            <w:gridSpan w:val="2"/>
            <w:shd w:val="clear" w:color="000000" w:fill="C2D69B"/>
            <w:hideMark/>
          </w:tcPr>
          <w:p w14:paraId="26B0749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r>
      <w:tr w:rsidR="004D73D3" w:rsidRPr="0048716F" w14:paraId="1CA96BCB" w14:textId="77777777" w:rsidTr="00597AD8">
        <w:trPr>
          <w:trHeight w:val="300"/>
        </w:trPr>
        <w:tc>
          <w:tcPr>
            <w:tcW w:w="3885" w:type="dxa"/>
            <w:hideMark/>
          </w:tcPr>
          <w:p w14:paraId="75154B19" w14:textId="76D6ED41"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TOTALI</w:t>
            </w:r>
          </w:p>
        </w:tc>
        <w:tc>
          <w:tcPr>
            <w:tcW w:w="1080" w:type="dxa"/>
            <w:hideMark/>
          </w:tcPr>
          <w:p w14:paraId="4CEEF930" w14:textId="2E58C595" w:rsidR="004D73D3" w:rsidRPr="0048716F" w:rsidRDefault="004D73D3" w:rsidP="0048716F">
            <w:pPr>
              <w:jc w:val="both"/>
              <w:rPr>
                <w:rFonts w:eastAsia="Times New Roman"/>
                <w:b/>
                <w:bCs/>
                <w:color w:val="000000"/>
                <w:sz w:val="18"/>
                <w:szCs w:val="18"/>
                <w:lang w:val="en-US" w:eastAsia="en-US"/>
              </w:rPr>
            </w:pPr>
          </w:p>
        </w:tc>
        <w:tc>
          <w:tcPr>
            <w:tcW w:w="1260" w:type="dxa"/>
            <w:hideMark/>
          </w:tcPr>
          <w:p w14:paraId="06DA9110" w14:textId="1EA0BF6B" w:rsidR="004D73D3" w:rsidRPr="0048716F" w:rsidRDefault="004D73D3" w:rsidP="0048716F">
            <w:pPr>
              <w:jc w:val="both"/>
              <w:rPr>
                <w:rFonts w:eastAsia="Times New Roman"/>
                <w:b/>
                <w:bCs/>
                <w:color w:val="000000"/>
                <w:sz w:val="18"/>
                <w:szCs w:val="18"/>
                <w:lang w:val="en-US" w:eastAsia="en-US"/>
              </w:rPr>
            </w:pPr>
          </w:p>
        </w:tc>
        <w:tc>
          <w:tcPr>
            <w:tcW w:w="1411" w:type="dxa"/>
            <w:hideMark/>
          </w:tcPr>
          <w:p w14:paraId="09FBD880" w14:textId="17DC40FE" w:rsidR="004D73D3" w:rsidRPr="0048716F" w:rsidRDefault="004D73D3" w:rsidP="0048716F">
            <w:pPr>
              <w:jc w:val="both"/>
              <w:rPr>
                <w:rFonts w:eastAsia="Times New Roman"/>
                <w:b/>
                <w:bCs/>
                <w:color w:val="000000"/>
                <w:sz w:val="18"/>
                <w:szCs w:val="18"/>
                <w:lang w:val="en-US" w:eastAsia="en-US"/>
              </w:rPr>
            </w:pPr>
          </w:p>
        </w:tc>
        <w:tc>
          <w:tcPr>
            <w:tcW w:w="1521" w:type="dxa"/>
            <w:gridSpan w:val="2"/>
            <w:hideMark/>
          </w:tcPr>
          <w:p w14:paraId="1DAD5722" w14:textId="77B610EF" w:rsidR="004D73D3" w:rsidRPr="0048716F" w:rsidRDefault="004D73D3" w:rsidP="0048716F">
            <w:pPr>
              <w:jc w:val="both"/>
              <w:rPr>
                <w:rFonts w:eastAsia="Times New Roman"/>
                <w:b/>
                <w:bCs/>
                <w:color w:val="000000"/>
                <w:sz w:val="18"/>
                <w:szCs w:val="18"/>
                <w:lang w:val="en-US" w:eastAsia="en-US"/>
              </w:rPr>
            </w:pPr>
          </w:p>
        </w:tc>
        <w:tc>
          <w:tcPr>
            <w:tcW w:w="1110" w:type="dxa"/>
            <w:gridSpan w:val="2"/>
            <w:hideMark/>
          </w:tcPr>
          <w:p w14:paraId="1DF46269" w14:textId="112B0B6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1,183,640</w:t>
            </w:r>
          </w:p>
        </w:tc>
        <w:tc>
          <w:tcPr>
            <w:tcW w:w="1110" w:type="dxa"/>
            <w:gridSpan w:val="3"/>
            <w:hideMark/>
          </w:tcPr>
          <w:p w14:paraId="43700C51" w14:textId="7E03AF6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1,633,998</w:t>
            </w:r>
          </w:p>
        </w:tc>
        <w:tc>
          <w:tcPr>
            <w:tcW w:w="1110" w:type="dxa"/>
            <w:gridSpan w:val="2"/>
            <w:hideMark/>
          </w:tcPr>
          <w:p w14:paraId="3C9565C7" w14:textId="50A9812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1,506,853</w:t>
            </w:r>
          </w:p>
        </w:tc>
        <w:tc>
          <w:tcPr>
            <w:tcW w:w="1110" w:type="dxa"/>
            <w:hideMark/>
          </w:tcPr>
          <w:p w14:paraId="4A6E61C7" w14:textId="184DFC7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1,565,729</w:t>
            </w:r>
          </w:p>
        </w:tc>
        <w:tc>
          <w:tcPr>
            <w:tcW w:w="818" w:type="dxa"/>
            <w:gridSpan w:val="2"/>
            <w:hideMark/>
          </w:tcPr>
          <w:p w14:paraId="07A9EB02" w14:textId="2C7395D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1,724,861</w:t>
            </w:r>
          </w:p>
        </w:tc>
      </w:tr>
      <w:tr w:rsidR="004D73D3" w:rsidRPr="0048716F" w14:paraId="7BA28F2A" w14:textId="77777777" w:rsidTr="00597AD8">
        <w:trPr>
          <w:trHeight w:val="324"/>
        </w:trPr>
        <w:tc>
          <w:tcPr>
            <w:tcW w:w="3885" w:type="dxa"/>
            <w:shd w:val="clear" w:color="000000" w:fill="F276AB"/>
            <w:vAlign w:val="center"/>
            <w:hideMark/>
          </w:tcPr>
          <w:p w14:paraId="2A9909D6"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I. AKSESUESHMËRIA</w:t>
            </w:r>
          </w:p>
        </w:tc>
        <w:tc>
          <w:tcPr>
            <w:tcW w:w="1080" w:type="dxa"/>
            <w:shd w:val="clear" w:color="000000" w:fill="F276AB"/>
            <w:vAlign w:val="center"/>
            <w:hideMark/>
          </w:tcPr>
          <w:p w14:paraId="4C1B2E55"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2026</w:t>
            </w:r>
          </w:p>
        </w:tc>
        <w:tc>
          <w:tcPr>
            <w:tcW w:w="1260" w:type="dxa"/>
            <w:shd w:val="clear" w:color="000000" w:fill="F276AB"/>
            <w:vAlign w:val="center"/>
            <w:hideMark/>
          </w:tcPr>
          <w:p w14:paraId="49CD59AE"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2030</w:t>
            </w:r>
          </w:p>
        </w:tc>
        <w:tc>
          <w:tcPr>
            <w:tcW w:w="1411" w:type="dxa"/>
            <w:shd w:val="clear" w:color="000000" w:fill="F276AB"/>
            <w:vAlign w:val="center"/>
            <w:hideMark/>
          </w:tcPr>
          <w:p w14:paraId="65F64A24" w14:textId="69495D4F"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3487306E" w14:textId="3E8D939D" w:rsidR="004D73D3" w:rsidRPr="0048716F" w:rsidRDefault="004D73D3" w:rsidP="0048716F">
            <w:pPr>
              <w:jc w:val="both"/>
              <w:rPr>
                <w:rFonts w:eastAsia="Times New Roman"/>
                <w:b/>
                <w:bCs/>
                <w:color w:val="000000"/>
                <w:sz w:val="18"/>
                <w:szCs w:val="18"/>
                <w:lang w:val="en-US" w:eastAsia="en-US"/>
              </w:rPr>
            </w:pPr>
          </w:p>
        </w:tc>
        <w:tc>
          <w:tcPr>
            <w:tcW w:w="1110" w:type="dxa"/>
            <w:gridSpan w:val="2"/>
            <w:shd w:val="clear" w:color="000000" w:fill="F276AB"/>
            <w:vAlign w:val="center"/>
            <w:hideMark/>
          </w:tcPr>
          <w:p w14:paraId="4159AE46" w14:textId="2D51CE2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64,582</w:t>
            </w:r>
          </w:p>
        </w:tc>
        <w:tc>
          <w:tcPr>
            <w:tcW w:w="1110" w:type="dxa"/>
            <w:gridSpan w:val="3"/>
            <w:shd w:val="clear" w:color="000000" w:fill="F276AB"/>
            <w:vAlign w:val="center"/>
            <w:hideMark/>
          </w:tcPr>
          <w:p w14:paraId="287F83C1" w14:textId="069FD2C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93,903</w:t>
            </w:r>
          </w:p>
        </w:tc>
        <w:tc>
          <w:tcPr>
            <w:tcW w:w="1110" w:type="dxa"/>
            <w:gridSpan w:val="2"/>
            <w:shd w:val="clear" w:color="000000" w:fill="F276AB"/>
            <w:vAlign w:val="center"/>
            <w:hideMark/>
          </w:tcPr>
          <w:p w14:paraId="3EEE522A" w14:textId="274B3C7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58,292</w:t>
            </w:r>
          </w:p>
        </w:tc>
        <w:tc>
          <w:tcPr>
            <w:tcW w:w="1110" w:type="dxa"/>
            <w:shd w:val="clear" w:color="000000" w:fill="F276AB"/>
            <w:vAlign w:val="center"/>
            <w:hideMark/>
          </w:tcPr>
          <w:p w14:paraId="57D2E0EF" w14:textId="38D305D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54,851</w:t>
            </w:r>
          </w:p>
        </w:tc>
        <w:tc>
          <w:tcPr>
            <w:tcW w:w="818" w:type="dxa"/>
            <w:gridSpan w:val="2"/>
            <w:shd w:val="clear" w:color="000000" w:fill="F276AB"/>
            <w:vAlign w:val="center"/>
            <w:hideMark/>
          </w:tcPr>
          <w:p w14:paraId="500C1C32" w14:textId="68C5209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46,265</w:t>
            </w:r>
          </w:p>
        </w:tc>
      </w:tr>
      <w:tr w:rsidR="004D73D3" w:rsidRPr="0048716F" w14:paraId="201EEB45" w14:textId="77777777" w:rsidTr="00597AD8">
        <w:trPr>
          <w:trHeight w:val="624"/>
        </w:trPr>
        <w:tc>
          <w:tcPr>
            <w:tcW w:w="3885" w:type="dxa"/>
            <w:shd w:val="clear" w:color="000000" w:fill="FDE9D9"/>
            <w:hideMark/>
          </w:tcPr>
          <w:p w14:paraId="265B38C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1. Aksesueshmëria në mjedisin ndërtimor, infrastrukturë dhe në produkte e shërbime.</w:t>
            </w:r>
          </w:p>
        </w:tc>
        <w:tc>
          <w:tcPr>
            <w:tcW w:w="1080" w:type="dxa"/>
            <w:shd w:val="clear" w:color="000000" w:fill="FDE9D9"/>
            <w:hideMark/>
          </w:tcPr>
          <w:p w14:paraId="149D907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7BBB25B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55A23E6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 / KM</w:t>
            </w:r>
          </w:p>
        </w:tc>
        <w:tc>
          <w:tcPr>
            <w:tcW w:w="1521" w:type="dxa"/>
            <w:gridSpan w:val="2"/>
            <w:shd w:val="clear" w:color="000000" w:fill="FDE9D9"/>
            <w:vAlign w:val="center"/>
            <w:hideMark/>
          </w:tcPr>
          <w:p w14:paraId="4C4027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Autoriteti/ /Te gjithe Institucionet / OJF, Universiteti Politeknik</w:t>
            </w:r>
          </w:p>
        </w:tc>
        <w:tc>
          <w:tcPr>
            <w:tcW w:w="1110" w:type="dxa"/>
            <w:gridSpan w:val="2"/>
            <w:shd w:val="clear" w:color="000000" w:fill="FDE9D9"/>
            <w:hideMark/>
          </w:tcPr>
          <w:p w14:paraId="542F4A99" w14:textId="5145C56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9,320</w:t>
            </w:r>
          </w:p>
        </w:tc>
        <w:tc>
          <w:tcPr>
            <w:tcW w:w="1110" w:type="dxa"/>
            <w:gridSpan w:val="3"/>
            <w:shd w:val="clear" w:color="000000" w:fill="FDE9D9"/>
            <w:hideMark/>
          </w:tcPr>
          <w:p w14:paraId="354DA2D4" w14:textId="7D5C00B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24,570</w:t>
            </w:r>
          </w:p>
        </w:tc>
        <w:tc>
          <w:tcPr>
            <w:tcW w:w="1110" w:type="dxa"/>
            <w:gridSpan w:val="2"/>
            <w:shd w:val="clear" w:color="000000" w:fill="FDE9D9"/>
            <w:hideMark/>
          </w:tcPr>
          <w:p w14:paraId="7E6C7149" w14:textId="3DDE705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32,186</w:t>
            </w:r>
          </w:p>
        </w:tc>
        <w:tc>
          <w:tcPr>
            <w:tcW w:w="1110" w:type="dxa"/>
            <w:shd w:val="clear" w:color="000000" w:fill="FDE9D9"/>
            <w:hideMark/>
          </w:tcPr>
          <w:p w14:paraId="2142E84B" w14:textId="4E52EF8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32,186</w:t>
            </w:r>
          </w:p>
        </w:tc>
        <w:tc>
          <w:tcPr>
            <w:tcW w:w="818" w:type="dxa"/>
            <w:gridSpan w:val="2"/>
            <w:shd w:val="clear" w:color="000000" w:fill="FDE9D9"/>
            <w:hideMark/>
          </w:tcPr>
          <w:p w14:paraId="1ED658F1" w14:textId="6454F8F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24,836</w:t>
            </w:r>
          </w:p>
        </w:tc>
      </w:tr>
      <w:tr w:rsidR="004D73D3" w:rsidRPr="0048716F" w14:paraId="58AF605A" w14:textId="77777777" w:rsidTr="00597AD8">
        <w:trPr>
          <w:trHeight w:val="1164"/>
        </w:trPr>
        <w:tc>
          <w:tcPr>
            <w:tcW w:w="3885" w:type="dxa"/>
            <w:shd w:val="clear" w:color="000000" w:fill="DCE6F1"/>
            <w:hideMark/>
          </w:tcPr>
          <w:p w14:paraId="5D34881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1.1 Rishikimi i bazës ligjore për aksesueshmërinë dhe fuqizimi i monitorimit të zbatimit të saj.  Ngritja dhe funksionimi i Struktures monitoruese/Autoritetit, në varësi të Këshillit të Ministrave, për monitorim në nivel kombëtar</w:t>
            </w:r>
          </w:p>
        </w:tc>
        <w:tc>
          <w:tcPr>
            <w:tcW w:w="1080" w:type="dxa"/>
            <w:shd w:val="clear" w:color="000000" w:fill="DCE6F1"/>
            <w:hideMark/>
          </w:tcPr>
          <w:p w14:paraId="4356966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6BD4CD6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5DD8B60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 / KM</w:t>
            </w:r>
          </w:p>
        </w:tc>
        <w:tc>
          <w:tcPr>
            <w:tcW w:w="1521" w:type="dxa"/>
            <w:gridSpan w:val="2"/>
            <w:shd w:val="clear" w:color="000000" w:fill="DCE6F1"/>
            <w:vAlign w:val="center"/>
            <w:hideMark/>
          </w:tcPr>
          <w:p w14:paraId="5DCCA4B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Autoriteti/ /Te gjithe Institucionet / OJF, Universiteti Politeknik</w:t>
            </w:r>
          </w:p>
        </w:tc>
        <w:tc>
          <w:tcPr>
            <w:tcW w:w="1110" w:type="dxa"/>
            <w:gridSpan w:val="2"/>
            <w:shd w:val="clear" w:color="000000" w:fill="DCE6F1"/>
            <w:hideMark/>
          </w:tcPr>
          <w:p w14:paraId="0ED86085" w14:textId="01E4A17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7,866</w:t>
            </w:r>
          </w:p>
        </w:tc>
        <w:tc>
          <w:tcPr>
            <w:tcW w:w="1110" w:type="dxa"/>
            <w:gridSpan w:val="3"/>
            <w:shd w:val="clear" w:color="000000" w:fill="DCE6F1"/>
            <w:hideMark/>
          </w:tcPr>
          <w:p w14:paraId="1DFB85D7" w14:textId="0513E33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17,116</w:t>
            </w:r>
          </w:p>
        </w:tc>
        <w:tc>
          <w:tcPr>
            <w:tcW w:w="1110" w:type="dxa"/>
            <w:gridSpan w:val="2"/>
            <w:shd w:val="clear" w:color="000000" w:fill="DCE6F1"/>
            <w:hideMark/>
          </w:tcPr>
          <w:p w14:paraId="554A536F" w14:textId="39E7813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23,232</w:t>
            </w:r>
          </w:p>
        </w:tc>
        <w:tc>
          <w:tcPr>
            <w:tcW w:w="1110" w:type="dxa"/>
            <w:shd w:val="clear" w:color="000000" w:fill="DCE6F1"/>
            <w:hideMark/>
          </w:tcPr>
          <w:p w14:paraId="1F6FAA5C" w14:textId="484BBB9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23,232</w:t>
            </w:r>
          </w:p>
        </w:tc>
        <w:tc>
          <w:tcPr>
            <w:tcW w:w="818" w:type="dxa"/>
            <w:gridSpan w:val="2"/>
            <w:shd w:val="clear" w:color="000000" w:fill="DCE6F1"/>
            <w:hideMark/>
          </w:tcPr>
          <w:p w14:paraId="19E74784" w14:textId="01D33B2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23,232</w:t>
            </w:r>
          </w:p>
        </w:tc>
      </w:tr>
      <w:tr w:rsidR="004D73D3" w:rsidRPr="0048716F" w14:paraId="1CDC1CEB" w14:textId="77777777" w:rsidTr="00597AD8">
        <w:trPr>
          <w:trHeight w:val="440"/>
        </w:trPr>
        <w:tc>
          <w:tcPr>
            <w:tcW w:w="3885" w:type="dxa"/>
            <w:hideMark/>
          </w:tcPr>
          <w:p w14:paraId="5B104EE2" w14:textId="6E601372"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1.1.1 Miratimi i ligjit “Për përfshirjen dhe aksesueshmërinë për Personat me Aftësi të Kufizuara”, i rishikuar, duke transpozuar Direktivën  (BE) 2019/882 e  Parlamentit Europian dhe e  Këshillit “Mbi kërkesat e aksesueshmërië për produktet dhe shërbimet”  .Rishikimi VKM Nr. 1074, datë 23.12.2015, "Për masat për heqjen e pengesave mjedisore dhe të infrastrukturës në ofrimin e shërbimeve publike" dhe plotësimi me aktet e tjera nënligjore për zbatimin e ligjit.   Organizimi i fushatës informuese në ndihmë të zbatimit të ligjit të rishikuar “Për përfshirjen dhe aksesueshmërinë për Personat me Aftësi të Kufizuara”</w:t>
            </w:r>
          </w:p>
        </w:tc>
        <w:tc>
          <w:tcPr>
            <w:tcW w:w="1080" w:type="dxa"/>
            <w:hideMark/>
          </w:tcPr>
          <w:p w14:paraId="1BAF2D6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A6DF1E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56E6262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 KM</w:t>
            </w:r>
          </w:p>
        </w:tc>
        <w:tc>
          <w:tcPr>
            <w:tcW w:w="1521" w:type="dxa"/>
            <w:gridSpan w:val="2"/>
            <w:vAlign w:val="center"/>
            <w:hideMark/>
          </w:tcPr>
          <w:p w14:paraId="56535E7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575BFE6E" w14:textId="1A33E3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3,407</w:t>
            </w:r>
          </w:p>
        </w:tc>
        <w:tc>
          <w:tcPr>
            <w:tcW w:w="1110" w:type="dxa"/>
            <w:gridSpan w:val="3"/>
            <w:hideMark/>
          </w:tcPr>
          <w:p w14:paraId="7F3C9DD2" w14:textId="53A638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8,957</w:t>
            </w:r>
          </w:p>
        </w:tc>
        <w:tc>
          <w:tcPr>
            <w:tcW w:w="1110" w:type="dxa"/>
            <w:gridSpan w:val="2"/>
            <w:hideMark/>
          </w:tcPr>
          <w:p w14:paraId="537F75A7" w14:textId="2AC81A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14,900</w:t>
            </w:r>
          </w:p>
        </w:tc>
        <w:tc>
          <w:tcPr>
            <w:tcW w:w="1110" w:type="dxa"/>
            <w:hideMark/>
          </w:tcPr>
          <w:p w14:paraId="5BD164F4" w14:textId="59A516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14,900</w:t>
            </w:r>
          </w:p>
        </w:tc>
        <w:tc>
          <w:tcPr>
            <w:tcW w:w="818" w:type="dxa"/>
            <w:gridSpan w:val="2"/>
            <w:hideMark/>
          </w:tcPr>
          <w:p w14:paraId="0B1AC3F4" w14:textId="2D66680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14,900</w:t>
            </w:r>
          </w:p>
        </w:tc>
      </w:tr>
      <w:tr w:rsidR="004D73D3" w:rsidRPr="0048716F" w14:paraId="3E527875" w14:textId="77777777" w:rsidTr="00597AD8">
        <w:trPr>
          <w:trHeight w:val="2592"/>
        </w:trPr>
        <w:tc>
          <w:tcPr>
            <w:tcW w:w="3885" w:type="dxa"/>
            <w:hideMark/>
          </w:tcPr>
          <w:p w14:paraId="434E1C77" w14:textId="7065F9B5"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1.1.2 Trajnime për anëtarët e Strukturës monitoruese / Autoritetit dhe stafet e nevojshme të të gjitha institucioneve, stafin pedagogjik në shkollat e formimit profesional, universitete, etj.; subjektet projektuese dhe zbatuese në fushën e ndërtimeve dhe infrastrukturës rrugore; pronarët/administratorët e bizneseve private që tregëtojnë produkte dhe ofrojnë shërbime etj.  në lidhje me rekomandimet e Konventës së OKB-së për personat me aftësi të kufizuara, legjislacionin shqiptar mbi kërkesat dhe standardet e aksesueshmërisë së mjedisit, të produkteve e shërbimeve.</w:t>
            </w:r>
          </w:p>
        </w:tc>
        <w:tc>
          <w:tcPr>
            <w:tcW w:w="1080" w:type="dxa"/>
            <w:hideMark/>
          </w:tcPr>
          <w:p w14:paraId="26A6EAC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6C8AB80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20C3B50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0F055D9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Autoriteti/ /Te gjithe Institucionet / OJF, Universiteti Politeknik</w:t>
            </w:r>
          </w:p>
        </w:tc>
        <w:tc>
          <w:tcPr>
            <w:tcW w:w="1110" w:type="dxa"/>
            <w:gridSpan w:val="2"/>
            <w:hideMark/>
          </w:tcPr>
          <w:p w14:paraId="5BE4F1C0" w14:textId="45BE03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91B48E9" w14:textId="259D46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3,700</w:t>
            </w:r>
          </w:p>
        </w:tc>
        <w:tc>
          <w:tcPr>
            <w:tcW w:w="1110" w:type="dxa"/>
            <w:gridSpan w:val="2"/>
            <w:hideMark/>
          </w:tcPr>
          <w:p w14:paraId="26C8FDA5" w14:textId="1DA933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3,873</w:t>
            </w:r>
          </w:p>
        </w:tc>
        <w:tc>
          <w:tcPr>
            <w:tcW w:w="1110" w:type="dxa"/>
            <w:hideMark/>
          </w:tcPr>
          <w:p w14:paraId="07B7651B" w14:textId="7F1BDFB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3,873</w:t>
            </w:r>
          </w:p>
        </w:tc>
        <w:tc>
          <w:tcPr>
            <w:tcW w:w="818" w:type="dxa"/>
            <w:gridSpan w:val="2"/>
            <w:hideMark/>
          </w:tcPr>
          <w:p w14:paraId="21AE7F32" w14:textId="6B616D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3,873</w:t>
            </w:r>
          </w:p>
        </w:tc>
      </w:tr>
      <w:tr w:rsidR="004D73D3" w:rsidRPr="0048716F" w14:paraId="28793682" w14:textId="77777777" w:rsidTr="00597AD8">
        <w:trPr>
          <w:trHeight w:val="1728"/>
        </w:trPr>
        <w:tc>
          <w:tcPr>
            <w:tcW w:w="3885" w:type="dxa"/>
            <w:hideMark/>
          </w:tcPr>
          <w:p w14:paraId="7CE3EB6E" w14:textId="13B4BBC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1.1.3  Zhvillimi i fushatave të ndërgjegjësimit me personat me aftësi të kufizuara dhe familjet e tyre, në lidhje me të drejtat e tyre edhe në fushën e aksesueshmërisë, bazuar në legjislacionin shqiptar, në rekomandimet e konventës së OKB-së për të drejtat e personave me aftësi të kufizuara, si edhe dokumenteve të ndryshme ndërkombëtare.</w:t>
            </w:r>
          </w:p>
        </w:tc>
        <w:tc>
          <w:tcPr>
            <w:tcW w:w="1080" w:type="dxa"/>
            <w:hideMark/>
          </w:tcPr>
          <w:p w14:paraId="4ECBCD6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B92C3C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486E66D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shd w:val="clear" w:color="000000" w:fill="FFFFFF"/>
            <w:vAlign w:val="center"/>
            <w:hideMark/>
          </w:tcPr>
          <w:p w14:paraId="4E6C180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OJQ</w:t>
            </w:r>
          </w:p>
        </w:tc>
        <w:tc>
          <w:tcPr>
            <w:tcW w:w="1110" w:type="dxa"/>
            <w:gridSpan w:val="2"/>
            <w:hideMark/>
          </w:tcPr>
          <w:p w14:paraId="23E1A64C" w14:textId="35A6B7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4,459</w:t>
            </w:r>
          </w:p>
        </w:tc>
        <w:tc>
          <w:tcPr>
            <w:tcW w:w="1110" w:type="dxa"/>
            <w:gridSpan w:val="3"/>
            <w:hideMark/>
          </w:tcPr>
          <w:p w14:paraId="22B57379" w14:textId="57D5154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4,459</w:t>
            </w:r>
          </w:p>
        </w:tc>
        <w:tc>
          <w:tcPr>
            <w:tcW w:w="1110" w:type="dxa"/>
            <w:gridSpan w:val="2"/>
            <w:hideMark/>
          </w:tcPr>
          <w:p w14:paraId="261BB5D6" w14:textId="249DD1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4,459</w:t>
            </w:r>
          </w:p>
        </w:tc>
        <w:tc>
          <w:tcPr>
            <w:tcW w:w="1110" w:type="dxa"/>
            <w:hideMark/>
          </w:tcPr>
          <w:p w14:paraId="101B9428" w14:textId="557C23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4,459</w:t>
            </w:r>
          </w:p>
        </w:tc>
        <w:tc>
          <w:tcPr>
            <w:tcW w:w="818" w:type="dxa"/>
            <w:gridSpan w:val="2"/>
            <w:hideMark/>
          </w:tcPr>
          <w:p w14:paraId="0D0F8BF7" w14:textId="166E929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4,459</w:t>
            </w:r>
          </w:p>
        </w:tc>
      </w:tr>
      <w:tr w:rsidR="004D73D3" w:rsidRPr="0048716F" w14:paraId="06F28D49" w14:textId="77777777" w:rsidTr="00597AD8">
        <w:trPr>
          <w:trHeight w:val="1152"/>
        </w:trPr>
        <w:tc>
          <w:tcPr>
            <w:tcW w:w="3885" w:type="dxa"/>
            <w:shd w:val="clear" w:color="000000" w:fill="B8CCE4"/>
            <w:noWrap/>
            <w:hideMark/>
          </w:tcPr>
          <w:p w14:paraId="4D2CE06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1.2 Vlerësimi i situatës së aksesueshmërisë së aseteve publike (ndërtesa dhe infrastrukturë), planifikimi i buxhetit përkatës dhe detajimi i planit me aksione konkrete për përfshirjen e elementeve të aksesueshmërisë në të gjitha asetet, sipas përparësive.</w:t>
            </w:r>
          </w:p>
        </w:tc>
        <w:tc>
          <w:tcPr>
            <w:tcW w:w="1080" w:type="dxa"/>
            <w:shd w:val="clear" w:color="000000" w:fill="B8CCE4"/>
            <w:hideMark/>
          </w:tcPr>
          <w:p w14:paraId="4DA9E50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shd w:val="clear" w:color="000000" w:fill="B8CCE4"/>
            <w:hideMark/>
          </w:tcPr>
          <w:p w14:paraId="09C4F37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shd w:val="clear" w:color="000000" w:fill="B8CCE4"/>
            <w:vAlign w:val="center"/>
            <w:hideMark/>
          </w:tcPr>
          <w:p w14:paraId="63BC407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MIE/MSHMS/KM (autoriteti)</w:t>
            </w:r>
          </w:p>
        </w:tc>
        <w:tc>
          <w:tcPr>
            <w:tcW w:w="1521" w:type="dxa"/>
            <w:gridSpan w:val="2"/>
            <w:shd w:val="clear" w:color="000000" w:fill="B8CCE4"/>
            <w:vAlign w:val="center"/>
            <w:hideMark/>
          </w:tcPr>
          <w:p w14:paraId="48011BB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Auroriteti, të gjitha institucionet/ studente te UP/ Të gjitha institucionet/ bashkitë/bizneset/ Universiteti Politeknik</w:t>
            </w:r>
          </w:p>
        </w:tc>
        <w:tc>
          <w:tcPr>
            <w:tcW w:w="1110" w:type="dxa"/>
            <w:gridSpan w:val="2"/>
            <w:shd w:val="clear" w:color="000000" w:fill="B8CCE4"/>
            <w:hideMark/>
          </w:tcPr>
          <w:p w14:paraId="6D906409" w14:textId="547CD04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1,455</w:t>
            </w:r>
          </w:p>
        </w:tc>
        <w:tc>
          <w:tcPr>
            <w:tcW w:w="1110" w:type="dxa"/>
            <w:gridSpan w:val="3"/>
            <w:shd w:val="clear" w:color="000000" w:fill="B8CCE4"/>
            <w:hideMark/>
          </w:tcPr>
          <w:p w14:paraId="575AAE72" w14:textId="7FE947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7,455</w:t>
            </w:r>
          </w:p>
        </w:tc>
        <w:tc>
          <w:tcPr>
            <w:tcW w:w="1110" w:type="dxa"/>
            <w:gridSpan w:val="2"/>
            <w:shd w:val="clear" w:color="000000" w:fill="B8CCE4"/>
            <w:hideMark/>
          </w:tcPr>
          <w:p w14:paraId="4CE32AF2" w14:textId="363F0A6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8,955</w:t>
            </w:r>
          </w:p>
        </w:tc>
        <w:tc>
          <w:tcPr>
            <w:tcW w:w="1110" w:type="dxa"/>
            <w:shd w:val="clear" w:color="000000" w:fill="B8CCE4"/>
            <w:hideMark/>
          </w:tcPr>
          <w:p w14:paraId="41F37675" w14:textId="53A347D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8,955</w:t>
            </w:r>
          </w:p>
        </w:tc>
        <w:tc>
          <w:tcPr>
            <w:tcW w:w="818" w:type="dxa"/>
            <w:gridSpan w:val="2"/>
            <w:shd w:val="clear" w:color="000000" w:fill="B8CCE4"/>
            <w:hideMark/>
          </w:tcPr>
          <w:p w14:paraId="3414399A" w14:textId="6DAB072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1,605</w:t>
            </w:r>
          </w:p>
        </w:tc>
      </w:tr>
      <w:tr w:rsidR="004D73D3" w:rsidRPr="0048716F" w14:paraId="01D0CB59" w14:textId="77777777" w:rsidTr="00597AD8">
        <w:trPr>
          <w:trHeight w:val="1440"/>
        </w:trPr>
        <w:tc>
          <w:tcPr>
            <w:tcW w:w="3885" w:type="dxa"/>
            <w:hideMark/>
          </w:tcPr>
          <w:p w14:paraId="2222CFCF" w14:textId="66373E82"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 xml:space="preserve">1.2.1 Vlerësimi ndërtimor i objekteve, asete të cdo institucioni për nivelin e aksesueshmërisë, në përputhje me standardet.                                                </w:t>
            </w:r>
            <w:r w:rsidRPr="0048716F">
              <w:rPr>
                <w:rFonts w:eastAsia="Times New Roman"/>
                <w:color w:val="000000"/>
                <w:sz w:val="18"/>
                <w:szCs w:val="18"/>
                <w:lang w:val="en-US" w:eastAsia="en-US"/>
              </w:rPr>
              <w:br/>
              <w:t xml:space="preserve"> Krijimi i regjistrit të nivelit te aksesueshmërisë së aseteve të institucionit dhe strukturave të varësisë ku do të bëhet regjistrimi i këtyre aseteve/objektev</w:t>
            </w:r>
          </w:p>
        </w:tc>
        <w:tc>
          <w:tcPr>
            <w:tcW w:w="1080" w:type="dxa"/>
            <w:hideMark/>
          </w:tcPr>
          <w:p w14:paraId="2C8B0B1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6D34875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411" w:type="dxa"/>
            <w:vAlign w:val="center"/>
            <w:hideMark/>
          </w:tcPr>
          <w:p w14:paraId="1338A0E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MIE/MSHMS/ KM (autoriteti)</w:t>
            </w:r>
          </w:p>
        </w:tc>
        <w:tc>
          <w:tcPr>
            <w:tcW w:w="1521" w:type="dxa"/>
            <w:gridSpan w:val="2"/>
            <w:vAlign w:val="center"/>
            <w:hideMark/>
          </w:tcPr>
          <w:p w14:paraId="7E8142E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Auroriteti, të gjitha institucionet/ studente te UP</w:t>
            </w:r>
          </w:p>
        </w:tc>
        <w:tc>
          <w:tcPr>
            <w:tcW w:w="1110" w:type="dxa"/>
            <w:gridSpan w:val="2"/>
            <w:hideMark/>
          </w:tcPr>
          <w:p w14:paraId="3FF1D18C" w14:textId="52E4C2C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B00B1F7" w14:textId="2D11FC8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gridSpan w:val="2"/>
            <w:hideMark/>
          </w:tcPr>
          <w:p w14:paraId="24B81CDC" w14:textId="2610A6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hideMark/>
          </w:tcPr>
          <w:p w14:paraId="4637EC61" w14:textId="67BE00C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818" w:type="dxa"/>
            <w:gridSpan w:val="2"/>
            <w:hideMark/>
          </w:tcPr>
          <w:p w14:paraId="6A741183" w14:textId="7F2FDE6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67D28F07" w14:textId="77777777" w:rsidTr="00597AD8">
        <w:trPr>
          <w:trHeight w:val="1728"/>
        </w:trPr>
        <w:tc>
          <w:tcPr>
            <w:tcW w:w="3885" w:type="dxa"/>
            <w:vAlign w:val="bottom"/>
            <w:hideMark/>
          </w:tcPr>
          <w:p w14:paraId="4215D95E" w14:textId="6A730926"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1.2.2 Pergatitja nga MSHMS e 2 raporteve  te monitorimit te zbatimit  te Planit te Veprimit  gjate periudhes se planifikuar per zbatimi e ti., me focus te  vecante edhe tek aksesueshmeria ne mjedisin ndertimor  dhe ne monitorime të investimeve publike të bëra  në objektet e arsimit, shëndetësisë, kujdesit social, tregut të punës dhe drejtësisë për zbatimin e standardeve të aksesueshmërisë</w:t>
            </w:r>
          </w:p>
        </w:tc>
        <w:tc>
          <w:tcPr>
            <w:tcW w:w="1080" w:type="dxa"/>
            <w:hideMark/>
          </w:tcPr>
          <w:p w14:paraId="5B40C24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260" w:type="dxa"/>
            <w:hideMark/>
          </w:tcPr>
          <w:p w14:paraId="5E6A8B3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386C94C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389371A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inst.Bashkite bizneset</w:t>
            </w:r>
          </w:p>
        </w:tc>
        <w:tc>
          <w:tcPr>
            <w:tcW w:w="1110" w:type="dxa"/>
            <w:gridSpan w:val="2"/>
            <w:hideMark/>
          </w:tcPr>
          <w:p w14:paraId="0B7CD138" w14:textId="700CDB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E72FCE0" w14:textId="384C59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gridSpan w:val="2"/>
            <w:hideMark/>
          </w:tcPr>
          <w:p w14:paraId="2C5C0BAC" w14:textId="64069B7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hideMark/>
          </w:tcPr>
          <w:p w14:paraId="62388758" w14:textId="6C872F4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818" w:type="dxa"/>
            <w:gridSpan w:val="2"/>
            <w:hideMark/>
          </w:tcPr>
          <w:p w14:paraId="2DAD2E36" w14:textId="192E553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w:t>
            </w:r>
          </w:p>
        </w:tc>
      </w:tr>
      <w:tr w:rsidR="004D73D3" w:rsidRPr="0048716F" w14:paraId="354E36E1" w14:textId="77777777" w:rsidTr="00597AD8">
        <w:trPr>
          <w:trHeight w:val="1152"/>
        </w:trPr>
        <w:tc>
          <w:tcPr>
            <w:tcW w:w="3885" w:type="dxa"/>
            <w:hideMark/>
          </w:tcPr>
          <w:p w14:paraId="13C5EF57" w14:textId="1AA27A3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1.2.3 Organizimi cdo vit nga MSHMS i Konferencës Kombëtare të Aksesueshmërisë, ku prezantohen arritjet një vjeçare nga të gjithë institucionet përgjegjëse dhe planifikimi për vitin e ardhshëm.</w:t>
            </w:r>
          </w:p>
        </w:tc>
        <w:tc>
          <w:tcPr>
            <w:tcW w:w="1080" w:type="dxa"/>
            <w:hideMark/>
          </w:tcPr>
          <w:p w14:paraId="2B7B906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3E5EC6C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54FCD5E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MIE/MSHMS</w:t>
            </w:r>
          </w:p>
        </w:tc>
        <w:tc>
          <w:tcPr>
            <w:tcW w:w="1521" w:type="dxa"/>
            <w:gridSpan w:val="2"/>
            <w:vAlign w:val="center"/>
            <w:hideMark/>
          </w:tcPr>
          <w:p w14:paraId="02A7B4D3" w14:textId="21891540" w:rsidR="004D73D3" w:rsidRPr="0048716F" w:rsidRDefault="004D73D3" w:rsidP="00597AD8">
            <w:pPr>
              <w:rPr>
                <w:rFonts w:eastAsia="Times New Roman"/>
                <w:color w:val="000000"/>
                <w:sz w:val="18"/>
                <w:szCs w:val="18"/>
                <w:lang w:val="en-US" w:eastAsia="en-US"/>
              </w:rPr>
            </w:pPr>
          </w:p>
        </w:tc>
        <w:tc>
          <w:tcPr>
            <w:tcW w:w="1110" w:type="dxa"/>
            <w:gridSpan w:val="2"/>
            <w:hideMark/>
          </w:tcPr>
          <w:p w14:paraId="76D0C051" w14:textId="77121C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1110" w:type="dxa"/>
            <w:gridSpan w:val="3"/>
            <w:hideMark/>
          </w:tcPr>
          <w:p w14:paraId="416ED013" w14:textId="0CE4696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1110" w:type="dxa"/>
            <w:gridSpan w:val="2"/>
            <w:hideMark/>
          </w:tcPr>
          <w:p w14:paraId="533141D7" w14:textId="31AC74D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1110" w:type="dxa"/>
            <w:hideMark/>
          </w:tcPr>
          <w:p w14:paraId="23B7C640" w14:textId="400BA04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818" w:type="dxa"/>
            <w:gridSpan w:val="2"/>
            <w:hideMark/>
          </w:tcPr>
          <w:p w14:paraId="5C3D435D" w14:textId="19103F1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r>
      <w:tr w:rsidR="004D73D3" w:rsidRPr="0048716F" w14:paraId="4A7501B4" w14:textId="77777777" w:rsidTr="00597AD8">
        <w:trPr>
          <w:trHeight w:val="1740"/>
        </w:trPr>
        <w:tc>
          <w:tcPr>
            <w:tcW w:w="3885" w:type="dxa"/>
            <w:vAlign w:val="center"/>
            <w:hideMark/>
          </w:tcPr>
          <w:p w14:paraId="149C2564" w14:textId="6E2EF60E"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1.2.4 Promovimi përmes fushatave të komunikimit/ndërgjegjësimit të praktikave pozitive në zbatimin dhe aplikimin e kërkesave dhe standardeve të aksesueshmërisë në mjedise, produkte dhe shërbime  për personat me aftësi të kufizuara.</w:t>
            </w:r>
          </w:p>
        </w:tc>
        <w:tc>
          <w:tcPr>
            <w:tcW w:w="1080" w:type="dxa"/>
            <w:hideMark/>
          </w:tcPr>
          <w:p w14:paraId="4553240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199EAF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28D72DE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MIE/MSHMS</w:t>
            </w:r>
          </w:p>
        </w:tc>
        <w:tc>
          <w:tcPr>
            <w:tcW w:w="1521" w:type="dxa"/>
            <w:gridSpan w:val="2"/>
            <w:vAlign w:val="center"/>
            <w:hideMark/>
          </w:tcPr>
          <w:p w14:paraId="6209485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Autoriteti/Te gjithe Institucionet e perfshire/Organizatat ne mbrojtje te PAK   Universiteti Politeknik</w:t>
            </w:r>
          </w:p>
        </w:tc>
        <w:tc>
          <w:tcPr>
            <w:tcW w:w="1110" w:type="dxa"/>
            <w:gridSpan w:val="2"/>
            <w:hideMark/>
          </w:tcPr>
          <w:p w14:paraId="192925BF" w14:textId="6F00E90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1110" w:type="dxa"/>
            <w:gridSpan w:val="3"/>
            <w:hideMark/>
          </w:tcPr>
          <w:p w14:paraId="5A99D8B1" w14:textId="10F97F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1110" w:type="dxa"/>
            <w:gridSpan w:val="2"/>
            <w:hideMark/>
          </w:tcPr>
          <w:p w14:paraId="5B1AE301" w14:textId="4EAB7A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1110" w:type="dxa"/>
            <w:hideMark/>
          </w:tcPr>
          <w:p w14:paraId="31837C00" w14:textId="237F08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c>
          <w:tcPr>
            <w:tcW w:w="818" w:type="dxa"/>
            <w:gridSpan w:val="2"/>
            <w:hideMark/>
          </w:tcPr>
          <w:p w14:paraId="1C38CF4A" w14:textId="5B64CA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727</w:t>
            </w:r>
          </w:p>
        </w:tc>
      </w:tr>
      <w:tr w:rsidR="004D73D3" w:rsidRPr="0048716F" w14:paraId="6BCCDBF0" w14:textId="77777777" w:rsidTr="00597AD8">
        <w:trPr>
          <w:trHeight w:val="1164"/>
        </w:trPr>
        <w:tc>
          <w:tcPr>
            <w:tcW w:w="3885" w:type="dxa"/>
            <w:shd w:val="clear" w:color="000000" w:fill="FDE9D9"/>
            <w:vAlign w:val="center"/>
            <w:hideMark/>
          </w:tcPr>
          <w:p w14:paraId="05CF3C9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2: Aksesueshmëria në transport, në shërbime dhe mjete: Të përmirësohet niveli i aksesueshmërisë  në transportin  publik, si në mjetet edhe në shërbime ndaj udhëtarëve me aftësi të kufizuara. Të mundësohet udhëtimi falas për PAK.</w:t>
            </w:r>
          </w:p>
        </w:tc>
        <w:tc>
          <w:tcPr>
            <w:tcW w:w="1080" w:type="dxa"/>
            <w:shd w:val="clear" w:color="000000" w:fill="FDE9D9"/>
            <w:vAlign w:val="center"/>
            <w:hideMark/>
          </w:tcPr>
          <w:p w14:paraId="7A5463C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12843A2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75B7F63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MIE/NJVQK/DPSHTRR/MSHMS/KMD/BASHKIA</w:t>
            </w:r>
          </w:p>
        </w:tc>
        <w:tc>
          <w:tcPr>
            <w:tcW w:w="1521" w:type="dxa"/>
            <w:gridSpan w:val="2"/>
            <w:shd w:val="clear" w:color="000000" w:fill="FDE9D9"/>
            <w:vAlign w:val="center"/>
            <w:hideMark/>
          </w:tcPr>
          <w:p w14:paraId="2D6D3BC0"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DPSHTRR/Bashkite &amp; Shoqatat e transportit/ofrues sherbimesh / OJF/MSHMS</w:t>
            </w:r>
          </w:p>
        </w:tc>
        <w:tc>
          <w:tcPr>
            <w:tcW w:w="1110" w:type="dxa"/>
            <w:gridSpan w:val="2"/>
            <w:shd w:val="clear" w:color="000000" w:fill="FDE9D9"/>
            <w:hideMark/>
          </w:tcPr>
          <w:p w14:paraId="529A0F30" w14:textId="07DBC27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2,914</w:t>
            </w:r>
          </w:p>
        </w:tc>
        <w:tc>
          <w:tcPr>
            <w:tcW w:w="1110" w:type="dxa"/>
            <w:gridSpan w:val="3"/>
            <w:shd w:val="clear" w:color="000000" w:fill="FDE9D9"/>
            <w:hideMark/>
          </w:tcPr>
          <w:p w14:paraId="7B45877D" w14:textId="1123F28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4,248</w:t>
            </w:r>
          </w:p>
        </w:tc>
        <w:tc>
          <w:tcPr>
            <w:tcW w:w="1110" w:type="dxa"/>
            <w:gridSpan w:val="2"/>
            <w:shd w:val="clear" w:color="000000" w:fill="FDE9D9"/>
            <w:hideMark/>
          </w:tcPr>
          <w:p w14:paraId="356BCB8F" w14:textId="7185D6C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3,770</w:t>
            </w:r>
          </w:p>
        </w:tc>
        <w:tc>
          <w:tcPr>
            <w:tcW w:w="1110" w:type="dxa"/>
            <w:shd w:val="clear" w:color="000000" w:fill="FDE9D9"/>
            <w:hideMark/>
          </w:tcPr>
          <w:p w14:paraId="036CFE40" w14:textId="7F4C58C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2,336</w:t>
            </w:r>
          </w:p>
        </w:tc>
        <w:tc>
          <w:tcPr>
            <w:tcW w:w="818" w:type="dxa"/>
            <w:gridSpan w:val="2"/>
            <w:shd w:val="clear" w:color="000000" w:fill="FDE9D9"/>
            <w:hideMark/>
          </w:tcPr>
          <w:p w14:paraId="076293CD" w14:textId="2F9A2BA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1,136</w:t>
            </w:r>
          </w:p>
        </w:tc>
      </w:tr>
      <w:tr w:rsidR="004D73D3" w:rsidRPr="0048716F" w14:paraId="6FA6B16F" w14:textId="77777777" w:rsidTr="00597AD8">
        <w:trPr>
          <w:trHeight w:val="1440"/>
        </w:trPr>
        <w:tc>
          <w:tcPr>
            <w:tcW w:w="3885" w:type="dxa"/>
            <w:shd w:val="clear" w:color="000000" w:fill="DCE6F1"/>
            <w:hideMark/>
          </w:tcPr>
          <w:p w14:paraId="2D1E766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2.1 Të aplikohen standardet e BE-së dhe të përafrohet kuadri ligjor për të mundësuar realizimin e të drejtae të pasagjerëve me aftësi të kufizuara në udhëtimet me  autobusë (brenda qyteteve dhe ndër qytete), dhe te gjitha mjetet e tjera te transportit. Përmirësimi i qëndrimeve dhe sjelljeve ndaj udhëtarëve me  aftësi të kufizuara.</w:t>
            </w:r>
          </w:p>
        </w:tc>
        <w:tc>
          <w:tcPr>
            <w:tcW w:w="1080" w:type="dxa"/>
            <w:shd w:val="clear" w:color="000000" w:fill="DCE6F1"/>
            <w:hideMark/>
          </w:tcPr>
          <w:p w14:paraId="04B2378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shd w:val="clear" w:color="000000" w:fill="DCE6F1"/>
            <w:hideMark/>
          </w:tcPr>
          <w:p w14:paraId="4409CAA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shd w:val="clear" w:color="000000" w:fill="DCE6F1"/>
            <w:vAlign w:val="center"/>
            <w:hideMark/>
          </w:tcPr>
          <w:p w14:paraId="46B1405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MIE/NJVQK/DPSHTRR/MSHMS/KMD/BASHKIA</w:t>
            </w:r>
          </w:p>
        </w:tc>
        <w:tc>
          <w:tcPr>
            <w:tcW w:w="1521" w:type="dxa"/>
            <w:gridSpan w:val="2"/>
            <w:shd w:val="clear" w:color="000000" w:fill="DCE6F1"/>
            <w:vAlign w:val="center"/>
            <w:hideMark/>
          </w:tcPr>
          <w:p w14:paraId="18FF10B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DPSHTRR/Bashkite &amp; Shoqatat e transportit/ofrues sherbimesh / OJF/MSHMS</w:t>
            </w:r>
          </w:p>
        </w:tc>
        <w:tc>
          <w:tcPr>
            <w:tcW w:w="1110" w:type="dxa"/>
            <w:gridSpan w:val="2"/>
            <w:shd w:val="clear" w:color="000000" w:fill="DCE6F1"/>
            <w:hideMark/>
          </w:tcPr>
          <w:p w14:paraId="0C322484" w14:textId="74B5C97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2,914</w:t>
            </w:r>
          </w:p>
        </w:tc>
        <w:tc>
          <w:tcPr>
            <w:tcW w:w="1110" w:type="dxa"/>
            <w:gridSpan w:val="3"/>
            <w:shd w:val="clear" w:color="000000" w:fill="DCE6F1"/>
            <w:hideMark/>
          </w:tcPr>
          <w:p w14:paraId="7AAF871C" w14:textId="0077F48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4,248</w:t>
            </w:r>
          </w:p>
        </w:tc>
        <w:tc>
          <w:tcPr>
            <w:tcW w:w="1110" w:type="dxa"/>
            <w:gridSpan w:val="2"/>
            <w:shd w:val="clear" w:color="000000" w:fill="DCE6F1"/>
            <w:hideMark/>
          </w:tcPr>
          <w:p w14:paraId="3ADF2EFD" w14:textId="7D29A16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3,770</w:t>
            </w:r>
          </w:p>
        </w:tc>
        <w:tc>
          <w:tcPr>
            <w:tcW w:w="1110" w:type="dxa"/>
            <w:shd w:val="clear" w:color="000000" w:fill="DCE6F1"/>
            <w:hideMark/>
          </w:tcPr>
          <w:p w14:paraId="1F1A7674" w14:textId="3ED3DA5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2,336</w:t>
            </w:r>
          </w:p>
        </w:tc>
        <w:tc>
          <w:tcPr>
            <w:tcW w:w="818" w:type="dxa"/>
            <w:gridSpan w:val="2"/>
            <w:shd w:val="clear" w:color="000000" w:fill="DCE6F1"/>
            <w:hideMark/>
          </w:tcPr>
          <w:p w14:paraId="553F121C" w14:textId="4BA58CD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1,136</w:t>
            </w:r>
          </w:p>
        </w:tc>
      </w:tr>
      <w:tr w:rsidR="004D73D3" w:rsidRPr="0048716F" w14:paraId="5B2C4CFA" w14:textId="77777777" w:rsidTr="00597AD8">
        <w:trPr>
          <w:trHeight w:val="864"/>
        </w:trPr>
        <w:tc>
          <w:tcPr>
            <w:tcW w:w="3885" w:type="dxa"/>
            <w:hideMark/>
          </w:tcPr>
          <w:p w14:paraId="68F1D36D" w14:textId="291929D0"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2.1.1 Studim per vleresimin e nivelit te aksesueshmërisë ne  numërin në rritje të autobusëve të kompanive të licencuara për transportin rrugor të udhëtarëve në linjat e rregullta dhe në ato të shërbimeve të rastit /turistike.</w:t>
            </w:r>
          </w:p>
        </w:tc>
        <w:tc>
          <w:tcPr>
            <w:tcW w:w="1080" w:type="dxa"/>
            <w:hideMark/>
          </w:tcPr>
          <w:p w14:paraId="2048F03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29342BD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5183E53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w:t>
            </w:r>
          </w:p>
        </w:tc>
        <w:tc>
          <w:tcPr>
            <w:tcW w:w="1521" w:type="dxa"/>
            <w:gridSpan w:val="2"/>
            <w:vAlign w:val="center"/>
            <w:hideMark/>
          </w:tcPr>
          <w:p w14:paraId="4BFCB18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DPSHTRR/Bashkite &amp; Shoqatat e transportit</w:t>
            </w:r>
          </w:p>
        </w:tc>
        <w:tc>
          <w:tcPr>
            <w:tcW w:w="1110" w:type="dxa"/>
            <w:gridSpan w:val="2"/>
            <w:hideMark/>
          </w:tcPr>
          <w:p w14:paraId="3833D712" w14:textId="7165888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7CEA282" w14:textId="5F33435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723</w:t>
            </w:r>
          </w:p>
        </w:tc>
        <w:tc>
          <w:tcPr>
            <w:tcW w:w="1110" w:type="dxa"/>
            <w:gridSpan w:val="2"/>
            <w:hideMark/>
          </w:tcPr>
          <w:p w14:paraId="0D3D2E52" w14:textId="4CAB1F2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723</w:t>
            </w:r>
          </w:p>
        </w:tc>
        <w:tc>
          <w:tcPr>
            <w:tcW w:w="1110" w:type="dxa"/>
            <w:hideMark/>
          </w:tcPr>
          <w:p w14:paraId="7F26B223" w14:textId="5BD7A8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0A8CEB52" w14:textId="7B5B0A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70B12874" w14:textId="77777777" w:rsidTr="00597AD8">
        <w:trPr>
          <w:trHeight w:val="864"/>
        </w:trPr>
        <w:tc>
          <w:tcPr>
            <w:tcW w:w="3885" w:type="dxa"/>
            <w:hideMark/>
          </w:tcPr>
          <w:p w14:paraId="4D9208C2" w14:textId="4B78A3C1"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2.1.2 Studim per plotësimin e të gjitha standandarteve  në terminalet e autobusëve, terminalet/stacionet hekurudhore, detare dhe ajrore.</w:t>
            </w:r>
          </w:p>
        </w:tc>
        <w:tc>
          <w:tcPr>
            <w:tcW w:w="1080" w:type="dxa"/>
            <w:hideMark/>
          </w:tcPr>
          <w:p w14:paraId="7666D09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615C3F9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411" w:type="dxa"/>
            <w:vAlign w:val="center"/>
            <w:hideMark/>
          </w:tcPr>
          <w:p w14:paraId="2AFF5EF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NJVQV</w:t>
            </w:r>
          </w:p>
        </w:tc>
        <w:tc>
          <w:tcPr>
            <w:tcW w:w="1521" w:type="dxa"/>
            <w:gridSpan w:val="2"/>
            <w:vAlign w:val="center"/>
            <w:hideMark/>
          </w:tcPr>
          <w:p w14:paraId="21E9FF0C" w14:textId="6EA26604" w:rsidR="004D73D3" w:rsidRPr="0048716F" w:rsidRDefault="004D73D3" w:rsidP="00597AD8">
            <w:pPr>
              <w:rPr>
                <w:rFonts w:eastAsia="Times New Roman"/>
                <w:color w:val="000000"/>
                <w:sz w:val="18"/>
                <w:szCs w:val="18"/>
                <w:lang w:val="en-US" w:eastAsia="en-US"/>
              </w:rPr>
            </w:pPr>
          </w:p>
        </w:tc>
        <w:tc>
          <w:tcPr>
            <w:tcW w:w="1110" w:type="dxa"/>
            <w:gridSpan w:val="2"/>
            <w:hideMark/>
          </w:tcPr>
          <w:p w14:paraId="28EA2B61" w14:textId="50E1A6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1110" w:type="dxa"/>
            <w:gridSpan w:val="3"/>
            <w:hideMark/>
          </w:tcPr>
          <w:p w14:paraId="3A8EEEAC" w14:textId="7BC405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1110" w:type="dxa"/>
            <w:gridSpan w:val="2"/>
            <w:hideMark/>
          </w:tcPr>
          <w:p w14:paraId="18670C70" w14:textId="2A01B0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w:t>
            </w:r>
          </w:p>
        </w:tc>
        <w:tc>
          <w:tcPr>
            <w:tcW w:w="1110" w:type="dxa"/>
            <w:hideMark/>
          </w:tcPr>
          <w:p w14:paraId="4454D0E5" w14:textId="1DE247F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w:t>
            </w:r>
          </w:p>
        </w:tc>
        <w:tc>
          <w:tcPr>
            <w:tcW w:w="818" w:type="dxa"/>
            <w:gridSpan w:val="2"/>
            <w:hideMark/>
          </w:tcPr>
          <w:p w14:paraId="04DEC17A" w14:textId="0CF0888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56F53C9F" w14:textId="77777777" w:rsidTr="00597AD8">
        <w:trPr>
          <w:trHeight w:val="1440"/>
        </w:trPr>
        <w:tc>
          <w:tcPr>
            <w:tcW w:w="3885" w:type="dxa"/>
            <w:hideMark/>
          </w:tcPr>
          <w:p w14:paraId="5769E0C0" w14:textId="0EEA3ED1"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2.1.3 Të rregullohet me akte administrative dhe të financohen projekte/operatorë që ofrojnë transport derë më derë për personat me aftësi të kufizuara në karrige me rrota.</w:t>
            </w:r>
          </w:p>
        </w:tc>
        <w:tc>
          <w:tcPr>
            <w:tcW w:w="1080" w:type="dxa"/>
            <w:hideMark/>
          </w:tcPr>
          <w:p w14:paraId="13E0144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167671D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58F9DF4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w:t>
            </w:r>
          </w:p>
        </w:tc>
        <w:tc>
          <w:tcPr>
            <w:tcW w:w="1521" w:type="dxa"/>
            <w:gridSpan w:val="2"/>
            <w:vAlign w:val="center"/>
            <w:hideMark/>
          </w:tcPr>
          <w:p w14:paraId="04F6A98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 / ofrues sherbimesh / OJQ</w:t>
            </w:r>
          </w:p>
        </w:tc>
        <w:tc>
          <w:tcPr>
            <w:tcW w:w="1110" w:type="dxa"/>
            <w:gridSpan w:val="2"/>
            <w:hideMark/>
          </w:tcPr>
          <w:p w14:paraId="05D1EBD2" w14:textId="18840C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15099F9" w14:textId="1CE804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711</w:t>
            </w:r>
          </w:p>
        </w:tc>
        <w:tc>
          <w:tcPr>
            <w:tcW w:w="1110" w:type="dxa"/>
            <w:gridSpan w:val="2"/>
            <w:hideMark/>
          </w:tcPr>
          <w:p w14:paraId="6C2FD89F" w14:textId="0C025CD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711</w:t>
            </w:r>
          </w:p>
        </w:tc>
        <w:tc>
          <w:tcPr>
            <w:tcW w:w="1110" w:type="dxa"/>
            <w:hideMark/>
          </w:tcPr>
          <w:p w14:paraId="02962C93" w14:textId="51AFE3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5638AA97" w14:textId="63C3A8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4FFF4A10" w14:textId="77777777" w:rsidTr="00597AD8">
        <w:trPr>
          <w:trHeight w:val="864"/>
        </w:trPr>
        <w:tc>
          <w:tcPr>
            <w:tcW w:w="3885" w:type="dxa"/>
            <w:hideMark/>
          </w:tcPr>
          <w:p w14:paraId="19238179" w14:textId="642840C9"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2.1.4 Përgatitja e një Kodi Etike me synim përmirësimin e komunikimit dhe terminologjisë gjatë ndërveprimit me pasagjerët me aftësi të kufizuara.</w:t>
            </w:r>
          </w:p>
        </w:tc>
        <w:tc>
          <w:tcPr>
            <w:tcW w:w="1080" w:type="dxa"/>
            <w:hideMark/>
          </w:tcPr>
          <w:p w14:paraId="022AAD0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3A3D274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5719D0E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w:t>
            </w:r>
          </w:p>
        </w:tc>
        <w:tc>
          <w:tcPr>
            <w:tcW w:w="1521" w:type="dxa"/>
            <w:gridSpan w:val="2"/>
            <w:vAlign w:val="center"/>
            <w:hideMark/>
          </w:tcPr>
          <w:p w14:paraId="146FF82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110" w:type="dxa"/>
            <w:gridSpan w:val="2"/>
            <w:hideMark/>
          </w:tcPr>
          <w:p w14:paraId="26908A0D" w14:textId="78F4F93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786</w:t>
            </w:r>
          </w:p>
        </w:tc>
        <w:tc>
          <w:tcPr>
            <w:tcW w:w="1110" w:type="dxa"/>
            <w:gridSpan w:val="3"/>
            <w:hideMark/>
          </w:tcPr>
          <w:p w14:paraId="120CD4F0" w14:textId="690AAB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686</w:t>
            </w:r>
          </w:p>
        </w:tc>
        <w:tc>
          <w:tcPr>
            <w:tcW w:w="1110" w:type="dxa"/>
            <w:gridSpan w:val="2"/>
            <w:hideMark/>
          </w:tcPr>
          <w:p w14:paraId="1151C838" w14:textId="5961F7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hideMark/>
          </w:tcPr>
          <w:p w14:paraId="097AB555" w14:textId="1E5699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438B3F11" w14:textId="7B441D6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76BD4E64" w14:textId="77777777" w:rsidTr="00597AD8">
        <w:trPr>
          <w:trHeight w:val="1728"/>
        </w:trPr>
        <w:tc>
          <w:tcPr>
            <w:tcW w:w="3885" w:type="dxa"/>
            <w:hideMark/>
          </w:tcPr>
          <w:p w14:paraId="0FC92E5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2.1.5  Te zbatohet legjislacioni sipas standardeve per rezervimin e vendeve te           parkimeve per mjetet e personave me aftesi te kufizuara, ne cdo hapesire per parkime prane institucioneve publike dhe private.                                       Autorizimi per shfrytezimin e parkimit falas te jete per perdorim ne nivel kombetar.                                            Te ofrohet sherbim me taxi te pershtatura nga kompanite e taksive.</w:t>
            </w:r>
          </w:p>
        </w:tc>
        <w:tc>
          <w:tcPr>
            <w:tcW w:w="1080" w:type="dxa"/>
            <w:hideMark/>
          </w:tcPr>
          <w:p w14:paraId="34029F7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63AD2B8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56B4E2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 DPSHTRR</w:t>
            </w:r>
          </w:p>
        </w:tc>
        <w:tc>
          <w:tcPr>
            <w:tcW w:w="1521" w:type="dxa"/>
            <w:gridSpan w:val="2"/>
            <w:vAlign w:val="center"/>
            <w:hideMark/>
          </w:tcPr>
          <w:p w14:paraId="00A1266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110" w:type="dxa"/>
            <w:gridSpan w:val="2"/>
            <w:hideMark/>
          </w:tcPr>
          <w:p w14:paraId="414AEBCD" w14:textId="364E52D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244DBA8" w14:textId="75CC7A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gridSpan w:val="2"/>
            <w:hideMark/>
          </w:tcPr>
          <w:p w14:paraId="56ABAC93" w14:textId="408B8C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hideMark/>
          </w:tcPr>
          <w:p w14:paraId="13085680" w14:textId="449801C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41EB30D6" w14:textId="1689F0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1431FE0D" w14:textId="77777777" w:rsidTr="00597AD8">
        <w:trPr>
          <w:trHeight w:val="864"/>
        </w:trPr>
        <w:tc>
          <w:tcPr>
            <w:tcW w:w="3885" w:type="dxa"/>
            <w:hideMark/>
          </w:tcPr>
          <w:p w14:paraId="57754B90" w14:textId="44CE4050"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2.1.6 Përgatitja e nje studimi që mundëson informacionin per dizenjimin dhe përgatitjen e kartës së aftësisë së kufizuar në transport.</w:t>
            </w:r>
            <w:r w:rsidRPr="0048716F">
              <w:rPr>
                <w:rFonts w:eastAsia="Times New Roman"/>
                <w:color w:val="000000"/>
                <w:sz w:val="18"/>
                <w:szCs w:val="18"/>
                <w:lang w:val="en-US" w:eastAsia="en-US"/>
              </w:rPr>
              <w:br/>
            </w:r>
          </w:p>
        </w:tc>
        <w:tc>
          <w:tcPr>
            <w:tcW w:w="1080" w:type="dxa"/>
            <w:hideMark/>
          </w:tcPr>
          <w:p w14:paraId="49E0A91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4AC449D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6750F56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MIE/BASHKIA</w:t>
            </w:r>
          </w:p>
        </w:tc>
        <w:tc>
          <w:tcPr>
            <w:tcW w:w="1521" w:type="dxa"/>
            <w:gridSpan w:val="2"/>
            <w:vAlign w:val="center"/>
            <w:hideMark/>
          </w:tcPr>
          <w:p w14:paraId="27E32A6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50DEEE9C" w14:textId="2D0CDA6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541</w:t>
            </w:r>
          </w:p>
        </w:tc>
        <w:tc>
          <w:tcPr>
            <w:tcW w:w="1110" w:type="dxa"/>
            <w:gridSpan w:val="3"/>
            <w:hideMark/>
          </w:tcPr>
          <w:p w14:paraId="1374C92A" w14:textId="612320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541</w:t>
            </w:r>
          </w:p>
        </w:tc>
        <w:tc>
          <w:tcPr>
            <w:tcW w:w="1110" w:type="dxa"/>
            <w:gridSpan w:val="2"/>
            <w:hideMark/>
          </w:tcPr>
          <w:p w14:paraId="025618B8" w14:textId="1B9222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hideMark/>
          </w:tcPr>
          <w:p w14:paraId="3BFEF0C2" w14:textId="5030A8C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3E6718DF" w14:textId="75C6ED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74D83E72" w14:textId="77777777" w:rsidTr="00597AD8">
        <w:trPr>
          <w:trHeight w:val="864"/>
        </w:trPr>
        <w:tc>
          <w:tcPr>
            <w:tcW w:w="3885" w:type="dxa"/>
            <w:noWrap/>
            <w:hideMark/>
          </w:tcPr>
          <w:p w14:paraId="5CEC06C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2.1.7 Organizimi i fushatës së ndërgjegjësimit për të drejtat në transport për personat me aftësi të kufizuara, në bashkëpunim me institucionet përgjegjëse, palët e interesit dhe mediat,  .</w:t>
            </w:r>
          </w:p>
        </w:tc>
        <w:tc>
          <w:tcPr>
            <w:tcW w:w="1080" w:type="dxa"/>
            <w:hideMark/>
          </w:tcPr>
          <w:p w14:paraId="65CDA44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1D247F1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1C2CE89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MIE / KMD</w:t>
            </w:r>
          </w:p>
        </w:tc>
        <w:tc>
          <w:tcPr>
            <w:tcW w:w="1521" w:type="dxa"/>
            <w:gridSpan w:val="2"/>
            <w:vAlign w:val="center"/>
            <w:hideMark/>
          </w:tcPr>
          <w:p w14:paraId="01E3515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OJF</w:t>
            </w:r>
          </w:p>
        </w:tc>
        <w:tc>
          <w:tcPr>
            <w:tcW w:w="1110" w:type="dxa"/>
            <w:gridSpan w:val="2"/>
            <w:hideMark/>
          </w:tcPr>
          <w:p w14:paraId="08B3DC02" w14:textId="347177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1,136</w:t>
            </w:r>
          </w:p>
        </w:tc>
        <w:tc>
          <w:tcPr>
            <w:tcW w:w="1110" w:type="dxa"/>
            <w:gridSpan w:val="3"/>
            <w:hideMark/>
          </w:tcPr>
          <w:p w14:paraId="770C000F" w14:textId="001435C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1,136</w:t>
            </w:r>
          </w:p>
        </w:tc>
        <w:tc>
          <w:tcPr>
            <w:tcW w:w="1110" w:type="dxa"/>
            <w:gridSpan w:val="2"/>
            <w:hideMark/>
          </w:tcPr>
          <w:p w14:paraId="226B2D49" w14:textId="226078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1,136</w:t>
            </w:r>
          </w:p>
        </w:tc>
        <w:tc>
          <w:tcPr>
            <w:tcW w:w="1110" w:type="dxa"/>
            <w:hideMark/>
          </w:tcPr>
          <w:p w14:paraId="04B51F04" w14:textId="69F2F2D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1,136</w:t>
            </w:r>
          </w:p>
        </w:tc>
        <w:tc>
          <w:tcPr>
            <w:tcW w:w="818" w:type="dxa"/>
            <w:gridSpan w:val="2"/>
            <w:hideMark/>
          </w:tcPr>
          <w:p w14:paraId="33739999" w14:textId="285C03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1,136</w:t>
            </w:r>
          </w:p>
        </w:tc>
      </w:tr>
      <w:tr w:rsidR="004D73D3" w:rsidRPr="0048716F" w14:paraId="0B00CDF3" w14:textId="77777777" w:rsidTr="00597AD8">
        <w:trPr>
          <w:trHeight w:val="612"/>
        </w:trPr>
        <w:tc>
          <w:tcPr>
            <w:tcW w:w="3885" w:type="dxa"/>
            <w:shd w:val="clear" w:color="000000" w:fill="FDE9D9"/>
            <w:hideMark/>
          </w:tcPr>
          <w:p w14:paraId="26E0A0A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A3:  Aksesueshmëria në informacion, komunikim dhe media</w:t>
            </w:r>
          </w:p>
        </w:tc>
        <w:tc>
          <w:tcPr>
            <w:tcW w:w="1080" w:type="dxa"/>
            <w:shd w:val="clear" w:color="000000" w:fill="FDE9D9"/>
            <w:hideMark/>
          </w:tcPr>
          <w:p w14:paraId="127F656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3C62189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1A56B34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AKSHI/AMA/MSHMS/te gjitha institucionet</w:t>
            </w:r>
          </w:p>
        </w:tc>
        <w:tc>
          <w:tcPr>
            <w:tcW w:w="1521" w:type="dxa"/>
            <w:gridSpan w:val="2"/>
            <w:shd w:val="clear" w:color="000000" w:fill="FDE9D9"/>
            <w:vAlign w:val="center"/>
            <w:hideMark/>
          </w:tcPr>
          <w:p w14:paraId="0B284A6B"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 / OJF/operatoret</w:t>
            </w:r>
          </w:p>
        </w:tc>
        <w:tc>
          <w:tcPr>
            <w:tcW w:w="1110" w:type="dxa"/>
            <w:gridSpan w:val="2"/>
            <w:shd w:val="clear" w:color="000000" w:fill="FDE9D9"/>
            <w:hideMark/>
          </w:tcPr>
          <w:p w14:paraId="23BB9103" w14:textId="291721C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50,386</w:t>
            </w:r>
          </w:p>
        </w:tc>
        <w:tc>
          <w:tcPr>
            <w:tcW w:w="1110" w:type="dxa"/>
            <w:gridSpan w:val="3"/>
            <w:shd w:val="clear" w:color="000000" w:fill="FDE9D9"/>
            <w:hideMark/>
          </w:tcPr>
          <w:p w14:paraId="6DB6E505" w14:textId="4A65CC8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62,624</w:t>
            </w:r>
          </w:p>
        </w:tc>
        <w:tc>
          <w:tcPr>
            <w:tcW w:w="1110" w:type="dxa"/>
            <w:gridSpan w:val="2"/>
            <w:shd w:val="clear" w:color="000000" w:fill="FDE9D9"/>
            <w:hideMark/>
          </w:tcPr>
          <w:p w14:paraId="1C7CF538" w14:textId="45E5217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19,874</w:t>
            </w:r>
          </w:p>
        </w:tc>
        <w:tc>
          <w:tcPr>
            <w:tcW w:w="1110" w:type="dxa"/>
            <w:shd w:val="clear" w:color="000000" w:fill="FDE9D9"/>
            <w:hideMark/>
          </w:tcPr>
          <w:p w14:paraId="00D81753" w14:textId="4BC6D76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17,867</w:t>
            </w:r>
          </w:p>
        </w:tc>
        <w:tc>
          <w:tcPr>
            <w:tcW w:w="818" w:type="dxa"/>
            <w:gridSpan w:val="2"/>
            <w:shd w:val="clear" w:color="000000" w:fill="FDE9D9"/>
            <w:hideMark/>
          </w:tcPr>
          <w:p w14:paraId="7D03848B" w14:textId="4C6BD4A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17,831</w:t>
            </w:r>
          </w:p>
        </w:tc>
      </w:tr>
      <w:tr w:rsidR="004D73D3" w:rsidRPr="0048716F" w14:paraId="14BDA04D" w14:textId="77777777" w:rsidTr="00597AD8">
        <w:trPr>
          <w:trHeight w:val="864"/>
        </w:trPr>
        <w:tc>
          <w:tcPr>
            <w:tcW w:w="3885" w:type="dxa"/>
            <w:shd w:val="clear" w:color="000000" w:fill="C5D9F1"/>
            <w:hideMark/>
          </w:tcPr>
          <w:p w14:paraId="38E98F1C" w14:textId="5FCAAF30"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3.1 Përmirësimet ligjore dhe adaptimi i standardeve ndërkombëtare të sigurimit të aksesueshmërisë në TIK. Strukturat për monitorimin dhe inspektimin e zbatimit të kuadrit ligjor</w:t>
            </w:r>
          </w:p>
        </w:tc>
        <w:tc>
          <w:tcPr>
            <w:tcW w:w="1080" w:type="dxa"/>
            <w:shd w:val="clear" w:color="000000" w:fill="C5D9F1"/>
            <w:noWrap/>
            <w:hideMark/>
          </w:tcPr>
          <w:p w14:paraId="732408F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shd w:val="clear" w:color="000000" w:fill="C5D9F1"/>
            <w:noWrap/>
            <w:hideMark/>
          </w:tcPr>
          <w:p w14:paraId="4879369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shd w:val="clear" w:color="000000" w:fill="C5D9F1"/>
            <w:noWrap/>
            <w:vAlign w:val="center"/>
            <w:hideMark/>
          </w:tcPr>
          <w:p w14:paraId="6D2F00C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AKSHI/AMA</w:t>
            </w:r>
          </w:p>
        </w:tc>
        <w:tc>
          <w:tcPr>
            <w:tcW w:w="1521" w:type="dxa"/>
            <w:gridSpan w:val="2"/>
            <w:shd w:val="clear" w:color="000000" w:fill="C5D9F1"/>
            <w:vAlign w:val="center"/>
            <w:hideMark/>
          </w:tcPr>
          <w:p w14:paraId="3F3D197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 OJF/operatoret</w:t>
            </w:r>
          </w:p>
        </w:tc>
        <w:tc>
          <w:tcPr>
            <w:tcW w:w="1110" w:type="dxa"/>
            <w:gridSpan w:val="2"/>
            <w:shd w:val="clear" w:color="000000" w:fill="C5D9F1"/>
            <w:noWrap/>
            <w:vAlign w:val="bottom"/>
            <w:hideMark/>
          </w:tcPr>
          <w:p w14:paraId="2608031E" w14:textId="560FD33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41,523</w:t>
            </w:r>
          </w:p>
        </w:tc>
        <w:tc>
          <w:tcPr>
            <w:tcW w:w="1110" w:type="dxa"/>
            <w:gridSpan w:val="3"/>
            <w:shd w:val="clear" w:color="000000" w:fill="C5D9F1"/>
            <w:noWrap/>
            <w:vAlign w:val="bottom"/>
            <w:hideMark/>
          </w:tcPr>
          <w:p w14:paraId="1C6C518B" w14:textId="19DBD7F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52,760</w:t>
            </w:r>
          </w:p>
        </w:tc>
        <w:tc>
          <w:tcPr>
            <w:tcW w:w="1110" w:type="dxa"/>
            <w:gridSpan w:val="2"/>
            <w:shd w:val="clear" w:color="000000" w:fill="C5D9F1"/>
            <w:noWrap/>
            <w:vAlign w:val="bottom"/>
            <w:hideMark/>
          </w:tcPr>
          <w:p w14:paraId="02810B74" w14:textId="66005AB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10,010</w:t>
            </w:r>
          </w:p>
        </w:tc>
        <w:tc>
          <w:tcPr>
            <w:tcW w:w="1110" w:type="dxa"/>
            <w:shd w:val="clear" w:color="000000" w:fill="C5D9F1"/>
            <w:noWrap/>
            <w:vAlign w:val="bottom"/>
            <w:hideMark/>
          </w:tcPr>
          <w:p w14:paraId="2BA11F55" w14:textId="219B4D5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8,913</w:t>
            </w:r>
          </w:p>
        </w:tc>
        <w:tc>
          <w:tcPr>
            <w:tcW w:w="818" w:type="dxa"/>
            <w:gridSpan w:val="2"/>
            <w:shd w:val="clear" w:color="000000" w:fill="C5D9F1"/>
            <w:noWrap/>
            <w:vAlign w:val="bottom"/>
            <w:hideMark/>
          </w:tcPr>
          <w:p w14:paraId="5F3BD094" w14:textId="1B18E3C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8,876</w:t>
            </w:r>
          </w:p>
        </w:tc>
      </w:tr>
      <w:tr w:rsidR="004D73D3" w:rsidRPr="0048716F" w14:paraId="70733573" w14:textId="77777777" w:rsidTr="00597AD8">
        <w:trPr>
          <w:trHeight w:val="864"/>
        </w:trPr>
        <w:tc>
          <w:tcPr>
            <w:tcW w:w="3885" w:type="dxa"/>
            <w:hideMark/>
          </w:tcPr>
          <w:p w14:paraId="49BB57FA" w14:textId="24E6DB5A"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3.1.1 Studim  per zhvillimet ligjore per aksesin ne informacion e komunikim per PAK</w:t>
            </w:r>
          </w:p>
        </w:tc>
        <w:tc>
          <w:tcPr>
            <w:tcW w:w="1080" w:type="dxa"/>
            <w:noWrap/>
            <w:hideMark/>
          </w:tcPr>
          <w:p w14:paraId="332AFFE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13A7A12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20DE080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w:t>
            </w:r>
          </w:p>
        </w:tc>
        <w:tc>
          <w:tcPr>
            <w:tcW w:w="1521" w:type="dxa"/>
            <w:gridSpan w:val="2"/>
            <w:vAlign w:val="center"/>
            <w:hideMark/>
          </w:tcPr>
          <w:p w14:paraId="00E774A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 OJF</w:t>
            </w:r>
          </w:p>
        </w:tc>
        <w:tc>
          <w:tcPr>
            <w:tcW w:w="1110" w:type="dxa"/>
            <w:gridSpan w:val="2"/>
            <w:hideMark/>
          </w:tcPr>
          <w:p w14:paraId="4A72D84D" w14:textId="291CF95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2E0CD34" w14:textId="579559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411</w:t>
            </w:r>
          </w:p>
        </w:tc>
        <w:tc>
          <w:tcPr>
            <w:tcW w:w="1110" w:type="dxa"/>
            <w:gridSpan w:val="2"/>
            <w:hideMark/>
          </w:tcPr>
          <w:p w14:paraId="752D10EA" w14:textId="1784B7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411</w:t>
            </w:r>
          </w:p>
        </w:tc>
        <w:tc>
          <w:tcPr>
            <w:tcW w:w="1110" w:type="dxa"/>
            <w:hideMark/>
          </w:tcPr>
          <w:p w14:paraId="5CEED6B8" w14:textId="5992131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236</w:t>
            </w:r>
          </w:p>
        </w:tc>
        <w:tc>
          <w:tcPr>
            <w:tcW w:w="818" w:type="dxa"/>
            <w:gridSpan w:val="2"/>
            <w:hideMark/>
          </w:tcPr>
          <w:p w14:paraId="51B03878" w14:textId="53F4029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w:t>
            </w:r>
          </w:p>
        </w:tc>
      </w:tr>
      <w:tr w:rsidR="004D73D3" w:rsidRPr="0048716F" w14:paraId="5F4E3AE4" w14:textId="77777777" w:rsidTr="00597AD8">
        <w:trPr>
          <w:trHeight w:val="1728"/>
        </w:trPr>
        <w:tc>
          <w:tcPr>
            <w:tcW w:w="3885" w:type="dxa"/>
            <w:hideMark/>
          </w:tcPr>
          <w:p w14:paraId="0ED65F29" w14:textId="531470DC"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3.1.2 Studim mbi adaptimin e  standardeve ndërkombëtare  " EN 301 549 V3.2.1 (2021-03) Accessibility requirements for ICT products and services",   të sigurimit të aksesueshmërisë në TIK në portale dhe sportele qeveritare për personat me aftësi të kufizuara si edhe në publikimet, ngjarjet dhe takimet publike.</w:t>
            </w:r>
          </w:p>
        </w:tc>
        <w:tc>
          <w:tcPr>
            <w:tcW w:w="1080" w:type="dxa"/>
            <w:noWrap/>
            <w:hideMark/>
          </w:tcPr>
          <w:p w14:paraId="510D6E6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0B513C5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46847DB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w:t>
            </w:r>
          </w:p>
        </w:tc>
        <w:tc>
          <w:tcPr>
            <w:tcW w:w="1521" w:type="dxa"/>
            <w:gridSpan w:val="2"/>
            <w:noWrap/>
            <w:vAlign w:val="center"/>
            <w:hideMark/>
          </w:tcPr>
          <w:p w14:paraId="63D6CFF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42F4CFFB" w14:textId="2D457C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gridSpan w:val="3"/>
            <w:hideMark/>
          </w:tcPr>
          <w:p w14:paraId="44DBB231" w14:textId="5DD2E5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gridSpan w:val="2"/>
            <w:hideMark/>
          </w:tcPr>
          <w:p w14:paraId="3B4FCBC1" w14:textId="7ECA7F5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336</w:t>
            </w:r>
          </w:p>
        </w:tc>
        <w:tc>
          <w:tcPr>
            <w:tcW w:w="1110" w:type="dxa"/>
            <w:hideMark/>
          </w:tcPr>
          <w:p w14:paraId="7F488FAA" w14:textId="398353A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1DBC63D2" w14:textId="7E2D89B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49C7C535" w14:textId="77777777" w:rsidTr="00597AD8">
        <w:trPr>
          <w:trHeight w:val="1152"/>
        </w:trPr>
        <w:tc>
          <w:tcPr>
            <w:tcW w:w="3885" w:type="dxa"/>
            <w:hideMark/>
          </w:tcPr>
          <w:p w14:paraId="5736213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3.1.3 Te hartohet nje strategji komunikimi  nga AMA me fokus tek aksesueshmeria per Personat me   Aftesi te Kufizuara  qe te  sigurojë  bashkërendimin mes shërbimeve televizive dhe pajisjeve që u mundësojnë përdoruesve marrjen, dekodimin, shfaqjen e shërbimeve të aksesueshme.</w:t>
            </w:r>
          </w:p>
        </w:tc>
        <w:tc>
          <w:tcPr>
            <w:tcW w:w="1080" w:type="dxa"/>
            <w:noWrap/>
            <w:hideMark/>
          </w:tcPr>
          <w:p w14:paraId="52A5BD8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3B65EAB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4FEA718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AMA</w:t>
            </w:r>
          </w:p>
        </w:tc>
        <w:tc>
          <w:tcPr>
            <w:tcW w:w="1521" w:type="dxa"/>
            <w:gridSpan w:val="2"/>
            <w:noWrap/>
            <w:vAlign w:val="center"/>
            <w:hideMark/>
          </w:tcPr>
          <w:p w14:paraId="70123C5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OJF</w:t>
            </w:r>
          </w:p>
        </w:tc>
        <w:tc>
          <w:tcPr>
            <w:tcW w:w="1110" w:type="dxa"/>
            <w:gridSpan w:val="2"/>
            <w:hideMark/>
          </w:tcPr>
          <w:p w14:paraId="06A15F20" w14:textId="73C351E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7CB04CC" w14:textId="272A71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gridSpan w:val="2"/>
            <w:hideMark/>
          </w:tcPr>
          <w:p w14:paraId="4283EC76" w14:textId="2252E52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hideMark/>
          </w:tcPr>
          <w:p w14:paraId="5A13495A" w14:textId="612D9BC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30F1DD69" w14:textId="2DBCF06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2A77BCA2" w14:textId="77777777" w:rsidTr="00597AD8">
        <w:trPr>
          <w:trHeight w:val="1440"/>
        </w:trPr>
        <w:tc>
          <w:tcPr>
            <w:tcW w:w="3885" w:type="dxa"/>
            <w:hideMark/>
          </w:tcPr>
          <w:p w14:paraId="0FE567B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3.1.4 Vleresim perditesues per zbatimin e standardeve të aksesueshmërisë për personat me aftësi të kufizuara në portalin: https://e-albania.al dhe në të gjitha portalet e tjera ndërvepruese me publikun. Ndërtimi i programit Text to Speech për të verbërit.</w:t>
            </w:r>
          </w:p>
        </w:tc>
        <w:tc>
          <w:tcPr>
            <w:tcW w:w="1080" w:type="dxa"/>
            <w:noWrap/>
            <w:hideMark/>
          </w:tcPr>
          <w:p w14:paraId="6EC8625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1871B0C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5C97577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w:t>
            </w:r>
          </w:p>
        </w:tc>
        <w:tc>
          <w:tcPr>
            <w:tcW w:w="1521" w:type="dxa"/>
            <w:gridSpan w:val="2"/>
            <w:noWrap/>
            <w:vAlign w:val="center"/>
            <w:hideMark/>
          </w:tcPr>
          <w:p w14:paraId="35048C7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0A8E59BA" w14:textId="079449D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40,000</w:t>
            </w:r>
          </w:p>
        </w:tc>
        <w:tc>
          <w:tcPr>
            <w:tcW w:w="1110" w:type="dxa"/>
            <w:gridSpan w:val="3"/>
            <w:hideMark/>
          </w:tcPr>
          <w:p w14:paraId="1214DE89" w14:textId="5EE061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50,000</w:t>
            </w:r>
          </w:p>
        </w:tc>
        <w:tc>
          <w:tcPr>
            <w:tcW w:w="1110" w:type="dxa"/>
            <w:gridSpan w:val="2"/>
            <w:hideMark/>
          </w:tcPr>
          <w:p w14:paraId="45A9D675" w14:textId="610609D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c>
          <w:tcPr>
            <w:tcW w:w="1110" w:type="dxa"/>
            <w:hideMark/>
          </w:tcPr>
          <w:p w14:paraId="1F95122F" w14:textId="3FB400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c>
          <w:tcPr>
            <w:tcW w:w="818" w:type="dxa"/>
            <w:gridSpan w:val="2"/>
            <w:hideMark/>
          </w:tcPr>
          <w:p w14:paraId="34E75A16" w14:textId="778608B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r>
      <w:tr w:rsidR="004D73D3" w:rsidRPr="0048716F" w14:paraId="5ACC3CF4" w14:textId="77777777" w:rsidTr="00597AD8">
        <w:trPr>
          <w:trHeight w:val="864"/>
        </w:trPr>
        <w:tc>
          <w:tcPr>
            <w:tcW w:w="3885" w:type="dxa"/>
            <w:hideMark/>
          </w:tcPr>
          <w:p w14:paraId="4E8C66F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3.1.7 Rishikimi/parashikimi i strukturave përgjegjëse për  monitorimin dhe inspektimin e zbatimit të kuadrit ligjor dhe politik që siguron aksesueshmërinë në informacion dhe komunikim për personat me aftësi të kufizuara.</w:t>
            </w:r>
          </w:p>
        </w:tc>
        <w:tc>
          <w:tcPr>
            <w:tcW w:w="1080" w:type="dxa"/>
            <w:noWrap/>
            <w:hideMark/>
          </w:tcPr>
          <w:p w14:paraId="7B581DC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7E7C212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7B10D3B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w:t>
            </w:r>
          </w:p>
        </w:tc>
        <w:tc>
          <w:tcPr>
            <w:tcW w:w="1521" w:type="dxa"/>
            <w:gridSpan w:val="2"/>
            <w:noWrap/>
            <w:vAlign w:val="center"/>
            <w:hideMark/>
          </w:tcPr>
          <w:p w14:paraId="4F97321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7669FDD0" w14:textId="1F60C4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B3B03C1" w14:textId="5E60A7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gridSpan w:val="2"/>
            <w:hideMark/>
          </w:tcPr>
          <w:p w14:paraId="020BF23C" w14:textId="3D15B3C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hideMark/>
          </w:tcPr>
          <w:p w14:paraId="1F58A996" w14:textId="049F1D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276EA568" w14:textId="674279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675B4BAE" w14:textId="77777777" w:rsidTr="00597AD8">
        <w:trPr>
          <w:trHeight w:val="2304"/>
        </w:trPr>
        <w:tc>
          <w:tcPr>
            <w:tcW w:w="3885" w:type="dxa"/>
            <w:hideMark/>
          </w:tcPr>
          <w:p w14:paraId="684B42FE" w14:textId="38B6CFED" w:rsidR="004D73D3" w:rsidRPr="0048716F" w:rsidRDefault="004D73D3" w:rsidP="0048716F">
            <w:pPr>
              <w:spacing w:after="240"/>
              <w:jc w:val="both"/>
              <w:rPr>
                <w:rFonts w:eastAsia="Times New Roman"/>
                <w:color w:val="000000"/>
                <w:sz w:val="18"/>
                <w:szCs w:val="18"/>
                <w:lang w:val="en-US" w:eastAsia="en-US"/>
              </w:rPr>
            </w:pPr>
            <w:r w:rsidRPr="0048716F">
              <w:rPr>
                <w:rFonts w:eastAsia="Times New Roman"/>
                <w:color w:val="000000"/>
                <w:sz w:val="18"/>
                <w:szCs w:val="18"/>
                <w:lang w:val="en-US" w:eastAsia="en-US"/>
              </w:rPr>
              <w:t>3.1.8 Trajnime me stafet e institucioneve publike për mënyrën e shërbimit të personave me aftësi të kufizuara duke përfshirë si informacionin e përdorimit të TIK-ut nga personat me aftësi të kufizuar, ashtu dhe informacione rreth parimeve të aksesueshmërisë si edhe rreth tipologjive të informacionit dhe komunikimit të aksesueshëm.</w:t>
            </w:r>
          </w:p>
        </w:tc>
        <w:tc>
          <w:tcPr>
            <w:tcW w:w="1080" w:type="dxa"/>
            <w:noWrap/>
            <w:hideMark/>
          </w:tcPr>
          <w:p w14:paraId="2A55E8C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3CCF363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745EB5D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w:t>
            </w:r>
          </w:p>
        </w:tc>
        <w:tc>
          <w:tcPr>
            <w:tcW w:w="1521" w:type="dxa"/>
            <w:gridSpan w:val="2"/>
            <w:vAlign w:val="center"/>
            <w:hideMark/>
          </w:tcPr>
          <w:p w14:paraId="7073C4B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244F5E41" w14:textId="7824CB9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c>
          <w:tcPr>
            <w:tcW w:w="1110" w:type="dxa"/>
            <w:gridSpan w:val="3"/>
            <w:hideMark/>
          </w:tcPr>
          <w:p w14:paraId="13DFA421" w14:textId="36A38A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940</w:t>
            </w:r>
          </w:p>
        </w:tc>
        <w:tc>
          <w:tcPr>
            <w:tcW w:w="1110" w:type="dxa"/>
            <w:gridSpan w:val="2"/>
            <w:hideMark/>
          </w:tcPr>
          <w:p w14:paraId="05A84887" w14:textId="3AF8688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940</w:t>
            </w:r>
          </w:p>
        </w:tc>
        <w:tc>
          <w:tcPr>
            <w:tcW w:w="1110" w:type="dxa"/>
            <w:hideMark/>
          </w:tcPr>
          <w:p w14:paraId="23F321E9" w14:textId="66CE621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940</w:t>
            </w:r>
          </w:p>
        </w:tc>
        <w:tc>
          <w:tcPr>
            <w:tcW w:w="818" w:type="dxa"/>
            <w:gridSpan w:val="2"/>
            <w:hideMark/>
          </w:tcPr>
          <w:p w14:paraId="4168AA55" w14:textId="16954F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940</w:t>
            </w:r>
          </w:p>
        </w:tc>
      </w:tr>
      <w:tr w:rsidR="004D73D3" w:rsidRPr="0048716F" w14:paraId="69B0E01B" w14:textId="77777777" w:rsidTr="00597AD8">
        <w:trPr>
          <w:trHeight w:val="2592"/>
        </w:trPr>
        <w:tc>
          <w:tcPr>
            <w:tcW w:w="3885" w:type="dxa"/>
            <w:hideMark/>
          </w:tcPr>
          <w:p w14:paraId="34733305" w14:textId="7920E185"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3.1.9 Takime periodike  me perfaqesues te AKEP dhe te operatoreve celulare per informimin e organizatave të PAK, lidhur me shërbimet e arritshme të komunikimeve elektronike/telefonisë së lëvizshme dhe produktet e ofruara, përfshirë aktivitete të edukimit dhe ndërgjegjësimit për funksionalitet dhe zgjidhjet teknologjike si teknologjitë asistuese etj. të disponueshme në aparatet inteligjente dhe/ose të ofruara nga operatorët cellularë për akses të barabartë për PAK</w:t>
            </w:r>
            <w:r w:rsidRPr="0048716F">
              <w:rPr>
                <w:rFonts w:eastAsia="Times New Roman"/>
                <w:color w:val="000000"/>
                <w:sz w:val="18"/>
                <w:szCs w:val="18"/>
                <w:lang w:val="en-US" w:eastAsia="en-US"/>
              </w:rPr>
              <w:br/>
            </w:r>
          </w:p>
        </w:tc>
        <w:tc>
          <w:tcPr>
            <w:tcW w:w="1080" w:type="dxa"/>
            <w:noWrap/>
            <w:hideMark/>
          </w:tcPr>
          <w:p w14:paraId="4279145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3A0F33E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744762B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AKEP</w:t>
            </w:r>
          </w:p>
        </w:tc>
        <w:tc>
          <w:tcPr>
            <w:tcW w:w="1521" w:type="dxa"/>
            <w:gridSpan w:val="2"/>
            <w:vAlign w:val="center"/>
            <w:hideMark/>
          </w:tcPr>
          <w:p w14:paraId="71A2BDA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 operatoret / OJF</w:t>
            </w:r>
          </w:p>
        </w:tc>
        <w:tc>
          <w:tcPr>
            <w:tcW w:w="1110" w:type="dxa"/>
            <w:gridSpan w:val="2"/>
            <w:hideMark/>
          </w:tcPr>
          <w:p w14:paraId="0B519758" w14:textId="1792B38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236</w:t>
            </w:r>
          </w:p>
        </w:tc>
        <w:tc>
          <w:tcPr>
            <w:tcW w:w="1110" w:type="dxa"/>
            <w:gridSpan w:val="3"/>
            <w:hideMark/>
          </w:tcPr>
          <w:p w14:paraId="5427B3F4" w14:textId="71FCEE8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236</w:t>
            </w:r>
          </w:p>
        </w:tc>
        <w:tc>
          <w:tcPr>
            <w:tcW w:w="1110" w:type="dxa"/>
            <w:gridSpan w:val="2"/>
            <w:hideMark/>
          </w:tcPr>
          <w:p w14:paraId="122F7F32" w14:textId="0F5746E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236</w:t>
            </w:r>
          </w:p>
        </w:tc>
        <w:tc>
          <w:tcPr>
            <w:tcW w:w="1110" w:type="dxa"/>
            <w:hideMark/>
          </w:tcPr>
          <w:p w14:paraId="432F55B0" w14:textId="2248A71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236</w:t>
            </w:r>
          </w:p>
        </w:tc>
        <w:tc>
          <w:tcPr>
            <w:tcW w:w="818" w:type="dxa"/>
            <w:gridSpan w:val="2"/>
            <w:hideMark/>
          </w:tcPr>
          <w:p w14:paraId="09F72771" w14:textId="583E47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236</w:t>
            </w:r>
          </w:p>
        </w:tc>
      </w:tr>
      <w:tr w:rsidR="004D73D3" w:rsidRPr="0048716F" w14:paraId="7C0B8391" w14:textId="77777777" w:rsidTr="00597AD8">
        <w:trPr>
          <w:trHeight w:val="576"/>
        </w:trPr>
        <w:tc>
          <w:tcPr>
            <w:tcW w:w="3885" w:type="dxa"/>
            <w:shd w:val="clear" w:color="000000" w:fill="C5D9F1"/>
            <w:hideMark/>
          </w:tcPr>
          <w:p w14:paraId="419265A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3.2 Sigurimi i produkteve dhe shërbimeve të aksesueshme për informacion dhe komunikim per PAK</w:t>
            </w:r>
          </w:p>
        </w:tc>
        <w:tc>
          <w:tcPr>
            <w:tcW w:w="1080" w:type="dxa"/>
            <w:shd w:val="clear" w:color="000000" w:fill="C5D9F1"/>
            <w:noWrap/>
            <w:vAlign w:val="center"/>
            <w:hideMark/>
          </w:tcPr>
          <w:p w14:paraId="28522BC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vAlign w:val="center"/>
            <w:hideMark/>
          </w:tcPr>
          <w:p w14:paraId="7365698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vAlign w:val="center"/>
            <w:hideMark/>
          </w:tcPr>
          <w:p w14:paraId="148E0E6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AKSHI/AMA/MSHMS</w:t>
            </w:r>
          </w:p>
        </w:tc>
        <w:tc>
          <w:tcPr>
            <w:tcW w:w="1521" w:type="dxa"/>
            <w:gridSpan w:val="2"/>
            <w:shd w:val="clear" w:color="000000" w:fill="C5D9F1"/>
            <w:vAlign w:val="center"/>
            <w:hideMark/>
          </w:tcPr>
          <w:p w14:paraId="28CC2FDC"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 te gjitha institucionet</w:t>
            </w:r>
          </w:p>
        </w:tc>
        <w:tc>
          <w:tcPr>
            <w:tcW w:w="1110" w:type="dxa"/>
            <w:gridSpan w:val="2"/>
            <w:shd w:val="clear" w:color="000000" w:fill="C5D9F1"/>
            <w:noWrap/>
            <w:vAlign w:val="bottom"/>
            <w:hideMark/>
          </w:tcPr>
          <w:p w14:paraId="3C54D09B" w14:textId="6112938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8,864</w:t>
            </w:r>
          </w:p>
        </w:tc>
        <w:tc>
          <w:tcPr>
            <w:tcW w:w="1110" w:type="dxa"/>
            <w:gridSpan w:val="3"/>
            <w:shd w:val="clear" w:color="000000" w:fill="C5D9F1"/>
            <w:noWrap/>
            <w:vAlign w:val="bottom"/>
            <w:hideMark/>
          </w:tcPr>
          <w:p w14:paraId="1CD3A14E" w14:textId="791C6C3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9,864</w:t>
            </w:r>
          </w:p>
        </w:tc>
        <w:tc>
          <w:tcPr>
            <w:tcW w:w="1110" w:type="dxa"/>
            <w:gridSpan w:val="2"/>
            <w:shd w:val="clear" w:color="000000" w:fill="C5D9F1"/>
            <w:noWrap/>
            <w:vAlign w:val="bottom"/>
            <w:hideMark/>
          </w:tcPr>
          <w:p w14:paraId="7DDFDC63" w14:textId="46B7A20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9,864</w:t>
            </w:r>
          </w:p>
        </w:tc>
        <w:tc>
          <w:tcPr>
            <w:tcW w:w="1110" w:type="dxa"/>
            <w:shd w:val="clear" w:color="000000" w:fill="C5D9F1"/>
            <w:noWrap/>
            <w:vAlign w:val="bottom"/>
            <w:hideMark/>
          </w:tcPr>
          <w:p w14:paraId="1016C4DE" w14:textId="4FE9D8D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8,955</w:t>
            </w:r>
          </w:p>
        </w:tc>
        <w:tc>
          <w:tcPr>
            <w:tcW w:w="818" w:type="dxa"/>
            <w:gridSpan w:val="2"/>
            <w:shd w:val="clear" w:color="000000" w:fill="C5D9F1"/>
            <w:noWrap/>
            <w:vAlign w:val="bottom"/>
            <w:hideMark/>
          </w:tcPr>
          <w:p w14:paraId="548B38B6" w14:textId="4811AC5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8,955</w:t>
            </w:r>
          </w:p>
        </w:tc>
      </w:tr>
      <w:tr w:rsidR="004D73D3" w:rsidRPr="0048716F" w14:paraId="775A49B5" w14:textId="77777777" w:rsidTr="00597AD8">
        <w:trPr>
          <w:trHeight w:val="1160"/>
        </w:trPr>
        <w:tc>
          <w:tcPr>
            <w:tcW w:w="3885" w:type="dxa"/>
            <w:hideMark/>
          </w:tcPr>
          <w:p w14:paraId="60C34FA1" w14:textId="26AF6013"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3.2.1 Marrja e masave që pajisjet dhe shërbimet publike të jenë të aksesueshme nga persona që kanë dëmtime të shikimit, probleme me dëgjimin, vështirësi me lëvizjen, si dhe nga persona me aftësi të kufizuara intelektuale duke përdorur: a) ikona universale; b) programe që mundësojnë leximin për personat me vështirësi në shikim; c) pajisje audio; d) të kenë programe që u mundësojnë përdoruesve me probleme në shikim të zmadhojnë shkrimin dhe madhësinë e ikonave; e) të kenë lexues dhe printerë të kodit Braille (në një numër të arsyeshëm).</w:t>
            </w:r>
          </w:p>
        </w:tc>
        <w:tc>
          <w:tcPr>
            <w:tcW w:w="1080" w:type="dxa"/>
            <w:noWrap/>
            <w:hideMark/>
          </w:tcPr>
          <w:p w14:paraId="3FD2BA5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12446AB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65BDA0C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AKSHI / AMA</w:t>
            </w:r>
          </w:p>
        </w:tc>
        <w:tc>
          <w:tcPr>
            <w:tcW w:w="1521" w:type="dxa"/>
            <w:gridSpan w:val="2"/>
            <w:vAlign w:val="center"/>
            <w:hideMark/>
          </w:tcPr>
          <w:p w14:paraId="36CEC18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te gjitha institucionet</w:t>
            </w:r>
          </w:p>
        </w:tc>
        <w:tc>
          <w:tcPr>
            <w:tcW w:w="1110" w:type="dxa"/>
            <w:gridSpan w:val="2"/>
            <w:hideMark/>
          </w:tcPr>
          <w:p w14:paraId="34E2FE7B" w14:textId="16D2B0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gridSpan w:val="3"/>
            <w:hideMark/>
          </w:tcPr>
          <w:p w14:paraId="0349957F" w14:textId="2BD324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gridSpan w:val="2"/>
            <w:hideMark/>
          </w:tcPr>
          <w:p w14:paraId="38F8D053" w14:textId="5E383D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hideMark/>
          </w:tcPr>
          <w:p w14:paraId="3C5CD9EB" w14:textId="2EA8573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818" w:type="dxa"/>
            <w:gridSpan w:val="2"/>
            <w:hideMark/>
          </w:tcPr>
          <w:p w14:paraId="5120EE14" w14:textId="0B2790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r>
      <w:tr w:rsidR="004D73D3" w:rsidRPr="0048716F" w14:paraId="65CCFAB0" w14:textId="77777777" w:rsidTr="00597AD8">
        <w:trPr>
          <w:trHeight w:val="1440"/>
        </w:trPr>
        <w:tc>
          <w:tcPr>
            <w:tcW w:w="3885" w:type="dxa"/>
            <w:hideMark/>
          </w:tcPr>
          <w:p w14:paraId="5DCA99CA" w14:textId="09B62A1E"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3.2.2 Marrja e masave, nga cdo institucion shtetëror në nivel qendror dhe vendor, për të siguruar që informacioni dhe komunikimet për politikat, publikimet ose ngjarjet publike të jenë të arritshme për personat me aftësi të kufizuara.</w:t>
            </w:r>
          </w:p>
        </w:tc>
        <w:tc>
          <w:tcPr>
            <w:tcW w:w="1080" w:type="dxa"/>
            <w:noWrap/>
            <w:hideMark/>
          </w:tcPr>
          <w:p w14:paraId="407ACFF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4288508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02862E2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70A633B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331BA6C4" w14:textId="3C125A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3,636</w:t>
            </w:r>
          </w:p>
        </w:tc>
        <w:tc>
          <w:tcPr>
            <w:tcW w:w="1110" w:type="dxa"/>
            <w:gridSpan w:val="3"/>
            <w:hideMark/>
          </w:tcPr>
          <w:p w14:paraId="46D97429" w14:textId="271821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3,636</w:t>
            </w:r>
          </w:p>
        </w:tc>
        <w:tc>
          <w:tcPr>
            <w:tcW w:w="1110" w:type="dxa"/>
            <w:gridSpan w:val="2"/>
            <w:hideMark/>
          </w:tcPr>
          <w:p w14:paraId="1F4A2343" w14:textId="63D8FE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3,636</w:t>
            </w:r>
          </w:p>
        </w:tc>
        <w:tc>
          <w:tcPr>
            <w:tcW w:w="1110" w:type="dxa"/>
            <w:hideMark/>
          </w:tcPr>
          <w:p w14:paraId="7A37770F" w14:textId="16A3547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3,636</w:t>
            </w:r>
          </w:p>
        </w:tc>
        <w:tc>
          <w:tcPr>
            <w:tcW w:w="818" w:type="dxa"/>
            <w:gridSpan w:val="2"/>
            <w:hideMark/>
          </w:tcPr>
          <w:p w14:paraId="3CDF83B8" w14:textId="12ECE7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3,636</w:t>
            </w:r>
          </w:p>
        </w:tc>
      </w:tr>
      <w:tr w:rsidR="004D73D3" w:rsidRPr="0048716F" w14:paraId="5EF94A92" w14:textId="77777777" w:rsidTr="00597AD8">
        <w:trPr>
          <w:trHeight w:val="1152"/>
        </w:trPr>
        <w:tc>
          <w:tcPr>
            <w:tcW w:w="3885" w:type="dxa"/>
            <w:hideMark/>
          </w:tcPr>
          <w:p w14:paraId="03BA31C5" w14:textId="2C7A682A"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3.2.3 Marrja e masave, me qëllim që udhëzuesit elektronikë të programeve të përdorin ikonat e njohura ndërkombëtarisht si “CC” për titrat dhe “AD” për përshkrimet audio.</w:t>
            </w:r>
          </w:p>
        </w:tc>
        <w:tc>
          <w:tcPr>
            <w:tcW w:w="1080" w:type="dxa"/>
            <w:noWrap/>
            <w:hideMark/>
          </w:tcPr>
          <w:p w14:paraId="1914016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2F866DB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532AC54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AMA</w:t>
            </w:r>
          </w:p>
        </w:tc>
        <w:tc>
          <w:tcPr>
            <w:tcW w:w="1521" w:type="dxa"/>
            <w:gridSpan w:val="2"/>
            <w:vAlign w:val="center"/>
            <w:hideMark/>
          </w:tcPr>
          <w:p w14:paraId="2ADF853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te gjitha institucionet</w:t>
            </w:r>
          </w:p>
        </w:tc>
        <w:tc>
          <w:tcPr>
            <w:tcW w:w="1110" w:type="dxa"/>
            <w:gridSpan w:val="2"/>
            <w:hideMark/>
          </w:tcPr>
          <w:p w14:paraId="5C0781CD" w14:textId="636574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909</w:t>
            </w:r>
          </w:p>
        </w:tc>
        <w:tc>
          <w:tcPr>
            <w:tcW w:w="1110" w:type="dxa"/>
            <w:gridSpan w:val="3"/>
            <w:hideMark/>
          </w:tcPr>
          <w:p w14:paraId="270B6CFE" w14:textId="4622946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909</w:t>
            </w:r>
          </w:p>
        </w:tc>
        <w:tc>
          <w:tcPr>
            <w:tcW w:w="1110" w:type="dxa"/>
            <w:gridSpan w:val="2"/>
            <w:hideMark/>
          </w:tcPr>
          <w:p w14:paraId="7C6105BD" w14:textId="37A51B2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909</w:t>
            </w:r>
          </w:p>
        </w:tc>
        <w:tc>
          <w:tcPr>
            <w:tcW w:w="1110" w:type="dxa"/>
            <w:hideMark/>
          </w:tcPr>
          <w:p w14:paraId="31263014" w14:textId="540F5C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210F31E1" w14:textId="6C6899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4B99F80E" w14:textId="77777777" w:rsidTr="00597AD8">
        <w:trPr>
          <w:trHeight w:val="1152"/>
        </w:trPr>
        <w:tc>
          <w:tcPr>
            <w:tcW w:w="3885" w:type="dxa"/>
            <w:hideMark/>
          </w:tcPr>
          <w:p w14:paraId="1CAEA7F8" w14:textId="6EFACDA0"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3.2.4 Monitorimi i ofrimit, nga ofruesit e licencuar, të shërbimeve të titrave, gjuhës së shenjave dhe versioneve audio në programe specifike, me qëllim sigurimin e aksesit për personat me aftësi të kufizuara.</w:t>
            </w:r>
          </w:p>
        </w:tc>
        <w:tc>
          <w:tcPr>
            <w:tcW w:w="1080" w:type="dxa"/>
            <w:noWrap/>
            <w:hideMark/>
          </w:tcPr>
          <w:p w14:paraId="736EA24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76540E5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11B7721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AMA</w:t>
            </w:r>
          </w:p>
        </w:tc>
        <w:tc>
          <w:tcPr>
            <w:tcW w:w="1521" w:type="dxa"/>
            <w:gridSpan w:val="2"/>
            <w:vAlign w:val="center"/>
            <w:hideMark/>
          </w:tcPr>
          <w:p w14:paraId="45A04BF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ofrues te sherbimeve / OJF</w:t>
            </w:r>
          </w:p>
        </w:tc>
        <w:tc>
          <w:tcPr>
            <w:tcW w:w="1110" w:type="dxa"/>
            <w:gridSpan w:val="2"/>
            <w:hideMark/>
          </w:tcPr>
          <w:p w14:paraId="318E6539" w14:textId="4AEEFE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1,818</w:t>
            </w:r>
          </w:p>
        </w:tc>
        <w:tc>
          <w:tcPr>
            <w:tcW w:w="1110" w:type="dxa"/>
            <w:gridSpan w:val="3"/>
            <w:hideMark/>
          </w:tcPr>
          <w:p w14:paraId="3ECDFB2C" w14:textId="4DAE181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1,818</w:t>
            </w:r>
          </w:p>
        </w:tc>
        <w:tc>
          <w:tcPr>
            <w:tcW w:w="1110" w:type="dxa"/>
            <w:gridSpan w:val="2"/>
            <w:hideMark/>
          </w:tcPr>
          <w:p w14:paraId="7F299B0D" w14:textId="2ADFA0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1,818</w:t>
            </w:r>
          </w:p>
        </w:tc>
        <w:tc>
          <w:tcPr>
            <w:tcW w:w="1110" w:type="dxa"/>
            <w:hideMark/>
          </w:tcPr>
          <w:p w14:paraId="7A2E3A47" w14:textId="600BB6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1,818</w:t>
            </w:r>
          </w:p>
        </w:tc>
        <w:tc>
          <w:tcPr>
            <w:tcW w:w="818" w:type="dxa"/>
            <w:gridSpan w:val="2"/>
            <w:hideMark/>
          </w:tcPr>
          <w:p w14:paraId="5A7EC009" w14:textId="3C721E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1,818</w:t>
            </w:r>
          </w:p>
        </w:tc>
      </w:tr>
      <w:tr w:rsidR="004D73D3" w:rsidRPr="0048716F" w14:paraId="671B613A" w14:textId="77777777" w:rsidTr="00597AD8">
        <w:trPr>
          <w:trHeight w:val="288"/>
        </w:trPr>
        <w:tc>
          <w:tcPr>
            <w:tcW w:w="3885" w:type="dxa"/>
            <w:hideMark/>
          </w:tcPr>
          <w:p w14:paraId="6CCE024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3.2.5 Vizita të ndërsjella për shkëmbim eksperienca nga vendet  të rajonit.</w:t>
            </w:r>
          </w:p>
        </w:tc>
        <w:tc>
          <w:tcPr>
            <w:tcW w:w="1080" w:type="dxa"/>
            <w:noWrap/>
            <w:hideMark/>
          </w:tcPr>
          <w:p w14:paraId="363B66A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1FDD889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411" w:type="dxa"/>
            <w:noWrap/>
            <w:vAlign w:val="center"/>
            <w:hideMark/>
          </w:tcPr>
          <w:p w14:paraId="10CE72C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MEI/MSHMS</w:t>
            </w:r>
          </w:p>
        </w:tc>
        <w:tc>
          <w:tcPr>
            <w:tcW w:w="1521" w:type="dxa"/>
            <w:gridSpan w:val="2"/>
            <w:vAlign w:val="center"/>
            <w:hideMark/>
          </w:tcPr>
          <w:p w14:paraId="5B163FA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7F946060" w14:textId="052CB9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A422EFE" w14:textId="1FC32CB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5811CAAC" w14:textId="1D965DE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3D9900D3" w14:textId="2C9D2F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31C17E69" w14:textId="253C31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7A50CEFA" w14:textId="77777777" w:rsidTr="00597AD8">
        <w:trPr>
          <w:trHeight w:val="576"/>
        </w:trPr>
        <w:tc>
          <w:tcPr>
            <w:tcW w:w="3885" w:type="dxa"/>
            <w:shd w:val="clear" w:color="000000" w:fill="FDE9D9"/>
            <w:hideMark/>
          </w:tcPr>
          <w:p w14:paraId="206DDB2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4:  Aksesueshmëria në objektet dhe shërbimet turistike dhe të trashëgimisë kulturore.</w:t>
            </w:r>
          </w:p>
        </w:tc>
        <w:tc>
          <w:tcPr>
            <w:tcW w:w="1080" w:type="dxa"/>
            <w:shd w:val="clear" w:color="000000" w:fill="FDE9D9"/>
            <w:noWrap/>
            <w:vAlign w:val="center"/>
            <w:hideMark/>
          </w:tcPr>
          <w:p w14:paraId="317DC615"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2026</w:t>
            </w:r>
          </w:p>
        </w:tc>
        <w:tc>
          <w:tcPr>
            <w:tcW w:w="1260" w:type="dxa"/>
            <w:shd w:val="clear" w:color="000000" w:fill="FDE9D9"/>
            <w:noWrap/>
            <w:vAlign w:val="center"/>
            <w:hideMark/>
          </w:tcPr>
          <w:p w14:paraId="4124D5B7"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2030</w:t>
            </w:r>
          </w:p>
        </w:tc>
        <w:tc>
          <w:tcPr>
            <w:tcW w:w="1411" w:type="dxa"/>
            <w:shd w:val="clear" w:color="000000" w:fill="FDE9D9"/>
            <w:vAlign w:val="center"/>
            <w:hideMark/>
          </w:tcPr>
          <w:p w14:paraId="3D27AF4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MTKS / Autoriteti /Bashkitë</w:t>
            </w:r>
          </w:p>
        </w:tc>
        <w:tc>
          <w:tcPr>
            <w:tcW w:w="1521" w:type="dxa"/>
            <w:gridSpan w:val="2"/>
            <w:shd w:val="clear" w:color="000000" w:fill="FDE9D9"/>
            <w:vAlign w:val="center"/>
            <w:hideMark/>
          </w:tcPr>
          <w:p w14:paraId="367B78C1"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Bashkite/UP/operatoret /OJQ/AKSHI</w:t>
            </w:r>
          </w:p>
        </w:tc>
        <w:tc>
          <w:tcPr>
            <w:tcW w:w="1110" w:type="dxa"/>
            <w:gridSpan w:val="2"/>
            <w:shd w:val="clear" w:color="000000" w:fill="FDE9D9"/>
            <w:hideMark/>
          </w:tcPr>
          <w:p w14:paraId="39D44EAB" w14:textId="596BC94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1,961</w:t>
            </w:r>
          </w:p>
        </w:tc>
        <w:tc>
          <w:tcPr>
            <w:tcW w:w="1110" w:type="dxa"/>
            <w:gridSpan w:val="3"/>
            <w:shd w:val="clear" w:color="000000" w:fill="FDE9D9"/>
            <w:hideMark/>
          </w:tcPr>
          <w:p w14:paraId="20DAC5B2" w14:textId="157AEB6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2,461</w:t>
            </w:r>
          </w:p>
        </w:tc>
        <w:tc>
          <w:tcPr>
            <w:tcW w:w="1110" w:type="dxa"/>
            <w:gridSpan w:val="2"/>
            <w:shd w:val="clear" w:color="000000" w:fill="FDE9D9"/>
            <w:hideMark/>
          </w:tcPr>
          <w:p w14:paraId="03DF13C3" w14:textId="3F87644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2,461</w:t>
            </w:r>
          </w:p>
        </w:tc>
        <w:tc>
          <w:tcPr>
            <w:tcW w:w="1110" w:type="dxa"/>
            <w:shd w:val="clear" w:color="000000" w:fill="FDE9D9"/>
            <w:hideMark/>
          </w:tcPr>
          <w:p w14:paraId="2005C801" w14:textId="46AC58E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2,461</w:t>
            </w:r>
          </w:p>
        </w:tc>
        <w:tc>
          <w:tcPr>
            <w:tcW w:w="818" w:type="dxa"/>
            <w:gridSpan w:val="2"/>
            <w:shd w:val="clear" w:color="000000" w:fill="FDE9D9"/>
            <w:hideMark/>
          </w:tcPr>
          <w:p w14:paraId="18D68FA1" w14:textId="137F31C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2,461</w:t>
            </w:r>
          </w:p>
        </w:tc>
      </w:tr>
      <w:tr w:rsidR="004D73D3" w:rsidRPr="0048716F" w14:paraId="59247BC5" w14:textId="77777777" w:rsidTr="00597AD8">
        <w:trPr>
          <w:trHeight w:val="576"/>
        </w:trPr>
        <w:tc>
          <w:tcPr>
            <w:tcW w:w="3885" w:type="dxa"/>
            <w:shd w:val="clear" w:color="000000" w:fill="C5D9F1"/>
            <w:hideMark/>
          </w:tcPr>
          <w:p w14:paraId="0921559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4.1: Aksesueshmëria në Objekte turistike dhe të trashëgimise kulturore</w:t>
            </w:r>
          </w:p>
        </w:tc>
        <w:tc>
          <w:tcPr>
            <w:tcW w:w="1080" w:type="dxa"/>
            <w:shd w:val="clear" w:color="000000" w:fill="C5D9F1"/>
            <w:noWrap/>
            <w:vAlign w:val="center"/>
            <w:hideMark/>
          </w:tcPr>
          <w:p w14:paraId="5EDC622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shd w:val="clear" w:color="000000" w:fill="C5D9F1"/>
            <w:noWrap/>
            <w:vAlign w:val="center"/>
            <w:hideMark/>
          </w:tcPr>
          <w:p w14:paraId="47AF7BF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shd w:val="clear" w:color="000000" w:fill="C5D9F1"/>
            <w:vAlign w:val="center"/>
            <w:hideMark/>
          </w:tcPr>
          <w:p w14:paraId="32348DB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 / Autoriteti /Bashkitë</w:t>
            </w:r>
          </w:p>
        </w:tc>
        <w:tc>
          <w:tcPr>
            <w:tcW w:w="1521" w:type="dxa"/>
            <w:gridSpan w:val="2"/>
            <w:shd w:val="clear" w:color="000000" w:fill="C5D9F1"/>
            <w:vAlign w:val="center"/>
            <w:hideMark/>
          </w:tcPr>
          <w:p w14:paraId="252DD2D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Bashkite/UP/operatoret /OJQ/AKSHI</w:t>
            </w:r>
          </w:p>
        </w:tc>
        <w:tc>
          <w:tcPr>
            <w:tcW w:w="1110" w:type="dxa"/>
            <w:gridSpan w:val="2"/>
            <w:shd w:val="clear" w:color="000000" w:fill="C5D9F1"/>
            <w:noWrap/>
            <w:vAlign w:val="bottom"/>
            <w:hideMark/>
          </w:tcPr>
          <w:p w14:paraId="69FF4E43" w14:textId="246FC36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1,961</w:t>
            </w:r>
          </w:p>
        </w:tc>
        <w:tc>
          <w:tcPr>
            <w:tcW w:w="1110" w:type="dxa"/>
            <w:gridSpan w:val="3"/>
            <w:shd w:val="clear" w:color="000000" w:fill="C5D9F1"/>
            <w:noWrap/>
            <w:vAlign w:val="bottom"/>
            <w:hideMark/>
          </w:tcPr>
          <w:p w14:paraId="026A425A" w14:textId="159BBF7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2,461</w:t>
            </w:r>
          </w:p>
        </w:tc>
        <w:tc>
          <w:tcPr>
            <w:tcW w:w="1110" w:type="dxa"/>
            <w:gridSpan w:val="2"/>
            <w:shd w:val="clear" w:color="000000" w:fill="C5D9F1"/>
            <w:noWrap/>
            <w:vAlign w:val="bottom"/>
            <w:hideMark/>
          </w:tcPr>
          <w:p w14:paraId="41801A49" w14:textId="0B3E2A9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2,461</w:t>
            </w:r>
          </w:p>
        </w:tc>
        <w:tc>
          <w:tcPr>
            <w:tcW w:w="1110" w:type="dxa"/>
            <w:shd w:val="clear" w:color="000000" w:fill="C5D9F1"/>
            <w:noWrap/>
            <w:vAlign w:val="bottom"/>
            <w:hideMark/>
          </w:tcPr>
          <w:p w14:paraId="6A7D4713" w14:textId="550A0AD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2,461</w:t>
            </w:r>
          </w:p>
        </w:tc>
        <w:tc>
          <w:tcPr>
            <w:tcW w:w="818" w:type="dxa"/>
            <w:gridSpan w:val="2"/>
            <w:shd w:val="clear" w:color="000000" w:fill="C5D9F1"/>
            <w:noWrap/>
            <w:vAlign w:val="bottom"/>
            <w:hideMark/>
          </w:tcPr>
          <w:p w14:paraId="631C8B9A" w14:textId="3302E30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2,461</w:t>
            </w:r>
          </w:p>
        </w:tc>
      </w:tr>
      <w:tr w:rsidR="004D73D3" w:rsidRPr="0048716F" w14:paraId="15E06EDC" w14:textId="77777777" w:rsidTr="00597AD8">
        <w:trPr>
          <w:trHeight w:val="864"/>
        </w:trPr>
        <w:tc>
          <w:tcPr>
            <w:tcW w:w="3885" w:type="dxa"/>
            <w:hideMark/>
          </w:tcPr>
          <w:p w14:paraId="67AD12D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4.1.1 Përfshirja e standarteve të aksesueshmërisë së objekteve turistike në kriteret e vlerësimit për licensim të strukturave akomoduese dhe të turizmit kulturor.</w:t>
            </w:r>
          </w:p>
        </w:tc>
        <w:tc>
          <w:tcPr>
            <w:tcW w:w="1080" w:type="dxa"/>
            <w:noWrap/>
            <w:hideMark/>
          </w:tcPr>
          <w:p w14:paraId="75B815D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322A0C1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121E3F9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 / Autoriteti</w:t>
            </w:r>
          </w:p>
        </w:tc>
        <w:tc>
          <w:tcPr>
            <w:tcW w:w="1521" w:type="dxa"/>
            <w:gridSpan w:val="2"/>
            <w:noWrap/>
            <w:vAlign w:val="center"/>
            <w:hideMark/>
          </w:tcPr>
          <w:p w14:paraId="2D7A8C6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110" w:type="dxa"/>
            <w:gridSpan w:val="2"/>
            <w:hideMark/>
          </w:tcPr>
          <w:p w14:paraId="516816C4" w14:textId="695B0F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gridSpan w:val="3"/>
            <w:hideMark/>
          </w:tcPr>
          <w:p w14:paraId="213E3984" w14:textId="65702DE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gridSpan w:val="2"/>
            <w:hideMark/>
          </w:tcPr>
          <w:p w14:paraId="6B314E66" w14:textId="1B9E9C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1110" w:type="dxa"/>
            <w:hideMark/>
          </w:tcPr>
          <w:p w14:paraId="5D9989E7" w14:textId="2EDAB5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c>
          <w:tcPr>
            <w:tcW w:w="818" w:type="dxa"/>
            <w:gridSpan w:val="2"/>
            <w:hideMark/>
          </w:tcPr>
          <w:p w14:paraId="664C3D81" w14:textId="175FB45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586</w:t>
            </w:r>
          </w:p>
        </w:tc>
      </w:tr>
      <w:tr w:rsidR="004D73D3" w:rsidRPr="0048716F" w14:paraId="5CED4662" w14:textId="77777777" w:rsidTr="00597AD8">
        <w:trPr>
          <w:trHeight w:val="576"/>
        </w:trPr>
        <w:tc>
          <w:tcPr>
            <w:tcW w:w="3885" w:type="dxa"/>
            <w:hideMark/>
          </w:tcPr>
          <w:p w14:paraId="5E099E1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4.1.2 Vlerësimi i nivelit të aksesueshmërisë së objekteve turistike dhe te trashegimise kulturore dhe krijimi I rregjistrit.</w:t>
            </w:r>
          </w:p>
        </w:tc>
        <w:tc>
          <w:tcPr>
            <w:tcW w:w="1080" w:type="dxa"/>
            <w:noWrap/>
            <w:hideMark/>
          </w:tcPr>
          <w:p w14:paraId="32031D6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3C8C60C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706949A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 / Autoriteti</w:t>
            </w:r>
          </w:p>
        </w:tc>
        <w:tc>
          <w:tcPr>
            <w:tcW w:w="1521" w:type="dxa"/>
            <w:gridSpan w:val="2"/>
            <w:noWrap/>
            <w:vAlign w:val="center"/>
            <w:hideMark/>
          </w:tcPr>
          <w:p w14:paraId="123C18B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 / UP</w:t>
            </w:r>
          </w:p>
        </w:tc>
        <w:tc>
          <w:tcPr>
            <w:tcW w:w="1110" w:type="dxa"/>
            <w:gridSpan w:val="2"/>
            <w:hideMark/>
          </w:tcPr>
          <w:p w14:paraId="268DC8A1" w14:textId="2035E1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c>
          <w:tcPr>
            <w:tcW w:w="1110" w:type="dxa"/>
            <w:gridSpan w:val="3"/>
            <w:hideMark/>
          </w:tcPr>
          <w:p w14:paraId="28568448" w14:textId="4E28439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c>
          <w:tcPr>
            <w:tcW w:w="1110" w:type="dxa"/>
            <w:gridSpan w:val="2"/>
            <w:hideMark/>
          </w:tcPr>
          <w:p w14:paraId="1A1D960D" w14:textId="79B5EE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c>
          <w:tcPr>
            <w:tcW w:w="1110" w:type="dxa"/>
            <w:hideMark/>
          </w:tcPr>
          <w:p w14:paraId="7C1226AB" w14:textId="538D19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c>
          <w:tcPr>
            <w:tcW w:w="818" w:type="dxa"/>
            <w:gridSpan w:val="2"/>
            <w:hideMark/>
          </w:tcPr>
          <w:p w14:paraId="5F6265EE" w14:textId="6719DB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r>
      <w:tr w:rsidR="004D73D3" w:rsidRPr="0048716F" w14:paraId="23579AF9" w14:textId="77777777" w:rsidTr="00597AD8">
        <w:trPr>
          <w:trHeight w:val="576"/>
        </w:trPr>
        <w:tc>
          <w:tcPr>
            <w:tcW w:w="3885" w:type="dxa"/>
            <w:hideMark/>
          </w:tcPr>
          <w:p w14:paraId="15B1FF2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4.1.3 Pershtatja e mjediseve te hapura / parqet kombetare, plazhe, etj sipas standardeve te aksesueshmerise per PAK.</w:t>
            </w:r>
          </w:p>
        </w:tc>
        <w:tc>
          <w:tcPr>
            <w:tcW w:w="1080" w:type="dxa"/>
            <w:noWrap/>
            <w:hideMark/>
          </w:tcPr>
          <w:p w14:paraId="68968E6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72E1DC5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5DCE9DB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 Bashkite</w:t>
            </w:r>
          </w:p>
        </w:tc>
        <w:tc>
          <w:tcPr>
            <w:tcW w:w="1521" w:type="dxa"/>
            <w:gridSpan w:val="2"/>
            <w:noWrap/>
            <w:vAlign w:val="center"/>
            <w:hideMark/>
          </w:tcPr>
          <w:p w14:paraId="5A847008" w14:textId="660AE203" w:rsidR="004D73D3" w:rsidRPr="0048716F" w:rsidRDefault="004D73D3" w:rsidP="00597AD8">
            <w:pPr>
              <w:rPr>
                <w:rFonts w:eastAsia="Times New Roman"/>
                <w:color w:val="000000"/>
                <w:sz w:val="18"/>
                <w:szCs w:val="18"/>
                <w:lang w:val="en-US" w:eastAsia="en-US"/>
              </w:rPr>
            </w:pPr>
          </w:p>
        </w:tc>
        <w:tc>
          <w:tcPr>
            <w:tcW w:w="1110" w:type="dxa"/>
            <w:gridSpan w:val="2"/>
            <w:hideMark/>
          </w:tcPr>
          <w:p w14:paraId="25CACFDB" w14:textId="2EC0BDF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094BC14" w14:textId="3344F5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gridSpan w:val="2"/>
            <w:hideMark/>
          </w:tcPr>
          <w:p w14:paraId="15003BF6" w14:textId="7789A1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1110" w:type="dxa"/>
            <w:hideMark/>
          </w:tcPr>
          <w:p w14:paraId="45090709" w14:textId="75FE2D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c>
          <w:tcPr>
            <w:tcW w:w="818" w:type="dxa"/>
            <w:gridSpan w:val="2"/>
            <w:hideMark/>
          </w:tcPr>
          <w:p w14:paraId="065FC6BB" w14:textId="332B989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0</w:t>
            </w:r>
          </w:p>
        </w:tc>
      </w:tr>
      <w:tr w:rsidR="004D73D3" w:rsidRPr="0048716F" w14:paraId="08352E91" w14:textId="77777777" w:rsidTr="00597AD8">
        <w:trPr>
          <w:trHeight w:val="864"/>
        </w:trPr>
        <w:tc>
          <w:tcPr>
            <w:tcW w:w="3885" w:type="dxa"/>
            <w:hideMark/>
          </w:tcPr>
          <w:p w14:paraId="72E10E4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4.1.4Përfshirja e standarteve të aksesueshmërisë në paketat turistike – transport i aksesueshëm, guida audio, materjale në brail ose gjuhë të thjeshtuar, interpret në gjuhën e shenjave. Ndergjegjesimi I operatoreve</w:t>
            </w:r>
          </w:p>
        </w:tc>
        <w:tc>
          <w:tcPr>
            <w:tcW w:w="1080" w:type="dxa"/>
            <w:noWrap/>
            <w:hideMark/>
          </w:tcPr>
          <w:p w14:paraId="3EEDD97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45BC871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6C96730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vAlign w:val="center"/>
            <w:hideMark/>
          </w:tcPr>
          <w:p w14:paraId="62C814A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operatoret /OJQ</w:t>
            </w:r>
          </w:p>
        </w:tc>
        <w:tc>
          <w:tcPr>
            <w:tcW w:w="1110" w:type="dxa"/>
            <w:gridSpan w:val="2"/>
            <w:hideMark/>
          </w:tcPr>
          <w:p w14:paraId="30CC6823" w14:textId="2D57D9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CC3E606" w14:textId="1E3E6B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725C4FD0" w14:textId="5BA323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hideMark/>
          </w:tcPr>
          <w:p w14:paraId="5A6EE462" w14:textId="1C8835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818" w:type="dxa"/>
            <w:gridSpan w:val="2"/>
            <w:hideMark/>
          </w:tcPr>
          <w:p w14:paraId="6B3C6D2C" w14:textId="3071DCA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r>
      <w:tr w:rsidR="004D73D3" w:rsidRPr="0048716F" w14:paraId="6FD3A12E" w14:textId="77777777" w:rsidTr="00597AD8">
        <w:trPr>
          <w:trHeight w:val="876"/>
        </w:trPr>
        <w:tc>
          <w:tcPr>
            <w:tcW w:w="3885" w:type="dxa"/>
            <w:hideMark/>
          </w:tcPr>
          <w:p w14:paraId="7B4834A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br/>
              <w:t>4.1.5 Informacion i përshtatur, faqe interneti dhe aplikacione turistike të aksesueshme Përgatitja e brohurave dhe fletëve informuese.</w:t>
            </w:r>
          </w:p>
        </w:tc>
        <w:tc>
          <w:tcPr>
            <w:tcW w:w="1080" w:type="dxa"/>
            <w:noWrap/>
            <w:hideMark/>
          </w:tcPr>
          <w:p w14:paraId="1C18216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64C5BA7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108E54F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vAlign w:val="center"/>
            <w:hideMark/>
          </w:tcPr>
          <w:p w14:paraId="3F5E98B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AKSHI/ Bashkite</w:t>
            </w:r>
          </w:p>
        </w:tc>
        <w:tc>
          <w:tcPr>
            <w:tcW w:w="1110" w:type="dxa"/>
            <w:gridSpan w:val="2"/>
            <w:hideMark/>
          </w:tcPr>
          <w:p w14:paraId="2B159087" w14:textId="37D6ACB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675</w:t>
            </w:r>
          </w:p>
        </w:tc>
        <w:tc>
          <w:tcPr>
            <w:tcW w:w="1110" w:type="dxa"/>
            <w:gridSpan w:val="3"/>
            <w:hideMark/>
          </w:tcPr>
          <w:p w14:paraId="75566208" w14:textId="41AD5AB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675</w:t>
            </w:r>
          </w:p>
        </w:tc>
        <w:tc>
          <w:tcPr>
            <w:tcW w:w="1110" w:type="dxa"/>
            <w:gridSpan w:val="2"/>
            <w:hideMark/>
          </w:tcPr>
          <w:p w14:paraId="0DFBC8B1" w14:textId="327E4E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675</w:t>
            </w:r>
          </w:p>
        </w:tc>
        <w:tc>
          <w:tcPr>
            <w:tcW w:w="1110" w:type="dxa"/>
            <w:hideMark/>
          </w:tcPr>
          <w:p w14:paraId="0F4EE47A" w14:textId="3292FED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675</w:t>
            </w:r>
          </w:p>
        </w:tc>
        <w:tc>
          <w:tcPr>
            <w:tcW w:w="818" w:type="dxa"/>
            <w:gridSpan w:val="2"/>
            <w:hideMark/>
          </w:tcPr>
          <w:p w14:paraId="609FDC4F" w14:textId="4C4853A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675</w:t>
            </w:r>
          </w:p>
        </w:tc>
      </w:tr>
      <w:tr w:rsidR="004D73D3" w:rsidRPr="0048716F" w14:paraId="7583430A" w14:textId="77777777" w:rsidTr="00597AD8">
        <w:trPr>
          <w:trHeight w:val="324"/>
        </w:trPr>
        <w:tc>
          <w:tcPr>
            <w:tcW w:w="3885" w:type="dxa"/>
            <w:shd w:val="clear" w:color="000000" w:fill="F276AB"/>
            <w:vAlign w:val="center"/>
            <w:hideMark/>
          </w:tcPr>
          <w:p w14:paraId="24DB63CA"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II. DREJTESIA</w:t>
            </w:r>
          </w:p>
        </w:tc>
        <w:tc>
          <w:tcPr>
            <w:tcW w:w="1080" w:type="dxa"/>
            <w:shd w:val="clear" w:color="000000" w:fill="F276AB"/>
            <w:vAlign w:val="center"/>
            <w:hideMark/>
          </w:tcPr>
          <w:p w14:paraId="0F8FFC73" w14:textId="0DBD1E2F"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21D486DE" w14:textId="2B3BAA9F"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7146CA3D" w14:textId="2B0D5C6C"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43C96CF6" w14:textId="3A9F59BA"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2165FB4D" w14:textId="143E85B4"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198,187</w:t>
            </w:r>
          </w:p>
        </w:tc>
        <w:tc>
          <w:tcPr>
            <w:tcW w:w="1110" w:type="dxa"/>
            <w:gridSpan w:val="3"/>
            <w:shd w:val="clear" w:color="000000" w:fill="F276AB"/>
            <w:vAlign w:val="center"/>
            <w:hideMark/>
          </w:tcPr>
          <w:p w14:paraId="60667BF5" w14:textId="252A7687"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196,287</w:t>
            </w:r>
          </w:p>
        </w:tc>
        <w:tc>
          <w:tcPr>
            <w:tcW w:w="1110" w:type="dxa"/>
            <w:gridSpan w:val="2"/>
            <w:shd w:val="clear" w:color="000000" w:fill="F276AB"/>
            <w:vAlign w:val="center"/>
            <w:hideMark/>
          </w:tcPr>
          <w:p w14:paraId="56AE4EAD" w14:textId="6ECDEEB9"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198,309</w:t>
            </w:r>
          </w:p>
        </w:tc>
        <w:tc>
          <w:tcPr>
            <w:tcW w:w="1110" w:type="dxa"/>
            <w:shd w:val="clear" w:color="000000" w:fill="F276AB"/>
            <w:vAlign w:val="center"/>
            <w:hideMark/>
          </w:tcPr>
          <w:p w14:paraId="780D3988" w14:textId="1B42C93E"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207,346</w:t>
            </w:r>
          </w:p>
        </w:tc>
        <w:tc>
          <w:tcPr>
            <w:tcW w:w="818" w:type="dxa"/>
            <w:gridSpan w:val="2"/>
            <w:shd w:val="clear" w:color="000000" w:fill="F276AB"/>
            <w:vAlign w:val="center"/>
            <w:hideMark/>
          </w:tcPr>
          <w:p w14:paraId="2E650BD2" w14:textId="6686BB26"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203,966</w:t>
            </w:r>
          </w:p>
        </w:tc>
      </w:tr>
      <w:tr w:rsidR="004D73D3" w:rsidRPr="0048716F" w14:paraId="6847EFB6" w14:textId="77777777" w:rsidTr="00597AD8">
        <w:trPr>
          <w:trHeight w:val="1380"/>
        </w:trPr>
        <w:tc>
          <w:tcPr>
            <w:tcW w:w="3885" w:type="dxa"/>
            <w:shd w:val="clear" w:color="000000" w:fill="FDE9D9"/>
            <w:hideMark/>
          </w:tcPr>
          <w:p w14:paraId="47AFC8F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1. Të sigurohet që të gjithë personat me aftësi të kufizuara të kenë akses fizik, procedural, informativ dhe digjital në gjykata, prokurori, polici dhe shërbime ligjore, si pjesëmarrës të drejtpërdrejtë apo jo të drejtpërdrejtë në të gjitha nivelet që nga hetimi, gjykimi etj. jetës</w:t>
            </w:r>
          </w:p>
        </w:tc>
        <w:tc>
          <w:tcPr>
            <w:tcW w:w="1080" w:type="dxa"/>
            <w:shd w:val="clear" w:color="000000" w:fill="FDE9D9"/>
            <w:hideMark/>
          </w:tcPr>
          <w:p w14:paraId="3DBDD95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3747B32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54AFA8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MD/MSHMS/DNJF/KLGJ/Gjykatat/DHKA/DHAAH/MD</w:t>
            </w:r>
          </w:p>
        </w:tc>
        <w:tc>
          <w:tcPr>
            <w:tcW w:w="1521" w:type="dxa"/>
            <w:gridSpan w:val="2"/>
            <w:shd w:val="clear" w:color="000000" w:fill="FDE9D9"/>
            <w:vAlign w:val="center"/>
            <w:hideMark/>
          </w:tcPr>
          <w:p w14:paraId="71D72A24"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MD/MD/OSHC/Partnere vendas dhe të huaj/DNJF/SHM/ DHASH/DHKN/MSHMS/KLGJ/KLP/DPP/DHKN/SHM/MSHMS</w:t>
            </w:r>
          </w:p>
        </w:tc>
        <w:tc>
          <w:tcPr>
            <w:tcW w:w="1110" w:type="dxa"/>
            <w:gridSpan w:val="2"/>
            <w:shd w:val="clear" w:color="000000" w:fill="FDE9D9"/>
            <w:hideMark/>
          </w:tcPr>
          <w:p w14:paraId="6678A76E" w14:textId="2F5E91F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186,255</w:t>
            </w:r>
          </w:p>
        </w:tc>
        <w:tc>
          <w:tcPr>
            <w:tcW w:w="1110" w:type="dxa"/>
            <w:gridSpan w:val="3"/>
            <w:shd w:val="clear" w:color="000000" w:fill="FDE9D9"/>
            <w:hideMark/>
          </w:tcPr>
          <w:p w14:paraId="3DBC06A5" w14:textId="21B1BB1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184,355</w:t>
            </w:r>
          </w:p>
        </w:tc>
        <w:tc>
          <w:tcPr>
            <w:tcW w:w="1110" w:type="dxa"/>
            <w:gridSpan w:val="2"/>
            <w:shd w:val="clear" w:color="000000" w:fill="FDE9D9"/>
            <w:hideMark/>
          </w:tcPr>
          <w:p w14:paraId="7157C00E" w14:textId="7146315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184,963</w:t>
            </w:r>
          </w:p>
        </w:tc>
        <w:tc>
          <w:tcPr>
            <w:tcW w:w="1110" w:type="dxa"/>
            <w:shd w:val="clear" w:color="000000" w:fill="FDE9D9"/>
            <w:hideMark/>
          </w:tcPr>
          <w:p w14:paraId="4E6FCA4D" w14:textId="1A13F31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183,666</w:t>
            </w:r>
          </w:p>
        </w:tc>
        <w:tc>
          <w:tcPr>
            <w:tcW w:w="818" w:type="dxa"/>
            <w:gridSpan w:val="2"/>
            <w:shd w:val="clear" w:color="000000" w:fill="FDE9D9"/>
            <w:hideMark/>
          </w:tcPr>
          <w:p w14:paraId="31B0D77F" w14:textId="643D7BE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183,286</w:t>
            </w:r>
          </w:p>
        </w:tc>
      </w:tr>
      <w:tr w:rsidR="004D73D3" w:rsidRPr="0048716F" w14:paraId="367BD854" w14:textId="77777777" w:rsidTr="00597AD8">
        <w:trPr>
          <w:trHeight w:val="564"/>
        </w:trPr>
        <w:tc>
          <w:tcPr>
            <w:tcW w:w="3885" w:type="dxa"/>
            <w:shd w:val="clear" w:color="000000" w:fill="DCE6F1"/>
            <w:hideMark/>
          </w:tcPr>
          <w:p w14:paraId="2AC40B6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1.1.   Rishikimi i kuadrit ligjor për të mundësuar akses të barabartë në drejtësi për personat me aftësi të kufizuara.</w:t>
            </w:r>
          </w:p>
        </w:tc>
        <w:tc>
          <w:tcPr>
            <w:tcW w:w="1080" w:type="dxa"/>
            <w:shd w:val="clear" w:color="000000" w:fill="DCE6F1"/>
            <w:hideMark/>
          </w:tcPr>
          <w:p w14:paraId="3DF5888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0F83089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30ED847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MD</w:t>
            </w:r>
          </w:p>
        </w:tc>
        <w:tc>
          <w:tcPr>
            <w:tcW w:w="1521" w:type="dxa"/>
            <w:gridSpan w:val="2"/>
            <w:shd w:val="clear" w:color="000000" w:fill="DCE6F1"/>
            <w:vAlign w:val="center"/>
            <w:hideMark/>
          </w:tcPr>
          <w:p w14:paraId="23007E0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DCE6F1"/>
            <w:hideMark/>
          </w:tcPr>
          <w:p w14:paraId="64EF0152" w14:textId="7DDA6A1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1,455</w:t>
            </w:r>
          </w:p>
        </w:tc>
        <w:tc>
          <w:tcPr>
            <w:tcW w:w="1110" w:type="dxa"/>
            <w:gridSpan w:val="3"/>
            <w:shd w:val="clear" w:color="000000" w:fill="DCE6F1"/>
            <w:hideMark/>
          </w:tcPr>
          <w:p w14:paraId="40128486" w14:textId="3097AD8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555</w:t>
            </w:r>
          </w:p>
        </w:tc>
        <w:tc>
          <w:tcPr>
            <w:tcW w:w="1110" w:type="dxa"/>
            <w:gridSpan w:val="2"/>
            <w:shd w:val="clear" w:color="000000" w:fill="DCE6F1"/>
            <w:hideMark/>
          </w:tcPr>
          <w:p w14:paraId="2172EB70" w14:textId="0B698B7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1,162</w:t>
            </w:r>
          </w:p>
        </w:tc>
        <w:tc>
          <w:tcPr>
            <w:tcW w:w="1110" w:type="dxa"/>
            <w:shd w:val="clear" w:color="000000" w:fill="DCE6F1"/>
            <w:hideMark/>
          </w:tcPr>
          <w:p w14:paraId="50BEEA99" w14:textId="0265664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982</w:t>
            </w:r>
          </w:p>
        </w:tc>
        <w:tc>
          <w:tcPr>
            <w:tcW w:w="818" w:type="dxa"/>
            <w:gridSpan w:val="2"/>
            <w:shd w:val="clear" w:color="000000" w:fill="DCE6F1"/>
            <w:hideMark/>
          </w:tcPr>
          <w:p w14:paraId="473AD14A" w14:textId="6D879D7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602</w:t>
            </w:r>
          </w:p>
        </w:tc>
      </w:tr>
      <w:tr w:rsidR="004D73D3" w:rsidRPr="0048716F" w14:paraId="76FD5D59" w14:textId="77777777" w:rsidTr="00597AD8">
        <w:trPr>
          <w:trHeight w:val="828"/>
        </w:trPr>
        <w:tc>
          <w:tcPr>
            <w:tcW w:w="3885" w:type="dxa"/>
            <w:hideMark/>
          </w:tcPr>
          <w:p w14:paraId="4826DD3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1.1.1. Hartimi i një analize ligjore të kodeve e ligjeve të Republikës së Shqipërisë, me fokus identifikimin e boshllëqeve dhe rekomandimeve për ndryshim të aksesit në drejtësi të personave me aftësi të kufizuara;</w:t>
            </w:r>
          </w:p>
        </w:tc>
        <w:tc>
          <w:tcPr>
            <w:tcW w:w="1080" w:type="dxa"/>
            <w:hideMark/>
          </w:tcPr>
          <w:p w14:paraId="1600700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9D5899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000D2F2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521" w:type="dxa"/>
            <w:gridSpan w:val="2"/>
            <w:vAlign w:val="center"/>
            <w:hideMark/>
          </w:tcPr>
          <w:p w14:paraId="14D7440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2158F432" w14:textId="697A771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1,455</w:t>
            </w:r>
          </w:p>
        </w:tc>
        <w:tc>
          <w:tcPr>
            <w:tcW w:w="1110" w:type="dxa"/>
            <w:gridSpan w:val="3"/>
            <w:hideMark/>
          </w:tcPr>
          <w:p w14:paraId="6C9CDFC5" w14:textId="755ABCB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555</w:t>
            </w:r>
          </w:p>
        </w:tc>
        <w:tc>
          <w:tcPr>
            <w:tcW w:w="1110" w:type="dxa"/>
            <w:gridSpan w:val="2"/>
            <w:hideMark/>
          </w:tcPr>
          <w:p w14:paraId="59418CC7" w14:textId="51DB8E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555</w:t>
            </w:r>
          </w:p>
        </w:tc>
        <w:tc>
          <w:tcPr>
            <w:tcW w:w="1110" w:type="dxa"/>
            <w:hideMark/>
          </w:tcPr>
          <w:p w14:paraId="42C28848" w14:textId="38F865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BF311C4" w14:textId="658BE44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3E9C0F0" w14:textId="77777777" w:rsidTr="00597AD8">
        <w:trPr>
          <w:trHeight w:val="1380"/>
        </w:trPr>
        <w:tc>
          <w:tcPr>
            <w:tcW w:w="3885" w:type="dxa"/>
            <w:hideMark/>
          </w:tcPr>
          <w:p w14:paraId="70F314AB" w14:textId="42C1457E"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1.1.2. Rishikimi i dispozitave ligjore të Kodit Civil, Kodit të Procedurës Civile dhe Kodit të Familjes për të garantuar të drejtën për akses efektiv në organet e sistemit të drejtësisë për personat me aftësi të kufizuara, duke përfshirë përshtatjen e arsyeshme procedurale , në përputhje me moshën dhe  llojin e aftësisë së kufizuar.</w:t>
            </w:r>
          </w:p>
        </w:tc>
        <w:tc>
          <w:tcPr>
            <w:tcW w:w="1080" w:type="dxa"/>
            <w:hideMark/>
          </w:tcPr>
          <w:p w14:paraId="386CCF3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260" w:type="dxa"/>
            <w:hideMark/>
          </w:tcPr>
          <w:p w14:paraId="41557A5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74453C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521" w:type="dxa"/>
            <w:gridSpan w:val="2"/>
            <w:vAlign w:val="center"/>
            <w:hideMark/>
          </w:tcPr>
          <w:p w14:paraId="634D99E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33172D9B" w14:textId="42313CC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B3D6D9A" w14:textId="6B77D8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EA25BB4" w14:textId="6112E7F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607</w:t>
            </w:r>
          </w:p>
        </w:tc>
        <w:tc>
          <w:tcPr>
            <w:tcW w:w="1110" w:type="dxa"/>
            <w:hideMark/>
          </w:tcPr>
          <w:p w14:paraId="55A4C90E" w14:textId="0C9DFA0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982</w:t>
            </w:r>
          </w:p>
        </w:tc>
        <w:tc>
          <w:tcPr>
            <w:tcW w:w="818" w:type="dxa"/>
            <w:gridSpan w:val="2"/>
            <w:hideMark/>
          </w:tcPr>
          <w:p w14:paraId="2DC1EE8F" w14:textId="086FA3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602</w:t>
            </w:r>
          </w:p>
        </w:tc>
      </w:tr>
      <w:tr w:rsidR="004D73D3" w:rsidRPr="0048716F" w14:paraId="6A417D4E" w14:textId="77777777" w:rsidTr="00597AD8">
        <w:trPr>
          <w:trHeight w:val="1932"/>
        </w:trPr>
        <w:tc>
          <w:tcPr>
            <w:tcW w:w="3885" w:type="dxa"/>
            <w:noWrap/>
            <w:hideMark/>
          </w:tcPr>
          <w:p w14:paraId="399B7AA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1.1.3.Rishikimi i dispozitave ligjore të Kodit Penal dhe Kodit të Procedurës Penale për të garantuar të drejtën për akses efektiv në organet e sistemit të drejtësisë penale për personat me aftësi të kufizuara, duke përfshirë akomodime të përshtatshme procedurale, në përputhje me moshën dhe aftësinë e kufizuar, me qëllim lehtësimin e rolit të tyre si pjesëmarrës direkt dhe indirekt, duke përfshirë edhe rolin e dëshmitarit në të gjitha procedurat ligjore, përfshirë fazat hetimore.</w:t>
            </w:r>
          </w:p>
        </w:tc>
        <w:tc>
          <w:tcPr>
            <w:tcW w:w="1080" w:type="dxa"/>
            <w:hideMark/>
          </w:tcPr>
          <w:p w14:paraId="1CBC11E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260" w:type="dxa"/>
            <w:hideMark/>
          </w:tcPr>
          <w:p w14:paraId="7606E90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227DC1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521" w:type="dxa"/>
            <w:gridSpan w:val="2"/>
            <w:vAlign w:val="center"/>
            <w:hideMark/>
          </w:tcPr>
          <w:p w14:paraId="4E33FB2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3B371755" w14:textId="650FF0B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B86F4A4" w14:textId="297D159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3640C7A" w14:textId="003177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03F5015" w14:textId="08F57AB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7EFEC1B" w14:textId="1BE405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78D9750" w14:textId="77777777" w:rsidTr="00597AD8">
        <w:trPr>
          <w:trHeight w:val="288"/>
        </w:trPr>
        <w:tc>
          <w:tcPr>
            <w:tcW w:w="3885" w:type="dxa"/>
            <w:noWrap/>
            <w:hideMark/>
          </w:tcPr>
          <w:p w14:paraId="6D711C1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1.1.4.Ratifikimi I protokollit opsional te UNCRPD</w:t>
            </w:r>
          </w:p>
        </w:tc>
        <w:tc>
          <w:tcPr>
            <w:tcW w:w="1080" w:type="dxa"/>
            <w:hideMark/>
          </w:tcPr>
          <w:p w14:paraId="274E987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hideMark/>
          </w:tcPr>
          <w:p w14:paraId="0D3BAA1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44F8987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0FFE910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340DC9E7" w14:textId="5E3F4C4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0076409" w14:textId="4356A1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6955AD4" w14:textId="22AF499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ACA3B47" w14:textId="507F28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B50D87A" w14:textId="6FF4FA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5BBEA05" w14:textId="77777777" w:rsidTr="00597AD8">
        <w:trPr>
          <w:trHeight w:val="552"/>
        </w:trPr>
        <w:tc>
          <w:tcPr>
            <w:tcW w:w="3885" w:type="dxa"/>
            <w:shd w:val="clear" w:color="000000" w:fill="B8CCE4"/>
            <w:noWrap/>
            <w:hideMark/>
          </w:tcPr>
          <w:p w14:paraId="6DF2AD7A" w14:textId="243CF813"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1.2. Ofrimi i shërbimeve të aksesueshme të ndihmës juridike falas për personat me aftësi të kufizuara</w:t>
            </w:r>
          </w:p>
        </w:tc>
        <w:tc>
          <w:tcPr>
            <w:tcW w:w="1080" w:type="dxa"/>
            <w:shd w:val="clear" w:color="000000" w:fill="B8CCE4"/>
            <w:hideMark/>
          </w:tcPr>
          <w:p w14:paraId="11F6243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2AD85EC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49B8910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DNJF/KLGJ/Gjykatat/DHKA/DHAAH</w:t>
            </w:r>
          </w:p>
        </w:tc>
        <w:tc>
          <w:tcPr>
            <w:tcW w:w="1521" w:type="dxa"/>
            <w:gridSpan w:val="2"/>
            <w:shd w:val="clear" w:color="000000" w:fill="B8CCE4"/>
            <w:vAlign w:val="center"/>
            <w:hideMark/>
          </w:tcPr>
          <w:p w14:paraId="48A04468"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MD/OSHC/Partnere vendas dhe të huaj/DNJF</w:t>
            </w:r>
          </w:p>
        </w:tc>
        <w:tc>
          <w:tcPr>
            <w:tcW w:w="1110" w:type="dxa"/>
            <w:gridSpan w:val="2"/>
            <w:shd w:val="clear" w:color="000000" w:fill="B8CCE4"/>
            <w:hideMark/>
          </w:tcPr>
          <w:p w14:paraId="476D3095" w14:textId="3DCAAB8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178,734</w:t>
            </w:r>
          </w:p>
        </w:tc>
        <w:tc>
          <w:tcPr>
            <w:tcW w:w="1110" w:type="dxa"/>
            <w:gridSpan w:val="3"/>
            <w:shd w:val="clear" w:color="000000" w:fill="B8CCE4"/>
            <w:hideMark/>
          </w:tcPr>
          <w:p w14:paraId="42EDA60F" w14:textId="36685E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178,734</w:t>
            </w:r>
          </w:p>
        </w:tc>
        <w:tc>
          <w:tcPr>
            <w:tcW w:w="1110" w:type="dxa"/>
            <w:gridSpan w:val="2"/>
            <w:shd w:val="clear" w:color="000000" w:fill="B8CCE4"/>
            <w:hideMark/>
          </w:tcPr>
          <w:p w14:paraId="320876CD" w14:textId="269D2A6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178,734</w:t>
            </w:r>
          </w:p>
        </w:tc>
        <w:tc>
          <w:tcPr>
            <w:tcW w:w="1110" w:type="dxa"/>
            <w:shd w:val="clear" w:color="000000" w:fill="B8CCE4"/>
            <w:hideMark/>
          </w:tcPr>
          <w:p w14:paraId="09C258CA" w14:textId="2B3828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178,734</w:t>
            </w:r>
          </w:p>
        </w:tc>
        <w:tc>
          <w:tcPr>
            <w:tcW w:w="818" w:type="dxa"/>
            <w:gridSpan w:val="2"/>
            <w:shd w:val="clear" w:color="000000" w:fill="B8CCE4"/>
            <w:hideMark/>
          </w:tcPr>
          <w:p w14:paraId="7FD4E757" w14:textId="2AB6F46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178,734</w:t>
            </w:r>
          </w:p>
        </w:tc>
      </w:tr>
      <w:tr w:rsidR="004D73D3" w:rsidRPr="0048716F" w14:paraId="44033D97" w14:textId="77777777" w:rsidTr="00597AD8">
        <w:trPr>
          <w:trHeight w:val="828"/>
        </w:trPr>
        <w:tc>
          <w:tcPr>
            <w:tcW w:w="3885" w:type="dxa"/>
            <w:hideMark/>
          </w:tcPr>
          <w:p w14:paraId="350D8D9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1.2.1. Vijimësia e ofrimit të ndihmës juridike efektive, të arritshme, të aksesueshme, përfshirë persona me aftësi të kufizuara në zonat rurale, ato në institucione, gratë e fëmijët.</w:t>
            </w:r>
          </w:p>
        </w:tc>
        <w:tc>
          <w:tcPr>
            <w:tcW w:w="1080" w:type="dxa"/>
            <w:hideMark/>
          </w:tcPr>
          <w:p w14:paraId="63FCE60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811085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40799FC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DNJF</w:t>
            </w:r>
          </w:p>
        </w:tc>
        <w:tc>
          <w:tcPr>
            <w:tcW w:w="1521" w:type="dxa"/>
            <w:gridSpan w:val="2"/>
            <w:vAlign w:val="center"/>
            <w:hideMark/>
          </w:tcPr>
          <w:p w14:paraId="14F2D17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425B4D20" w14:textId="4B2B7A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3AA9E9D" w14:textId="0A8AE8F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393CCA6" w14:textId="378136E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81EA716" w14:textId="5EFB57F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AFCEC55" w14:textId="6E7DCC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0E09CA1" w14:textId="77777777" w:rsidTr="00597AD8">
        <w:trPr>
          <w:trHeight w:val="828"/>
        </w:trPr>
        <w:tc>
          <w:tcPr>
            <w:tcW w:w="3885" w:type="dxa"/>
            <w:hideMark/>
          </w:tcPr>
          <w:p w14:paraId="4B5E92F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1.2.2. Realizimi i sesioneve informuese në të gjitha bashkitë në nivel vendor me qëllim njohjen e barabartë para ligjit dhe aksesit në shërbimet e ndihmës juridike falas.</w:t>
            </w:r>
          </w:p>
        </w:tc>
        <w:tc>
          <w:tcPr>
            <w:tcW w:w="1080" w:type="dxa"/>
            <w:hideMark/>
          </w:tcPr>
          <w:p w14:paraId="0639B22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6E75400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2325A0D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DNJF</w:t>
            </w:r>
          </w:p>
        </w:tc>
        <w:tc>
          <w:tcPr>
            <w:tcW w:w="1521" w:type="dxa"/>
            <w:gridSpan w:val="2"/>
            <w:vAlign w:val="center"/>
            <w:hideMark/>
          </w:tcPr>
          <w:p w14:paraId="7598F5CE"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MD</w:t>
            </w:r>
          </w:p>
        </w:tc>
        <w:tc>
          <w:tcPr>
            <w:tcW w:w="1110" w:type="dxa"/>
            <w:gridSpan w:val="2"/>
            <w:hideMark/>
          </w:tcPr>
          <w:p w14:paraId="081AD088" w14:textId="2E35E418" w:rsidR="004D73D3" w:rsidRPr="00BE3AD4" w:rsidRDefault="004D73D3" w:rsidP="0048716F">
            <w:pPr>
              <w:jc w:val="both"/>
              <w:rPr>
                <w:rFonts w:eastAsia="Times New Roman"/>
                <w:color w:val="000000"/>
                <w:sz w:val="14"/>
                <w:szCs w:val="14"/>
                <w:lang w:val="en-US" w:eastAsia="en-US"/>
              </w:rPr>
            </w:pPr>
            <w:r w:rsidRPr="00BE3AD4">
              <w:rPr>
                <w:rFonts w:eastAsia="Times New Roman"/>
                <w:color w:val="000000"/>
                <w:sz w:val="14"/>
                <w:szCs w:val="14"/>
                <w:lang w:val="en-US" w:eastAsia="en-US"/>
              </w:rPr>
              <w:t>634</w:t>
            </w:r>
          </w:p>
        </w:tc>
        <w:tc>
          <w:tcPr>
            <w:tcW w:w="1110" w:type="dxa"/>
            <w:gridSpan w:val="3"/>
            <w:hideMark/>
          </w:tcPr>
          <w:p w14:paraId="07BEAC14" w14:textId="0E32F3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634</w:t>
            </w:r>
          </w:p>
        </w:tc>
        <w:tc>
          <w:tcPr>
            <w:tcW w:w="1110" w:type="dxa"/>
            <w:gridSpan w:val="2"/>
            <w:hideMark/>
          </w:tcPr>
          <w:p w14:paraId="38DC375C" w14:textId="35122BE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634</w:t>
            </w:r>
          </w:p>
        </w:tc>
        <w:tc>
          <w:tcPr>
            <w:tcW w:w="1110" w:type="dxa"/>
            <w:hideMark/>
          </w:tcPr>
          <w:p w14:paraId="734491D2" w14:textId="0BA5515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634</w:t>
            </w:r>
          </w:p>
        </w:tc>
        <w:tc>
          <w:tcPr>
            <w:tcW w:w="818" w:type="dxa"/>
            <w:gridSpan w:val="2"/>
            <w:hideMark/>
          </w:tcPr>
          <w:p w14:paraId="289B177B" w14:textId="4FD5B9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634</w:t>
            </w:r>
          </w:p>
        </w:tc>
      </w:tr>
      <w:tr w:rsidR="004D73D3" w:rsidRPr="0048716F" w14:paraId="5968CE9A" w14:textId="77777777" w:rsidTr="00597AD8">
        <w:trPr>
          <w:trHeight w:val="1104"/>
        </w:trPr>
        <w:tc>
          <w:tcPr>
            <w:tcW w:w="3885" w:type="dxa"/>
            <w:hideMark/>
          </w:tcPr>
          <w:p w14:paraId="23E5A940" w14:textId="553518D9"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1.2.3. Përgatitja, shpëndarja dhe publikimi i manualeve, e fletëpalosjeve, udhëzuesve praktikë në një gjuhë të thjeshtë dhe të kuptueshme për ofrimin e ndihmës juridike, “si të ankimoj”, “si të marr ndihmë juridike” dhe realizimi i videove përkatës.</w:t>
            </w:r>
          </w:p>
        </w:tc>
        <w:tc>
          <w:tcPr>
            <w:tcW w:w="1080" w:type="dxa"/>
            <w:hideMark/>
          </w:tcPr>
          <w:p w14:paraId="3C9AD1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1A564A9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7B7753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DNJF</w:t>
            </w:r>
          </w:p>
        </w:tc>
        <w:tc>
          <w:tcPr>
            <w:tcW w:w="1521" w:type="dxa"/>
            <w:gridSpan w:val="2"/>
            <w:vAlign w:val="center"/>
            <w:hideMark/>
          </w:tcPr>
          <w:p w14:paraId="2BBDB4AB"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MD/OSHC/Partnere vendas dhe të huaj</w:t>
            </w:r>
          </w:p>
        </w:tc>
        <w:tc>
          <w:tcPr>
            <w:tcW w:w="1110" w:type="dxa"/>
            <w:gridSpan w:val="2"/>
            <w:hideMark/>
          </w:tcPr>
          <w:p w14:paraId="27C8D220" w14:textId="3A115E3B" w:rsidR="004D73D3" w:rsidRPr="00BE3AD4" w:rsidRDefault="004D73D3" w:rsidP="0048716F">
            <w:pPr>
              <w:jc w:val="both"/>
              <w:rPr>
                <w:rFonts w:eastAsia="Times New Roman"/>
                <w:color w:val="000000"/>
                <w:sz w:val="14"/>
                <w:szCs w:val="14"/>
                <w:lang w:val="en-US" w:eastAsia="en-US"/>
              </w:rPr>
            </w:pPr>
            <w:r w:rsidRPr="00BE3AD4">
              <w:rPr>
                <w:rFonts w:eastAsia="Times New Roman"/>
                <w:color w:val="000000"/>
                <w:sz w:val="14"/>
                <w:szCs w:val="14"/>
                <w:lang w:val="en-US" w:eastAsia="en-US"/>
              </w:rPr>
              <w:t>1,000</w:t>
            </w:r>
          </w:p>
        </w:tc>
        <w:tc>
          <w:tcPr>
            <w:tcW w:w="1110" w:type="dxa"/>
            <w:gridSpan w:val="3"/>
            <w:hideMark/>
          </w:tcPr>
          <w:p w14:paraId="5E31CC79" w14:textId="36F3E25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377E164C" w14:textId="1FACEC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7B2A415D" w14:textId="383E57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1F1A923C" w14:textId="0F54F7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59F0117E" w14:textId="77777777" w:rsidTr="00597AD8">
        <w:trPr>
          <w:trHeight w:val="1104"/>
        </w:trPr>
        <w:tc>
          <w:tcPr>
            <w:tcW w:w="3885" w:type="dxa"/>
            <w:hideMark/>
          </w:tcPr>
          <w:p w14:paraId="24CADCB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1.2.4. Ofrimi i informacionit ligjor në Linjën e Gjelbër 0800 1010 dhe i shërbimeve mbështetëse në platformën “Juristi Online” edhe përmes aksesit online në formularin e ndihmës juridike falas, në një gjuhë të kuptueshme dhe të aksesueshme për personat me aftësi të kufizuara.</w:t>
            </w:r>
          </w:p>
        </w:tc>
        <w:tc>
          <w:tcPr>
            <w:tcW w:w="1080" w:type="dxa"/>
            <w:hideMark/>
          </w:tcPr>
          <w:p w14:paraId="1582FCA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5D22684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C076A0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DNJF</w:t>
            </w:r>
          </w:p>
        </w:tc>
        <w:tc>
          <w:tcPr>
            <w:tcW w:w="1521" w:type="dxa"/>
            <w:gridSpan w:val="2"/>
            <w:vAlign w:val="center"/>
            <w:hideMark/>
          </w:tcPr>
          <w:p w14:paraId="137C2AAD"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MD/OSHC/Partnere vendas dhe të huaj</w:t>
            </w:r>
          </w:p>
        </w:tc>
        <w:tc>
          <w:tcPr>
            <w:tcW w:w="1110" w:type="dxa"/>
            <w:gridSpan w:val="2"/>
            <w:hideMark/>
          </w:tcPr>
          <w:p w14:paraId="1D7DD9EF" w14:textId="7656EE61" w:rsidR="004D73D3" w:rsidRPr="00BE3AD4" w:rsidRDefault="004D73D3" w:rsidP="0048716F">
            <w:pPr>
              <w:jc w:val="both"/>
              <w:rPr>
                <w:rFonts w:eastAsia="Times New Roman"/>
                <w:color w:val="000000"/>
                <w:sz w:val="14"/>
                <w:szCs w:val="14"/>
                <w:lang w:val="en-US" w:eastAsia="en-US"/>
              </w:rPr>
            </w:pPr>
            <w:r w:rsidRPr="00BE3AD4">
              <w:rPr>
                <w:rFonts w:eastAsia="Times New Roman"/>
                <w:color w:val="000000"/>
                <w:sz w:val="14"/>
                <w:szCs w:val="14"/>
                <w:lang w:val="en-US" w:eastAsia="en-US"/>
              </w:rPr>
              <w:t>500</w:t>
            </w:r>
          </w:p>
        </w:tc>
        <w:tc>
          <w:tcPr>
            <w:tcW w:w="1110" w:type="dxa"/>
            <w:gridSpan w:val="3"/>
            <w:hideMark/>
          </w:tcPr>
          <w:p w14:paraId="001E6A50" w14:textId="3071D1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29E1334A" w14:textId="2AB410B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hideMark/>
          </w:tcPr>
          <w:p w14:paraId="3F796883" w14:textId="036C0F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818" w:type="dxa"/>
            <w:gridSpan w:val="2"/>
            <w:hideMark/>
          </w:tcPr>
          <w:p w14:paraId="2FAB4E85" w14:textId="5DEC49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r>
      <w:tr w:rsidR="004D73D3" w:rsidRPr="0048716F" w14:paraId="6914B883" w14:textId="77777777" w:rsidTr="00597AD8">
        <w:trPr>
          <w:trHeight w:val="828"/>
        </w:trPr>
        <w:tc>
          <w:tcPr>
            <w:tcW w:w="3885" w:type="dxa"/>
            <w:hideMark/>
          </w:tcPr>
          <w:p w14:paraId="69DBEC0F" w14:textId="4CCF182A"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1.2.5. Ofrimi i ndihmës ligjore për persona me aftësi të kufizuara nga ekipe lëvizëse në terren për ofrimin e ndihmës juridike falas, në bashkëpunim me organizata të licencuara nga MD</w:t>
            </w:r>
          </w:p>
        </w:tc>
        <w:tc>
          <w:tcPr>
            <w:tcW w:w="1080" w:type="dxa"/>
            <w:hideMark/>
          </w:tcPr>
          <w:p w14:paraId="34FBDAC2"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hideMark/>
          </w:tcPr>
          <w:p w14:paraId="3D04201D"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2030</w:t>
            </w:r>
          </w:p>
        </w:tc>
        <w:tc>
          <w:tcPr>
            <w:tcW w:w="1411" w:type="dxa"/>
            <w:vAlign w:val="center"/>
            <w:hideMark/>
          </w:tcPr>
          <w:p w14:paraId="6250D7FE"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DNJF</w:t>
            </w:r>
          </w:p>
        </w:tc>
        <w:tc>
          <w:tcPr>
            <w:tcW w:w="1521" w:type="dxa"/>
            <w:gridSpan w:val="2"/>
            <w:vAlign w:val="center"/>
            <w:hideMark/>
          </w:tcPr>
          <w:p w14:paraId="527B14D9"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MD/OSHC/Partnere vendas dhe të huaj</w:t>
            </w:r>
          </w:p>
        </w:tc>
        <w:tc>
          <w:tcPr>
            <w:tcW w:w="1110" w:type="dxa"/>
            <w:gridSpan w:val="2"/>
            <w:hideMark/>
          </w:tcPr>
          <w:p w14:paraId="56DBA00C" w14:textId="66CE977B" w:rsidR="004D73D3" w:rsidRPr="00BE3AD4" w:rsidRDefault="004D73D3" w:rsidP="0048716F">
            <w:pPr>
              <w:jc w:val="both"/>
              <w:rPr>
                <w:rFonts w:eastAsia="Times New Roman"/>
                <w:color w:val="000000"/>
                <w:sz w:val="14"/>
                <w:szCs w:val="14"/>
                <w:lang w:val="en-US" w:eastAsia="en-US"/>
              </w:rPr>
            </w:pPr>
            <w:r w:rsidRPr="00BE3AD4">
              <w:rPr>
                <w:rFonts w:eastAsia="Times New Roman"/>
                <w:color w:val="000000"/>
                <w:sz w:val="14"/>
                <w:szCs w:val="14"/>
                <w:lang w:val="en-US" w:eastAsia="en-US"/>
              </w:rPr>
              <w:t>-</w:t>
            </w:r>
          </w:p>
        </w:tc>
        <w:tc>
          <w:tcPr>
            <w:tcW w:w="1110" w:type="dxa"/>
            <w:gridSpan w:val="3"/>
            <w:hideMark/>
          </w:tcPr>
          <w:p w14:paraId="4297D6AF" w14:textId="03DD1A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613C7BF" w14:textId="3AE6435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FE2D1DD" w14:textId="1E2D081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B99DF34" w14:textId="3390CBD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C68299A" w14:textId="77777777" w:rsidTr="00597AD8">
        <w:trPr>
          <w:trHeight w:val="552"/>
        </w:trPr>
        <w:tc>
          <w:tcPr>
            <w:tcW w:w="3885" w:type="dxa"/>
            <w:hideMark/>
          </w:tcPr>
          <w:p w14:paraId="5AF765A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1.2.6. Trajnimi i punonjësve të qendrave të NJF-së, studentëve të klinikave të ligjit dhe OJF-ve lidhur me të drejtat e personave me aftësi të kufizuara.</w:t>
            </w:r>
          </w:p>
        </w:tc>
        <w:tc>
          <w:tcPr>
            <w:tcW w:w="1080" w:type="dxa"/>
            <w:vAlign w:val="center"/>
            <w:hideMark/>
          </w:tcPr>
          <w:p w14:paraId="6002F534"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vAlign w:val="center"/>
            <w:hideMark/>
          </w:tcPr>
          <w:p w14:paraId="6C85C7AB"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2028</w:t>
            </w:r>
          </w:p>
        </w:tc>
        <w:tc>
          <w:tcPr>
            <w:tcW w:w="1411" w:type="dxa"/>
            <w:vAlign w:val="center"/>
            <w:hideMark/>
          </w:tcPr>
          <w:p w14:paraId="6349EE05"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DNJF</w:t>
            </w:r>
          </w:p>
        </w:tc>
        <w:tc>
          <w:tcPr>
            <w:tcW w:w="1521" w:type="dxa"/>
            <w:gridSpan w:val="2"/>
            <w:vAlign w:val="center"/>
            <w:hideMark/>
          </w:tcPr>
          <w:p w14:paraId="263D1C3F"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MD/OSHC/Partnere vendas dhe të huaj</w:t>
            </w:r>
          </w:p>
        </w:tc>
        <w:tc>
          <w:tcPr>
            <w:tcW w:w="1110" w:type="dxa"/>
            <w:gridSpan w:val="2"/>
            <w:hideMark/>
          </w:tcPr>
          <w:p w14:paraId="11715BFB" w14:textId="2A05800B" w:rsidR="004D73D3" w:rsidRPr="00BE3AD4" w:rsidRDefault="004D73D3" w:rsidP="0048716F">
            <w:pPr>
              <w:jc w:val="both"/>
              <w:rPr>
                <w:rFonts w:eastAsia="Times New Roman"/>
                <w:color w:val="000000"/>
                <w:sz w:val="14"/>
                <w:szCs w:val="14"/>
                <w:lang w:val="en-US" w:eastAsia="en-US"/>
              </w:rPr>
            </w:pPr>
            <w:r w:rsidRPr="00BE3AD4">
              <w:rPr>
                <w:rFonts w:eastAsia="Times New Roman"/>
                <w:color w:val="000000"/>
                <w:sz w:val="14"/>
                <w:szCs w:val="14"/>
                <w:lang w:val="en-US" w:eastAsia="en-US"/>
              </w:rPr>
              <w:t>-</w:t>
            </w:r>
          </w:p>
        </w:tc>
        <w:tc>
          <w:tcPr>
            <w:tcW w:w="1110" w:type="dxa"/>
            <w:gridSpan w:val="3"/>
            <w:hideMark/>
          </w:tcPr>
          <w:p w14:paraId="44E25D69" w14:textId="1FDB176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B266BF2" w14:textId="39B9AD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C0804D8" w14:textId="2C41E8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AAEBBD1" w14:textId="2DD4321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98E2C55" w14:textId="77777777" w:rsidTr="00597AD8">
        <w:trPr>
          <w:trHeight w:val="552"/>
        </w:trPr>
        <w:tc>
          <w:tcPr>
            <w:tcW w:w="3885" w:type="dxa"/>
            <w:hideMark/>
          </w:tcPr>
          <w:p w14:paraId="5310C945" w14:textId="409304B5"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1.2.7. Ofrimi i ndihmës juridike dytësore për personat me aftësi të kufizuara, në procesin civil, administrative penal  dhe qasje sa më efektive në drejtësi.</w:t>
            </w:r>
          </w:p>
        </w:tc>
        <w:tc>
          <w:tcPr>
            <w:tcW w:w="1080" w:type="dxa"/>
            <w:hideMark/>
          </w:tcPr>
          <w:p w14:paraId="46062B1E"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hideMark/>
          </w:tcPr>
          <w:p w14:paraId="75B0E993"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2030</w:t>
            </w:r>
          </w:p>
        </w:tc>
        <w:tc>
          <w:tcPr>
            <w:tcW w:w="1411" w:type="dxa"/>
            <w:vAlign w:val="center"/>
            <w:hideMark/>
          </w:tcPr>
          <w:p w14:paraId="1EFD97C7"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DNJF/KLGJ/Gjykatat</w:t>
            </w:r>
          </w:p>
        </w:tc>
        <w:tc>
          <w:tcPr>
            <w:tcW w:w="1521" w:type="dxa"/>
            <w:gridSpan w:val="2"/>
            <w:vAlign w:val="center"/>
            <w:hideMark/>
          </w:tcPr>
          <w:p w14:paraId="01B46C03"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MD</w:t>
            </w:r>
          </w:p>
        </w:tc>
        <w:tc>
          <w:tcPr>
            <w:tcW w:w="1110" w:type="dxa"/>
            <w:gridSpan w:val="2"/>
            <w:hideMark/>
          </w:tcPr>
          <w:p w14:paraId="01A063D8" w14:textId="228B002D" w:rsidR="004D73D3" w:rsidRPr="00BE3AD4" w:rsidRDefault="004D73D3" w:rsidP="0048716F">
            <w:pPr>
              <w:jc w:val="both"/>
              <w:rPr>
                <w:rFonts w:eastAsia="Times New Roman"/>
                <w:color w:val="000000"/>
                <w:sz w:val="14"/>
                <w:szCs w:val="14"/>
                <w:lang w:val="en-US" w:eastAsia="en-US"/>
              </w:rPr>
            </w:pPr>
            <w:r w:rsidRPr="00BE3AD4">
              <w:rPr>
                <w:rFonts w:eastAsia="Times New Roman"/>
                <w:color w:val="000000"/>
                <w:sz w:val="14"/>
                <w:szCs w:val="14"/>
                <w:lang w:val="en-US" w:eastAsia="en-US"/>
              </w:rPr>
              <w:t>5,800</w:t>
            </w:r>
          </w:p>
        </w:tc>
        <w:tc>
          <w:tcPr>
            <w:tcW w:w="1110" w:type="dxa"/>
            <w:gridSpan w:val="3"/>
            <w:hideMark/>
          </w:tcPr>
          <w:p w14:paraId="01230428" w14:textId="13B50B5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5,800</w:t>
            </w:r>
          </w:p>
        </w:tc>
        <w:tc>
          <w:tcPr>
            <w:tcW w:w="1110" w:type="dxa"/>
            <w:gridSpan w:val="2"/>
            <w:hideMark/>
          </w:tcPr>
          <w:p w14:paraId="37631CDC" w14:textId="2E4ED8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5,800</w:t>
            </w:r>
          </w:p>
        </w:tc>
        <w:tc>
          <w:tcPr>
            <w:tcW w:w="1110" w:type="dxa"/>
            <w:hideMark/>
          </w:tcPr>
          <w:p w14:paraId="705702AF" w14:textId="45769D5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5,800</w:t>
            </w:r>
          </w:p>
        </w:tc>
        <w:tc>
          <w:tcPr>
            <w:tcW w:w="818" w:type="dxa"/>
            <w:gridSpan w:val="2"/>
            <w:hideMark/>
          </w:tcPr>
          <w:p w14:paraId="550EF307" w14:textId="0A1685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5,800</w:t>
            </w:r>
          </w:p>
        </w:tc>
      </w:tr>
      <w:tr w:rsidR="004D73D3" w:rsidRPr="0048716F" w14:paraId="7477DC5A" w14:textId="77777777" w:rsidTr="00597AD8">
        <w:trPr>
          <w:trHeight w:val="552"/>
        </w:trPr>
        <w:tc>
          <w:tcPr>
            <w:tcW w:w="3885" w:type="dxa"/>
            <w:hideMark/>
          </w:tcPr>
          <w:p w14:paraId="1E479C1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1.2.8. Përfaqësimi dhe mbrotja personave me aftësi të kufizuara në procesin administrativ, civil dhe penal</w:t>
            </w:r>
          </w:p>
        </w:tc>
        <w:tc>
          <w:tcPr>
            <w:tcW w:w="1080" w:type="dxa"/>
            <w:hideMark/>
          </w:tcPr>
          <w:p w14:paraId="3C3BBE5A"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hideMark/>
          </w:tcPr>
          <w:p w14:paraId="5B024BAD"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2030</w:t>
            </w:r>
          </w:p>
        </w:tc>
        <w:tc>
          <w:tcPr>
            <w:tcW w:w="1411" w:type="dxa"/>
            <w:vAlign w:val="center"/>
            <w:hideMark/>
          </w:tcPr>
          <w:p w14:paraId="021E028B"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DHASH</w:t>
            </w:r>
          </w:p>
        </w:tc>
        <w:tc>
          <w:tcPr>
            <w:tcW w:w="1521" w:type="dxa"/>
            <w:gridSpan w:val="2"/>
            <w:vAlign w:val="center"/>
            <w:hideMark/>
          </w:tcPr>
          <w:p w14:paraId="5454480A"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DNJF/MD</w:t>
            </w:r>
          </w:p>
        </w:tc>
        <w:tc>
          <w:tcPr>
            <w:tcW w:w="1110" w:type="dxa"/>
            <w:gridSpan w:val="2"/>
            <w:hideMark/>
          </w:tcPr>
          <w:p w14:paraId="405C94A8" w14:textId="43E116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170,800</w:t>
            </w:r>
          </w:p>
        </w:tc>
        <w:tc>
          <w:tcPr>
            <w:tcW w:w="1110" w:type="dxa"/>
            <w:gridSpan w:val="3"/>
            <w:hideMark/>
          </w:tcPr>
          <w:p w14:paraId="3ABFC686" w14:textId="7F4AF7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170,800</w:t>
            </w:r>
          </w:p>
        </w:tc>
        <w:tc>
          <w:tcPr>
            <w:tcW w:w="1110" w:type="dxa"/>
            <w:gridSpan w:val="2"/>
            <w:hideMark/>
          </w:tcPr>
          <w:p w14:paraId="6A2FE62F" w14:textId="46CBE1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170,800</w:t>
            </w:r>
          </w:p>
        </w:tc>
        <w:tc>
          <w:tcPr>
            <w:tcW w:w="1110" w:type="dxa"/>
            <w:hideMark/>
          </w:tcPr>
          <w:p w14:paraId="4A9E7B4E" w14:textId="725973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170,800</w:t>
            </w:r>
          </w:p>
        </w:tc>
        <w:tc>
          <w:tcPr>
            <w:tcW w:w="818" w:type="dxa"/>
            <w:gridSpan w:val="2"/>
            <w:hideMark/>
          </w:tcPr>
          <w:p w14:paraId="3CED3E32" w14:textId="18A9C6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170,800</w:t>
            </w:r>
          </w:p>
        </w:tc>
      </w:tr>
      <w:tr w:rsidR="004D73D3" w:rsidRPr="0048716F" w14:paraId="50C19D8D" w14:textId="77777777" w:rsidTr="00597AD8">
        <w:trPr>
          <w:trHeight w:val="828"/>
        </w:trPr>
        <w:tc>
          <w:tcPr>
            <w:tcW w:w="3885" w:type="dxa"/>
            <w:hideMark/>
          </w:tcPr>
          <w:p w14:paraId="354D60E2" w14:textId="44251500"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1.2.9. Hartimi dhe përditësimi i listës së avokatëve që ofrojnë ndihmë juridike dytësore për personat me aftësi të kufizuara me fokus të shtuar tek fëmijët dhe gratë me aftësi të kufizuara</w:t>
            </w:r>
          </w:p>
        </w:tc>
        <w:tc>
          <w:tcPr>
            <w:tcW w:w="1080" w:type="dxa"/>
            <w:vAlign w:val="center"/>
            <w:hideMark/>
          </w:tcPr>
          <w:p w14:paraId="748A7F10"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vAlign w:val="center"/>
            <w:hideMark/>
          </w:tcPr>
          <w:p w14:paraId="0039752A"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2030</w:t>
            </w:r>
          </w:p>
        </w:tc>
        <w:tc>
          <w:tcPr>
            <w:tcW w:w="1411" w:type="dxa"/>
            <w:vAlign w:val="center"/>
            <w:hideMark/>
          </w:tcPr>
          <w:p w14:paraId="37507266"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DHAAH/DNJF</w:t>
            </w:r>
          </w:p>
        </w:tc>
        <w:tc>
          <w:tcPr>
            <w:tcW w:w="1521" w:type="dxa"/>
            <w:gridSpan w:val="2"/>
            <w:vAlign w:val="center"/>
            <w:hideMark/>
          </w:tcPr>
          <w:p w14:paraId="244177FE"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MD</w:t>
            </w:r>
          </w:p>
        </w:tc>
        <w:tc>
          <w:tcPr>
            <w:tcW w:w="1110" w:type="dxa"/>
            <w:gridSpan w:val="2"/>
            <w:hideMark/>
          </w:tcPr>
          <w:p w14:paraId="7EA51154" w14:textId="63A3BC2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D96BD5A" w14:textId="2BA6A9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AEAE682" w14:textId="57D9C9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099E7A2" w14:textId="7492934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B582CF6" w14:textId="53CA92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E5BF93F" w14:textId="77777777" w:rsidTr="00597AD8">
        <w:trPr>
          <w:trHeight w:val="552"/>
        </w:trPr>
        <w:tc>
          <w:tcPr>
            <w:tcW w:w="3885" w:type="dxa"/>
            <w:hideMark/>
          </w:tcPr>
          <w:p w14:paraId="2EC60F4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1.2.10. Organizimi i sesioneve informuese për personat me aftësi të kufizuara dhe familjarët e tyre mbi të drejtën për të marrë shërbime ligjore falas.</w:t>
            </w:r>
          </w:p>
        </w:tc>
        <w:tc>
          <w:tcPr>
            <w:tcW w:w="1080" w:type="dxa"/>
            <w:hideMark/>
          </w:tcPr>
          <w:p w14:paraId="7F45D815"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hideMark/>
          </w:tcPr>
          <w:p w14:paraId="357F9909"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2030</w:t>
            </w:r>
          </w:p>
        </w:tc>
        <w:tc>
          <w:tcPr>
            <w:tcW w:w="1411" w:type="dxa"/>
            <w:vAlign w:val="center"/>
            <w:hideMark/>
          </w:tcPr>
          <w:p w14:paraId="7B1ECE66"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DNJF</w:t>
            </w:r>
          </w:p>
        </w:tc>
        <w:tc>
          <w:tcPr>
            <w:tcW w:w="1521" w:type="dxa"/>
            <w:gridSpan w:val="2"/>
            <w:vAlign w:val="center"/>
            <w:hideMark/>
          </w:tcPr>
          <w:p w14:paraId="67E120FA"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MD</w:t>
            </w:r>
          </w:p>
        </w:tc>
        <w:tc>
          <w:tcPr>
            <w:tcW w:w="1110" w:type="dxa"/>
            <w:gridSpan w:val="2"/>
            <w:hideMark/>
          </w:tcPr>
          <w:p w14:paraId="42BB15AD" w14:textId="6F71657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E3B552F" w14:textId="21EBB86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53F9C8D" w14:textId="22DAB70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465BB11" w14:textId="49D0F3B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DC65FF4" w14:textId="149B11A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45AF8D8" w14:textId="77777777" w:rsidTr="00597AD8">
        <w:trPr>
          <w:trHeight w:val="1104"/>
        </w:trPr>
        <w:tc>
          <w:tcPr>
            <w:tcW w:w="3885" w:type="dxa"/>
            <w:shd w:val="clear" w:color="000000" w:fill="DCE6F1"/>
            <w:hideMark/>
          </w:tcPr>
          <w:p w14:paraId="4975A50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1.3. Ndërgjegjësimi i profesionistëve të sisitemit të drejtësisë mbi të drejtën për të patur akses në drejtësi të personave me aftësi të kufizuara, bazuar në praktikat dhe standartet më të mira ndërkombëtare.</w:t>
            </w:r>
          </w:p>
        </w:tc>
        <w:tc>
          <w:tcPr>
            <w:tcW w:w="1080" w:type="dxa"/>
            <w:shd w:val="clear" w:color="000000" w:fill="DCE6F1"/>
            <w:hideMark/>
          </w:tcPr>
          <w:p w14:paraId="4149C24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45AF26D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411" w:type="dxa"/>
            <w:shd w:val="clear" w:color="000000" w:fill="DCE6F1"/>
            <w:vAlign w:val="center"/>
            <w:hideMark/>
          </w:tcPr>
          <w:p w14:paraId="6B71C20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SHM/DHASH/DHKN</w:t>
            </w:r>
          </w:p>
        </w:tc>
        <w:tc>
          <w:tcPr>
            <w:tcW w:w="1521" w:type="dxa"/>
            <w:gridSpan w:val="2"/>
            <w:shd w:val="clear" w:color="000000" w:fill="DCE6F1"/>
            <w:vAlign w:val="center"/>
            <w:hideMark/>
          </w:tcPr>
          <w:p w14:paraId="062E2C31"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MD</w:t>
            </w:r>
          </w:p>
        </w:tc>
        <w:tc>
          <w:tcPr>
            <w:tcW w:w="1110" w:type="dxa"/>
            <w:gridSpan w:val="2"/>
            <w:shd w:val="clear" w:color="000000" w:fill="DCE6F1"/>
            <w:hideMark/>
          </w:tcPr>
          <w:p w14:paraId="34620195" w14:textId="7FE6084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2,467</w:t>
            </w:r>
          </w:p>
        </w:tc>
        <w:tc>
          <w:tcPr>
            <w:tcW w:w="1110" w:type="dxa"/>
            <w:gridSpan w:val="3"/>
            <w:shd w:val="clear" w:color="000000" w:fill="DCE6F1"/>
            <w:hideMark/>
          </w:tcPr>
          <w:p w14:paraId="2EE38A4C" w14:textId="51E9587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1,467</w:t>
            </w:r>
          </w:p>
        </w:tc>
        <w:tc>
          <w:tcPr>
            <w:tcW w:w="1110" w:type="dxa"/>
            <w:gridSpan w:val="2"/>
            <w:shd w:val="clear" w:color="000000" w:fill="DCE6F1"/>
            <w:hideMark/>
          </w:tcPr>
          <w:p w14:paraId="6A3D3EED" w14:textId="487E7D1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1,467</w:t>
            </w:r>
          </w:p>
        </w:tc>
        <w:tc>
          <w:tcPr>
            <w:tcW w:w="1110" w:type="dxa"/>
            <w:shd w:val="clear" w:color="000000" w:fill="DCE6F1"/>
            <w:hideMark/>
          </w:tcPr>
          <w:p w14:paraId="4AA40894" w14:textId="6A995F9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3,950</w:t>
            </w:r>
          </w:p>
        </w:tc>
        <w:tc>
          <w:tcPr>
            <w:tcW w:w="818" w:type="dxa"/>
            <w:gridSpan w:val="2"/>
            <w:shd w:val="clear" w:color="000000" w:fill="DCE6F1"/>
            <w:hideMark/>
          </w:tcPr>
          <w:p w14:paraId="11E9E09F" w14:textId="79CF1E7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3,950</w:t>
            </w:r>
          </w:p>
        </w:tc>
      </w:tr>
      <w:tr w:rsidR="004D73D3" w:rsidRPr="0048716F" w14:paraId="1A6EABEE" w14:textId="77777777" w:rsidTr="00597AD8">
        <w:trPr>
          <w:trHeight w:val="1380"/>
        </w:trPr>
        <w:tc>
          <w:tcPr>
            <w:tcW w:w="3885" w:type="dxa"/>
            <w:hideMark/>
          </w:tcPr>
          <w:p w14:paraId="4109627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1.3.1.Rritja e ndërgjegjësimit te profesionistët e sistemit të drejtësisë (gjyqtarë, prokurorë, avokatë/noterë), përmes konferencave, aktiviteteve, seancave trajnuese lidhur me të drejtën e njohjes të barabartë para ligjit dhe të drejtën për akses efektiv në organet e drejtësisë të të gjithë personave me aftësi të kufizuara.</w:t>
            </w:r>
          </w:p>
        </w:tc>
        <w:tc>
          <w:tcPr>
            <w:tcW w:w="1080" w:type="dxa"/>
            <w:hideMark/>
          </w:tcPr>
          <w:p w14:paraId="2012591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AF0077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655A563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SHM/DHASH/DHKN</w:t>
            </w:r>
          </w:p>
        </w:tc>
        <w:tc>
          <w:tcPr>
            <w:tcW w:w="1521" w:type="dxa"/>
            <w:gridSpan w:val="2"/>
            <w:vAlign w:val="center"/>
            <w:hideMark/>
          </w:tcPr>
          <w:p w14:paraId="55AA3F7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7F52917F" w14:textId="6CC3A1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1,467</w:t>
            </w:r>
          </w:p>
        </w:tc>
        <w:tc>
          <w:tcPr>
            <w:tcW w:w="1110" w:type="dxa"/>
            <w:gridSpan w:val="3"/>
            <w:hideMark/>
          </w:tcPr>
          <w:p w14:paraId="1DA4B557" w14:textId="7C19E1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1,467</w:t>
            </w:r>
          </w:p>
        </w:tc>
        <w:tc>
          <w:tcPr>
            <w:tcW w:w="1110" w:type="dxa"/>
            <w:gridSpan w:val="2"/>
            <w:hideMark/>
          </w:tcPr>
          <w:p w14:paraId="52CD9C5A" w14:textId="333F47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1,467</w:t>
            </w:r>
          </w:p>
        </w:tc>
        <w:tc>
          <w:tcPr>
            <w:tcW w:w="1110" w:type="dxa"/>
            <w:hideMark/>
          </w:tcPr>
          <w:p w14:paraId="34F4090E" w14:textId="45D7A3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10C2831" w14:textId="3A71B0A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FB3F5F9" w14:textId="77777777" w:rsidTr="00597AD8">
        <w:trPr>
          <w:trHeight w:val="1380"/>
        </w:trPr>
        <w:tc>
          <w:tcPr>
            <w:tcW w:w="3885" w:type="dxa"/>
            <w:hideMark/>
          </w:tcPr>
          <w:p w14:paraId="22C691E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1.3.2. Fuqizimi i kapaciteteve të profesionistëve të drejtësisë (gjyqtarë, prokurorë, avokatë/noterë) përmes miratimit dhe zbatimit të të programeve të trajnimit/kurrikulave të trajnimit dhe zbatimi i ligjit pa paternalizëm, përmes e-learning dhe certifikim periodik.</w:t>
            </w:r>
          </w:p>
        </w:tc>
        <w:tc>
          <w:tcPr>
            <w:tcW w:w="1080" w:type="dxa"/>
            <w:hideMark/>
          </w:tcPr>
          <w:p w14:paraId="36D8B0A6"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2029</w:t>
            </w:r>
          </w:p>
        </w:tc>
        <w:tc>
          <w:tcPr>
            <w:tcW w:w="1260" w:type="dxa"/>
            <w:hideMark/>
          </w:tcPr>
          <w:p w14:paraId="31FDA6B3"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2030</w:t>
            </w:r>
          </w:p>
        </w:tc>
        <w:tc>
          <w:tcPr>
            <w:tcW w:w="1411" w:type="dxa"/>
            <w:vAlign w:val="center"/>
            <w:hideMark/>
          </w:tcPr>
          <w:p w14:paraId="6AF0E50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SHM/DHASH/DHKN</w:t>
            </w:r>
          </w:p>
        </w:tc>
        <w:tc>
          <w:tcPr>
            <w:tcW w:w="1521" w:type="dxa"/>
            <w:gridSpan w:val="2"/>
            <w:vAlign w:val="center"/>
            <w:hideMark/>
          </w:tcPr>
          <w:p w14:paraId="36906DF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5DD70D12" w14:textId="0E3D8D4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E1D46CE" w14:textId="1AFC73E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4320973" w14:textId="01A3627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EA17EF4" w14:textId="6050E73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3,950</w:t>
            </w:r>
          </w:p>
        </w:tc>
        <w:tc>
          <w:tcPr>
            <w:tcW w:w="818" w:type="dxa"/>
            <w:gridSpan w:val="2"/>
            <w:hideMark/>
          </w:tcPr>
          <w:p w14:paraId="44905259" w14:textId="3128779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3,950</w:t>
            </w:r>
          </w:p>
        </w:tc>
      </w:tr>
      <w:tr w:rsidR="004D73D3" w:rsidRPr="0048716F" w14:paraId="6A8CCCF2" w14:textId="77777777" w:rsidTr="00597AD8">
        <w:trPr>
          <w:trHeight w:val="828"/>
        </w:trPr>
        <w:tc>
          <w:tcPr>
            <w:tcW w:w="3885" w:type="dxa"/>
            <w:hideMark/>
          </w:tcPr>
          <w:p w14:paraId="65F042E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1.3.3.Përgatitja e analizës së nevojave për interpretët e gjuhës së shenjave shqipe në sistemin e drejtësisë,  bazuar në praktikat më të mira ndërkombëtare.</w:t>
            </w:r>
          </w:p>
        </w:tc>
        <w:tc>
          <w:tcPr>
            <w:tcW w:w="1080" w:type="dxa"/>
            <w:hideMark/>
          </w:tcPr>
          <w:p w14:paraId="4D434B8B"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2026</w:t>
            </w:r>
          </w:p>
        </w:tc>
        <w:tc>
          <w:tcPr>
            <w:tcW w:w="1260" w:type="dxa"/>
            <w:hideMark/>
          </w:tcPr>
          <w:p w14:paraId="29B5F31B"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val="en-US" w:eastAsia="en-US"/>
              </w:rPr>
              <w:t>2028</w:t>
            </w:r>
          </w:p>
        </w:tc>
        <w:tc>
          <w:tcPr>
            <w:tcW w:w="1411" w:type="dxa"/>
            <w:vAlign w:val="center"/>
            <w:hideMark/>
          </w:tcPr>
          <w:p w14:paraId="443C23F5"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MD</w:t>
            </w:r>
          </w:p>
        </w:tc>
        <w:tc>
          <w:tcPr>
            <w:tcW w:w="1521" w:type="dxa"/>
            <w:gridSpan w:val="2"/>
            <w:vAlign w:val="center"/>
            <w:hideMark/>
          </w:tcPr>
          <w:p w14:paraId="523C3CFA"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MSHMS</w:t>
            </w:r>
          </w:p>
        </w:tc>
        <w:tc>
          <w:tcPr>
            <w:tcW w:w="1110" w:type="dxa"/>
            <w:gridSpan w:val="2"/>
            <w:hideMark/>
          </w:tcPr>
          <w:p w14:paraId="6BFC2DE4" w14:textId="1BA81B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3"/>
            <w:hideMark/>
          </w:tcPr>
          <w:p w14:paraId="44797352" w14:textId="461F65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249F56C" w14:textId="5D719B8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A58E189" w14:textId="21F495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ED1328A" w14:textId="5A1D3F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FD02A90" w14:textId="77777777" w:rsidTr="00597AD8">
        <w:trPr>
          <w:trHeight w:val="828"/>
        </w:trPr>
        <w:tc>
          <w:tcPr>
            <w:tcW w:w="3885" w:type="dxa"/>
            <w:shd w:val="clear" w:color="000000" w:fill="B8CCE4"/>
            <w:noWrap/>
            <w:vAlign w:val="center"/>
            <w:hideMark/>
          </w:tcPr>
          <w:p w14:paraId="369F40A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1.4. Garantimi i aksesueshmërisë në mjedise, informacion e komunikim për personat me aftësi të kufizuara në institucione të sistemit të drejtësisë, apo të lidhura me të.</w:t>
            </w:r>
          </w:p>
        </w:tc>
        <w:tc>
          <w:tcPr>
            <w:tcW w:w="1080" w:type="dxa"/>
            <w:shd w:val="clear" w:color="000000" w:fill="DCE6F1"/>
            <w:hideMark/>
          </w:tcPr>
          <w:p w14:paraId="167FE6E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43C9705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21E7F70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KLGJ/KLP/DPP/DHKA/DHKN/SHM</w:t>
            </w:r>
          </w:p>
        </w:tc>
        <w:tc>
          <w:tcPr>
            <w:tcW w:w="1521" w:type="dxa"/>
            <w:gridSpan w:val="2"/>
            <w:shd w:val="clear" w:color="000000" w:fill="DCE6F1"/>
            <w:vAlign w:val="center"/>
            <w:hideMark/>
          </w:tcPr>
          <w:p w14:paraId="5AFC8236" w14:textId="2F2BE5BC" w:rsidR="004D73D3" w:rsidRPr="0048716F" w:rsidRDefault="004D73D3" w:rsidP="00597AD8">
            <w:pPr>
              <w:rPr>
                <w:rFonts w:eastAsia="Times New Roman"/>
                <w:color w:val="000000"/>
                <w:sz w:val="18"/>
                <w:szCs w:val="18"/>
                <w:lang w:val="en-US" w:eastAsia="en-US"/>
              </w:rPr>
            </w:pPr>
          </w:p>
        </w:tc>
        <w:tc>
          <w:tcPr>
            <w:tcW w:w="1110" w:type="dxa"/>
            <w:gridSpan w:val="2"/>
            <w:shd w:val="clear" w:color="000000" w:fill="DCE6F1"/>
            <w:hideMark/>
          </w:tcPr>
          <w:p w14:paraId="241C3413" w14:textId="5BB5B34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3,600</w:t>
            </w:r>
          </w:p>
        </w:tc>
        <w:tc>
          <w:tcPr>
            <w:tcW w:w="1110" w:type="dxa"/>
            <w:gridSpan w:val="3"/>
            <w:shd w:val="clear" w:color="000000" w:fill="DCE6F1"/>
            <w:hideMark/>
          </w:tcPr>
          <w:p w14:paraId="69068A4D" w14:textId="20688AE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3,600</w:t>
            </w:r>
          </w:p>
        </w:tc>
        <w:tc>
          <w:tcPr>
            <w:tcW w:w="1110" w:type="dxa"/>
            <w:gridSpan w:val="2"/>
            <w:shd w:val="clear" w:color="000000" w:fill="DCE6F1"/>
            <w:hideMark/>
          </w:tcPr>
          <w:p w14:paraId="3AF49E2A" w14:textId="2F9DC31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3,600</w:t>
            </w:r>
          </w:p>
        </w:tc>
        <w:tc>
          <w:tcPr>
            <w:tcW w:w="1110" w:type="dxa"/>
            <w:shd w:val="clear" w:color="000000" w:fill="DCE6F1"/>
            <w:hideMark/>
          </w:tcPr>
          <w:p w14:paraId="55648434" w14:textId="57C94BF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818" w:type="dxa"/>
            <w:gridSpan w:val="2"/>
            <w:shd w:val="clear" w:color="000000" w:fill="DCE6F1"/>
            <w:hideMark/>
          </w:tcPr>
          <w:p w14:paraId="0C309BA8" w14:textId="658C4FC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13059792" w14:textId="77777777" w:rsidTr="00597AD8">
        <w:trPr>
          <w:trHeight w:val="1104"/>
        </w:trPr>
        <w:tc>
          <w:tcPr>
            <w:tcW w:w="3885" w:type="dxa"/>
            <w:noWrap/>
            <w:hideMark/>
          </w:tcPr>
          <w:p w14:paraId="2FFDA86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1.4.1.Kryerja e analizës për vlerësimin e nevojave të aksesueshmërisë fizike, në informacion  dhe komunikim në të gjitha nivelet e institucioneve të sistemit gjyqësor, duke përfshirë të gjitha Gjykatat  e vendit. Përfshirja graduale në buxhetet institucionale të nevojave të evidentuara në analizën e vlerësimit.</w:t>
            </w:r>
          </w:p>
        </w:tc>
        <w:tc>
          <w:tcPr>
            <w:tcW w:w="1080" w:type="dxa"/>
            <w:hideMark/>
          </w:tcPr>
          <w:p w14:paraId="3133872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0D50BC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2830DF7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KLGJ/Gjykatat</w:t>
            </w:r>
          </w:p>
        </w:tc>
        <w:tc>
          <w:tcPr>
            <w:tcW w:w="1521" w:type="dxa"/>
            <w:gridSpan w:val="2"/>
            <w:vAlign w:val="center"/>
            <w:hideMark/>
          </w:tcPr>
          <w:p w14:paraId="75FA2887" w14:textId="52DCEBD1" w:rsidR="004D73D3" w:rsidRPr="0048716F" w:rsidRDefault="004D73D3" w:rsidP="00597AD8">
            <w:pPr>
              <w:rPr>
                <w:rFonts w:eastAsia="Times New Roman"/>
                <w:color w:val="000000"/>
                <w:sz w:val="18"/>
                <w:szCs w:val="18"/>
                <w:lang w:val="en-US" w:eastAsia="en-US"/>
              </w:rPr>
            </w:pPr>
          </w:p>
        </w:tc>
        <w:tc>
          <w:tcPr>
            <w:tcW w:w="1110" w:type="dxa"/>
            <w:gridSpan w:val="2"/>
            <w:hideMark/>
          </w:tcPr>
          <w:p w14:paraId="18F1C1C0" w14:textId="07EFC2D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3"/>
            <w:hideMark/>
          </w:tcPr>
          <w:p w14:paraId="0DA29C39" w14:textId="24A6F8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324FF666" w14:textId="5EAEBE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hideMark/>
          </w:tcPr>
          <w:p w14:paraId="40AC69AB" w14:textId="7617C3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15E8AF5" w14:textId="7B9CE4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1B97E47" w14:textId="77777777" w:rsidTr="00597AD8">
        <w:trPr>
          <w:trHeight w:val="1104"/>
        </w:trPr>
        <w:tc>
          <w:tcPr>
            <w:tcW w:w="3885" w:type="dxa"/>
            <w:noWrap/>
            <w:hideMark/>
          </w:tcPr>
          <w:p w14:paraId="5894893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1.4.2.Kryerja e analizës për vlerësimin e nevojave të aksesueshmërisë fizike, në informacion dhe në komunikim në të gjitha nivelet e institucioneve të sistemit të drejtësisë penale  dhe përfshirja graduale në buxhetet institucionale të nevojave të evidentuara në analizën e vlerësimit.</w:t>
            </w:r>
          </w:p>
        </w:tc>
        <w:tc>
          <w:tcPr>
            <w:tcW w:w="1080" w:type="dxa"/>
            <w:hideMark/>
          </w:tcPr>
          <w:p w14:paraId="5560E04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0088700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0D3DFEB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Prokuroria e Pergjithshme</w:t>
            </w:r>
          </w:p>
        </w:tc>
        <w:tc>
          <w:tcPr>
            <w:tcW w:w="1521" w:type="dxa"/>
            <w:gridSpan w:val="2"/>
            <w:vAlign w:val="center"/>
            <w:hideMark/>
          </w:tcPr>
          <w:p w14:paraId="1E620508" w14:textId="4CEC237E" w:rsidR="004D73D3" w:rsidRPr="0048716F" w:rsidRDefault="004D73D3" w:rsidP="00597AD8">
            <w:pPr>
              <w:rPr>
                <w:rFonts w:eastAsia="Times New Roman"/>
                <w:color w:val="000000"/>
                <w:sz w:val="18"/>
                <w:szCs w:val="18"/>
                <w:lang w:val="en-US" w:eastAsia="en-US"/>
              </w:rPr>
            </w:pPr>
          </w:p>
        </w:tc>
        <w:tc>
          <w:tcPr>
            <w:tcW w:w="1110" w:type="dxa"/>
            <w:gridSpan w:val="2"/>
            <w:hideMark/>
          </w:tcPr>
          <w:p w14:paraId="3167D29F" w14:textId="023613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3"/>
            <w:hideMark/>
          </w:tcPr>
          <w:p w14:paraId="7707DD43" w14:textId="28E2665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03C03E14" w14:textId="773AFA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hideMark/>
          </w:tcPr>
          <w:p w14:paraId="011A4230" w14:textId="6E3C156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769D266" w14:textId="3B7910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74422FE" w14:textId="77777777" w:rsidTr="00597AD8">
        <w:trPr>
          <w:trHeight w:val="1104"/>
        </w:trPr>
        <w:tc>
          <w:tcPr>
            <w:tcW w:w="3885" w:type="dxa"/>
            <w:noWrap/>
            <w:hideMark/>
          </w:tcPr>
          <w:p w14:paraId="242E4C5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1.4.3.Kryerja e analizës për vlerësimin e nevojave të aksesueshmërisë fizike, në informacion dhe në komunikim në të gjitha institucionet e policisë të shtetit në rang vendi dhe përfshirja në buxhetet institucionale të nevojave të evidentuara në analizën e vlerësimit.</w:t>
            </w:r>
          </w:p>
        </w:tc>
        <w:tc>
          <w:tcPr>
            <w:tcW w:w="1080" w:type="dxa"/>
            <w:hideMark/>
          </w:tcPr>
          <w:p w14:paraId="1F32E08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DDC3C6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0505754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DPP</w:t>
            </w:r>
          </w:p>
        </w:tc>
        <w:tc>
          <w:tcPr>
            <w:tcW w:w="1521" w:type="dxa"/>
            <w:gridSpan w:val="2"/>
            <w:vAlign w:val="center"/>
            <w:hideMark/>
          </w:tcPr>
          <w:p w14:paraId="3D714AC2" w14:textId="2E8620E7" w:rsidR="004D73D3" w:rsidRPr="0048716F" w:rsidRDefault="004D73D3" w:rsidP="00597AD8">
            <w:pPr>
              <w:rPr>
                <w:rFonts w:eastAsia="Times New Roman"/>
                <w:color w:val="000000"/>
                <w:sz w:val="18"/>
                <w:szCs w:val="18"/>
                <w:lang w:val="en-US" w:eastAsia="en-US"/>
              </w:rPr>
            </w:pPr>
          </w:p>
        </w:tc>
        <w:tc>
          <w:tcPr>
            <w:tcW w:w="1110" w:type="dxa"/>
            <w:gridSpan w:val="2"/>
            <w:hideMark/>
          </w:tcPr>
          <w:p w14:paraId="3E4DDB21" w14:textId="6F7DB3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3"/>
            <w:hideMark/>
          </w:tcPr>
          <w:p w14:paraId="4BDC54FC" w14:textId="051A50F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5EB512C6" w14:textId="6EE6C51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hideMark/>
          </w:tcPr>
          <w:p w14:paraId="639E1DDA" w14:textId="63274A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3EC31ED" w14:textId="5D8DC77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8549236" w14:textId="77777777" w:rsidTr="00597AD8">
        <w:trPr>
          <w:trHeight w:val="1104"/>
        </w:trPr>
        <w:tc>
          <w:tcPr>
            <w:tcW w:w="3885" w:type="dxa"/>
            <w:noWrap/>
            <w:hideMark/>
          </w:tcPr>
          <w:p w14:paraId="6BFF589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1.4.4. Përgatitja e protokolleve e procedurave për të realizuar aksesueshmërisë në informacion e komunikim, në përputhje me nevojat e personave me aftësi të kufizuara në të gjitha institucionet e sistemit të drejtësisë.</w:t>
            </w:r>
          </w:p>
        </w:tc>
        <w:tc>
          <w:tcPr>
            <w:tcW w:w="1080" w:type="dxa"/>
            <w:hideMark/>
          </w:tcPr>
          <w:p w14:paraId="3DF59AE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12445CD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63AB9F6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KLGJ/KLP/DHKA/DHKN/SHM/</w:t>
            </w:r>
          </w:p>
        </w:tc>
        <w:tc>
          <w:tcPr>
            <w:tcW w:w="1521" w:type="dxa"/>
            <w:gridSpan w:val="2"/>
            <w:vAlign w:val="center"/>
            <w:hideMark/>
          </w:tcPr>
          <w:p w14:paraId="4A0EAB00" w14:textId="232917F0" w:rsidR="004D73D3" w:rsidRPr="0048716F" w:rsidRDefault="004D73D3" w:rsidP="00597AD8">
            <w:pPr>
              <w:rPr>
                <w:rFonts w:eastAsia="Times New Roman"/>
                <w:color w:val="000000"/>
                <w:sz w:val="18"/>
                <w:szCs w:val="18"/>
                <w:lang w:val="en-US" w:eastAsia="en-US"/>
              </w:rPr>
            </w:pPr>
          </w:p>
        </w:tc>
        <w:tc>
          <w:tcPr>
            <w:tcW w:w="1110" w:type="dxa"/>
            <w:gridSpan w:val="2"/>
            <w:hideMark/>
          </w:tcPr>
          <w:p w14:paraId="2FC2F984" w14:textId="52BAD4F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1,267</w:t>
            </w:r>
          </w:p>
        </w:tc>
        <w:tc>
          <w:tcPr>
            <w:tcW w:w="1110" w:type="dxa"/>
            <w:gridSpan w:val="3"/>
            <w:hideMark/>
          </w:tcPr>
          <w:p w14:paraId="65EB009D" w14:textId="104E95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1,267</w:t>
            </w:r>
          </w:p>
        </w:tc>
        <w:tc>
          <w:tcPr>
            <w:tcW w:w="1110" w:type="dxa"/>
            <w:gridSpan w:val="2"/>
            <w:hideMark/>
          </w:tcPr>
          <w:p w14:paraId="038361B4" w14:textId="7A20120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1,267</w:t>
            </w:r>
          </w:p>
        </w:tc>
        <w:tc>
          <w:tcPr>
            <w:tcW w:w="1110" w:type="dxa"/>
            <w:hideMark/>
          </w:tcPr>
          <w:p w14:paraId="6247E19F" w14:textId="25EB62E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AA7898B" w14:textId="0FE8BC8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DAE656D" w14:textId="77777777" w:rsidTr="00597AD8">
        <w:trPr>
          <w:trHeight w:val="828"/>
        </w:trPr>
        <w:tc>
          <w:tcPr>
            <w:tcW w:w="3885" w:type="dxa"/>
            <w:noWrap/>
            <w:hideMark/>
          </w:tcPr>
          <w:p w14:paraId="2F79C6B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1.4.5 Përgatitja e protokolleve që ilustrojnë qartë se çfarë është akomodimi i arsyeshëm në aksesin në drejtësi dhe se si  mund të shfaqet ai në çdo fazë të procesit.</w:t>
            </w:r>
          </w:p>
        </w:tc>
        <w:tc>
          <w:tcPr>
            <w:tcW w:w="1080" w:type="dxa"/>
            <w:hideMark/>
          </w:tcPr>
          <w:p w14:paraId="6DC8E43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4EE829B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3B94FE3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KLGJ/KLP/DHKA/DHKN/SHM/MSHMS</w:t>
            </w:r>
          </w:p>
        </w:tc>
        <w:tc>
          <w:tcPr>
            <w:tcW w:w="1521" w:type="dxa"/>
            <w:gridSpan w:val="2"/>
            <w:vAlign w:val="center"/>
            <w:hideMark/>
          </w:tcPr>
          <w:p w14:paraId="5DE94850" w14:textId="6E943C6F" w:rsidR="004D73D3" w:rsidRPr="0048716F" w:rsidRDefault="004D73D3" w:rsidP="00597AD8">
            <w:pPr>
              <w:rPr>
                <w:rFonts w:eastAsia="Times New Roman"/>
                <w:color w:val="000000"/>
                <w:sz w:val="18"/>
                <w:szCs w:val="18"/>
                <w:lang w:val="en-US" w:eastAsia="en-US"/>
              </w:rPr>
            </w:pPr>
          </w:p>
        </w:tc>
        <w:tc>
          <w:tcPr>
            <w:tcW w:w="1110" w:type="dxa"/>
            <w:gridSpan w:val="2"/>
            <w:hideMark/>
          </w:tcPr>
          <w:p w14:paraId="59881814" w14:textId="60BA0D2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833</w:t>
            </w:r>
          </w:p>
        </w:tc>
        <w:tc>
          <w:tcPr>
            <w:tcW w:w="1110" w:type="dxa"/>
            <w:gridSpan w:val="3"/>
            <w:hideMark/>
          </w:tcPr>
          <w:p w14:paraId="55108A23" w14:textId="1F9635E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833</w:t>
            </w:r>
          </w:p>
        </w:tc>
        <w:tc>
          <w:tcPr>
            <w:tcW w:w="1110" w:type="dxa"/>
            <w:gridSpan w:val="2"/>
            <w:hideMark/>
          </w:tcPr>
          <w:p w14:paraId="76903681" w14:textId="49CE5AD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833</w:t>
            </w:r>
          </w:p>
        </w:tc>
        <w:tc>
          <w:tcPr>
            <w:tcW w:w="1110" w:type="dxa"/>
            <w:hideMark/>
          </w:tcPr>
          <w:p w14:paraId="1587F23F" w14:textId="1B0E9DC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B650646" w14:textId="079174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167A57D" w14:textId="77777777" w:rsidTr="00597AD8">
        <w:trPr>
          <w:trHeight w:val="288"/>
        </w:trPr>
        <w:tc>
          <w:tcPr>
            <w:tcW w:w="3885" w:type="dxa"/>
            <w:shd w:val="clear" w:color="000000" w:fill="FDE9D9"/>
            <w:hideMark/>
          </w:tcPr>
          <w:p w14:paraId="7675D0B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Objektivi Specifik  2. Të garantohet njohja e barabartë para ligjit dhe ushtrimi i plotë i zotësisë për të vepruar për personat me aftësi të kufizuara, duke zëvendësuar kujdestarinë me mekanizma të vendimmarrjes së mbështetur.</w:t>
            </w:r>
          </w:p>
        </w:tc>
        <w:tc>
          <w:tcPr>
            <w:tcW w:w="1080" w:type="dxa"/>
            <w:shd w:val="clear" w:color="000000" w:fill="FDE9D9"/>
            <w:hideMark/>
          </w:tcPr>
          <w:p w14:paraId="20D4558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0CE197C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4588533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MD/MSHMS</w:t>
            </w:r>
          </w:p>
        </w:tc>
        <w:tc>
          <w:tcPr>
            <w:tcW w:w="1521" w:type="dxa"/>
            <w:gridSpan w:val="2"/>
            <w:shd w:val="clear" w:color="000000" w:fill="FDE9D9"/>
            <w:vAlign w:val="center"/>
            <w:hideMark/>
          </w:tcPr>
          <w:p w14:paraId="19ECEEA6" w14:textId="7229C130" w:rsidR="004D73D3" w:rsidRPr="0048716F" w:rsidRDefault="004D73D3" w:rsidP="00597AD8">
            <w:pPr>
              <w:rPr>
                <w:rFonts w:eastAsia="Times New Roman"/>
                <w:color w:val="000000"/>
                <w:sz w:val="18"/>
                <w:szCs w:val="18"/>
                <w:lang w:val="en-US" w:eastAsia="en-US"/>
              </w:rPr>
            </w:pPr>
          </w:p>
        </w:tc>
        <w:tc>
          <w:tcPr>
            <w:tcW w:w="1110" w:type="dxa"/>
            <w:gridSpan w:val="2"/>
            <w:shd w:val="clear" w:color="000000" w:fill="FDE9D9"/>
            <w:hideMark/>
          </w:tcPr>
          <w:p w14:paraId="318C1A57" w14:textId="6673F66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9,847</w:t>
            </w:r>
          </w:p>
        </w:tc>
        <w:tc>
          <w:tcPr>
            <w:tcW w:w="1110" w:type="dxa"/>
            <w:gridSpan w:val="3"/>
            <w:shd w:val="clear" w:color="000000" w:fill="FDE9D9"/>
            <w:hideMark/>
          </w:tcPr>
          <w:p w14:paraId="66DB52BF" w14:textId="4ADE366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9,847</w:t>
            </w:r>
          </w:p>
        </w:tc>
        <w:tc>
          <w:tcPr>
            <w:tcW w:w="1110" w:type="dxa"/>
            <w:gridSpan w:val="2"/>
            <w:shd w:val="clear" w:color="000000" w:fill="FDE9D9"/>
            <w:hideMark/>
          </w:tcPr>
          <w:p w14:paraId="07024CBF" w14:textId="42ACF8A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11,347</w:t>
            </w:r>
          </w:p>
        </w:tc>
        <w:tc>
          <w:tcPr>
            <w:tcW w:w="1110" w:type="dxa"/>
            <w:shd w:val="clear" w:color="000000" w:fill="FDE9D9"/>
            <w:hideMark/>
          </w:tcPr>
          <w:p w14:paraId="7E46E950" w14:textId="236CA81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12,180</w:t>
            </w:r>
          </w:p>
        </w:tc>
        <w:tc>
          <w:tcPr>
            <w:tcW w:w="818" w:type="dxa"/>
            <w:gridSpan w:val="2"/>
            <w:shd w:val="clear" w:color="000000" w:fill="FDE9D9"/>
            <w:hideMark/>
          </w:tcPr>
          <w:p w14:paraId="0171AF88" w14:textId="3DD0661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9,180</w:t>
            </w:r>
          </w:p>
        </w:tc>
      </w:tr>
      <w:tr w:rsidR="004D73D3" w:rsidRPr="0048716F" w14:paraId="106212DC" w14:textId="77777777" w:rsidTr="00597AD8">
        <w:trPr>
          <w:trHeight w:val="552"/>
        </w:trPr>
        <w:tc>
          <w:tcPr>
            <w:tcW w:w="3885" w:type="dxa"/>
            <w:shd w:val="clear" w:color="000000" w:fill="DCE6F1"/>
            <w:hideMark/>
          </w:tcPr>
          <w:p w14:paraId="00445EE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2.1: Përgatitja e kuadrit ligjor dhe fuqizimi i kapaciteteve për të mundësuar vendimmarrjen e mbështetur</w:t>
            </w:r>
          </w:p>
        </w:tc>
        <w:tc>
          <w:tcPr>
            <w:tcW w:w="1080" w:type="dxa"/>
            <w:shd w:val="clear" w:color="000000" w:fill="C5D9F1"/>
            <w:noWrap/>
            <w:vAlign w:val="center"/>
            <w:hideMark/>
          </w:tcPr>
          <w:p w14:paraId="59FA065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vAlign w:val="center"/>
            <w:hideMark/>
          </w:tcPr>
          <w:p w14:paraId="67D131A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noWrap/>
            <w:vAlign w:val="center"/>
            <w:hideMark/>
          </w:tcPr>
          <w:p w14:paraId="5F6BB9A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MD/MSHMS</w:t>
            </w:r>
          </w:p>
        </w:tc>
        <w:tc>
          <w:tcPr>
            <w:tcW w:w="1521" w:type="dxa"/>
            <w:gridSpan w:val="2"/>
            <w:shd w:val="clear" w:color="000000" w:fill="C5D9F1"/>
            <w:noWrap/>
            <w:vAlign w:val="center"/>
            <w:hideMark/>
          </w:tcPr>
          <w:p w14:paraId="42BEF70B" w14:textId="7EEA76F5" w:rsidR="004D73D3" w:rsidRPr="0048716F" w:rsidRDefault="004D73D3" w:rsidP="00597AD8">
            <w:pPr>
              <w:rPr>
                <w:rFonts w:eastAsia="Times New Roman"/>
                <w:color w:val="000000"/>
                <w:sz w:val="18"/>
                <w:szCs w:val="18"/>
                <w:lang w:val="en-US" w:eastAsia="en-US"/>
              </w:rPr>
            </w:pPr>
          </w:p>
        </w:tc>
        <w:tc>
          <w:tcPr>
            <w:tcW w:w="1110" w:type="dxa"/>
            <w:gridSpan w:val="2"/>
            <w:shd w:val="clear" w:color="000000" w:fill="C5D9F1"/>
            <w:noWrap/>
            <w:vAlign w:val="bottom"/>
            <w:hideMark/>
          </w:tcPr>
          <w:p w14:paraId="331828A1" w14:textId="2449BD9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9,847</w:t>
            </w:r>
          </w:p>
        </w:tc>
        <w:tc>
          <w:tcPr>
            <w:tcW w:w="1110" w:type="dxa"/>
            <w:gridSpan w:val="3"/>
            <w:shd w:val="clear" w:color="000000" w:fill="C5D9F1"/>
            <w:noWrap/>
            <w:vAlign w:val="bottom"/>
            <w:hideMark/>
          </w:tcPr>
          <w:p w14:paraId="40DB74D7" w14:textId="461AEF6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9,847</w:t>
            </w:r>
          </w:p>
        </w:tc>
        <w:tc>
          <w:tcPr>
            <w:tcW w:w="1110" w:type="dxa"/>
            <w:gridSpan w:val="2"/>
            <w:shd w:val="clear" w:color="000000" w:fill="C5D9F1"/>
            <w:noWrap/>
            <w:vAlign w:val="bottom"/>
            <w:hideMark/>
          </w:tcPr>
          <w:p w14:paraId="3E1E3977" w14:textId="42421AF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11,347</w:t>
            </w:r>
          </w:p>
        </w:tc>
        <w:tc>
          <w:tcPr>
            <w:tcW w:w="1110" w:type="dxa"/>
            <w:shd w:val="clear" w:color="000000" w:fill="C5D9F1"/>
            <w:noWrap/>
            <w:vAlign w:val="bottom"/>
            <w:hideMark/>
          </w:tcPr>
          <w:p w14:paraId="288F7082" w14:textId="1C06C72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12,180</w:t>
            </w:r>
          </w:p>
        </w:tc>
        <w:tc>
          <w:tcPr>
            <w:tcW w:w="818" w:type="dxa"/>
            <w:gridSpan w:val="2"/>
            <w:shd w:val="clear" w:color="000000" w:fill="C5D9F1"/>
            <w:noWrap/>
            <w:vAlign w:val="bottom"/>
            <w:hideMark/>
          </w:tcPr>
          <w:p w14:paraId="21DC02BF" w14:textId="16BF471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9,180</w:t>
            </w:r>
          </w:p>
        </w:tc>
      </w:tr>
      <w:tr w:rsidR="004D73D3" w:rsidRPr="0048716F" w14:paraId="08B4AFAE" w14:textId="77777777" w:rsidTr="00597AD8">
        <w:trPr>
          <w:trHeight w:val="552"/>
        </w:trPr>
        <w:tc>
          <w:tcPr>
            <w:tcW w:w="3885" w:type="dxa"/>
            <w:noWrap/>
            <w:vAlign w:val="center"/>
            <w:hideMark/>
          </w:tcPr>
          <w:p w14:paraId="1D7A419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2.1.1. Përgatitja e një analize ligjore me fokus identifikimin dhe orientimin e boshllëqeve, të cilat pengojnë aplikimin e vendimmarrjes së mbështetur;</w:t>
            </w:r>
          </w:p>
        </w:tc>
        <w:tc>
          <w:tcPr>
            <w:tcW w:w="1080" w:type="dxa"/>
            <w:hideMark/>
          </w:tcPr>
          <w:p w14:paraId="7633E6A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4024342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47F107A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521" w:type="dxa"/>
            <w:gridSpan w:val="2"/>
            <w:vAlign w:val="center"/>
            <w:hideMark/>
          </w:tcPr>
          <w:p w14:paraId="04BF121F" w14:textId="43172BBA" w:rsidR="004D73D3" w:rsidRPr="0048716F" w:rsidRDefault="004D73D3" w:rsidP="00597AD8">
            <w:pPr>
              <w:rPr>
                <w:rFonts w:eastAsia="Times New Roman"/>
                <w:color w:val="000000"/>
                <w:sz w:val="18"/>
                <w:szCs w:val="18"/>
                <w:lang w:val="en-US" w:eastAsia="en-US"/>
              </w:rPr>
            </w:pPr>
          </w:p>
        </w:tc>
        <w:tc>
          <w:tcPr>
            <w:tcW w:w="1110" w:type="dxa"/>
            <w:gridSpan w:val="2"/>
            <w:hideMark/>
          </w:tcPr>
          <w:p w14:paraId="3126E62F" w14:textId="5EC1032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667</w:t>
            </w:r>
          </w:p>
        </w:tc>
        <w:tc>
          <w:tcPr>
            <w:tcW w:w="1110" w:type="dxa"/>
            <w:gridSpan w:val="3"/>
            <w:hideMark/>
          </w:tcPr>
          <w:p w14:paraId="3C597862" w14:textId="77ECBF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667</w:t>
            </w:r>
          </w:p>
        </w:tc>
        <w:tc>
          <w:tcPr>
            <w:tcW w:w="1110" w:type="dxa"/>
            <w:gridSpan w:val="2"/>
            <w:hideMark/>
          </w:tcPr>
          <w:p w14:paraId="4F6C233D" w14:textId="2068E6B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667</w:t>
            </w:r>
          </w:p>
        </w:tc>
        <w:tc>
          <w:tcPr>
            <w:tcW w:w="1110" w:type="dxa"/>
            <w:hideMark/>
          </w:tcPr>
          <w:p w14:paraId="0290BA9F" w14:textId="039F2C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55428FA" w14:textId="1678EC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9D5B24C" w14:textId="77777777" w:rsidTr="00597AD8">
        <w:trPr>
          <w:trHeight w:val="1932"/>
        </w:trPr>
        <w:tc>
          <w:tcPr>
            <w:tcW w:w="3885" w:type="dxa"/>
            <w:noWrap/>
            <w:vAlign w:val="center"/>
            <w:hideMark/>
          </w:tcPr>
          <w:p w14:paraId="16C45ACF" w14:textId="3809DF1B"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2.1.2.Rishikimi i dispozitave ligjore të Kodit Civil, Kodit të Procedurës Civile, Kodit të Familjes,  Kodit Penal dhe Kodit të Procedurës Penale, Ligjit të Shëndetit Mendor për të garantuar të drejtën për të ushtruar zotësinë e plotë për të vepruar për personat me aftësi të kufizuara, me një fokus të veçantë te personat me aftësi të kufizuara psikosociale dhe intelektuale, të cilët janë prekur në mënyrë disproporcionale nga heqja e zotësisë juridike, krahasuar me pjesën tjetër të popullsisë, në të gjitha aspektet e jetës ;</w:t>
            </w:r>
          </w:p>
        </w:tc>
        <w:tc>
          <w:tcPr>
            <w:tcW w:w="1080" w:type="dxa"/>
            <w:hideMark/>
          </w:tcPr>
          <w:p w14:paraId="05DC76B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5C1E3C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2A4CD0B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521" w:type="dxa"/>
            <w:gridSpan w:val="2"/>
            <w:vAlign w:val="center"/>
            <w:hideMark/>
          </w:tcPr>
          <w:p w14:paraId="5FEEAD74" w14:textId="6DC0D756" w:rsidR="004D73D3" w:rsidRPr="0048716F" w:rsidRDefault="004D73D3" w:rsidP="00597AD8">
            <w:pPr>
              <w:rPr>
                <w:rFonts w:eastAsia="Times New Roman"/>
                <w:color w:val="000000"/>
                <w:sz w:val="18"/>
                <w:szCs w:val="18"/>
                <w:lang w:val="en-US" w:eastAsia="en-US"/>
              </w:rPr>
            </w:pPr>
          </w:p>
        </w:tc>
        <w:tc>
          <w:tcPr>
            <w:tcW w:w="1110" w:type="dxa"/>
            <w:gridSpan w:val="2"/>
            <w:hideMark/>
          </w:tcPr>
          <w:p w14:paraId="628119D9" w14:textId="3E5E38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3"/>
            <w:hideMark/>
          </w:tcPr>
          <w:p w14:paraId="0DC98A74" w14:textId="43511B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07D137D8" w14:textId="3DD614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005819B0" w14:textId="33A089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EDE1B9A" w14:textId="032FDE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3AEC03D" w14:textId="77777777" w:rsidTr="00597AD8">
        <w:trPr>
          <w:trHeight w:val="552"/>
        </w:trPr>
        <w:tc>
          <w:tcPr>
            <w:tcW w:w="3885" w:type="dxa"/>
            <w:noWrap/>
            <w:vAlign w:val="center"/>
            <w:hideMark/>
          </w:tcPr>
          <w:p w14:paraId="5625DD2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2.1.3. Iniciimi, përgatitja, miratimi i kuadrit ligjor në mbështetje të ngritjes së mekanizmave të vendimmarrjes së mbështetur</w:t>
            </w:r>
          </w:p>
        </w:tc>
        <w:tc>
          <w:tcPr>
            <w:tcW w:w="1080" w:type="dxa"/>
            <w:hideMark/>
          </w:tcPr>
          <w:p w14:paraId="05A32A2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hideMark/>
          </w:tcPr>
          <w:p w14:paraId="5F9582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5AEAD1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521" w:type="dxa"/>
            <w:gridSpan w:val="2"/>
            <w:vAlign w:val="center"/>
            <w:hideMark/>
          </w:tcPr>
          <w:p w14:paraId="19324709" w14:textId="5E701187" w:rsidR="004D73D3" w:rsidRPr="0048716F" w:rsidRDefault="004D73D3" w:rsidP="00597AD8">
            <w:pPr>
              <w:rPr>
                <w:rFonts w:eastAsia="Times New Roman"/>
                <w:color w:val="000000"/>
                <w:sz w:val="18"/>
                <w:szCs w:val="18"/>
                <w:lang w:val="en-US" w:eastAsia="en-US"/>
              </w:rPr>
            </w:pPr>
          </w:p>
        </w:tc>
        <w:tc>
          <w:tcPr>
            <w:tcW w:w="1110" w:type="dxa"/>
            <w:gridSpan w:val="2"/>
            <w:hideMark/>
          </w:tcPr>
          <w:p w14:paraId="38DBE04A" w14:textId="738F82E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6383D50" w14:textId="58E6A4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6951C61" w14:textId="3E0893C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16E6171" w14:textId="5B5B54D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818" w:type="dxa"/>
            <w:gridSpan w:val="2"/>
            <w:hideMark/>
          </w:tcPr>
          <w:p w14:paraId="329D32B3" w14:textId="727824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r>
      <w:tr w:rsidR="004D73D3" w:rsidRPr="0048716F" w14:paraId="099BF36C" w14:textId="77777777" w:rsidTr="00597AD8">
        <w:trPr>
          <w:trHeight w:val="828"/>
        </w:trPr>
        <w:tc>
          <w:tcPr>
            <w:tcW w:w="3885" w:type="dxa"/>
            <w:noWrap/>
            <w:vAlign w:val="center"/>
            <w:hideMark/>
          </w:tcPr>
          <w:p w14:paraId="7211BB6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2.1.4. Rritja e kapaciteteve të profesionistëve për të kuptuar dhe zbatuar vendimmarrjen e mbështetur në sektorë të lidhur me shëndetësinë, policinë, prokurorinë, gjyqësorin, noterë e avokatë;</w:t>
            </w:r>
          </w:p>
        </w:tc>
        <w:tc>
          <w:tcPr>
            <w:tcW w:w="1080" w:type="dxa"/>
            <w:hideMark/>
          </w:tcPr>
          <w:p w14:paraId="2D4E3C3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D6840C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1389DA61" w14:textId="06255C0C"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 MSHMS</w:t>
            </w:r>
          </w:p>
        </w:tc>
        <w:tc>
          <w:tcPr>
            <w:tcW w:w="1521" w:type="dxa"/>
            <w:gridSpan w:val="2"/>
            <w:vAlign w:val="center"/>
            <w:hideMark/>
          </w:tcPr>
          <w:p w14:paraId="2A8B64A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40A2057B" w14:textId="225884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c>
          <w:tcPr>
            <w:tcW w:w="1110" w:type="dxa"/>
            <w:gridSpan w:val="3"/>
            <w:hideMark/>
          </w:tcPr>
          <w:p w14:paraId="22B92836" w14:textId="67DD632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c>
          <w:tcPr>
            <w:tcW w:w="1110" w:type="dxa"/>
            <w:gridSpan w:val="2"/>
            <w:hideMark/>
          </w:tcPr>
          <w:p w14:paraId="34486201" w14:textId="7252BD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c>
          <w:tcPr>
            <w:tcW w:w="1110" w:type="dxa"/>
            <w:hideMark/>
          </w:tcPr>
          <w:p w14:paraId="57E497A7" w14:textId="5498676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w:t>
            </w:r>
          </w:p>
        </w:tc>
        <w:tc>
          <w:tcPr>
            <w:tcW w:w="818" w:type="dxa"/>
            <w:gridSpan w:val="2"/>
            <w:hideMark/>
          </w:tcPr>
          <w:p w14:paraId="779AD2F5" w14:textId="0947756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r>
      <w:tr w:rsidR="004D73D3" w:rsidRPr="0048716F" w14:paraId="13D785A5" w14:textId="77777777" w:rsidTr="00597AD8">
        <w:trPr>
          <w:trHeight w:val="552"/>
        </w:trPr>
        <w:tc>
          <w:tcPr>
            <w:tcW w:w="3885" w:type="dxa"/>
            <w:noWrap/>
            <w:vAlign w:val="center"/>
            <w:hideMark/>
          </w:tcPr>
          <w:p w14:paraId="3ED637C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2.1.5. Organizimi i vizitave studimore në vende ku aplikimi në praktikë i vendimmarrjes së mbështetur ka rezultuar I suksesshëm.</w:t>
            </w:r>
          </w:p>
        </w:tc>
        <w:tc>
          <w:tcPr>
            <w:tcW w:w="1080" w:type="dxa"/>
            <w:hideMark/>
          </w:tcPr>
          <w:p w14:paraId="3B27647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hideMark/>
          </w:tcPr>
          <w:p w14:paraId="71466E3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35FF224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521" w:type="dxa"/>
            <w:gridSpan w:val="2"/>
            <w:vAlign w:val="center"/>
            <w:hideMark/>
          </w:tcPr>
          <w:p w14:paraId="17D2BFA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0B0F5CE9" w14:textId="4FED5B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76C180E" w14:textId="098CF6A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8E3C0E1" w14:textId="4100EB0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hideMark/>
          </w:tcPr>
          <w:p w14:paraId="146B51E1" w14:textId="1473AB5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818" w:type="dxa"/>
            <w:gridSpan w:val="2"/>
            <w:hideMark/>
          </w:tcPr>
          <w:p w14:paraId="7430EBEB" w14:textId="45CB87E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F460BD3" w14:textId="77777777" w:rsidTr="00597AD8">
        <w:trPr>
          <w:trHeight w:val="828"/>
        </w:trPr>
        <w:tc>
          <w:tcPr>
            <w:tcW w:w="3885" w:type="dxa"/>
            <w:noWrap/>
            <w:vAlign w:val="center"/>
            <w:hideMark/>
          </w:tcPr>
          <w:p w14:paraId="4E2EB460" w14:textId="2C2A0B6D"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2.1.6. Përgatitja e materialeve udhëzuese për aplikimin e vendimmarrjes së mbështetur në formate alternative dhe realizimi i fushatave të informimit për persona me aftësi të kufizuara dhe familjarë të tyre.</w:t>
            </w:r>
          </w:p>
        </w:tc>
        <w:tc>
          <w:tcPr>
            <w:tcW w:w="1080" w:type="dxa"/>
            <w:hideMark/>
          </w:tcPr>
          <w:p w14:paraId="70CAB1D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B16A08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1E19909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521" w:type="dxa"/>
            <w:gridSpan w:val="2"/>
            <w:vAlign w:val="center"/>
            <w:hideMark/>
          </w:tcPr>
          <w:p w14:paraId="55CCF57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w:t>
            </w:r>
          </w:p>
        </w:tc>
        <w:tc>
          <w:tcPr>
            <w:tcW w:w="1110" w:type="dxa"/>
            <w:gridSpan w:val="2"/>
            <w:hideMark/>
          </w:tcPr>
          <w:p w14:paraId="32F2367E" w14:textId="3665E9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w:t>
            </w:r>
          </w:p>
        </w:tc>
        <w:tc>
          <w:tcPr>
            <w:tcW w:w="1110" w:type="dxa"/>
            <w:gridSpan w:val="3"/>
            <w:hideMark/>
          </w:tcPr>
          <w:p w14:paraId="11214C34" w14:textId="05129E2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w:t>
            </w:r>
          </w:p>
        </w:tc>
        <w:tc>
          <w:tcPr>
            <w:tcW w:w="1110" w:type="dxa"/>
            <w:gridSpan w:val="2"/>
            <w:hideMark/>
          </w:tcPr>
          <w:p w14:paraId="457524DB" w14:textId="30C466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w:t>
            </w:r>
          </w:p>
        </w:tc>
        <w:tc>
          <w:tcPr>
            <w:tcW w:w="1110" w:type="dxa"/>
            <w:hideMark/>
          </w:tcPr>
          <w:p w14:paraId="3A13C7B7" w14:textId="471D4F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w:t>
            </w:r>
          </w:p>
        </w:tc>
        <w:tc>
          <w:tcPr>
            <w:tcW w:w="818" w:type="dxa"/>
            <w:gridSpan w:val="2"/>
            <w:hideMark/>
          </w:tcPr>
          <w:p w14:paraId="23E18F60" w14:textId="4838808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w:t>
            </w:r>
          </w:p>
        </w:tc>
      </w:tr>
      <w:tr w:rsidR="004D73D3" w:rsidRPr="0048716F" w14:paraId="744039BB" w14:textId="77777777" w:rsidTr="00597AD8">
        <w:trPr>
          <w:trHeight w:val="552"/>
        </w:trPr>
        <w:tc>
          <w:tcPr>
            <w:tcW w:w="3885" w:type="dxa"/>
            <w:shd w:val="clear" w:color="000000" w:fill="FDE9D9"/>
            <w:hideMark/>
          </w:tcPr>
          <w:p w14:paraId="5D406F19" w14:textId="3AA7223E"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 xml:space="preserve">Objektivi specifik 3.Të sigurohet që personat me aftësi të kufizuara në paraburgim dhe në institucionet e vuajtjes së dënimit të kenë ambiente të aksesueshme, shërbime shëndetësore e psikosociale dhe plane </w:t>
            </w:r>
            <w:r w:rsidRPr="0048716F">
              <w:rPr>
                <w:rFonts w:eastAsia="Times New Roman"/>
                <w:b/>
                <w:bCs/>
                <w:color w:val="000000"/>
                <w:sz w:val="18"/>
                <w:szCs w:val="18"/>
                <w:lang w:val="en-US" w:eastAsia="en-US"/>
              </w:rPr>
              <w:lastRenderedPageBreak/>
              <w:t>individuale mbështetjeje, për të garantuar trajtim dinjitoz dhe të barabartë.</w:t>
            </w:r>
          </w:p>
        </w:tc>
        <w:tc>
          <w:tcPr>
            <w:tcW w:w="1080" w:type="dxa"/>
            <w:shd w:val="clear" w:color="000000" w:fill="FDE9D9"/>
            <w:hideMark/>
          </w:tcPr>
          <w:p w14:paraId="0BF2FCE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2026</w:t>
            </w:r>
          </w:p>
        </w:tc>
        <w:tc>
          <w:tcPr>
            <w:tcW w:w="1260" w:type="dxa"/>
            <w:shd w:val="clear" w:color="000000" w:fill="FDE9D9"/>
            <w:hideMark/>
          </w:tcPr>
          <w:p w14:paraId="03DE110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7940EA5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DPB</w:t>
            </w:r>
          </w:p>
        </w:tc>
        <w:tc>
          <w:tcPr>
            <w:tcW w:w="1521" w:type="dxa"/>
            <w:gridSpan w:val="2"/>
            <w:shd w:val="clear" w:color="000000" w:fill="FDE9D9"/>
            <w:vAlign w:val="center"/>
            <w:hideMark/>
          </w:tcPr>
          <w:p w14:paraId="4A6B553D"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MD/MSHMS</w:t>
            </w:r>
          </w:p>
        </w:tc>
        <w:tc>
          <w:tcPr>
            <w:tcW w:w="1110" w:type="dxa"/>
            <w:gridSpan w:val="2"/>
            <w:shd w:val="clear" w:color="000000" w:fill="FDE9D9"/>
            <w:hideMark/>
          </w:tcPr>
          <w:p w14:paraId="12B1D736" w14:textId="0A1C6F9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2,085</w:t>
            </w:r>
          </w:p>
        </w:tc>
        <w:tc>
          <w:tcPr>
            <w:tcW w:w="1110" w:type="dxa"/>
            <w:gridSpan w:val="3"/>
            <w:shd w:val="clear" w:color="000000" w:fill="FDE9D9"/>
            <w:hideMark/>
          </w:tcPr>
          <w:p w14:paraId="4B99E21F" w14:textId="10049EA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2,085</w:t>
            </w:r>
          </w:p>
        </w:tc>
        <w:tc>
          <w:tcPr>
            <w:tcW w:w="1110" w:type="dxa"/>
            <w:gridSpan w:val="2"/>
            <w:shd w:val="clear" w:color="000000" w:fill="FDE9D9"/>
            <w:hideMark/>
          </w:tcPr>
          <w:p w14:paraId="69849F3E" w14:textId="6690A5D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2,000</w:t>
            </w:r>
          </w:p>
        </w:tc>
        <w:tc>
          <w:tcPr>
            <w:tcW w:w="1110" w:type="dxa"/>
            <w:shd w:val="clear" w:color="000000" w:fill="FDE9D9"/>
            <w:hideMark/>
          </w:tcPr>
          <w:p w14:paraId="1FDE0184" w14:textId="3FB7001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11,500</w:t>
            </w:r>
          </w:p>
        </w:tc>
        <w:tc>
          <w:tcPr>
            <w:tcW w:w="818" w:type="dxa"/>
            <w:gridSpan w:val="2"/>
            <w:shd w:val="clear" w:color="000000" w:fill="FDE9D9"/>
            <w:hideMark/>
          </w:tcPr>
          <w:p w14:paraId="22ECDF53" w14:textId="7166310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11,500</w:t>
            </w:r>
          </w:p>
        </w:tc>
      </w:tr>
      <w:tr w:rsidR="004D73D3" w:rsidRPr="0048716F" w14:paraId="33B5D800" w14:textId="77777777" w:rsidTr="00597AD8">
        <w:trPr>
          <w:trHeight w:val="1104"/>
        </w:trPr>
        <w:tc>
          <w:tcPr>
            <w:tcW w:w="3885" w:type="dxa"/>
            <w:shd w:val="clear" w:color="000000" w:fill="DCE6F1"/>
            <w:hideMark/>
          </w:tcPr>
          <w:p w14:paraId="5EF3BF2E" w14:textId="78743EBF"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 3.1: Realizimi i aksesueshmërisë fizike dhe aksesueshmërisë në informacion e komunikim për të gjitha kategoritë e personave me aftësi të kufizuara në të gjitha institucionet e vuajtjes së dënimeve.</w:t>
            </w:r>
          </w:p>
        </w:tc>
        <w:tc>
          <w:tcPr>
            <w:tcW w:w="1080" w:type="dxa"/>
            <w:shd w:val="clear" w:color="000000" w:fill="C5D9F1"/>
            <w:noWrap/>
            <w:vAlign w:val="center"/>
            <w:hideMark/>
          </w:tcPr>
          <w:p w14:paraId="47FA387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vAlign w:val="center"/>
            <w:hideMark/>
          </w:tcPr>
          <w:p w14:paraId="6555885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noWrap/>
            <w:vAlign w:val="center"/>
            <w:hideMark/>
          </w:tcPr>
          <w:p w14:paraId="1D5B902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DPB</w:t>
            </w:r>
          </w:p>
        </w:tc>
        <w:tc>
          <w:tcPr>
            <w:tcW w:w="1521" w:type="dxa"/>
            <w:gridSpan w:val="2"/>
            <w:shd w:val="clear" w:color="000000" w:fill="C5D9F1"/>
            <w:noWrap/>
            <w:vAlign w:val="center"/>
            <w:hideMark/>
          </w:tcPr>
          <w:p w14:paraId="5CB4E96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MD/MSHMS</w:t>
            </w:r>
          </w:p>
        </w:tc>
        <w:tc>
          <w:tcPr>
            <w:tcW w:w="1110" w:type="dxa"/>
            <w:gridSpan w:val="2"/>
            <w:shd w:val="clear" w:color="000000" w:fill="C5D9F1"/>
            <w:noWrap/>
            <w:vAlign w:val="bottom"/>
            <w:hideMark/>
          </w:tcPr>
          <w:p w14:paraId="236ADCBA" w14:textId="4BD5FB6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1,000</w:t>
            </w:r>
          </w:p>
        </w:tc>
        <w:tc>
          <w:tcPr>
            <w:tcW w:w="1110" w:type="dxa"/>
            <w:gridSpan w:val="3"/>
            <w:shd w:val="clear" w:color="000000" w:fill="C5D9F1"/>
            <w:noWrap/>
            <w:vAlign w:val="bottom"/>
            <w:hideMark/>
          </w:tcPr>
          <w:p w14:paraId="55A289E9" w14:textId="6B65B42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1,000</w:t>
            </w:r>
          </w:p>
        </w:tc>
        <w:tc>
          <w:tcPr>
            <w:tcW w:w="1110" w:type="dxa"/>
            <w:gridSpan w:val="2"/>
            <w:shd w:val="clear" w:color="000000" w:fill="C5D9F1"/>
            <w:noWrap/>
            <w:vAlign w:val="bottom"/>
            <w:hideMark/>
          </w:tcPr>
          <w:p w14:paraId="57918E47" w14:textId="4C97465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1,000</w:t>
            </w:r>
          </w:p>
        </w:tc>
        <w:tc>
          <w:tcPr>
            <w:tcW w:w="1110" w:type="dxa"/>
            <w:shd w:val="clear" w:color="000000" w:fill="C5D9F1"/>
            <w:noWrap/>
            <w:vAlign w:val="bottom"/>
            <w:hideMark/>
          </w:tcPr>
          <w:p w14:paraId="060C2372" w14:textId="43E80C3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2,500</w:t>
            </w:r>
          </w:p>
        </w:tc>
        <w:tc>
          <w:tcPr>
            <w:tcW w:w="818" w:type="dxa"/>
            <w:gridSpan w:val="2"/>
            <w:shd w:val="clear" w:color="000000" w:fill="C5D9F1"/>
            <w:noWrap/>
            <w:vAlign w:val="bottom"/>
            <w:hideMark/>
          </w:tcPr>
          <w:p w14:paraId="1AB8843D" w14:textId="03E0600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2,500</w:t>
            </w:r>
          </w:p>
        </w:tc>
      </w:tr>
      <w:tr w:rsidR="004D73D3" w:rsidRPr="0048716F" w14:paraId="6FDB8E59" w14:textId="77777777" w:rsidTr="00597AD8">
        <w:trPr>
          <w:trHeight w:val="828"/>
        </w:trPr>
        <w:tc>
          <w:tcPr>
            <w:tcW w:w="3885" w:type="dxa"/>
            <w:hideMark/>
          </w:tcPr>
          <w:p w14:paraId="622C488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3.1.1.Përgatitja e analizës lidhur me vlerësimin e nevojave të aksesueshmërisë fizike, në informacion e komunikim në të gjitha institucionet e vuajtjes të dënimeve.</w:t>
            </w:r>
          </w:p>
        </w:tc>
        <w:tc>
          <w:tcPr>
            <w:tcW w:w="1080" w:type="dxa"/>
            <w:noWrap/>
            <w:hideMark/>
          </w:tcPr>
          <w:p w14:paraId="57E806D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7B5A3F3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5038F3A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33E84E7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721734A5" w14:textId="2EFE5AE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3"/>
            <w:hideMark/>
          </w:tcPr>
          <w:p w14:paraId="7F4BA316" w14:textId="3C214F4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13BC7AA8" w14:textId="0800FA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40BA35A7" w14:textId="7745B5D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2A93178" w14:textId="058953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B1AC162" w14:textId="77777777" w:rsidTr="00597AD8">
        <w:trPr>
          <w:trHeight w:val="828"/>
        </w:trPr>
        <w:tc>
          <w:tcPr>
            <w:tcW w:w="3885" w:type="dxa"/>
            <w:hideMark/>
          </w:tcPr>
          <w:p w14:paraId="54F0F0A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3.1.2.Vlerësimi i nevojave të evidentuara dhe përfshirja në buxhetet institucionale e prioriteve të orientuara nga analiza e aksesueshmërisë në institucionet e vuajtjes të dënimit.</w:t>
            </w:r>
          </w:p>
        </w:tc>
        <w:tc>
          <w:tcPr>
            <w:tcW w:w="1080" w:type="dxa"/>
            <w:noWrap/>
            <w:hideMark/>
          </w:tcPr>
          <w:p w14:paraId="3A4D2E5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noWrap/>
            <w:hideMark/>
          </w:tcPr>
          <w:p w14:paraId="3DF7296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4DFD1D6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025ECED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0A31EBB2" w14:textId="4EE54E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82BBA1F" w14:textId="65C8051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090196A" w14:textId="413AC4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32B99C0" w14:textId="46A6AC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818" w:type="dxa"/>
            <w:gridSpan w:val="2"/>
            <w:hideMark/>
          </w:tcPr>
          <w:p w14:paraId="2AB634F7" w14:textId="278F66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r>
      <w:tr w:rsidR="004D73D3" w:rsidRPr="0048716F" w14:paraId="32260B0F" w14:textId="77777777" w:rsidTr="00597AD8">
        <w:trPr>
          <w:trHeight w:val="828"/>
        </w:trPr>
        <w:tc>
          <w:tcPr>
            <w:tcW w:w="3885" w:type="dxa"/>
            <w:shd w:val="clear" w:color="000000" w:fill="C5D9F1"/>
            <w:hideMark/>
          </w:tcPr>
          <w:p w14:paraId="3C79A009" w14:textId="435E65E6"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3.2.: Fuqizimi i kapaciteteve në institucionet e paraburgimit dhe ato të vuajtjes së dënimit, duke mundësuar mbështetjen bazuar në nevojat e personave me aftësi të kufizuara.</w:t>
            </w:r>
          </w:p>
        </w:tc>
        <w:tc>
          <w:tcPr>
            <w:tcW w:w="1080" w:type="dxa"/>
            <w:shd w:val="clear" w:color="000000" w:fill="C5D9F1"/>
            <w:noWrap/>
            <w:vAlign w:val="center"/>
            <w:hideMark/>
          </w:tcPr>
          <w:p w14:paraId="20FD49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vAlign w:val="center"/>
            <w:hideMark/>
          </w:tcPr>
          <w:p w14:paraId="30044AF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noWrap/>
            <w:vAlign w:val="center"/>
            <w:hideMark/>
          </w:tcPr>
          <w:p w14:paraId="2FBD6A6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DPB</w:t>
            </w:r>
          </w:p>
        </w:tc>
        <w:tc>
          <w:tcPr>
            <w:tcW w:w="1521" w:type="dxa"/>
            <w:gridSpan w:val="2"/>
            <w:shd w:val="clear" w:color="000000" w:fill="C5D9F1"/>
            <w:noWrap/>
            <w:vAlign w:val="center"/>
            <w:hideMark/>
          </w:tcPr>
          <w:p w14:paraId="10A7EEDA"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MD/MSHMS</w:t>
            </w:r>
          </w:p>
        </w:tc>
        <w:tc>
          <w:tcPr>
            <w:tcW w:w="1110" w:type="dxa"/>
            <w:gridSpan w:val="2"/>
            <w:shd w:val="clear" w:color="000000" w:fill="C5D9F1"/>
            <w:noWrap/>
            <w:hideMark/>
          </w:tcPr>
          <w:p w14:paraId="1582D739" w14:textId="7487714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1,085</w:t>
            </w:r>
          </w:p>
        </w:tc>
        <w:tc>
          <w:tcPr>
            <w:tcW w:w="1110" w:type="dxa"/>
            <w:gridSpan w:val="3"/>
            <w:shd w:val="clear" w:color="000000" w:fill="C5D9F1"/>
            <w:noWrap/>
            <w:hideMark/>
          </w:tcPr>
          <w:p w14:paraId="578757C2" w14:textId="28B5AD3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1,085</w:t>
            </w:r>
          </w:p>
        </w:tc>
        <w:tc>
          <w:tcPr>
            <w:tcW w:w="1110" w:type="dxa"/>
            <w:gridSpan w:val="2"/>
            <w:shd w:val="clear" w:color="000000" w:fill="C5D9F1"/>
            <w:noWrap/>
            <w:hideMark/>
          </w:tcPr>
          <w:p w14:paraId="7E3E9433" w14:textId="20BF267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1,000</w:t>
            </w:r>
          </w:p>
        </w:tc>
        <w:tc>
          <w:tcPr>
            <w:tcW w:w="1110" w:type="dxa"/>
            <w:shd w:val="clear" w:color="000000" w:fill="C5D9F1"/>
            <w:noWrap/>
            <w:hideMark/>
          </w:tcPr>
          <w:p w14:paraId="41C869DB" w14:textId="27CC866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9,000</w:t>
            </w:r>
          </w:p>
        </w:tc>
        <w:tc>
          <w:tcPr>
            <w:tcW w:w="818" w:type="dxa"/>
            <w:gridSpan w:val="2"/>
            <w:shd w:val="clear" w:color="000000" w:fill="C5D9F1"/>
            <w:noWrap/>
            <w:hideMark/>
          </w:tcPr>
          <w:p w14:paraId="4091BDAA" w14:textId="4C692EF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9,000</w:t>
            </w:r>
          </w:p>
        </w:tc>
      </w:tr>
      <w:tr w:rsidR="004D73D3" w:rsidRPr="0048716F" w14:paraId="4C5AAEB2" w14:textId="77777777" w:rsidTr="00597AD8">
        <w:trPr>
          <w:trHeight w:val="1944"/>
        </w:trPr>
        <w:tc>
          <w:tcPr>
            <w:tcW w:w="3885" w:type="dxa"/>
            <w:vAlign w:val="bottom"/>
            <w:hideMark/>
          </w:tcPr>
          <w:p w14:paraId="7883124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3.2.1. Përgatitja e miratimi i procedurave/formularëve për identifikimin e hershëm të personave me aftësi të kufizuara, me qëllim garantimin e aksesueshmërisë, akomodimit të arsyeshëm dhe mbështetjes së nevojshme, në mënyrë që të paraburgosurit dhe të burgosurit me aftësi të kufizuara të kenë qasje të barabartë në të gjitha shërbimet dhe mjediset e qendrës së ndalimit.</w:t>
            </w:r>
          </w:p>
        </w:tc>
        <w:tc>
          <w:tcPr>
            <w:tcW w:w="1080" w:type="dxa"/>
            <w:noWrap/>
            <w:hideMark/>
          </w:tcPr>
          <w:p w14:paraId="5761AAE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58E629B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10DB74D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4E1D9B9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60E6E0FF" w14:textId="52D3F33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3"/>
            <w:hideMark/>
          </w:tcPr>
          <w:p w14:paraId="14527B1E" w14:textId="53AE61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3B49F7A1" w14:textId="71B1EFE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1FADAB24" w14:textId="07FDE7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48B3AC6" w14:textId="43BBC3D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E2BC4E9" w14:textId="77777777" w:rsidTr="00597AD8">
        <w:trPr>
          <w:trHeight w:val="564"/>
        </w:trPr>
        <w:tc>
          <w:tcPr>
            <w:tcW w:w="3885" w:type="dxa"/>
            <w:vAlign w:val="bottom"/>
            <w:hideMark/>
          </w:tcPr>
          <w:p w14:paraId="4DECCAA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3.2.2. Identifikimi dhe mbështetja e nevojave përmes hartimit dhe aplikimit të Protokollit të Vlerësimit dhe Planit Individual.</w:t>
            </w:r>
          </w:p>
        </w:tc>
        <w:tc>
          <w:tcPr>
            <w:tcW w:w="1080" w:type="dxa"/>
            <w:noWrap/>
            <w:hideMark/>
          </w:tcPr>
          <w:p w14:paraId="1027BA1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noWrap/>
            <w:hideMark/>
          </w:tcPr>
          <w:p w14:paraId="5F1AF87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28BBE87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4BD11BC1"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302299C0" w14:textId="2409E54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A711E09" w14:textId="5B80113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09A1D75" w14:textId="0F132A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368D158" w14:textId="77B82F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733ED83" w14:textId="7E5DFA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AFAD586" w14:textId="77777777" w:rsidTr="00597AD8">
        <w:trPr>
          <w:trHeight w:val="1116"/>
        </w:trPr>
        <w:tc>
          <w:tcPr>
            <w:tcW w:w="3885" w:type="dxa"/>
            <w:vAlign w:val="bottom"/>
            <w:hideMark/>
          </w:tcPr>
          <w:p w14:paraId="102DDDF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3.2.3. Ofrimi i shërbimeve shëndetësore dhe psikosociale në institucionin e posaçëm të vuajtjes së dënimit, përmes sistemit të referimit në mjekë, psikologë, terapi të vazhdueshme, dhe sigurimi i bashkëpunimit me shërbimet komunitare.</w:t>
            </w:r>
          </w:p>
        </w:tc>
        <w:tc>
          <w:tcPr>
            <w:tcW w:w="1080" w:type="dxa"/>
            <w:noWrap/>
            <w:hideMark/>
          </w:tcPr>
          <w:p w14:paraId="4AA8EC8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4D85C4F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1FE10E3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17EC3F4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5D458AEC" w14:textId="428DF5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FEF55AD" w14:textId="24818D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BB6B4CD" w14:textId="2F6658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B42E5FB" w14:textId="7E89D6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07D88ED" w14:textId="2A7781C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570FA3D" w14:textId="77777777" w:rsidTr="00597AD8">
        <w:trPr>
          <w:trHeight w:val="1116"/>
        </w:trPr>
        <w:tc>
          <w:tcPr>
            <w:tcW w:w="3885" w:type="dxa"/>
            <w:vAlign w:val="bottom"/>
            <w:hideMark/>
          </w:tcPr>
          <w:p w14:paraId="23DE3F0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 xml:space="preserve">3.2.4. Rritja e ndërgjegjësimit të punonjësve të policisë dhe të institucioneve të vuajtjes së dënimit, mbi aksesin në drejtësi të të gjitha kategorive të personave me aftësisë të kufizuar, bazuar në </w:t>
            </w:r>
            <w:r w:rsidRPr="0048716F">
              <w:rPr>
                <w:rFonts w:eastAsia="Times New Roman"/>
                <w:color w:val="000000"/>
                <w:sz w:val="18"/>
                <w:szCs w:val="18"/>
                <w:lang w:val="en-US" w:eastAsia="en-US"/>
              </w:rPr>
              <w:lastRenderedPageBreak/>
              <w:t>standartet ndërkombëtare për aksesin në drejtësi për personat me aftësi të kufizuara.</w:t>
            </w:r>
          </w:p>
        </w:tc>
        <w:tc>
          <w:tcPr>
            <w:tcW w:w="1080" w:type="dxa"/>
            <w:noWrap/>
            <w:hideMark/>
          </w:tcPr>
          <w:p w14:paraId="20250F7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2026</w:t>
            </w:r>
          </w:p>
        </w:tc>
        <w:tc>
          <w:tcPr>
            <w:tcW w:w="1260" w:type="dxa"/>
            <w:noWrap/>
            <w:hideMark/>
          </w:tcPr>
          <w:p w14:paraId="48CE2D5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28AEC49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53B8A81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6E15BFB7" w14:textId="1988DB7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85</w:t>
            </w:r>
          </w:p>
        </w:tc>
        <w:tc>
          <w:tcPr>
            <w:tcW w:w="1110" w:type="dxa"/>
            <w:gridSpan w:val="3"/>
            <w:hideMark/>
          </w:tcPr>
          <w:p w14:paraId="5368BA41" w14:textId="6FCD516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85</w:t>
            </w:r>
          </w:p>
        </w:tc>
        <w:tc>
          <w:tcPr>
            <w:tcW w:w="1110" w:type="dxa"/>
            <w:gridSpan w:val="2"/>
            <w:hideMark/>
          </w:tcPr>
          <w:p w14:paraId="73BE234E" w14:textId="1AC96BC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05D636A" w14:textId="5C5EB5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9BBD1EA" w14:textId="03286D5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7771D58" w14:textId="77777777" w:rsidTr="00597AD8">
        <w:trPr>
          <w:trHeight w:val="1128"/>
        </w:trPr>
        <w:tc>
          <w:tcPr>
            <w:tcW w:w="3885" w:type="dxa"/>
            <w:vAlign w:val="bottom"/>
            <w:hideMark/>
          </w:tcPr>
          <w:p w14:paraId="4A3CD6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3.2.5.Fuqizimi i kapaciteteve të punonjësve të institucioneve të vuajtjes së dënimit përmes hartimit dhe zbatimit të programeve të trajnimit/kurrikulave të trajnimit, mbi aksesin në drejtësi të të gjitha kategorive të personave me aftësisë të kufizuar.</w:t>
            </w:r>
          </w:p>
        </w:tc>
        <w:tc>
          <w:tcPr>
            <w:tcW w:w="1080" w:type="dxa"/>
            <w:noWrap/>
            <w:hideMark/>
          </w:tcPr>
          <w:p w14:paraId="1AF0171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noWrap/>
            <w:hideMark/>
          </w:tcPr>
          <w:p w14:paraId="07B1C7E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4A4EFC3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DPB</w:t>
            </w:r>
          </w:p>
        </w:tc>
        <w:tc>
          <w:tcPr>
            <w:tcW w:w="1521" w:type="dxa"/>
            <w:gridSpan w:val="2"/>
            <w:noWrap/>
            <w:vAlign w:val="center"/>
            <w:hideMark/>
          </w:tcPr>
          <w:p w14:paraId="532F1AF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MD/MSHMS</w:t>
            </w:r>
          </w:p>
        </w:tc>
        <w:tc>
          <w:tcPr>
            <w:tcW w:w="1110" w:type="dxa"/>
            <w:gridSpan w:val="2"/>
            <w:hideMark/>
          </w:tcPr>
          <w:p w14:paraId="5129F355" w14:textId="452D90C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168E4E9" w14:textId="1BD583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022A11A" w14:textId="2F9A202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B8B2FDA" w14:textId="3905033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9,000</w:t>
            </w:r>
          </w:p>
        </w:tc>
        <w:tc>
          <w:tcPr>
            <w:tcW w:w="818" w:type="dxa"/>
            <w:gridSpan w:val="2"/>
            <w:hideMark/>
          </w:tcPr>
          <w:p w14:paraId="75B763A8" w14:textId="1CB2774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9,000</w:t>
            </w:r>
          </w:p>
        </w:tc>
      </w:tr>
      <w:tr w:rsidR="004D73D3" w:rsidRPr="0048716F" w14:paraId="2DB7340B" w14:textId="77777777" w:rsidTr="00597AD8">
        <w:trPr>
          <w:trHeight w:val="324"/>
        </w:trPr>
        <w:tc>
          <w:tcPr>
            <w:tcW w:w="3885" w:type="dxa"/>
            <w:shd w:val="clear" w:color="000000" w:fill="F276AB"/>
            <w:vAlign w:val="center"/>
            <w:hideMark/>
          </w:tcPr>
          <w:p w14:paraId="4FAD6F71"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III. PUNËSIMI DHE AFTËSIMI</w:t>
            </w:r>
          </w:p>
        </w:tc>
        <w:tc>
          <w:tcPr>
            <w:tcW w:w="1080" w:type="dxa"/>
            <w:shd w:val="clear" w:color="000000" w:fill="F276AB"/>
            <w:vAlign w:val="center"/>
            <w:hideMark/>
          </w:tcPr>
          <w:p w14:paraId="4B991DEA" w14:textId="05977B4D"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4C1D6802" w14:textId="1F61E08A"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1F2BF1F1" w14:textId="08EFBE04"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73ED5C86" w14:textId="7059558C"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740386CC" w14:textId="1762D9FE"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366,299</w:t>
            </w:r>
          </w:p>
        </w:tc>
        <w:tc>
          <w:tcPr>
            <w:tcW w:w="1110" w:type="dxa"/>
            <w:gridSpan w:val="3"/>
            <w:shd w:val="clear" w:color="000000" w:fill="F276AB"/>
            <w:vAlign w:val="center"/>
            <w:hideMark/>
          </w:tcPr>
          <w:p w14:paraId="4657458E" w14:textId="44A2A0CF"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385,865</w:t>
            </w:r>
          </w:p>
        </w:tc>
        <w:tc>
          <w:tcPr>
            <w:tcW w:w="1110" w:type="dxa"/>
            <w:gridSpan w:val="2"/>
            <w:shd w:val="clear" w:color="000000" w:fill="F276AB"/>
            <w:vAlign w:val="center"/>
            <w:hideMark/>
          </w:tcPr>
          <w:p w14:paraId="1D1445C2" w14:textId="500A9E43"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346,515</w:t>
            </w:r>
          </w:p>
        </w:tc>
        <w:tc>
          <w:tcPr>
            <w:tcW w:w="1110" w:type="dxa"/>
            <w:shd w:val="clear" w:color="000000" w:fill="F276AB"/>
            <w:vAlign w:val="center"/>
            <w:hideMark/>
          </w:tcPr>
          <w:p w14:paraId="2DC4EFE8" w14:textId="6AB6E72E"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349,002</w:t>
            </w:r>
          </w:p>
        </w:tc>
        <w:tc>
          <w:tcPr>
            <w:tcW w:w="818" w:type="dxa"/>
            <w:gridSpan w:val="2"/>
            <w:shd w:val="clear" w:color="000000" w:fill="F276AB"/>
            <w:vAlign w:val="center"/>
            <w:hideMark/>
          </w:tcPr>
          <w:p w14:paraId="7734553E" w14:textId="0EB04978"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356,300</w:t>
            </w:r>
          </w:p>
        </w:tc>
      </w:tr>
      <w:tr w:rsidR="004D73D3" w:rsidRPr="0048716F" w14:paraId="07DD5574" w14:textId="77777777" w:rsidTr="00597AD8">
        <w:trPr>
          <w:trHeight w:val="1104"/>
        </w:trPr>
        <w:tc>
          <w:tcPr>
            <w:tcW w:w="3885" w:type="dxa"/>
            <w:shd w:val="clear" w:color="000000" w:fill="FDE9D9"/>
            <w:hideMark/>
          </w:tcPr>
          <w:p w14:paraId="685461E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1: Nxitja e pjesëmarrjes, zgjerimi i aksesit dhe përfitimit të nxënësve dhe kursantëve me aftësi të kufizuara nga programet e arsimit dhe formimit profesional, në përputhje me nevojat e tregut të punës dhe parimet e arsimit gjithëpërfshirës.</w:t>
            </w:r>
          </w:p>
        </w:tc>
        <w:tc>
          <w:tcPr>
            <w:tcW w:w="1080" w:type="dxa"/>
            <w:shd w:val="clear" w:color="000000" w:fill="FDE9D9"/>
            <w:hideMark/>
          </w:tcPr>
          <w:p w14:paraId="083C1D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054F2CB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4974398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 MA, AKPA AKAFPK,IOAFP</w:t>
            </w:r>
          </w:p>
        </w:tc>
        <w:tc>
          <w:tcPr>
            <w:tcW w:w="1521" w:type="dxa"/>
            <w:gridSpan w:val="2"/>
            <w:shd w:val="clear" w:color="000000" w:fill="FDE9D9"/>
            <w:vAlign w:val="center"/>
            <w:hideMark/>
          </w:tcPr>
          <w:p w14:paraId="0ACF0AD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AKPA/ASCAP/AKAFPK/AKAP/ASCAP/IOAFP/MEI/NJVV</w:t>
            </w:r>
          </w:p>
        </w:tc>
        <w:tc>
          <w:tcPr>
            <w:tcW w:w="1110" w:type="dxa"/>
            <w:gridSpan w:val="2"/>
            <w:shd w:val="clear" w:color="000000" w:fill="EEECE1"/>
            <w:noWrap/>
            <w:vAlign w:val="center"/>
            <w:hideMark/>
          </w:tcPr>
          <w:p w14:paraId="43DEBE8E" w14:textId="2AED2C2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126,789</w:t>
            </w:r>
          </w:p>
        </w:tc>
        <w:tc>
          <w:tcPr>
            <w:tcW w:w="1110" w:type="dxa"/>
            <w:gridSpan w:val="3"/>
            <w:shd w:val="clear" w:color="000000" w:fill="EEECE1"/>
            <w:noWrap/>
            <w:vAlign w:val="center"/>
            <w:hideMark/>
          </w:tcPr>
          <w:p w14:paraId="53412421" w14:textId="515D4BF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134,665</w:t>
            </w:r>
          </w:p>
        </w:tc>
        <w:tc>
          <w:tcPr>
            <w:tcW w:w="1110" w:type="dxa"/>
            <w:gridSpan w:val="2"/>
            <w:shd w:val="clear" w:color="000000" w:fill="EEECE1"/>
            <w:noWrap/>
            <w:vAlign w:val="center"/>
            <w:hideMark/>
          </w:tcPr>
          <w:p w14:paraId="0513D7F7" w14:textId="07C7185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96,051</w:t>
            </w:r>
          </w:p>
        </w:tc>
        <w:tc>
          <w:tcPr>
            <w:tcW w:w="1110" w:type="dxa"/>
            <w:shd w:val="clear" w:color="000000" w:fill="EEECE1"/>
            <w:noWrap/>
            <w:vAlign w:val="center"/>
            <w:hideMark/>
          </w:tcPr>
          <w:p w14:paraId="6550C744" w14:textId="723AAC3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95,588</w:t>
            </w:r>
          </w:p>
        </w:tc>
        <w:tc>
          <w:tcPr>
            <w:tcW w:w="818" w:type="dxa"/>
            <w:gridSpan w:val="2"/>
            <w:shd w:val="clear" w:color="000000" w:fill="EEECE1"/>
            <w:noWrap/>
            <w:vAlign w:val="center"/>
            <w:hideMark/>
          </w:tcPr>
          <w:p w14:paraId="66F95FCE" w14:textId="42E2DFF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95,588</w:t>
            </w:r>
          </w:p>
        </w:tc>
      </w:tr>
      <w:tr w:rsidR="004D73D3" w:rsidRPr="0048716F" w14:paraId="702CBF7E" w14:textId="77777777" w:rsidTr="00597AD8">
        <w:trPr>
          <w:trHeight w:val="1056"/>
        </w:trPr>
        <w:tc>
          <w:tcPr>
            <w:tcW w:w="3885" w:type="dxa"/>
            <w:shd w:val="clear" w:color="000000" w:fill="DCE6F1"/>
            <w:hideMark/>
          </w:tcPr>
          <w:p w14:paraId="5124010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1.1: Përmirësimi i kornizës politike, ligjore dhe institucionale për arsim e formim profesional gjithëpërfshirës për nxënësit e kursantët me aftësi të kufizuara</w:t>
            </w:r>
          </w:p>
        </w:tc>
        <w:tc>
          <w:tcPr>
            <w:tcW w:w="1080" w:type="dxa"/>
            <w:shd w:val="clear" w:color="000000" w:fill="DCE6F1"/>
            <w:hideMark/>
          </w:tcPr>
          <w:p w14:paraId="6D486B1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0E4153B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7B3608D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 MA, AKAFPK</w:t>
            </w:r>
          </w:p>
        </w:tc>
        <w:tc>
          <w:tcPr>
            <w:tcW w:w="1521" w:type="dxa"/>
            <w:gridSpan w:val="2"/>
            <w:shd w:val="clear" w:color="000000" w:fill="DCE6F1"/>
            <w:vAlign w:val="center"/>
            <w:hideMark/>
          </w:tcPr>
          <w:p w14:paraId="62FF27F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ASCAP,AKAFPK; AKAP, ASCAP/IoAFP</w:t>
            </w:r>
          </w:p>
        </w:tc>
        <w:tc>
          <w:tcPr>
            <w:tcW w:w="1110" w:type="dxa"/>
            <w:gridSpan w:val="2"/>
            <w:shd w:val="clear" w:color="000000" w:fill="DCE6F1"/>
            <w:hideMark/>
          </w:tcPr>
          <w:p w14:paraId="71ADA145" w14:textId="3065B4F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38,773</w:t>
            </w:r>
          </w:p>
        </w:tc>
        <w:tc>
          <w:tcPr>
            <w:tcW w:w="1110" w:type="dxa"/>
            <w:gridSpan w:val="3"/>
            <w:shd w:val="clear" w:color="000000" w:fill="DCE6F1"/>
            <w:hideMark/>
          </w:tcPr>
          <w:p w14:paraId="2D10D325" w14:textId="533A098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46,377</w:t>
            </w:r>
          </w:p>
        </w:tc>
        <w:tc>
          <w:tcPr>
            <w:tcW w:w="1110" w:type="dxa"/>
            <w:gridSpan w:val="2"/>
            <w:shd w:val="clear" w:color="000000" w:fill="DCE6F1"/>
            <w:hideMark/>
          </w:tcPr>
          <w:p w14:paraId="79810EAD" w14:textId="4719280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7,088</w:t>
            </w:r>
          </w:p>
        </w:tc>
        <w:tc>
          <w:tcPr>
            <w:tcW w:w="1110" w:type="dxa"/>
            <w:shd w:val="clear" w:color="000000" w:fill="DCE6F1"/>
            <w:hideMark/>
          </w:tcPr>
          <w:p w14:paraId="671CF3B0" w14:textId="1DF897D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6,843</w:t>
            </w:r>
          </w:p>
        </w:tc>
        <w:tc>
          <w:tcPr>
            <w:tcW w:w="818" w:type="dxa"/>
            <w:gridSpan w:val="2"/>
            <w:shd w:val="clear" w:color="000000" w:fill="DCE6F1"/>
            <w:hideMark/>
          </w:tcPr>
          <w:p w14:paraId="5CBD95E8" w14:textId="4038EAC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6,843</w:t>
            </w:r>
          </w:p>
        </w:tc>
      </w:tr>
      <w:tr w:rsidR="004D73D3" w:rsidRPr="0048716F" w14:paraId="0996A8F9" w14:textId="77777777" w:rsidTr="00597AD8">
        <w:trPr>
          <w:trHeight w:val="828"/>
        </w:trPr>
        <w:tc>
          <w:tcPr>
            <w:tcW w:w="3885" w:type="dxa"/>
            <w:hideMark/>
          </w:tcPr>
          <w:p w14:paraId="7FBB3949"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1.1.1 Rishikim dhe përmirësimi i dhe Ligjit për Arsimin dhe Formimin Profesional, për të garantuar AFP gjithëpërfshirës  dhe cilësor për nxënësit dhe kursantët me aftësi të kufizuara.</w:t>
            </w:r>
          </w:p>
        </w:tc>
        <w:tc>
          <w:tcPr>
            <w:tcW w:w="1080" w:type="dxa"/>
            <w:vAlign w:val="center"/>
            <w:hideMark/>
          </w:tcPr>
          <w:p w14:paraId="4C9190B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076AA02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208F4E9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 MA</w:t>
            </w:r>
          </w:p>
        </w:tc>
        <w:tc>
          <w:tcPr>
            <w:tcW w:w="1521" w:type="dxa"/>
            <w:gridSpan w:val="2"/>
            <w:vAlign w:val="center"/>
            <w:hideMark/>
          </w:tcPr>
          <w:p w14:paraId="34C7B15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ASCAP,AKAFPK; AKAP, ASCAP</w:t>
            </w:r>
          </w:p>
        </w:tc>
        <w:tc>
          <w:tcPr>
            <w:tcW w:w="1110" w:type="dxa"/>
            <w:gridSpan w:val="2"/>
            <w:hideMark/>
          </w:tcPr>
          <w:p w14:paraId="6BEACA9D" w14:textId="500EAAC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995</w:t>
            </w:r>
          </w:p>
        </w:tc>
        <w:tc>
          <w:tcPr>
            <w:tcW w:w="1110" w:type="dxa"/>
            <w:gridSpan w:val="3"/>
            <w:hideMark/>
          </w:tcPr>
          <w:p w14:paraId="296BE6D7" w14:textId="4ED31D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723</w:t>
            </w:r>
          </w:p>
        </w:tc>
        <w:tc>
          <w:tcPr>
            <w:tcW w:w="1110" w:type="dxa"/>
            <w:gridSpan w:val="2"/>
            <w:hideMark/>
          </w:tcPr>
          <w:p w14:paraId="2B839F0C" w14:textId="1A2E12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3795A23" w14:textId="0C6586A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183D532" w14:textId="3050E0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76D386F" w14:textId="77777777" w:rsidTr="00597AD8">
        <w:trPr>
          <w:trHeight w:val="792"/>
        </w:trPr>
        <w:tc>
          <w:tcPr>
            <w:tcW w:w="3885" w:type="dxa"/>
            <w:hideMark/>
          </w:tcPr>
          <w:p w14:paraId="73DD08B5"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1.1.2  Përfshirje e elementeve të AFP në Ligjin për Arsimin Parauniversitar, për të garantuar AFP cilësor për nxënësit dhe kursantët me aftësi të kufizuara.</w:t>
            </w:r>
          </w:p>
        </w:tc>
        <w:tc>
          <w:tcPr>
            <w:tcW w:w="1080" w:type="dxa"/>
            <w:vAlign w:val="center"/>
            <w:hideMark/>
          </w:tcPr>
          <w:p w14:paraId="01A4071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0CAF954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46FF966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 MA</w:t>
            </w:r>
          </w:p>
        </w:tc>
        <w:tc>
          <w:tcPr>
            <w:tcW w:w="1521" w:type="dxa"/>
            <w:gridSpan w:val="2"/>
            <w:vAlign w:val="center"/>
            <w:hideMark/>
          </w:tcPr>
          <w:p w14:paraId="563A7E5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ASCAP,AKAFPK; AKAP, ASCAP</w:t>
            </w:r>
          </w:p>
        </w:tc>
        <w:tc>
          <w:tcPr>
            <w:tcW w:w="1110" w:type="dxa"/>
            <w:gridSpan w:val="2"/>
            <w:hideMark/>
          </w:tcPr>
          <w:p w14:paraId="1D0DD4AE" w14:textId="6D3F4AE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995</w:t>
            </w:r>
          </w:p>
        </w:tc>
        <w:tc>
          <w:tcPr>
            <w:tcW w:w="1110" w:type="dxa"/>
            <w:gridSpan w:val="3"/>
            <w:hideMark/>
          </w:tcPr>
          <w:p w14:paraId="36A4E177" w14:textId="21D7369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723</w:t>
            </w:r>
          </w:p>
        </w:tc>
        <w:tc>
          <w:tcPr>
            <w:tcW w:w="1110" w:type="dxa"/>
            <w:gridSpan w:val="2"/>
            <w:hideMark/>
          </w:tcPr>
          <w:p w14:paraId="6E6A6C4B" w14:textId="78BF24B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3C95FD4" w14:textId="17C600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F6DEEC1" w14:textId="75D887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4F2ABB5" w14:textId="77777777" w:rsidTr="00597AD8">
        <w:trPr>
          <w:trHeight w:val="828"/>
        </w:trPr>
        <w:tc>
          <w:tcPr>
            <w:tcW w:w="3885" w:type="dxa"/>
            <w:hideMark/>
          </w:tcPr>
          <w:p w14:paraId="541AB76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1.1.3  Hartimi dhe aprovimi i një Udhëzimi të përbashkët me Ministrine e Arsimit dhe Ministrinë e Shëndetësisë  në zbatim te Nenit 64: “Ndjekja e institucioneve arsimore nga fëmijët me aftësi të kufizuara”</w:t>
            </w:r>
          </w:p>
        </w:tc>
        <w:tc>
          <w:tcPr>
            <w:tcW w:w="1080" w:type="dxa"/>
            <w:vAlign w:val="center"/>
            <w:hideMark/>
          </w:tcPr>
          <w:p w14:paraId="1FFA529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613F4DD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5499E28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 MA</w:t>
            </w:r>
          </w:p>
        </w:tc>
        <w:tc>
          <w:tcPr>
            <w:tcW w:w="1521" w:type="dxa"/>
            <w:gridSpan w:val="2"/>
            <w:vAlign w:val="center"/>
            <w:hideMark/>
          </w:tcPr>
          <w:p w14:paraId="2E955D4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ASCAP,AKAFPK; AKAP, ASCAP</w:t>
            </w:r>
          </w:p>
        </w:tc>
        <w:tc>
          <w:tcPr>
            <w:tcW w:w="1110" w:type="dxa"/>
            <w:gridSpan w:val="2"/>
            <w:hideMark/>
          </w:tcPr>
          <w:p w14:paraId="3328DBD1" w14:textId="79D3278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182</w:t>
            </w:r>
          </w:p>
        </w:tc>
        <w:tc>
          <w:tcPr>
            <w:tcW w:w="1110" w:type="dxa"/>
            <w:gridSpan w:val="3"/>
            <w:hideMark/>
          </w:tcPr>
          <w:p w14:paraId="4185A509" w14:textId="19AA6AD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F192861" w14:textId="19E878D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32EF079" w14:textId="49887D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ACC269F" w14:textId="31C5D1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5E7454D" w14:textId="77777777" w:rsidTr="00597AD8">
        <w:trPr>
          <w:trHeight w:val="552"/>
        </w:trPr>
        <w:tc>
          <w:tcPr>
            <w:tcW w:w="3885" w:type="dxa"/>
            <w:hideMark/>
          </w:tcPr>
          <w:p w14:paraId="6CB201AA"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1.1.4  Aprovimi i Udhëzuesit për ofrimin e arsimit dhe formimit profesional gjithëpërfshirës për nxënësit dhe kursantët me aftësi të kufizuara;</w:t>
            </w:r>
          </w:p>
        </w:tc>
        <w:tc>
          <w:tcPr>
            <w:tcW w:w="1080" w:type="dxa"/>
            <w:vAlign w:val="center"/>
            <w:hideMark/>
          </w:tcPr>
          <w:p w14:paraId="03F6B87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B0F81A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411" w:type="dxa"/>
            <w:vAlign w:val="center"/>
            <w:hideMark/>
          </w:tcPr>
          <w:p w14:paraId="0CEE988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 AKPA</w:t>
            </w:r>
          </w:p>
        </w:tc>
        <w:tc>
          <w:tcPr>
            <w:tcW w:w="1521" w:type="dxa"/>
            <w:gridSpan w:val="2"/>
            <w:vAlign w:val="center"/>
            <w:hideMark/>
          </w:tcPr>
          <w:p w14:paraId="385E1BE1"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IoAFP</w:t>
            </w:r>
          </w:p>
        </w:tc>
        <w:tc>
          <w:tcPr>
            <w:tcW w:w="1110" w:type="dxa"/>
            <w:gridSpan w:val="2"/>
            <w:hideMark/>
          </w:tcPr>
          <w:p w14:paraId="0D60605B" w14:textId="63E2EC5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273</w:t>
            </w:r>
          </w:p>
        </w:tc>
        <w:tc>
          <w:tcPr>
            <w:tcW w:w="1110" w:type="dxa"/>
            <w:gridSpan w:val="3"/>
            <w:hideMark/>
          </w:tcPr>
          <w:p w14:paraId="455D3FD3" w14:textId="5503458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5666768" w14:textId="32FB5FE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499CDE1" w14:textId="23BE4F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B7C2D6A" w14:textId="2687644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E219846" w14:textId="77777777" w:rsidTr="00597AD8">
        <w:trPr>
          <w:trHeight w:val="828"/>
        </w:trPr>
        <w:tc>
          <w:tcPr>
            <w:tcW w:w="3885" w:type="dxa"/>
            <w:hideMark/>
          </w:tcPr>
          <w:p w14:paraId="745A764F" w14:textId="331E7D6A"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 xml:space="preserve">1.1.5 Rishikimi i procesit të vetëvlerësimit si instrument plotësues dhe efektiv i garantimit të cilësisë duke  përfshirë tregues specifik për </w:t>
            </w:r>
            <w:r w:rsidRPr="0048716F">
              <w:rPr>
                <w:rFonts w:eastAsia="Times New Roman"/>
                <w:sz w:val="18"/>
                <w:szCs w:val="18"/>
                <w:lang w:val="en-US" w:eastAsia="en-US"/>
              </w:rPr>
              <w:lastRenderedPageBreak/>
              <w:t>gadishmërinë e IOAFP për arsimimin gjithëpërfshirës</w:t>
            </w:r>
          </w:p>
        </w:tc>
        <w:tc>
          <w:tcPr>
            <w:tcW w:w="1080" w:type="dxa"/>
            <w:vAlign w:val="center"/>
            <w:hideMark/>
          </w:tcPr>
          <w:p w14:paraId="4D799EA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2027</w:t>
            </w:r>
          </w:p>
        </w:tc>
        <w:tc>
          <w:tcPr>
            <w:tcW w:w="1260" w:type="dxa"/>
            <w:vAlign w:val="center"/>
            <w:hideMark/>
          </w:tcPr>
          <w:p w14:paraId="4DC81A0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109A47B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AKAFPK</w:t>
            </w:r>
          </w:p>
        </w:tc>
        <w:tc>
          <w:tcPr>
            <w:tcW w:w="1521" w:type="dxa"/>
            <w:gridSpan w:val="2"/>
            <w:vAlign w:val="center"/>
            <w:hideMark/>
          </w:tcPr>
          <w:p w14:paraId="09BE2FE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110" w:type="dxa"/>
            <w:gridSpan w:val="2"/>
            <w:hideMark/>
          </w:tcPr>
          <w:p w14:paraId="604013B2" w14:textId="1E80D1F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154073A6" w14:textId="5DE4073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623</w:t>
            </w:r>
          </w:p>
        </w:tc>
        <w:tc>
          <w:tcPr>
            <w:tcW w:w="1110" w:type="dxa"/>
            <w:gridSpan w:val="2"/>
            <w:hideMark/>
          </w:tcPr>
          <w:p w14:paraId="64A174EE" w14:textId="4E37737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10FAF32" w14:textId="1CBE56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1C0D7BE" w14:textId="3E0141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955EDDF" w14:textId="77777777" w:rsidTr="00597AD8">
        <w:trPr>
          <w:trHeight w:val="1380"/>
        </w:trPr>
        <w:tc>
          <w:tcPr>
            <w:tcW w:w="3885" w:type="dxa"/>
            <w:hideMark/>
          </w:tcPr>
          <w:p w14:paraId="39DB7FD6"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1.1.6 Rishikim i kritereve të cilësisë dhe modelit të akreditimit për të garantuar standarded e arsimit gjithëpërfshirës për nxënësit e kursantët me aftësi të kufizura, si kusht për akreditimin për të gjithë ofruesit publikë të AFP-së, si dhe ofrues private që ofrojnë kualifikime profesionale të niveleve 2-5të KSHK-së.</w:t>
            </w:r>
          </w:p>
        </w:tc>
        <w:tc>
          <w:tcPr>
            <w:tcW w:w="1080" w:type="dxa"/>
            <w:vAlign w:val="center"/>
            <w:hideMark/>
          </w:tcPr>
          <w:p w14:paraId="34C3F66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vAlign w:val="center"/>
            <w:hideMark/>
          </w:tcPr>
          <w:p w14:paraId="5CCFC59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29DB662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AKAFPK</w:t>
            </w:r>
          </w:p>
        </w:tc>
        <w:tc>
          <w:tcPr>
            <w:tcW w:w="1521" w:type="dxa"/>
            <w:gridSpan w:val="2"/>
            <w:vAlign w:val="center"/>
            <w:hideMark/>
          </w:tcPr>
          <w:p w14:paraId="60EBBB0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MEI</w:t>
            </w:r>
          </w:p>
        </w:tc>
        <w:tc>
          <w:tcPr>
            <w:tcW w:w="1110" w:type="dxa"/>
            <w:gridSpan w:val="2"/>
            <w:hideMark/>
          </w:tcPr>
          <w:p w14:paraId="4E726D28" w14:textId="1F3DB5F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16D2762B" w14:textId="1C26A4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623</w:t>
            </w:r>
          </w:p>
        </w:tc>
        <w:tc>
          <w:tcPr>
            <w:tcW w:w="1110" w:type="dxa"/>
            <w:gridSpan w:val="2"/>
            <w:hideMark/>
          </w:tcPr>
          <w:p w14:paraId="230C12E9" w14:textId="4E6C86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13E2C78" w14:textId="7C01030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93CB76E" w14:textId="72E817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5E8953C" w14:textId="77777777" w:rsidTr="00597AD8">
        <w:trPr>
          <w:trHeight w:val="828"/>
        </w:trPr>
        <w:tc>
          <w:tcPr>
            <w:tcW w:w="3885" w:type="dxa"/>
            <w:hideMark/>
          </w:tcPr>
          <w:p w14:paraId="509367F7"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1.1.7 Rishikim i qasjes dhe modelit të inspektimit në AFP të harmonizuar me kornizën e garantimit dhe zhvillimit të cilësisë, dhe plotësimi me tregues specifik që garantojnë cilësinë në arsim për nxënësit me aftësi të kufizuara</w:t>
            </w:r>
          </w:p>
        </w:tc>
        <w:tc>
          <w:tcPr>
            <w:tcW w:w="1080" w:type="dxa"/>
            <w:vAlign w:val="center"/>
            <w:hideMark/>
          </w:tcPr>
          <w:p w14:paraId="4208546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vAlign w:val="center"/>
            <w:hideMark/>
          </w:tcPr>
          <w:p w14:paraId="549B064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5A4CAC3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521" w:type="dxa"/>
            <w:gridSpan w:val="2"/>
            <w:vAlign w:val="center"/>
            <w:hideMark/>
          </w:tcPr>
          <w:p w14:paraId="4A78367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AKAFPK</w:t>
            </w:r>
          </w:p>
        </w:tc>
        <w:tc>
          <w:tcPr>
            <w:tcW w:w="1110" w:type="dxa"/>
            <w:gridSpan w:val="2"/>
            <w:hideMark/>
          </w:tcPr>
          <w:p w14:paraId="00CF3833" w14:textId="3E6FEED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28ABA763" w14:textId="0EE0A61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623</w:t>
            </w:r>
          </w:p>
        </w:tc>
        <w:tc>
          <w:tcPr>
            <w:tcW w:w="1110" w:type="dxa"/>
            <w:gridSpan w:val="2"/>
            <w:hideMark/>
          </w:tcPr>
          <w:p w14:paraId="5C4156E8" w14:textId="3D666B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1AFF4BC" w14:textId="15AA6FC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64CA87C" w14:textId="730A59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9D590A7" w14:textId="77777777" w:rsidTr="00597AD8">
        <w:trPr>
          <w:trHeight w:val="1104"/>
        </w:trPr>
        <w:tc>
          <w:tcPr>
            <w:tcW w:w="3885" w:type="dxa"/>
            <w:hideMark/>
          </w:tcPr>
          <w:p w14:paraId="66B1DFC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1.1.8 Sistem i kualifikimit fillestar dhe zhvillimit të vazhduar profesional të mësimdhësve, përfshirë atë të kulturave profesinale dhe mësuesit ndihmës, për të garantuar aftësi teknike në drejtim ofrimit të një arsimi cilësor për nxënësit/kursantët me aftësi të kufizuara, i rishikuar/ aprovuar</w:t>
            </w:r>
          </w:p>
        </w:tc>
        <w:tc>
          <w:tcPr>
            <w:tcW w:w="1080" w:type="dxa"/>
            <w:vAlign w:val="center"/>
            <w:hideMark/>
          </w:tcPr>
          <w:p w14:paraId="50E201D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vAlign w:val="center"/>
            <w:hideMark/>
          </w:tcPr>
          <w:p w14:paraId="096CC82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411" w:type="dxa"/>
            <w:vAlign w:val="center"/>
            <w:hideMark/>
          </w:tcPr>
          <w:p w14:paraId="2D476B7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AKAFPK</w:t>
            </w:r>
          </w:p>
        </w:tc>
        <w:tc>
          <w:tcPr>
            <w:tcW w:w="1521" w:type="dxa"/>
            <w:gridSpan w:val="2"/>
            <w:vAlign w:val="center"/>
            <w:hideMark/>
          </w:tcPr>
          <w:p w14:paraId="27F2924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110" w:type="dxa"/>
            <w:gridSpan w:val="2"/>
            <w:hideMark/>
          </w:tcPr>
          <w:p w14:paraId="1FE212F9" w14:textId="6AA9F21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3EFE8CE2" w14:textId="4E02E04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245</w:t>
            </w:r>
          </w:p>
        </w:tc>
        <w:tc>
          <w:tcPr>
            <w:tcW w:w="1110" w:type="dxa"/>
            <w:gridSpan w:val="2"/>
            <w:hideMark/>
          </w:tcPr>
          <w:p w14:paraId="466F9D4E" w14:textId="4ED192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245</w:t>
            </w:r>
          </w:p>
        </w:tc>
        <w:tc>
          <w:tcPr>
            <w:tcW w:w="1110" w:type="dxa"/>
            <w:hideMark/>
          </w:tcPr>
          <w:p w14:paraId="42F2A60F" w14:textId="7001FD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1D9566D" w14:textId="68B4351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9782FAA" w14:textId="77777777" w:rsidTr="00597AD8">
        <w:trPr>
          <w:trHeight w:val="1104"/>
        </w:trPr>
        <w:tc>
          <w:tcPr>
            <w:tcW w:w="3885" w:type="dxa"/>
            <w:hideMark/>
          </w:tcPr>
          <w:p w14:paraId="511B36A7"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1.1.9Rishikimi dhe konsolidimi (administrativ, me kapacitete dhe mjete në formate të aksesueshme për lloje të ndryshme të aftësisë së kufizuar) i të gjitha njësive të zhvillimit brenda ofruesve publikë të AFP-së, për t’iu përgjigjur nevojave të nxënësve me aftësi të kufizuara.</w:t>
            </w:r>
          </w:p>
        </w:tc>
        <w:tc>
          <w:tcPr>
            <w:tcW w:w="1080" w:type="dxa"/>
            <w:vAlign w:val="center"/>
            <w:hideMark/>
          </w:tcPr>
          <w:p w14:paraId="1C0C724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48987F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B326EC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AKAFPK</w:t>
            </w:r>
          </w:p>
        </w:tc>
        <w:tc>
          <w:tcPr>
            <w:tcW w:w="1521" w:type="dxa"/>
            <w:gridSpan w:val="2"/>
            <w:vAlign w:val="center"/>
            <w:hideMark/>
          </w:tcPr>
          <w:p w14:paraId="68D0331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110" w:type="dxa"/>
            <w:gridSpan w:val="2"/>
            <w:hideMark/>
          </w:tcPr>
          <w:p w14:paraId="1644C3B0" w14:textId="0FF5F10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900</w:t>
            </w:r>
          </w:p>
        </w:tc>
        <w:tc>
          <w:tcPr>
            <w:tcW w:w="1110" w:type="dxa"/>
            <w:gridSpan w:val="3"/>
            <w:hideMark/>
          </w:tcPr>
          <w:p w14:paraId="6713F19B" w14:textId="08A9FF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6,690</w:t>
            </w:r>
          </w:p>
        </w:tc>
        <w:tc>
          <w:tcPr>
            <w:tcW w:w="1110" w:type="dxa"/>
            <w:gridSpan w:val="2"/>
            <w:hideMark/>
          </w:tcPr>
          <w:p w14:paraId="0328A9C5" w14:textId="44F4726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6,515</w:t>
            </w:r>
          </w:p>
        </w:tc>
        <w:tc>
          <w:tcPr>
            <w:tcW w:w="1110" w:type="dxa"/>
            <w:hideMark/>
          </w:tcPr>
          <w:p w14:paraId="4A05919B" w14:textId="01C10E7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6,515</w:t>
            </w:r>
          </w:p>
        </w:tc>
        <w:tc>
          <w:tcPr>
            <w:tcW w:w="818" w:type="dxa"/>
            <w:gridSpan w:val="2"/>
            <w:hideMark/>
          </w:tcPr>
          <w:p w14:paraId="52AFB323" w14:textId="7063770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6,515</w:t>
            </w:r>
          </w:p>
        </w:tc>
      </w:tr>
      <w:tr w:rsidR="004D73D3" w:rsidRPr="0048716F" w14:paraId="016D5AFF" w14:textId="77777777" w:rsidTr="00597AD8">
        <w:trPr>
          <w:trHeight w:val="828"/>
        </w:trPr>
        <w:tc>
          <w:tcPr>
            <w:tcW w:w="3885" w:type="dxa"/>
            <w:hideMark/>
          </w:tcPr>
          <w:p w14:paraId="52C9607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1.1.10  Ngritja e kapaciteteve të stafeve drejtuese dhe mbështetëse në ofruesit publik të AFP-së përfshirë në lidhje me aftësinë e kufizuar dhe arsimin gjithëpërfshirës për nxënësit dhe kursantët me aftësi të kufizuara.</w:t>
            </w:r>
          </w:p>
        </w:tc>
        <w:tc>
          <w:tcPr>
            <w:tcW w:w="1080" w:type="dxa"/>
            <w:vAlign w:val="center"/>
            <w:hideMark/>
          </w:tcPr>
          <w:p w14:paraId="128617D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3D4E24F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79ED13F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1723A45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AKAFPK</w:t>
            </w:r>
          </w:p>
        </w:tc>
        <w:tc>
          <w:tcPr>
            <w:tcW w:w="1110" w:type="dxa"/>
            <w:gridSpan w:val="2"/>
            <w:hideMark/>
          </w:tcPr>
          <w:p w14:paraId="4D64DE65" w14:textId="7B35D99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35,100</w:t>
            </w:r>
          </w:p>
        </w:tc>
        <w:tc>
          <w:tcPr>
            <w:tcW w:w="1110" w:type="dxa"/>
            <w:gridSpan w:val="3"/>
            <w:hideMark/>
          </w:tcPr>
          <w:p w14:paraId="31B4B065" w14:textId="3194CE2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35,100</w:t>
            </w:r>
          </w:p>
        </w:tc>
        <w:tc>
          <w:tcPr>
            <w:tcW w:w="1110" w:type="dxa"/>
            <w:gridSpan w:val="2"/>
            <w:hideMark/>
          </w:tcPr>
          <w:p w14:paraId="7BDFD526" w14:textId="60899C0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501176D" w14:textId="6AA5D6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5EC9DC5" w14:textId="3211F1F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0819DD1" w14:textId="77777777" w:rsidTr="00597AD8">
        <w:trPr>
          <w:trHeight w:val="828"/>
        </w:trPr>
        <w:tc>
          <w:tcPr>
            <w:tcW w:w="3885" w:type="dxa"/>
            <w:hideMark/>
          </w:tcPr>
          <w:p w14:paraId="5B48A69A"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1.1.11 Krijimi dhe fuqizimi i rrjeteve të e të praktikës mes institucioneve të AFP për shkëmbim përvojash në lidhje me arsimin dhe formimin profesional gjithëpërfshirës për nxënësit dhe kursantët me aftësi të kufizuara.</w:t>
            </w:r>
          </w:p>
        </w:tc>
        <w:tc>
          <w:tcPr>
            <w:tcW w:w="1080" w:type="dxa"/>
            <w:vAlign w:val="center"/>
            <w:hideMark/>
          </w:tcPr>
          <w:p w14:paraId="0D2C441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763D7CC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2FE998C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2F967E61"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AKAFPK</w:t>
            </w:r>
          </w:p>
        </w:tc>
        <w:tc>
          <w:tcPr>
            <w:tcW w:w="1110" w:type="dxa"/>
            <w:gridSpan w:val="2"/>
            <w:hideMark/>
          </w:tcPr>
          <w:p w14:paraId="3B7B2DA6" w14:textId="492117D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327</w:t>
            </w:r>
          </w:p>
        </w:tc>
        <w:tc>
          <w:tcPr>
            <w:tcW w:w="1110" w:type="dxa"/>
            <w:gridSpan w:val="3"/>
            <w:hideMark/>
          </w:tcPr>
          <w:p w14:paraId="7F930E0C" w14:textId="433C52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1,027</w:t>
            </w:r>
          </w:p>
        </w:tc>
        <w:tc>
          <w:tcPr>
            <w:tcW w:w="1110" w:type="dxa"/>
            <w:gridSpan w:val="2"/>
            <w:hideMark/>
          </w:tcPr>
          <w:p w14:paraId="478ECCE8" w14:textId="0FD97CF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327</w:t>
            </w:r>
          </w:p>
        </w:tc>
        <w:tc>
          <w:tcPr>
            <w:tcW w:w="1110" w:type="dxa"/>
            <w:hideMark/>
          </w:tcPr>
          <w:p w14:paraId="4C57C55C" w14:textId="12FEF82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327</w:t>
            </w:r>
          </w:p>
        </w:tc>
        <w:tc>
          <w:tcPr>
            <w:tcW w:w="818" w:type="dxa"/>
            <w:gridSpan w:val="2"/>
            <w:hideMark/>
          </w:tcPr>
          <w:p w14:paraId="5E3B3588" w14:textId="01628B5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327</w:t>
            </w:r>
          </w:p>
        </w:tc>
      </w:tr>
      <w:tr w:rsidR="004D73D3" w:rsidRPr="0048716F" w14:paraId="3832D398" w14:textId="77777777" w:rsidTr="00597AD8">
        <w:trPr>
          <w:trHeight w:val="828"/>
        </w:trPr>
        <w:tc>
          <w:tcPr>
            <w:tcW w:w="3885" w:type="dxa"/>
            <w:shd w:val="clear" w:color="000000" w:fill="B8CCE4"/>
            <w:noWrap/>
            <w:hideMark/>
          </w:tcPr>
          <w:p w14:paraId="2790149F"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1.2: Përmirësimi i infrastrukturës dhe teknologjisë assistive: Krijimi i mjediseve mësimore të aksesueshme dhe të pajisura me teknologji mbështetëse.</w:t>
            </w:r>
          </w:p>
        </w:tc>
        <w:tc>
          <w:tcPr>
            <w:tcW w:w="1080" w:type="dxa"/>
            <w:shd w:val="clear" w:color="000000" w:fill="B8CCE4"/>
            <w:hideMark/>
          </w:tcPr>
          <w:p w14:paraId="5D73EC5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433F3BA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6BE0FC70"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AKPA/AKAFPK</w:t>
            </w:r>
          </w:p>
        </w:tc>
        <w:tc>
          <w:tcPr>
            <w:tcW w:w="1521" w:type="dxa"/>
            <w:gridSpan w:val="2"/>
            <w:shd w:val="clear" w:color="000000" w:fill="B8CCE4"/>
            <w:vAlign w:val="center"/>
            <w:hideMark/>
          </w:tcPr>
          <w:p w14:paraId="3141556A"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 /AKPA</w:t>
            </w:r>
          </w:p>
        </w:tc>
        <w:tc>
          <w:tcPr>
            <w:tcW w:w="1110" w:type="dxa"/>
            <w:gridSpan w:val="2"/>
            <w:shd w:val="clear" w:color="000000" w:fill="B8CCE4"/>
            <w:hideMark/>
          </w:tcPr>
          <w:p w14:paraId="32769F99" w14:textId="2AA7824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1,875</w:t>
            </w:r>
          </w:p>
        </w:tc>
        <w:tc>
          <w:tcPr>
            <w:tcW w:w="1110" w:type="dxa"/>
            <w:gridSpan w:val="3"/>
            <w:shd w:val="clear" w:color="000000" w:fill="B8CCE4"/>
            <w:hideMark/>
          </w:tcPr>
          <w:p w14:paraId="0BD56D21" w14:textId="7092DF7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2,148</w:t>
            </w:r>
          </w:p>
        </w:tc>
        <w:tc>
          <w:tcPr>
            <w:tcW w:w="1110" w:type="dxa"/>
            <w:gridSpan w:val="2"/>
            <w:shd w:val="clear" w:color="000000" w:fill="B8CCE4"/>
            <w:hideMark/>
          </w:tcPr>
          <w:p w14:paraId="15C8357A" w14:textId="32F892C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1,875</w:t>
            </w:r>
          </w:p>
        </w:tc>
        <w:tc>
          <w:tcPr>
            <w:tcW w:w="1110" w:type="dxa"/>
            <w:shd w:val="clear" w:color="000000" w:fill="B8CCE4"/>
            <w:hideMark/>
          </w:tcPr>
          <w:p w14:paraId="3CB83C6C" w14:textId="2639D6A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2,525</w:t>
            </w:r>
          </w:p>
        </w:tc>
        <w:tc>
          <w:tcPr>
            <w:tcW w:w="818" w:type="dxa"/>
            <w:gridSpan w:val="2"/>
            <w:shd w:val="clear" w:color="000000" w:fill="B8CCE4"/>
            <w:hideMark/>
          </w:tcPr>
          <w:p w14:paraId="02F2D06F" w14:textId="06142B6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2,525</w:t>
            </w:r>
          </w:p>
        </w:tc>
      </w:tr>
      <w:tr w:rsidR="004D73D3" w:rsidRPr="0048716F" w14:paraId="769D20B9" w14:textId="77777777" w:rsidTr="00597AD8">
        <w:trPr>
          <w:trHeight w:val="1104"/>
        </w:trPr>
        <w:tc>
          <w:tcPr>
            <w:tcW w:w="3885" w:type="dxa"/>
            <w:hideMark/>
          </w:tcPr>
          <w:p w14:paraId="10EC3A9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1.2.1 Pajisja, mirëmbajtja dhe përditësimi i vazhdueshëm i pajisjeve ndihmëse dhe teknologjike që garantojnë akses për nxënësit/kursantët me aftësi të kufizuara në IOAFP psh. pajisje dhe softuerë ndihmës (lexues ekrani, tastiera të përshtatura, pajisje ndihmëse).</w:t>
            </w:r>
          </w:p>
        </w:tc>
        <w:tc>
          <w:tcPr>
            <w:tcW w:w="1080" w:type="dxa"/>
            <w:hideMark/>
          </w:tcPr>
          <w:p w14:paraId="518FE76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18AD37A2"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483BF3D4"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521" w:type="dxa"/>
            <w:gridSpan w:val="2"/>
            <w:vAlign w:val="center"/>
            <w:hideMark/>
          </w:tcPr>
          <w:p w14:paraId="3F05EBC6"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MEI</w:t>
            </w:r>
          </w:p>
        </w:tc>
        <w:tc>
          <w:tcPr>
            <w:tcW w:w="1110" w:type="dxa"/>
            <w:gridSpan w:val="2"/>
            <w:hideMark/>
          </w:tcPr>
          <w:p w14:paraId="6132EA03" w14:textId="01D19ABA"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1,350</w:t>
            </w:r>
          </w:p>
        </w:tc>
        <w:tc>
          <w:tcPr>
            <w:tcW w:w="1110" w:type="dxa"/>
            <w:gridSpan w:val="3"/>
            <w:hideMark/>
          </w:tcPr>
          <w:p w14:paraId="7948622F" w14:textId="0F7A9F3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1,350</w:t>
            </w:r>
          </w:p>
        </w:tc>
        <w:tc>
          <w:tcPr>
            <w:tcW w:w="1110" w:type="dxa"/>
            <w:gridSpan w:val="2"/>
            <w:hideMark/>
          </w:tcPr>
          <w:p w14:paraId="68EB90E5" w14:textId="4C0183C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1,350</w:t>
            </w:r>
          </w:p>
        </w:tc>
        <w:tc>
          <w:tcPr>
            <w:tcW w:w="1110" w:type="dxa"/>
            <w:hideMark/>
          </w:tcPr>
          <w:p w14:paraId="302289B8" w14:textId="633E74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818" w:type="dxa"/>
            <w:gridSpan w:val="2"/>
            <w:hideMark/>
          </w:tcPr>
          <w:p w14:paraId="380A1A3B" w14:textId="406198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r>
      <w:tr w:rsidR="004D73D3" w:rsidRPr="0048716F" w14:paraId="7F1FDB91" w14:textId="77777777" w:rsidTr="00597AD8">
        <w:trPr>
          <w:trHeight w:val="552"/>
        </w:trPr>
        <w:tc>
          <w:tcPr>
            <w:tcW w:w="3885" w:type="dxa"/>
            <w:hideMark/>
          </w:tcPr>
          <w:p w14:paraId="04FD4A8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1.2.2 Sigurimi i aksesit fizik dhe digjital në Shkollat e Mesme Profesionale dhe QFP përfshirë laboratorët e TIK dhe të aftësive të gjelbra</w:t>
            </w:r>
          </w:p>
        </w:tc>
        <w:tc>
          <w:tcPr>
            <w:tcW w:w="1080" w:type="dxa"/>
            <w:hideMark/>
          </w:tcPr>
          <w:p w14:paraId="041FDC8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555CF513"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6A32AA4C"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521" w:type="dxa"/>
            <w:gridSpan w:val="2"/>
            <w:vAlign w:val="center"/>
            <w:hideMark/>
          </w:tcPr>
          <w:p w14:paraId="34BC21FE"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MEI</w:t>
            </w:r>
          </w:p>
        </w:tc>
        <w:tc>
          <w:tcPr>
            <w:tcW w:w="1110" w:type="dxa"/>
            <w:gridSpan w:val="2"/>
            <w:hideMark/>
          </w:tcPr>
          <w:p w14:paraId="3070D4D5" w14:textId="7460F380"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w:t>
            </w:r>
          </w:p>
        </w:tc>
        <w:tc>
          <w:tcPr>
            <w:tcW w:w="1110" w:type="dxa"/>
            <w:gridSpan w:val="3"/>
            <w:hideMark/>
          </w:tcPr>
          <w:p w14:paraId="73A1B4C2" w14:textId="79C873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273</w:t>
            </w:r>
          </w:p>
        </w:tc>
        <w:tc>
          <w:tcPr>
            <w:tcW w:w="1110" w:type="dxa"/>
            <w:gridSpan w:val="2"/>
            <w:hideMark/>
          </w:tcPr>
          <w:p w14:paraId="1DA07E53" w14:textId="593954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11AF5C5" w14:textId="7DE4807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2534235" w14:textId="0175C8B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DB594F6" w14:textId="77777777" w:rsidTr="00597AD8">
        <w:trPr>
          <w:trHeight w:val="1656"/>
        </w:trPr>
        <w:tc>
          <w:tcPr>
            <w:tcW w:w="3885" w:type="dxa"/>
            <w:hideMark/>
          </w:tcPr>
          <w:p w14:paraId="043754AC" w14:textId="1EA17503"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1.2.3 Zhvillimi i platformave online për lehtësimin e mësimit të kombinuar dhe mësimit online, për të rinj dhe të rritur me aftësi të kufizuara. Përgatitja në mënyrë graduale e platfomave të aksesueshme  dhe me informacion në formate alternative për tipologji të ndryshme të aftësisë së kufizuara, për të garantuar akses dhe mundësi të barabarta për nxënësit, kursantët dhe të rriturit me aftësi të kufizuara.</w:t>
            </w:r>
          </w:p>
        </w:tc>
        <w:tc>
          <w:tcPr>
            <w:tcW w:w="1080" w:type="dxa"/>
            <w:hideMark/>
          </w:tcPr>
          <w:p w14:paraId="59B7FBD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02461BAA"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569FFC15"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AKAFPK</w:t>
            </w:r>
          </w:p>
        </w:tc>
        <w:tc>
          <w:tcPr>
            <w:tcW w:w="1521" w:type="dxa"/>
            <w:gridSpan w:val="2"/>
            <w:vAlign w:val="center"/>
            <w:hideMark/>
          </w:tcPr>
          <w:p w14:paraId="52969BBB"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 /MEI</w:t>
            </w:r>
          </w:p>
        </w:tc>
        <w:tc>
          <w:tcPr>
            <w:tcW w:w="1110" w:type="dxa"/>
            <w:gridSpan w:val="2"/>
            <w:hideMark/>
          </w:tcPr>
          <w:p w14:paraId="76E12734" w14:textId="71C993C6"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525</w:t>
            </w:r>
          </w:p>
        </w:tc>
        <w:tc>
          <w:tcPr>
            <w:tcW w:w="1110" w:type="dxa"/>
            <w:gridSpan w:val="3"/>
            <w:hideMark/>
          </w:tcPr>
          <w:p w14:paraId="36A9E0AA" w14:textId="20B1516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525</w:t>
            </w:r>
          </w:p>
        </w:tc>
        <w:tc>
          <w:tcPr>
            <w:tcW w:w="1110" w:type="dxa"/>
            <w:gridSpan w:val="2"/>
            <w:hideMark/>
          </w:tcPr>
          <w:p w14:paraId="2E1CAD74" w14:textId="41F2A26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525</w:t>
            </w:r>
          </w:p>
        </w:tc>
        <w:tc>
          <w:tcPr>
            <w:tcW w:w="1110" w:type="dxa"/>
            <w:hideMark/>
          </w:tcPr>
          <w:p w14:paraId="1D3710DC" w14:textId="5198575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525</w:t>
            </w:r>
          </w:p>
        </w:tc>
        <w:tc>
          <w:tcPr>
            <w:tcW w:w="818" w:type="dxa"/>
            <w:gridSpan w:val="2"/>
            <w:hideMark/>
          </w:tcPr>
          <w:p w14:paraId="648E99F7" w14:textId="3563656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525</w:t>
            </w:r>
          </w:p>
        </w:tc>
      </w:tr>
      <w:tr w:rsidR="004D73D3" w:rsidRPr="0048716F" w14:paraId="31D3A515" w14:textId="77777777" w:rsidTr="00597AD8">
        <w:trPr>
          <w:trHeight w:val="828"/>
        </w:trPr>
        <w:tc>
          <w:tcPr>
            <w:tcW w:w="3885" w:type="dxa"/>
            <w:shd w:val="clear" w:color="000000" w:fill="B8CCE4"/>
            <w:noWrap/>
            <w:hideMark/>
          </w:tcPr>
          <w:p w14:paraId="4A20815A"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1.3: Përshtatja e kurrikulave dhe programeve mësimore - Sigurimi që programet përfshirë programet digjitale dhe të gjelbra në AFP janë të aksesueshme dhe gjithëpërfshirëse:</w:t>
            </w:r>
          </w:p>
        </w:tc>
        <w:tc>
          <w:tcPr>
            <w:tcW w:w="1080" w:type="dxa"/>
            <w:shd w:val="clear" w:color="000000" w:fill="B8CCE4"/>
            <w:hideMark/>
          </w:tcPr>
          <w:p w14:paraId="5C0F275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4C645585"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shd w:val="clear" w:color="000000" w:fill="B8CCE4"/>
            <w:vAlign w:val="center"/>
            <w:hideMark/>
          </w:tcPr>
          <w:p w14:paraId="4031BC43"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AKAFPK/AKPA</w:t>
            </w:r>
          </w:p>
        </w:tc>
        <w:tc>
          <w:tcPr>
            <w:tcW w:w="1521" w:type="dxa"/>
            <w:gridSpan w:val="2"/>
            <w:shd w:val="clear" w:color="000000" w:fill="B8CCE4"/>
            <w:vAlign w:val="center"/>
            <w:hideMark/>
          </w:tcPr>
          <w:p w14:paraId="4F103439"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 / MEI /A, AKAFPK, ASCAP</w:t>
            </w:r>
          </w:p>
        </w:tc>
        <w:tc>
          <w:tcPr>
            <w:tcW w:w="1110" w:type="dxa"/>
            <w:gridSpan w:val="2"/>
            <w:shd w:val="clear" w:color="000000" w:fill="B8CCE4"/>
            <w:hideMark/>
          </w:tcPr>
          <w:p w14:paraId="3BB05F66" w14:textId="621BC956"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500</w:t>
            </w:r>
          </w:p>
        </w:tc>
        <w:tc>
          <w:tcPr>
            <w:tcW w:w="1110" w:type="dxa"/>
            <w:gridSpan w:val="3"/>
            <w:shd w:val="clear" w:color="000000" w:fill="B8CCE4"/>
            <w:hideMark/>
          </w:tcPr>
          <w:p w14:paraId="7848AD15" w14:textId="49933B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shd w:val="clear" w:color="000000" w:fill="B8CCE4"/>
            <w:hideMark/>
          </w:tcPr>
          <w:p w14:paraId="17250773" w14:textId="61A460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shd w:val="clear" w:color="000000" w:fill="B8CCE4"/>
            <w:hideMark/>
          </w:tcPr>
          <w:p w14:paraId="029B942F" w14:textId="14DA39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shd w:val="clear" w:color="000000" w:fill="B8CCE4"/>
            <w:hideMark/>
          </w:tcPr>
          <w:p w14:paraId="2590748A" w14:textId="7F539C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1A2C1D0A" w14:textId="77777777" w:rsidTr="00597AD8">
        <w:trPr>
          <w:trHeight w:val="552"/>
        </w:trPr>
        <w:tc>
          <w:tcPr>
            <w:tcW w:w="3885" w:type="dxa"/>
            <w:hideMark/>
          </w:tcPr>
          <w:p w14:paraId="1F70E40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1.3.1 Zhvillimi i moduleve të reja përfshirë ato digjitale dhe të gjelbra, të përshtatura edhe për nxënësit me lloje të ndryshme aftësish të kufizuara.</w:t>
            </w:r>
          </w:p>
        </w:tc>
        <w:tc>
          <w:tcPr>
            <w:tcW w:w="1080" w:type="dxa"/>
            <w:hideMark/>
          </w:tcPr>
          <w:p w14:paraId="48E8D2B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6E9493F"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5EABAC48"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AKAFPK</w:t>
            </w:r>
          </w:p>
        </w:tc>
        <w:tc>
          <w:tcPr>
            <w:tcW w:w="1521" w:type="dxa"/>
            <w:gridSpan w:val="2"/>
            <w:vAlign w:val="center"/>
            <w:hideMark/>
          </w:tcPr>
          <w:p w14:paraId="7AFD4169"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 MEI</w:t>
            </w:r>
          </w:p>
        </w:tc>
        <w:tc>
          <w:tcPr>
            <w:tcW w:w="1110" w:type="dxa"/>
            <w:gridSpan w:val="2"/>
            <w:hideMark/>
          </w:tcPr>
          <w:p w14:paraId="60C351A1" w14:textId="7331DD8D"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500</w:t>
            </w:r>
          </w:p>
        </w:tc>
        <w:tc>
          <w:tcPr>
            <w:tcW w:w="1110" w:type="dxa"/>
            <w:gridSpan w:val="3"/>
            <w:hideMark/>
          </w:tcPr>
          <w:p w14:paraId="401F6A53" w14:textId="286BBA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103ECE05" w14:textId="7D407A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54723D74" w14:textId="35076EC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3DAC685A" w14:textId="54EDD5C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4A72C791" w14:textId="77777777" w:rsidTr="00597AD8">
        <w:trPr>
          <w:trHeight w:val="1380"/>
        </w:trPr>
        <w:tc>
          <w:tcPr>
            <w:tcW w:w="3885" w:type="dxa"/>
            <w:hideMark/>
          </w:tcPr>
          <w:p w14:paraId="2962C20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1.3.2 Përgatitja e moduleve e mjeteve didaktike  mësimore në formate të aksesueshme (Braille, audio, gjuhë e thjeshtuar, gjuhë e shenjave/titra) përfshirë ofrimin e teknologjisë asistive të shoqëruar edhe me trajnim të mësimdhënësve dhe formuesve/instruktorëve mbi përdorimin e teknologjive asistive.</w:t>
            </w:r>
          </w:p>
        </w:tc>
        <w:tc>
          <w:tcPr>
            <w:tcW w:w="1080" w:type="dxa"/>
            <w:hideMark/>
          </w:tcPr>
          <w:p w14:paraId="4CBA65A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5D99839"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27B1882B"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521" w:type="dxa"/>
            <w:gridSpan w:val="2"/>
            <w:vAlign w:val="center"/>
            <w:hideMark/>
          </w:tcPr>
          <w:p w14:paraId="60C19BB5"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MEI, MA, AKAFPK, ASCAP</w:t>
            </w:r>
          </w:p>
        </w:tc>
        <w:tc>
          <w:tcPr>
            <w:tcW w:w="1110" w:type="dxa"/>
            <w:gridSpan w:val="2"/>
            <w:hideMark/>
          </w:tcPr>
          <w:p w14:paraId="7E7F5088" w14:textId="1E76F9B0"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w:t>
            </w:r>
          </w:p>
        </w:tc>
        <w:tc>
          <w:tcPr>
            <w:tcW w:w="1110" w:type="dxa"/>
            <w:gridSpan w:val="3"/>
            <w:hideMark/>
          </w:tcPr>
          <w:p w14:paraId="7541732E" w14:textId="524463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AEC9CA0" w14:textId="58C24E1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2419C24" w14:textId="1DEF0A5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A0FC7D9" w14:textId="44BF96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8F7DACD" w14:textId="77777777" w:rsidTr="00597AD8">
        <w:trPr>
          <w:trHeight w:val="828"/>
        </w:trPr>
        <w:tc>
          <w:tcPr>
            <w:tcW w:w="3885" w:type="dxa"/>
            <w:shd w:val="clear" w:color="000000" w:fill="B8CCE4"/>
            <w:noWrap/>
            <w:hideMark/>
          </w:tcPr>
          <w:p w14:paraId="305EE98E" w14:textId="05005EF2"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1.4. Mbështetja e nxënësve dhe kursantëve me aftësi të kufizuara - Sigurimi i pjesëmarrjes së barabartë dhe përfundimit me sukses të programeve mësimore në institucionet ofruese të AFP-së</w:t>
            </w:r>
          </w:p>
        </w:tc>
        <w:tc>
          <w:tcPr>
            <w:tcW w:w="1080" w:type="dxa"/>
            <w:shd w:val="clear" w:color="000000" w:fill="B8CCE4"/>
            <w:hideMark/>
          </w:tcPr>
          <w:p w14:paraId="4432CB4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6BADECDC"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shd w:val="clear" w:color="000000" w:fill="B8CCE4"/>
            <w:vAlign w:val="center"/>
            <w:hideMark/>
          </w:tcPr>
          <w:p w14:paraId="0A64B45A"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IOAFP/AKPA</w:t>
            </w:r>
          </w:p>
        </w:tc>
        <w:tc>
          <w:tcPr>
            <w:tcW w:w="1521" w:type="dxa"/>
            <w:gridSpan w:val="2"/>
            <w:shd w:val="clear" w:color="000000" w:fill="B8CCE4"/>
            <w:vAlign w:val="center"/>
            <w:hideMark/>
          </w:tcPr>
          <w:p w14:paraId="5467A0E8"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MEI/MA/AKAFPK/ASCAP/NJVV/AKPA</w:t>
            </w:r>
          </w:p>
        </w:tc>
        <w:tc>
          <w:tcPr>
            <w:tcW w:w="1110" w:type="dxa"/>
            <w:gridSpan w:val="2"/>
            <w:shd w:val="clear" w:color="000000" w:fill="B8CCE4"/>
            <w:hideMark/>
          </w:tcPr>
          <w:p w14:paraId="2694D7AC" w14:textId="159872FE" w:rsidR="004D73D3" w:rsidRPr="00807F1C" w:rsidRDefault="004D73D3" w:rsidP="0048716F">
            <w:pPr>
              <w:jc w:val="both"/>
              <w:rPr>
                <w:rFonts w:eastAsia="Times New Roman"/>
                <w:b/>
                <w:bCs/>
                <w:color w:val="000000"/>
                <w:sz w:val="14"/>
                <w:szCs w:val="14"/>
                <w:lang w:val="en-US" w:eastAsia="en-US"/>
              </w:rPr>
            </w:pPr>
            <w:r w:rsidRPr="00807F1C">
              <w:rPr>
                <w:rFonts w:eastAsia="Times New Roman"/>
                <w:b/>
                <w:bCs/>
                <w:color w:val="000000"/>
                <w:sz w:val="14"/>
                <w:szCs w:val="14"/>
                <w:lang w:val="en-US" w:eastAsia="en-US"/>
              </w:rPr>
              <w:t>84,580</w:t>
            </w:r>
          </w:p>
        </w:tc>
        <w:tc>
          <w:tcPr>
            <w:tcW w:w="1110" w:type="dxa"/>
            <w:gridSpan w:val="3"/>
            <w:shd w:val="clear" w:color="000000" w:fill="B8CCE4"/>
            <w:hideMark/>
          </w:tcPr>
          <w:p w14:paraId="3722B0D6" w14:textId="183384B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84,580</w:t>
            </w:r>
          </w:p>
        </w:tc>
        <w:tc>
          <w:tcPr>
            <w:tcW w:w="1110" w:type="dxa"/>
            <w:gridSpan w:val="2"/>
            <w:shd w:val="clear" w:color="000000" w:fill="B8CCE4"/>
            <w:hideMark/>
          </w:tcPr>
          <w:p w14:paraId="48E6C2EE" w14:textId="706E04E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84,580</w:t>
            </w:r>
          </w:p>
        </w:tc>
        <w:tc>
          <w:tcPr>
            <w:tcW w:w="1110" w:type="dxa"/>
            <w:shd w:val="clear" w:color="000000" w:fill="B8CCE4"/>
            <w:hideMark/>
          </w:tcPr>
          <w:p w14:paraId="57D0FF59" w14:textId="6923A63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84,580</w:t>
            </w:r>
          </w:p>
        </w:tc>
        <w:tc>
          <w:tcPr>
            <w:tcW w:w="818" w:type="dxa"/>
            <w:gridSpan w:val="2"/>
            <w:shd w:val="clear" w:color="000000" w:fill="B8CCE4"/>
            <w:hideMark/>
          </w:tcPr>
          <w:p w14:paraId="07E0DFD6" w14:textId="3F8AE80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84,580</w:t>
            </w:r>
          </w:p>
        </w:tc>
      </w:tr>
      <w:tr w:rsidR="004D73D3" w:rsidRPr="0048716F" w14:paraId="3B4FD227" w14:textId="77777777" w:rsidTr="00597AD8">
        <w:trPr>
          <w:trHeight w:val="1104"/>
        </w:trPr>
        <w:tc>
          <w:tcPr>
            <w:tcW w:w="3885" w:type="dxa"/>
            <w:hideMark/>
          </w:tcPr>
          <w:p w14:paraId="3791BDF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 xml:space="preserve">1.4.1 Identifikimi i nevojave individuale për mbështetje, hartimi  dhe zbatimi i planeve individuale të të nxënit nga Komisionet Multifunksionate pranë institucioneve ofruese të AFP-së. Vlerësimi dhe rishikimi periodik i tyre, </w:t>
            </w:r>
            <w:r w:rsidRPr="0048716F">
              <w:rPr>
                <w:rFonts w:eastAsia="Times New Roman"/>
                <w:sz w:val="18"/>
                <w:szCs w:val="18"/>
                <w:lang w:val="en-US" w:eastAsia="en-US"/>
              </w:rPr>
              <w:lastRenderedPageBreak/>
              <w:t>bazuar në ecurinë e nxënësit/ kursantit me aftësi të kufizuara.</w:t>
            </w:r>
          </w:p>
        </w:tc>
        <w:tc>
          <w:tcPr>
            <w:tcW w:w="1080" w:type="dxa"/>
            <w:hideMark/>
          </w:tcPr>
          <w:p w14:paraId="6D30ADB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lastRenderedPageBreak/>
              <w:t>2026</w:t>
            </w:r>
          </w:p>
        </w:tc>
        <w:tc>
          <w:tcPr>
            <w:tcW w:w="1260" w:type="dxa"/>
            <w:hideMark/>
          </w:tcPr>
          <w:p w14:paraId="7F8596FA"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42FDEFED"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521" w:type="dxa"/>
            <w:gridSpan w:val="2"/>
            <w:vAlign w:val="center"/>
            <w:hideMark/>
          </w:tcPr>
          <w:p w14:paraId="22EA41B9"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 AKAFPK , ASCAP</w:t>
            </w:r>
          </w:p>
        </w:tc>
        <w:tc>
          <w:tcPr>
            <w:tcW w:w="1110" w:type="dxa"/>
            <w:gridSpan w:val="2"/>
            <w:hideMark/>
          </w:tcPr>
          <w:p w14:paraId="0FE81BE5" w14:textId="31F37B7C"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w:t>
            </w:r>
          </w:p>
        </w:tc>
        <w:tc>
          <w:tcPr>
            <w:tcW w:w="1110" w:type="dxa"/>
            <w:gridSpan w:val="3"/>
            <w:hideMark/>
          </w:tcPr>
          <w:p w14:paraId="5682D0D2" w14:textId="5DA94D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391DDB4" w14:textId="25B2628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DF3454A" w14:textId="478E51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8B60E50" w14:textId="2458B3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F35B095" w14:textId="77777777" w:rsidTr="00597AD8">
        <w:trPr>
          <w:trHeight w:val="828"/>
        </w:trPr>
        <w:tc>
          <w:tcPr>
            <w:tcW w:w="3885" w:type="dxa"/>
            <w:hideMark/>
          </w:tcPr>
          <w:p w14:paraId="003DF9C3"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1.4.2 Ofrimi i këshillimit profesional dhe orientimit në karrierë  i personalizuar për nxënësit/kursantët me aftësi të kufizuar për gjithë sektorët përfshirë sektorët digjitalë dhe të gjelbra.</w:t>
            </w:r>
          </w:p>
        </w:tc>
        <w:tc>
          <w:tcPr>
            <w:tcW w:w="1080" w:type="dxa"/>
            <w:hideMark/>
          </w:tcPr>
          <w:p w14:paraId="64A36E4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CCA7BB9"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2EF95FF2"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521" w:type="dxa"/>
            <w:gridSpan w:val="2"/>
            <w:vAlign w:val="center"/>
            <w:hideMark/>
          </w:tcPr>
          <w:p w14:paraId="2FE2846E"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110" w:type="dxa"/>
            <w:gridSpan w:val="2"/>
            <w:hideMark/>
          </w:tcPr>
          <w:p w14:paraId="1FFF4EAC" w14:textId="25A00BBF"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72,000</w:t>
            </w:r>
          </w:p>
        </w:tc>
        <w:tc>
          <w:tcPr>
            <w:tcW w:w="1110" w:type="dxa"/>
            <w:gridSpan w:val="3"/>
            <w:hideMark/>
          </w:tcPr>
          <w:p w14:paraId="2079E6BE" w14:textId="0768AB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72,000</w:t>
            </w:r>
          </w:p>
        </w:tc>
        <w:tc>
          <w:tcPr>
            <w:tcW w:w="1110" w:type="dxa"/>
            <w:gridSpan w:val="2"/>
            <w:hideMark/>
          </w:tcPr>
          <w:p w14:paraId="7F95BAB8" w14:textId="303C89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72,000</w:t>
            </w:r>
          </w:p>
        </w:tc>
        <w:tc>
          <w:tcPr>
            <w:tcW w:w="1110" w:type="dxa"/>
            <w:hideMark/>
          </w:tcPr>
          <w:p w14:paraId="2E2931C9" w14:textId="2F0A5B0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72,000</w:t>
            </w:r>
          </w:p>
        </w:tc>
        <w:tc>
          <w:tcPr>
            <w:tcW w:w="818" w:type="dxa"/>
            <w:gridSpan w:val="2"/>
            <w:hideMark/>
          </w:tcPr>
          <w:p w14:paraId="7D67B91E" w14:textId="1999C65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72,000</w:t>
            </w:r>
          </w:p>
        </w:tc>
      </w:tr>
      <w:tr w:rsidR="004D73D3" w:rsidRPr="0048716F" w14:paraId="2526BE1B" w14:textId="77777777" w:rsidTr="00597AD8">
        <w:trPr>
          <w:trHeight w:val="828"/>
        </w:trPr>
        <w:tc>
          <w:tcPr>
            <w:tcW w:w="3885" w:type="dxa"/>
            <w:hideMark/>
          </w:tcPr>
          <w:p w14:paraId="19C40133"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1.4.3 Rritja e mbështetjes financiare (bursa, transport, pajisje personale, mjete e teknologji ndihmëse) për nxënësit dhe kursantët me aftësi të kufizuara.</w:t>
            </w:r>
          </w:p>
        </w:tc>
        <w:tc>
          <w:tcPr>
            <w:tcW w:w="1080" w:type="dxa"/>
            <w:hideMark/>
          </w:tcPr>
          <w:p w14:paraId="0F6EB66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5595694"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6F5B4394"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521" w:type="dxa"/>
            <w:gridSpan w:val="2"/>
            <w:vAlign w:val="center"/>
            <w:hideMark/>
          </w:tcPr>
          <w:p w14:paraId="1B3C807A"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MEI,MA,AKAFPK,ASCAP, NJVV</w:t>
            </w:r>
          </w:p>
        </w:tc>
        <w:tc>
          <w:tcPr>
            <w:tcW w:w="1110" w:type="dxa"/>
            <w:gridSpan w:val="2"/>
            <w:hideMark/>
          </w:tcPr>
          <w:p w14:paraId="7B197799" w14:textId="00170A3F"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12,580</w:t>
            </w:r>
          </w:p>
        </w:tc>
        <w:tc>
          <w:tcPr>
            <w:tcW w:w="1110" w:type="dxa"/>
            <w:gridSpan w:val="3"/>
            <w:hideMark/>
          </w:tcPr>
          <w:p w14:paraId="1B0E1A07" w14:textId="4594F3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12,580</w:t>
            </w:r>
          </w:p>
        </w:tc>
        <w:tc>
          <w:tcPr>
            <w:tcW w:w="1110" w:type="dxa"/>
            <w:gridSpan w:val="2"/>
            <w:hideMark/>
          </w:tcPr>
          <w:p w14:paraId="0709322C" w14:textId="2869FC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12,580</w:t>
            </w:r>
          </w:p>
        </w:tc>
        <w:tc>
          <w:tcPr>
            <w:tcW w:w="1110" w:type="dxa"/>
            <w:hideMark/>
          </w:tcPr>
          <w:p w14:paraId="06D67B3C" w14:textId="341660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12,580</w:t>
            </w:r>
          </w:p>
        </w:tc>
        <w:tc>
          <w:tcPr>
            <w:tcW w:w="818" w:type="dxa"/>
            <w:gridSpan w:val="2"/>
            <w:hideMark/>
          </w:tcPr>
          <w:p w14:paraId="6D425794" w14:textId="08C36A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12,580</w:t>
            </w:r>
          </w:p>
        </w:tc>
      </w:tr>
      <w:tr w:rsidR="004D73D3" w:rsidRPr="0048716F" w14:paraId="1071251E" w14:textId="77777777" w:rsidTr="00597AD8">
        <w:trPr>
          <w:trHeight w:val="1656"/>
        </w:trPr>
        <w:tc>
          <w:tcPr>
            <w:tcW w:w="3885" w:type="dxa"/>
            <w:hideMark/>
          </w:tcPr>
          <w:p w14:paraId="5A57D68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1.4.4 Forcimi i partneritetit shkollë–familje–komunitet për arsimin gjithëpërfshirës në AFP, përmes krijimit të mekanizmave të strukturuar të bashkëpunimit si takime periodike shkollë–familje për ndjekjen e planeve individuale; përfshirjes së komunitetit dhe bizneseve në praktika profesionale të përshtatura; informimit dhe ndërgjegjësimit të familjeve mbi arsimin gjithëpërfshirës</w:t>
            </w:r>
          </w:p>
        </w:tc>
        <w:tc>
          <w:tcPr>
            <w:tcW w:w="1080" w:type="dxa"/>
            <w:hideMark/>
          </w:tcPr>
          <w:p w14:paraId="76CD757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31F7B0B"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29C02CBD"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521" w:type="dxa"/>
            <w:gridSpan w:val="2"/>
            <w:vAlign w:val="center"/>
            <w:hideMark/>
          </w:tcPr>
          <w:p w14:paraId="4C811D09"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110" w:type="dxa"/>
            <w:gridSpan w:val="2"/>
            <w:hideMark/>
          </w:tcPr>
          <w:p w14:paraId="1043BBF6" w14:textId="268E2E07"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w:t>
            </w:r>
          </w:p>
        </w:tc>
        <w:tc>
          <w:tcPr>
            <w:tcW w:w="1110" w:type="dxa"/>
            <w:gridSpan w:val="3"/>
            <w:hideMark/>
          </w:tcPr>
          <w:p w14:paraId="118E901B" w14:textId="0C0A0E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53B1714" w14:textId="5D1346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6F127BD" w14:textId="70D251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C8E76D2" w14:textId="79D9AD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584FC63" w14:textId="77777777" w:rsidTr="00597AD8">
        <w:trPr>
          <w:trHeight w:val="552"/>
        </w:trPr>
        <w:tc>
          <w:tcPr>
            <w:tcW w:w="3885" w:type="dxa"/>
            <w:shd w:val="clear" w:color="000000" w:fill="B8CCE4"/>
            <w:noWrap/>
            <w:hideMark/>
          </w:tcPr>
          <w:p w14:paraId="5FA9A6AB"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1.5: Bashkëpunimi me sektorin privat dhe tregun e punës - Lidhja e aftësive të fituara me punësimin real.</w:t>
            </w:r>
          </w:p>
        </w:tc>
        <w:tc>
          <w:tcPr>
            <w:tcW w:w="1080" w:type="dxa"/>
            <w:shd w:val="clear" w:color="000000" w:fill="B8CCE4"/>
            <w:hideMark/>
          </w:tcPr>
          <w:p w14:paraId="0A6BE5D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685DE670"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shd w:val="clear" w:color="000000" w:fill="B8CCE4"/>
            <w:vAlign w:val="center"/>
            <w:hideMark/>
          </w:tcPr>
          <w:p w14:paraId="755E3565"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521" w:type="dxa"/>
            <w:gridSpan w:val="2"/>
            <w:shd w:val="clear" w:color="000000" w:fill="B8CCE4"/>
            <w:vAlign w:val="center"/>
            <w:hideMark/>
          </w:tcPr>
          <w:p w14:paraId="3A33544F"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IOAFP/AKPA/MEI/MA/ASCAP</w:t>
            </w:r>
          </w:p>
        </w:tc>
        <w:tc>
          <w:tcPr>
            <w:tcW w:w="1110" w:type="dxa"/>
            <w:gridSpan w:val="2"/>
            <w:shd w:val="clear" w:color="000000" w:fill="B8CCE4"/>
            <w:hideMark/>
          </w:tcPr>
          <w:p w14:paraId="5E3634D6" w14:textId="169469AB" w:rsidR="004D73D3" w:rsidRPr="00807F1C" w:rsidRDefault="004D73D3" w:rsidP="0048716F">
            <w:pPr>
              <w:jc w:val="both"/>
              <w:rPr>
                <w:rFonts w:eastAsia="Times New Roman"/>
                <w:b/>
                <w:bCs/>
                <w:color w:val="000000"/>
                <w:sz w:val="14"/>
                <w:szCs w:val="14"/>
                <w:lang w:val="en-US" w:eastAsia="en-US"/>
              </w:rPr>
            </w:pPr>
            <w:r w:rsidRPr="00807F1C">
              <w:rPr>
                <w:rFonts w:eastAsia="Times New Roman"/>
                <w:b/>
                <w:bCs/>
                <w:color w:val="000000"/>
                <w:sz w:val="14"/>
                <w:szCs w:val="14"/>
                <w:lang w:val="en-US" w:eastAsia="en-US"/>
              </w:rPr>
              <w:t>520</w:t>
            </w:r>
          </w:p>
        </w:tc>
        <w:tc>
          <w:tcPr>
            <w:tcW w:w="1110" w:type="dxa"/>
            <w:gridSpan w:val="3"/>
            <w:shd w:val="clear" w:color="000000" w:fill="B8CCE4"/>
            <w:hideMark/>
          </w:tcPr>
          <w:p w14:paraId="6095E349" w14:textId="4AFD3C4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520</w:t>
            </w:r>
          </w:p>
        </w:tc>
        <w:tc>
          <w:tcPr>
            <w:tcW w:w="1110" w:type="dxa"/>
            <w:gridSpan w:val="2"/>
            <w:shd w:val="clear" w:color="000000" w:fill="B8CCE4"/>
            <w:hideMark/>
          </w:tcPr>
          <w:p w14:paraId="713D56C9" w14:textId="271FE6A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373</w:t>
            </w:r>
          </w:p>
        </w:tc>
        <w:tc>
          <w:tcPr>
            <w:tcW w:w="1110" w:type="dxa"/>
            <w:shd w:val="clear" w:color="000000" w:fill="B8CCE4"/>
            <w:hideMark/>
          </w:tcPr>
          <w:p w14:paraId="5937531B" w14:textId="1F76A52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100</w:t>
            </w:r>
          </w:p>
        </w:tc>
        <w:tc>
          <w:tcPr>
            <w:tcW w:w="818" w:type="dxa"/>
            <w:gridSpan w:val="2"/>
            <w:shd w:val="clear" w:color="000000" w:fill="B8CCE4"/>
            <w:hideMark/>
          </w:tcPr>
          <w:p w14:paraId="3A7C16D7" w14:textId="3638412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100</w:t>
            </w:r>
          </w:p>
        </w:tc>
      </w:tr>
      <w:tr w:rsidR="004D73D3" w:rsidRPr="0048716F" w14:paraId="6F47AF63" w14:textId="77777777" w:rsidTr="00597AD8">
        <w:trPr>
          <w:trHeight w:val="828"/>
        </w:trPr>
        <w:tc>
          <w:tcPr>
            <w:tcW w:w="3885" w:type="dxa"/>
            <w:hideMark/>
          </w:tcPr>
          <w:p w14:paraId="19D34A5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1.5.1 Fuqizimi i partneriteteve me kompani të ndryshme përfshirë ato të sektorit digjital dhe të ekonomisë së gjelbër për praktika dhe mësim në punë të përshtatura për nxënësit e kursantët më aftësi të kufizuara.</w:t>
            </w:r>
          </w:p>
        </w:tc>
        <w:tc>
          <w:tcPr>
            <w:tcW w:w="1080" w:type="dxa"/>
            <w:hideMark/>
          </w:tcPr>
          <w:p w14:paraId="59D7C66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5E3D668"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50A51DF6"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521" w:type="dxa"/>
            <w:gridSpan w:val="2"/>
            <w:vAlign w:val="center"/>
            <w:hideMark/>
          </w:tcPr>
          <w:p w14:paraId="697B3976"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110" w:type="dxa"/>
            <w:gridSpan w:val="2"/>
            <w:hideMark/>
          </w:tcPr>
          <w:p w14:paraId="37584E91" w14:textId="593F2BBF"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w:t>
            </w:r>
          </w:p>
        </w:tc>
        <w:tc>
          <w:tcPr>
            <w:tcW w:w="1110" w:type="dxa"/>
            <w:gridSpan w:val="3"/>
            <w:hideMark/>
          </w:tcPr>
          <w:p w14:paraId="51CADD54" w14:textId="6EA496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E99B262" w14:textId="3707FE6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95D55C3" w14:textId="38079E0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CAFCC91" w14:textId="73C6BD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0F23B80" w14:textId="77777777" w:rsidTr="00597AD8">
        <w:trPr>
          <w:trHeight w:val="552"/>
        </w:trPr>
        <w:tc>
          <w:tcPr>
            <w:tcW w:w="3885" w:type="dxa"/>
            <w:hideMark/>
          </w:tcPr>
          <w:p w14:paraId="2C206B9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1.5.2 Zhvillimi i programeve të praktikës së asistuar për nxënësit me aftësi të kufizuara.</w:t>
            </w:r>
          </w:p>
        </w:tc>
        <w:tc>
          <w:tcPr>
            <w:tcW w:w="1080" w:type="dxa"/>
            <w:hideMark/>
          </w:tcPr>
          <w:p w14:paraId="72CB643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7FD0FB01"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0F3A51D3"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521" w:type="dxa"/>
            <w:gridSpan w:val="2"/>
            <w:vAlign w:val="center"/>
            <w:hideMark/>
          </w:tcPr>
          <w:p w14:paraId="4B61B3E3"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110" w:type="dxa"/>
            <w:gridSpan w:val="2"/>
            <w:hideMark/>
          </w:tcPr>
          <w:p w14:paraId="7E3EFA0E" w14:textId="77FC302A"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w:t>
            </w:r>
          </w:p>
        </w:tc>
        <w:tc>
          <w:tcPr>
            <w:tcW w:w="1110" w:type="dxa"/>
            <w:gridSpan w:val="3"/>
            <w:hideMark/>
          </w:tcPr>
          <w:p w14:paraId="510BEF2F" w14:textId="017B1D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1E3C0E7" w14:textId="2F78EE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96C4E2A" w14:textId="16A578A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AFF587B" w14:textId="18D846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04A7CF0" w14:textId="77777777" w:rsidTr="00597AD8">
        <w:trPr>
          <w:trHeight w:val="552"/>
        </w:trPr>
        <w:tc>
          <w:tcPr>
            <w:tcW w:w="3885" w:type="dxa"/>
            <w:hideMark/>
          </w:tcPr>
          <w:p w14:paraId="17E18F05"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1.5.3 Sensibilizimi i punëdhënësve për potencialin e PAK dhe përfitimet e punësimit gjithëpërfshirës.</w:t>
            </w:r>
          </w:p>
        </w:tc>
        <w:tc>
          <w:tcPr>
            <w:tcW w:w="1080" w:type="dxa"/>
            <w:hideMark/>
          </w:tcPr>
          <w:p w14:paraId="43386D7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6CD1080"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vAlign w:val="center"/>
            <w:hideMark/>
          </w:tcPr>
          <w:p w14:paraId="63FEF243"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AKPA</w:t>
            </w:r>
          </w:p>
        </w:tc>
        <w:tc>
          <w:tcPr>
            <w:tcW w:w="1521" w:type="dxa"/>
            <w:gridSpan w:val="2"/>
            <w:vAlign w:val="center"/>
            <w:hideMark/>
          </w:tcPr>
          <w:p w14:paraId="46A0E688"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IOAFP</w:t>
            </w:r>
          </w:p>
        </w:tc>
        <w:tc>
          <w:tcPr>
            <w:tcW w:w="1110" w:type="dxa"/>
            <w:gridSpan w:val="2"/>
            <w:hideMark/>
          </w:tcPr>
          <w:p w14:paraId="25B8C25B" w14:textId="1071DA29"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100</w:t>
            </w:r>
          </w:p>
        </w:tc>
        <w:tc>
          <w:tcPr>
            <w:tcW w:w="1110" w:type="dxa"/>
            <w:gridSpan w:val="3"/>
            <w:hideMark/>
          </w:tcPr>
          <w:p w14:paraId="3C04D375" w14:textId="5DEBC7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w:t>
            </w:r>
          </w:p>
        </w:tc>
        <w:tc>
          <w:tcPr>
            <w:tcW w:w="1110" w:type="dxa"/>
            <w:gridSpan w:val="2"/>
            <w:hideMark/>
          </w:tcPr>
          <w:p w14:paraId="20310466" w14:textId="755747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w:t>
            </w:r>
          </w:p>
        </w:tc>
        <w:tc>
          <w:tcPr>
            <w:tcW w:w="1110" w:type="dxa"/>
            <w:hideMark/>
          </w:tcPr>
          <w:p w14:paraId="13828F2E" w14:textId="418B6F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w:t>
            </w:r>
          </w:p>
        </w:tc>
        <w:tc>
          <w:tcPr>
            <w:tcW w:w="818" w:type="dxa"/>
            <w:gridSpan w:val="2"/>
            <w:hideMark/>
          </w:tcPr>
          <w:p w14:paraId="12BB8E30" w14:textId="270A8F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w:t>
            </w:r>
          </w:p>
        </w:tc>
      </w:tr>
      <w:tr w:rsidR="004D73D3" w:rsidRPr="0048716F" w14:paraId="27C1A8BD" w14:textId="77777777" w:rsidTr="00597AD8">
        <w:trPr>
          <w:trHeight w:val="552"/>
        </w:trPr>
        <w:tc>
          <w:tcPr>
            <w:tcW w:w="3885" w:type="dxa"/>
            <w:hideMark/>
          </w:tcPr>
          <w:p w14:paraId="04A7D13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1.5.4 Standardizim i certifikimit të njohurive dhe aftësive përfshirë të aftësive digjitale dhe të gjelbra për nxënësit/ kursantët me aftësi të kufizuara.</w:t>
            </w:r>
          </w:p>
        </w:tc>
        <w:tc>
          <w:tcPr>
            <w:tcW w:w="1080" w:type="dxa"/>
            <w:hideMark/>
          </w:tcPr>
          <w:p w14:paraId="3510FBA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792E7A5"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2028</w:t>
            </w:r>
          </w:p>
        </w:tc>
        <w:tc>
          <w:tcPr>
            <w:tcW w:w="1411" w:type="dxa"/>
            <w:vAlign w:val="center"/>
            <w:hideMark/>
          </w:tcPr>
          <w:p w14:paraId="09CD84B4"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AKAFPK</w:t>
            </w:r>
          </w:p>
        </w:tc>
        <w:tc>
          <w:tcPr>
            <w:tcW w:w="1521" w:type="dxa"/>
            <w:gridSpan w:val="2"/>
            <w:vAlign w:val="center"/>
            <w:hideMark/>
          </w:tcPr>
          <w:p w14:paraId="2C68A61D"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AKPA, MEI, MA, ASCAP</w:t>
            </w:r>
          </w:p>
        </w:tc>
        <w:tc>
          <w:tcPr>
            <w:tcW w:w="1110" w:type="dxa"/>
            <w:gridSpan w:val="2"/>
            <w:hideMark/>
          </w:tcPr>
          <w:p w14:paraId="45B96D44" w14:textId="2368A39D" w:rsidR="004D73D3" w:rsidRPr="00807F1C" w:rsidRDefault="004D73D3" w:rsidP="0048716F">
            <w:pPr>
              <w:jc w:val="both"/>
              <w:rPr>
                <w:rFonts w:eastAsia="Times New Roman"/>
                <w:color w:val="000000"/>
                <w:sz w:val="14"/>
                <w:szCs w:val="14"/>
                <w:lang w:val="en-US" w:eastAsia="en-US"/>
              </w:rPr>
            </w:pPr>
            <w:r w:rsidRPr="00807F1C">
              <w:rPr>
                <w:rFonts w:eastAsia="Times New Roman"/>
                <w:color w:val="000000"/>
                <w:sz w:val="14"/>
                <w:szCs w:val="14"/>
                <w:lang w:val="en-US" w:eastAsia="en-US"/>
              </w:rPr>
              <w:t>420</w:t>
            </w:r>
          </w:p>
        </w:tc>
        <w:tc>
          <w:tcPr>
            <w:tcW w:w="1110" w:type="dxa"/>
            <w:gridSpan w:val="3"/>
            <w:hideMark/>
          </w:tcPr>
          <w:p w14:paraId="75A1B586" w14:textId="064FB32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420</w:t>
            </w:r>
          </w:p>
        </w:tc>
        <w:tc>
          <w:tcPr>
            <w:tcW w:w="1110" w:type="dxa"/>
            <w:gridSpan w:val="2"/>
            <w:hideMark/>
          </w:tcPr>
          <w:p w14:paraId="57BDBE21" w14:textId="6A9D304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273</w:t>
            </w:r>
          </w:p>
        </w:tc>
        <w:tc>
          <w:tcPr>
            <w:tcW w:w="1110" w:type="dxa"/>
            <w:hideMark/>
          </w:tcPr>
          <w:p w14:paraId="2533D9C6" w14:textId="1D1CEE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13635FA" w14:textId="4D0169D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B3EB17E" w14:textId="77777777" w:rsidTr="00597AD8">
        <w:trPr>
          <w:trHeight w:val="828"/>
        </w:trPr>
        <w:tc>
          <w:tcPr>
            <w:tcW w:w="3885" w:type="dxa"/>
            <w:shd w:val="clear" w:color="000000" w:fill="B8CCE4"/>
            <w:noWrap/>
            <w:hideMark/>
          </w:tcPr>
          <w:p w14:paraId="4B732A3C"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1.6: Monitorimi, vlerësimi dhe administrimi i të dhënave- Matja e progresit dhe përmirësimi i vazhdueshëm i masave të parashikuara në këtë sektor/objektiv të planit të veprimit</w:t>
            </w:r>
          </w:p>
        </w:tc>
        <w:tc>
          <w:tcPr>
            <w:tcW w:w="1080" w:type="dxa"/>
            <w:shd w:val="clear" w:color="000000" w:fill="B8CCE4"/>
            <w:hideMark/>
          </w:tcPr>
          <w:p w14:paraId="1C2815E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48DC9A5A"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val="en-US" w:eastAsia="en-US"/>
              </w:rPr>
              <w:t>2030</w:t>
            </w:r>
          </w:p>
        </w:tc>
        <w:tc>
          <w:tcPr>
            <w:tcW w:w="1411" w:type="dxa"/>
            <w:shd w:val="clear" w:color="000000" w:fill="B8CCE4"/>
            <w:vAlign w:val="center"/>
            <w:hideMark/>
          </w:tcPr>
          <w:p w14:paraId="521A5652" w14:textId="77777777" w:rsidR="004D73D3" w:rsidRPr="00807F1C" w:rsidRDefault="004D73D3" w:rsidP="0048716F">
            <w:pPr>
              <w:jc w:val="both"/>
              <w:rPr>
                <w:rFonts w:eastAsia="Times New Roman"/>
                <w:color w:val="000000"/>
                <w:sz w:val="18"/>
                <w:szCs w:val="18"/>
                <w:lang w:val="en-US" w:eastAsia="en-US"/>
              </w:rPr>
            </w:pPr>
            <w:r w:rsidRPr="00807F1C">
              <w:rPr>
                <w:rFonts w:eastAsia="Times New Roman"/>
                <w:color w:val="000000"/>
                <w:sz w:val="18"/>
                <w:szCs w:val="18"/>
                <w:lang w:eastAsia="en-US"/>
              </w:rPr>
              <w:t>IOAFP/AKPA</w:t>
            </w:r>
          </w:p>
        </w:tc>
        <w:tc>
          <w:tcPr>
            <w:tcW w:w="1521" w:type="dxa"/>
            <w:gridSpan w:val="2"/>
            <w:shd w:val="clear" w:color="000000" w:fill="B8CCE4"/>
            <w:vAlign w:val="center"/>
            <w:hideMark/>
          </w:tcPr>
          <w:p w14:paraId="576E69A5" w14:textId="77777777" w:rsidR="004D73D3" w:rsidRPr="00807F1C" w:rsidRDefault="004D73D3" w:rsidP="00597AD8">
            <w:pPr>
              <w:rPr>
                <w:rFonts w:eastAsia="Times New Roman"/>
                <w:color w:val="000000"/>
                <w:sz w:val="18"/>
                <w:szCs w:val="18"/>
                <w:lang w:val="en-US" w:eastAsia="en-US"/>
              </w:rPr>
            </w:pPr>
            <w:r w:rsidRPr="00807F1C">
              <w:rPr>
                <w:rFonts w:eastAsia="Times New Roman"/>
                <w:color w:val="000000"/>
                <w:sz w:val="18"/>
                <w:szCs w:val="18"/>
                <w:lang w:eastAsia="en-US"/>
              </w:rPr>
              <w:t>IOAFP/AKPA</w:t>
            </w:r>
          </w:p>
        </w:tc>
        <w:tc>
          <w:tcPr>
            <w:tcW w:w="1110" w:type="dxa"/>
            <w:gridSpan w:val="2"/>
            <w:shd w:val="clear" w:color="000000" w:fill="B8CCE4"/>
            <w:hideMark/>
          </w:tcPr>
          <w:p w14:paraId="41D7C153" w14:textId="2DE04275" w:rsidR="004D73D3" w:rsidRPr="00807F1C" w:rsidRDefault="004D73D3" w:rsidP="0048716F">
            <w:pPr>
              <w:jc w:val="both"/>
              <w:rPr>
                <w:rFonts w:eastAsia="Times New Roman"/>
                <w:b/>
                <w:bCs/>
                <w:color w:val="000000"/>
                <w:sz w:val="14"/>
                <w:szCs w:val="14"/>
                <w:lang w:val="en-US" w:eastAsia="en-US"/>
              </w:rPr>
            </w:pPr>
            <w:r w:rsidRPr="00807F1C">
              <w:rPr>
                <w:rFonts w:eastAsia="Times New Roman"/>
                <w:b/>
                <w:bCs/>
                <w:color w:val="000000"/>
                <w:sz w:val="14"/>
                <w:szCs w:val="14"/>
                <w:lang w:val="en-US" w:eastAsia="en-US"/>
              </w:rPr>
              <w:t>540</w:t>
            </w:r>
          </w:p>
        </w:tc>
        <w:tc>
          <w:tcPr>
            <w:tcW w:w="1110" w:type="dxa"/>
            <w:gridSpan w:val="3"/>
            <w:shd w:val="clear" w:color="000000" w:fill="B8CCE4"/>
            <w:hideMark/>
          </w:tcPr>
          <w:p w14:paraId="0D205397" w14:textId="4BD3A9C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540</w:t>
            </w:r>
          </w:p>
        </w:tc>
        <w:tc>
          <w:tcPr>
            <w:tcW w:w="1110" w:type="dxa"/>
            <w:gridSpan w:val="2"/>
            <w:shd w:val="clear" w:color="000000" w:fill="B8CCE4"/>
            <w:hideMark/>
          </w:tcPr>
          <w:p w14:paraId="2C337171" w14:textId="1AB72F6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1,135</w:t>
            </w:r>
          </w:p>
        </w:tc>
        <w:tc>
          <w:tcPr>
            <w:tcW w:w="1110" w:type="dxa"/>
            <w:shd w:val="clear" w:color="000000" w:fill="B8CCE4"/>
            <w:hideMark/>
          </w:tcPr>
          <w:p w14:paraId="4C93CE9F" w14:textId="6F07E9A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540</w:t>
            </w:r>
          </w:p>
        </w:tc>
        <w:tc>
          <w:tcPr>
            <w:tcW w:w="818" w:type="dxa"/>
            <w:gridSpan w:val="2"/>
            <w:shd w:val="clear" w:color="000000" w:fill="B8CCE4"/>
            <w:hideMark/>
          </w:tcPr>
          <w:p w14:paraId="5D6A8A0B" w14:textId="075737C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540</w:t>
            </w:r>
          </w:p>
        </w:tc>
      </w:tr>
      <w:tr w:rsidR="004D73D3" w:rsidRPr="0048716F" w14:paraId="4F839F7F" w14:textId="77777777" w:rsidTr="00597AD8">
        <w:trPr>
          <w:trHeight w:val="828"/>
        </w:trPr>
        <w:tc>
          <w:tcPr>
            <w:tcW w:w="3885" w:type="dxa"/>
            <w:hideMark/>
          </w:tcPr>
          <w:p w14:paraId="0F2C2563" w14:textId="3803D1EB"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1.6.1 Rishikimi dhe administrimi i të dhënave të ndara sipas llojit të aftësisë së kufizuar, gjinisë, moshës,  kualifikimit/profesionit, rregjistrimit, përfundimit dhe gjurmimit pas përfundimit të AFP.</w:t>
            </w:r>
          </w:p>
        </w:tc>
        <w:tc>
          <w:tcPr>
            <w:tcW w:w="1080" w:type="dxa"/>
            <w:hideMark/>
          </w:tcPr>
          <w:p w14:paraId="2BA30F0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29850F2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411" w:type="dxa"/>
            <w:vAlign w:val="center"/>
            <w:hideMark/>
          </w:tcPr>
          <w:p w14:paraId="70A35C87"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IOAFP</w:t>
            </w:r>
          </w:p>
        </w:tc>
        <w:tc>
          <w:tcPr>
            <w:tcW w:w="1521" w:type="dxa"/>
            <w:gridSpan w:val="2"/>
            <w:vAlign w:val="center"/>
            <w:hideMark/>
          </w:tcPr>
          <w:p w14:paraId="46218F91"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110" w:type="dxa"/>
            <w:gridSpan w:val="2"/>
            <w:hideMark/>
          </w:tcPr>
          <w:p w14:paraId="108D9681" w14:textId="5683102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22D38AC3" w14:textId="418ECF2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87F21A6" w14:textId="0FEC92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595</w:t>
            </w:r>
          </w:p>
        </w:tc>
        <w:tc>
          <w:tcPr>
            <w:tcW w:w="1110" w:type="dxa"/>
            <w:hideMark/>
          </w:tcPr>
          <w:p w14:paraId="303AA9BC" w14:textId="4D621F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58E4F43" w14:textId="477FBB4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003BD83" w14:textId="77777777" w:rsidTr="00597AD8">
        <w:trPr>
          <w:trHeight w:val="288"/>
        </w:trPr>
        <w:tc>
          <w:tcPr>
            <w:tcW w:w="3885" w:type="dxa"/>
            <w:hideMark/>
          </w:tcPr>
          <w:p w14:paraId="078AA30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1.6.2 Raportim periodik dhe rishikim i politikave bazuar në evidenca.</w:t>
            </w:r>
          </w:p>
        </w:tc>
        <w:tc>
          <w:tcPr>
            <w:tcW w:w="1080" w:type="dxa"/>
            <w:hideMark/>
          </w:tcPr>
          <w:p w14:paraId="6C9D1FD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2DBE60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29139F4A"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AKPA</w:t>
            </w:r>
          </w:p>
        </w:tc>
        <w:tc>
          <w:tcPr>
            <w:tcW w:w="1521" w:type="dxa"/>
            <w:gridSpan w:val="2"/>
            <w:vAlign w:val="center"/>
            <w:hideMark/>
          </w:tcPr>
          <w:p w14:paraId="70D29513"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IOAFP</w:t>
            </w:r>
          </w:p>
        </w:tc>
        <w:tc>
          <w:tcPr>
            <w:tcW w:w="1110" w:type="dxa"/>
            <w:gridSpan w:val="2"/>
            <w:hideMark/>
          </w:tcPr>
          <w:p w14:paraId="59ADE6C6" w14:textId="79B9010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540</w:t>
            </w:r>
          </w:p>
        </w:tc>
        <w:tc>
          <w:tcPr>
            <w:tcW w:w="1110" w:type="dxa"/>
            <w:gridSpan w:val="3"/>
            <w:hideMark/>
          </w:tcPr>
          <w:p w14:paraId="7F7B10EB" w14:textId="4225D8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540</w:t>
            </w:r>
          </w:p>
        </w:tc>
        <w:tc>
          <w:tcPr>
            <w:tcW w:w="1110" w:type="dxa"/>
            <w:gridSpan w:val="2"/>
            <w:hideMark/>
          </w:tcPr>
          <w:p w14:paraId="2F450327" w14:textId="2B119FD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540</w:t>
            </w:r>
          </w:p>
        </w:tc>
        <w:tc>
          <w:tcPr>
            <w:tcW w:w="1110" w:type="dxa"/>
            <w:hideMark/>
          </w:tcPr>
          <w:p w14:paraId="0596CBB5" w14:textId="720C02E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540</w:t>
            </w:r>
          </w:p>
        </w:tc>
        <w:tc>
          <w:tcPr>
            <w:tcW w:w="818" w:type="dxa"/>
            <w:gridSpan w:val="2"/>
            <w:hideMark/>
          </w:tcPr>
          <w:p w14:paraId="05119EBF" w14:textId="684292F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540</w:t>
            </w:r>
          </w:p>
        </w:tc>
      </w:tr>
      <w:tr w:rsidR="004D73D3" w:rsidRPr="0048716F" w14:paraId="08DF39C4" w14:textId="77777777" w:rsidTr="00597AD8">
        <w:trPr>
          <w:trHeight w:val="1380"/>
        </w:trPr>
        <w:tc>
          <w:tcPr>
            <w:tcW w:w="3885" w:type="dxa"/>
            <w:shd w:val="clear" w:color="000000" w:fill="FDE9D9"/>
            <w:hideMark/>
          </w:tcPr>
          <w:p w14:paraId="7A89FFEF" w14:textId="5D0D4DD8"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Objektivi Specifik  2.Zgjerimi dhe konsolidimi i shërbimeve të punësimit që synojnë fuqizimin ekonomik dhe përfshirjen në tregun e punës të personave me aftësi të kufizuara, përmes programeve gjithëpërfshirëse dhe atyre specifike të aftësimit dhe punësimit dhe ngritjes dhe konsolidimit të  Fondit Social të Punësimit.</w:t>
            </w:r>
          </w:p>
        </w:tc>
        <w:tc>
          <w:tcPr>
            <w:tcW w:w="1080" w:type="dxa"/>
            <w:shd w:val="clear" w:color="000000" w:fill="FDE9D9"/>
            <w:hideMark/>
          </w:tcPr>
          <w:p w14:paraId="1B2C809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154EEC9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0FD62EE0"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MEI/MF/AKPA</w:t>
            </w:r>
          </w:p>
        </w:tc>
        <w:tc>
          <w:tcPr>
            <w:tcW w:w="1521" w:type="dxa"/>
            <w:gridSpan w:val="2"/>
            <w:shd w:val="clear" w:color="000000" w:fill="FDE9D9"/>
            <w:vAlign w:val="center"/>
            <w:hideMark/>
          </w:tcPr>
          <w:p w14:paraId="26D103B2"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AKPA/ISSH/MF/DPT/MEI/AKAFPK</w:t>
            </w:r>
          </w:p>
        </w:tc>
        <w:tc>
          <w:tcPr>
            <w:tcW w:w="1110" w:type="dxa"/>
            <w:gridSpan w:val="2"/>
            <w:shd w:val="clear" w:color="000000" w:fill="FDE9D9"/>
            <w:hideMark/>
          </w:tcPr>
          <w:p w14:paraId="3B877F9B" w14:textId="094DC54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239,510</w:t>
            </w:r>
          </w:p>
        </w:tc>
        <w:tc>
          <w:tcPr>
            <w:tcW w:w="1110" w:type="dxa"/>
            <w:gridSpan w:val="3"/>
            <w:shd w:val="clear" w:color="000000" w:fill="FDE9D9"/>
            <w:hideMark/>
          </w:tcPr>
          <w:p w14:paraId="58374323" w14:textId="0BE5759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251,200</w:t>
            </w:r>
          </w:p>
        </w:tc>
        <w:tc>
          <w:tcPr>
            <w:tcW w:w="1110" w:type="dxa"/>
            <w:gridSpan w:val="2"/>
            <w:shd w:val="clear" w:color="000000" w:fill="FDE9D9"/>
            <w:hideMark/>
          </w:tcPr>
          <w:p w14:paraId="5B1769C8" w14:textId="2ABAD85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250,463</w:t>
            </w:r>
          </w:p>
        </w:tc>
        <w:tc>
          <w:tcPr>
            <w:tcW w:w="1110" w:type="dxa"/>
            <w:shd w:val="clear" w:color="000000" w:fill="FDE9D9"/>
            <w:hideMark/>
          </w:tcPr>
          <w:p w14:paraId="2C421638" w14:textId="6DA2E14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253,414</w:t>
            </w:r>
          </w:p>
        </w:tc>
        <w:tc>
          <w:tcPr>
            <w:tcW w:w="818" w:type="dxa"/>
            <w:gridSpan w:val="2"/>
            <w:shd w:val="clear" w:color="000000" w:fill="FDE9D9"/>
            <w:hideMark/>
          </w:tcPr>
          <w:p w14:paraId="7E5B1FC8" w14:textId="2837712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260,712</w:t>
            </w:r>
          </w:p>
        </w:tc>
      </w:tr>
      <w:tr w:rsidR="004D73D3" w:rsidRPr="0048716F" w14:paraId="382637F9" w14:textId="77777777" w:rsidTr="00597AD8">
        <w:trPr>
          <w:trHeight w:val="552"/>
        </w:trPr>
        <w:tc>
          <w:tcPr>
            <w:tcW w:w="3885" w:type="dxa"/>
            <w:shd w:val="clear" w:color="000000" w:fill="DCE6F1"/>
            <w:hideMark/>
          </w:tcPr>
          <w:p w14:paraId="76B7BC49"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2.1: Plotësimi i kuadrit ligjor dhe institucional për të nxitur punësimin e punëkërkuesve me aftësi të kufizuara.</w:t>
            </w:r>
          </w:p>
        </w:tc>
        <w:tc>
          <w:tcPr>
            <w:tcW w:w="1080" w:type="dxa"/>
            <w:shd w:val="clear" w:color="000000" w:fill="DCE6F1"/>
            <w:hideMark/>
          </w:tcPr>
          <w:p w14:paraId="01BF438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218EEB1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02DE732F"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MEI/MF/AKPA</w:t>
            </w:r>
          </w:p>
        </w:tc>
        <w:tc>
          <w:tcPr>
            <w:tcW w:w="1521" w:type="dxa"/>
            <w:gridSpan w:val="2"/>
            <w:shd w:val="clear" w:color="000000" w:fill="DCE6F1"/>
            <w:vAlign w:val="center"/>
            <w:hideMark/>
          </w:tcPr>
          <w:p w14:paraId="2AF58CAB"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AKPA/ISSH/MF/DPT/MEI</w:t>
            </w:r>
          </w:p>
        </w:tc>
        <w:tc>
          <w:tcPr>
            <w:tcW w:w="1110" w:type="dxa"/>
            <w:gridSpan w:val="2"/>
            <w:shd w:val="clear" w:color="000000" w:fill="C5D9F1"/>
            <w:noWrap/>
            <w:hideMark/>
          </w:tcPr>
          <w:p w14:paraId="2922579D" w14:textId="2D7174A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3,645</w:t>
            </w:r>
          </w:p>
        </w:tc>
        <w:tc>
          <w:tcPr>
            <w:tcW w:w="1110" w:type="dxa"/>
            <w:gridSpan w:val="3"/>
            <w:shd w:val="clear" w:color="000000" w:fill="C5D9F1"/>
            <w:noWrap/>
            <w:hideMark/>
          </w:tcPr>
          <w:p w14:paraId="2587E433" w14:textId="4131F6A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5,031</w:t>
            </w:r>
          </w:p>
        </w:tc>
        <w:tc>
          <w:tcPr>
            <w:tcW w:w="1110" w:type="dxa"/>
            <w:gridSpan w:val="2"/>
            <w:shd w:val="clear" w:color="000000" w:fill="C5D9F1"/>
            <w:noWrap/>
            <w:hideMark/>
          </w:tcPr>
          <w:p w14:paraId="694A3AE9" w14:textId="5D7AF4E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shd w:val="clear" w:color="000000" w:fill="C5D9F1"/>
            <w:noWrap/>
            <w:hideMark/>
          </w:tcPr>
          <w:p w14:paraId="5FC2FA4C" w14:textId="49FFF19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818" w:type="dxa"/>
            <w:gridSpan w:val="2"/>
            <w:shd w:val="clear" w:color="000000" w:fill="C5D9F1"/>
            <w:noWrap/>
            <w:hideMark/>
          </w:tcPr>
          <w:p w14:paraId="560926E6" w14:textId="72CF418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r>
      <w:tr w:rsidR="004D73D3" w:rsidRPr="0048716F" w14:paraId="1D77BC04" w14:textId="77777777" w:rsidTr="00597AD8">
        <w:trPr>
          <w:trHeight w:val="1104"/>
        </w:trPr>
        <w:tc>
          <w:tcPr>
            <w:tcW w:w="3885" w:type="dxa"/>
            <w:hideMark/>
          </w:tcPr>
          <w:p w14:paraId="2D3E0CF2" w14:textId="67036E95"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2.1.1  Rishikimi i Ligjit për nxitjen e punësimit për të garantuar mekanizmat e duhur që garantojnë rehabilitim për punë dhe punësim të denjë për personat me aftësi të kufizuara në tregun e punës.</w:t>
            </w:r>
          </w:p>
        </w:tc>
        <w:tc>
          <w:tcPr>
            <w:tcW w:w="1080" w:type="dxa"/>
            <w:vAlign w:val="center"/>
            <w:hideMark/>
          </w:tcPr>
          <w:p w14:paraId="4083705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vAlign w:val="center"/>
            <w:hideMark/>
          </w:tcPr>
          <w:p w14:paraId="0D78831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411" w:type="dxa"/>
            <w:vAlign w:val="center"/>
            <w:hideMark/>
          </w:tcPr>
          <w:p w14:paraId="6349842F"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MEI</w:t>
            </w:r>
          </w:p>
        </w:tc>
        <w:tc>
          <w:tcPr>
            <w:tcW w:w="1521" w:type="dxa"/>
            <w:gridSpan w:val="2"/>
            <w:vAlign w:val="center"/>
            <w:hideMark/>
          </w:tcPr>
          <w:p w14:paraId="1660EAD3"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AKPA</w:t>
            </w:r>
          </w:p>
        </w:tc>
        <w:tc>
          <w:tcPr>
            <w:tcW w:w="1110" w:type="dxa"/>
            <w:gridSpan w:val="2"/>
            <w:hideMark/>
          </w:tcPr>
          <w:p w14:paraId="1F1D5BC6" w14:textId="379FFFF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1,386</w:t>
            </w:r>
          </w:p>
        </w:tc>
        <w:tc>
          <w:tcPr>
            <w:tcW w:w="1110" w:type="dxa"/>
            <w:gridSpan w:val="3"/>
            <w:hideMark/>
          </w:tcPr>
          <w:p w14:paraId="44567A78" w14:textId="439E91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2,772</w:t>
            </w:r>
          </w:p>
        </w:tc>
        <w:tc>
          <w:tcPr>
            <w:tcW w:w="1110" w:type="dxa"/>
            <w:gridSpan w:val="2"/>
            <w:hideMark/>
          </w:tcPr>
          <w:p w14:paraId="44A528A2" w14:textId="1A363E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F149CEE" w14:textId="7C9FA4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4D51447" w14:textId="7A7FA7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45BDD11" w14:textId="77777777" w:rsidTr="00597AD8">
        <w:trPr>
          <w:trHeight w:val="828"/>
        </w:trPr>
        <w:tc>
          <w:tcPr>
            <w:tcW w:w="3885" w:type="dxa"/>
            <w:hideMark/>
          </w:tcPr>
          <w:p w14:paraId="15749F3A" w14:textId="0E58CC38"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2.1.2. Rishikimi i Ligjit të Sigurimeve Shoqërore për të rregulluar vlerësimin e aftësive për punë dhe garantimin e mbështetjes financiare që mbulon kostot që lidhen me aftësinë e kufizuar, pavarësisht punësimit.</w:t>
            </w:r>
          </w:p>
        </w:tc>
        <w:tc>
          <w:tcPr>
            <w:tcW w:w="1080" w:type="dxa"/>
            <w:vAlign w:val="center"/>
            <w:hideMark/>
          </w:tcPr>
          <w:p w14:paraId="360D294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vAlign w:val="center"/>
            <w:hideMark/>
          </w:tcPr>
          <w:p w14:paraId="31F5148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411" w:type="dxa"/>
            <w:vAlign w:val="center"/>
            <w:hideMark/>
          </w:tcPr>
          <w:p w14:paraId="22227948"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MF</w:t>
            </w:r>
          </w:p>
        </w:tc>
        <w:tc>
          <w:tcPr>
            <w:tcW w:w="1521" w:type="dxa"/>
            <w:gridSpan w:val="2"/>
            <w:vAlign w:val="center"/>
            <w:hideMark/>
          </w:tcPr>
          <w:p w14:paraId="1F939600"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ISSH</w:t>
            </w:r>
          </w:p>
        </w:tc>
        <w:tc>
          <w:tcPr>
            <w:tcW w:w="1110" w:type="dxa"/>
            <w:gridSpan w:val="2"/>
            <w:hideMark/>
          </w:tcPr>
          <w:p w14:paraId="7BEE457A" w14:textId="1988517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420</w:t>
            </w:r>
          </w:p>
        </w:tc>
        <w:tc>
          <w:tcPr>
            <w:tcW w:w="1110" w:type="dxa"/>
            <w:gridSpan w:val="3"/>
            <w:hideMark/>
          </w:tcPr>
          <w:p w14:paraId="7EEC6475" w14:textId="35AA0D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420</w:t>
            </w:r>
          </w:p>
        </w:tc>
        <w:tc>
          <w:tcPr>
            <w:tcW w:w="1110" w:type="dxa"/>
            <w:gridSpan w:val="2"/>
            <w:hideMark/>
          </w:tcPr>
          <w:p w14:paraId="4DD6E88B" w14:textId="56F01A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8A40911" w14:textId="51BE87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7FCB295" w14:textId="4FB6205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4A84BED" w14:textId="77777777" w:rsidTr="00597AD8">
        <w:trPr>
          <w:trHeight w:val="1104"/>
        </w:trPr>
        <w:tc>
          <w:tcPr>
            <w:tcW w:w="3885" w:type="dxa"/>
            <w:noWrap/>
            <w:vAlign w:val="center"/>
            <w:hideMark/>
          </w:tcPr>
          <w:p w14:paraId="233C8DF9"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2.1.3. Krijimi i bazës rregullatorë për ngritjen, funksionimin dhe monitorimin e zbatimit të Fondit Social të Punësimit, përmes një procesi përfshirës me gjithë aktorët e tregut të punës,  përfshirë organizatat që përfaqësojnë e mbrojnë të drejtat e personave me aftësi të kufizuara.</w:t>
            </w:r>
          </w:p>
        </w:tc>
        <w:tc>
          <w:tcPr>
            <w:tcW w:w="1080" w:type="dxa"/>
            <w:vAlign w:val="center"/>
            <w:hideMark/>
          </w:tcPr>
          <w:p w14:paraId="651F572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vAlign w:val="center"/>
            <w:hideMark/>
          </w:tcPr>
          <w:p w14:paraId="7E5F813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411" w:type="dxa"/>
            <w:vAlign w:val="center"/>
            <w:hideMark/>
          </w:tcPr>
          <w:p w14:paraId="30ED9D42"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MEI</w:t>
            </w:r>
          </w:p>
        </w:tc>
        <w:tc>
          <w:tcPr>
            <w:tcW w:w="1521" w:type="dxa"/>
            <w:gridSpan w:val="2"/>
            <w:vAlign w:val="center"/>
            <w:hideMark/>
          </w:tcPr>
          <w:p w14:paraId="26B6CB50"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AKPA</w:t>
            </w:r>
          </w:p>
        </w:tc>
        <w:tc>
          <w:tcPr>
            <w:tcW w:w="1110" w:type="dxa"/>
            <w:gridSpan w:val="2"/>
            <w:hideMark/>
          </w:tcPr>
          <w:p w14:paraId="4DA289D6" w14:textId="0FA6817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595</w:t>
            </w:r>
          </w:p>
        </w:tc>
        <w:tc>
          <w:tcPr>
            <w:tcW w:w="1110" w:type="dxa"/>
            <w:gridSpan w:val="3"/>
            <w:hideMark/>
          </w:tcPr>
          <w:p w14:paraId="6F8EC569" w14:textId="4A88792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595</w:t>
            </w:r>
          </w:p>
        </w:tc>
        <w:tc>
          <w:tcPr>
            <w:tcW w:w="1110" w:type="dxa"/>
            <w:gridSpan w:val="2"/>
            <w:hideMark/>
          </w:tcPr>
          <w:p w14:paraId="533831D9" w14:textId="618455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DDD3078" w14:textId="6A8A926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9992EE2" w14:textId="33FC36A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BBED425" w14:textId="77777777" w:rsidTr="00597AD8">
        <w:trPr>
          <w:trHeight w:val="828"/>
        </w:trPr>
        <w:tc>
          <w:tcPr>
            <w:tcW w:w="3885" w:type="dxa"/>
            <w:hideMark/>
          </w:tcPr>
          <w:p w14:paraId="677582EF" w14:textId="6DC916CE"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2.1.3.Krijimi i mekanizmit për mbledhjen e kontributeve nga punëdhënësit, në bashkëpunim me Ministrinë e Financave dhe Drejtorinë e Përgjithshme të Tatimeve.</w:t>
            </w:r>
          </w:p>
        </w:tc>
        <w:tc>
          <w:tcPr>
            <w:tcW w:w="1080" w:type="dxa"/>
            <w:vAlign w:val="center"/>
            <w:hideMark/>
          </w:tcPr>
          <w:p w14:paraId="222D01B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vAlign w:val="center"/>
            <w:hideMark/>
          </w:tcPr>
          <w:p w14:paraId="33A86D4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411" w:type="dxa"/>
            <w:vAlign w:val="center"/>
            <w:hideMark/>
          </w:tcPr>
          <w:p w14:paraId="5F7415ED" w14:textId="77777777" w:rsidR="004D73D3" w:rsidRPr="00BE3AD4" w:rsidRDefault="004D73D3" w:rsidP="0048716F">
            <w:pPr>
              <w:jc w:val="both"/>
              <w:rPr>
                <w:rFonts w:eastAsia="Times New Roman"/>
                <w:color w:val="000000"/>
                <w:sz w:val="18"/>
                <w:szCs w:val="18"/>
                <w:lang w:val="en-US" w:eastAsia="en-US"/>
              </w:rPr>
            </w:pPr>
            <w:r w:rsidRPr="00BE3AD4">
              <w:rPr>
                <w:rFonts w:eastAsia="Times New Roman"/>
                <w:color w:val="000000"/>
                <w:sz w:val="18"/>
                <w:szCs w:val="18"/>
                <w:lang w:eastAsia="en-US"/>
              </w:rPr>
              <w:t>MEI</w:t>
            </w:r>
          </w:p>
        </w:tc>
        <w:tc>
          <w:tcPr>
            <w:tcW w:w="1521" w:type="dxa"/>
            <w:gridSpan w:val="2"/>
            <w:vAlign w:val="center"/>
            <w:hideMark/>
          </w:tcPr>
          <w:p w14:paraId="037A1199" w14:textId="77777777" w:rsidR="004D73D3" w:rsidRPr="00BE3AD4" w:rsidRDefault="004D73D3" w:rsidP="00597AD8">
            <w:pPr>
              <w:rPr>
                <w:rFonts w:eastAsia="Times New Roman"/>
                <w:color w:val="000000"/>
                <w:sz w:val="18"/>
                <w:szCs w:val="18"/>
                <w:lang w:val="en-US" w:eastAsia="en-US"/>
              </w:rPr>
            </w:pPr>
            <w:r w:rsidRPr="00BE3AD4">
              <w:rPr>
                <w:rFonts w:eastAsia="Times New Roman"/>
                <w:color w:val="000000"/>
                <w:sz w:val="18"/>
                <w:szCs w:val="18"/>
                <w:lang w:eastAsia="en-US"/>
              </w:rPr>
              <w:t>MF; DPT</w:t>
            </w:r>
          </w:p>
        </w:tc>
        <w:tc>
          <w:tcPr>
            <w:tcW w:w="1110" w:type="dxa"/>
            <w:gridSpan w:val="2"/>
            <w:hideMark/>
          </w:tcPr>
          <w:p w14:paraId="7D01CEA7" w14:textId="0BC0624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1,168</w:t>
            </w:r>
          </w:p>
        </w:tc>
        <w:tc>
          <w:tcPr>
            <w:tcW w:w="1110" w:type="dxa"/>
            <w:gridSpan w:val="3"/>
            <w:hideMark/>
          </w:tcPr>
          <w:p w14:paraId="4961E616" w14:textId="3F6E8E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1,168</w:t>
            </w:r>
          </w:p>
        </w:tc>
        <w:tc>
          <w:tcPr>
            <w:tcW w:w="1110" w:type="dxa"/>
            <w:gridSpan w:val="2"/>
            <w:hideMark/>
          </w:tcPr>
          <w:p w14:paraId="4BC4B8C7" w14:textId="04A80D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4F17B84" w14:textId="02C4FC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F1C4CE5" w14:textId="0D5AA6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878B2F4" w14:textId="77777777" w:rsidTr="00597AD8">
        <w:trPr>
          <w:trHeight w:val="1104"/>
        </w:trPr>
        <w:tc>
          <w:tcPr>
            <w:tcW w:w="3885" w:type="dxa"/>
            <w:hideMark/>
          </w:tcPr>
          <w:p w14:paraId="32DD58F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2.1.3. Funksionimi i Fondit Social të Punësimit dhe pilotimi i mbështetjes përmes këtij fondi së programeve të ndryshme që nxisin aftësimin, punësimin, vetëpunësimin, sipërmarrjen sociale dhë përshtatjen e arsyeshme për personat me aftësi të kufizuara (Ref 2.4.3)</w:t>
            </w:r>
          </w:p>
        </w:tc>
        <w:tc>
          <w:tcPr>
            <w:tcW w:w="1080" w:type="dxa"/>
            <w:vAlign w:val="center"/>
            <w:hideMark/>
          </w:tcPr>
          <w:p w14:paraId="70AA1D05" w14:textId="69B4DA32" w:rsidR="004D73D3" w:rsidRPr="0048716F" w:rsidRDefault="004D73D3" w:rsidP="0048716F">
            <w:pPr>
              <w:jc w:val="both"/>
              <w:rPr>
                <w:rFonts w:eastAsia="Times New Roman"/>
                <w:b/>
                <w:bCs/>
                <w:color w:val="000000"/>
                <w:sz w:val="18"/>
                <w:szCs w:val="18"/>
                <w:lang w:val="en-US" w:eastAsia="en-US"/>
              </w:rPr>
            </w:pPr>
          </w:p>
        </w:tc>
        <w:tc>
          <w:tcPr>
            <w:tcW w:w="1260" w:type="dxa"/>
            <w:vAlign w:val="center"/>
            <w:hideMark/>
          </w:tcPr>
          <w:p w14:paraId="4928323E" w14:textId="5A23A1FB"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261C3DE1" w14:textId="2409F0A7" w:rsidR="004D73D3" w:rsidRPr="0048716F" w:rsidRDefault="004D73D3" w:rsidP="0048716F">
            <w:pPr>
              <w:jc w:val="both"/>
              <w:rPr>
                <w:rFonts w:eastAsia="Times New Roman"/>
                <w:color w:val="000000"/>
                <w:sz w:val="18"/>
                <w:szCs w:val="18"/>
                <w:lang w:val="en-US" w:eastAsia="en-US"/>
              </w:rPr>
            </w:pPr>
          </w:p>
        </w:tc>
        <w:tc>
          <w:tcPr>
            <w:tcW w:w="1521" w:type="dxa"/>
            <w:gridSpan w:val="2"/>
            <w:vAlign w:val="center"/>
            <w:hideMark/>
          </w:tcPr>
          <w:p w14:paraId="247EB3E9" w14:textId="2C6201AC" w:rsidR="004D73D3" w:rsidRPr="0048716F" w:rsidRDefault="004D73D3" w:rsidP="00597AD8">
            <w:pPr>
              <w:rPr>
                <w:rFonts w:eastAsia="Times New Roman"/>
                <w:color w:val="000000"/>
                <w:sz w:val="18"/>
                <w:szCs w:val="18"/>
                <w:lang w:val="en-US" w:eastAsia="en-US"/>
              </w:rPr>
            </w:pPr>
          </w:p>
        </w:tc>
        <w:tc>
          <w:tcPr>
            <w:tcW w:w="1110" w:type="dxa"/>
            <w:gridSpan w:val="2"/>
            <w:hideMark/>
          </w:tcPr>
          <w:p w14:paraId="2BC8BCF3" w14:textId="258B969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4F057ECF" w14:textId="31E183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0DE9E72" w14:textId="285086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7714DB0" w14:textId="3C496A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0BE1D58" w14:textId="5866E1D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FDAFD61" w14:textId="77777777" w:rsidTr="00597AD8">
        <w:trPr>
          <w:trHeight w:val="288"/>
        </w:trPr>
        <w:tc>
          <w:tcPr>
            <w:tcW w:w="3885" w:type="dxa"/>
            <w:hideMark/>
          </w:tcPr>
          <w:p w14:paraId="5976096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2.1.3.3 Krijimi i Bordit për Administrimin e Fondit Social të Punësimit.</w:t>
            </w:r>
          </w:p>
        </w:tc>
        <w:tc>
          <w:tcPr>
            <w:tcW w:w="1080" w:type="dxa"/>
            <w:vAlign w:val="center"/>
            <w:hideMark/>
          </w:tcPr>
          <w:p w14:paraId="2053177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EB938A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12BE5BF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2BDC018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323290B9" w14:textId="71D86E6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75</w:t>
            </w:r>
          </w:p>
        </w:tc>
        <w:tc>
          <w:tcPr>
            <w:tcW w:w="1110" w:type="dxa"/>
            <w:gridSpan w:val="3"/>
            <w:hideMark/>
          </w:tcPr>
          <w:p w14:paraId="58E6E165" w14:textId="5F9D9A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w:t>
            </w:r>
          </w:p>
        </w:tc>
        <w:tc>
          <w:tcPr>
            <w:tcW w:w="1110" w:type="dxa"/>
            <w:gridSpan w:val="2"/>
            <w:hideMark/>
          </w:tcPr>
          <w:p w14:paraId="2C61D7E1" w14:textId="128EAA5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0A393B4" w14:textId="319E8A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E66265F" w14:textId="66A4FD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E87C39A" w14:textId="77777777" w:rsidTr="00597AD8">
        <w:trPr>
          <w:trHeight w:val="1656"/>
        </w:trPr>
        <w:tc>
          <w:tcPr>
            <w:tcW w:w="3885" w:type="dxa"/>
            <w:hideMark/>
          </w:tcPr>
          <w:p w14:paraId="5F37372C"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2.1.4 Hartimi dhe aprovimi i VKMve përkatëse, udhëzimeve dhe udhëzuesve, përfshirë VKM për zbatimin e programit të posacëm për “ Punësimin me Mbështetje” , Udhëzimin “ Për financimin e përshtatjes së arsyeshme” , Udhëzues për këshillimin e punëkërkuesve me e aftësi të kufizuara “ etj., si edhe VKM të tjera në lidhje me programet e posacme që do të mbështeten përmes Fondit Social sikurse parashikuar në ligjin për nxitjen e punësimit.</w:t>
            </w:r>
          </w:p>
        </w:tc>
        <w:tc>
          <w:tcPr>
            <w:tcW w:w="1080" w:type="dxa"/>
            <w:vAlign w:val="center"/>
            <w:hideMark/>
          </w:tcPr>
          <w:p w14:paraId="644C710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6398A51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7201EF6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4F4ABF1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019128A1" w14:textId="1A6DF33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38D04B1B" w14:textId="734197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9DE2181" w14:textId="6E0928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9B816DF" w14:textId="330AE97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6524E04" w14:textId="0AF359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6D5A813" w14:textId="77777777" w:rsidTr="00597AD8">
        <w:trPr>
          <w:trHeight w:val="1104"/>
        </w:trPr>
        <w:tc>
          <w:tcPr>
            <w:tcW w:w="3885" w:type="dxa"/>
            <w:shd w:val="clear" w:color="000000" w:fill="DCE6F1"/>
            <w:hideMark/>
          </w:tcPr>
          <w:p w14:paraId="09679DC0"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2.2. Përmirësimi i aksesueshmërisë dhe kapaciteteve institucionale të AKPA-s dhe zyrave të punësimit për të garantuar akses dhe shërbime gjithëpërfshirëse punësimi për punëkërkuesit me aftësi të kufizuara</w:t>
            </w:r>
          </w:p>
        </w:tc>
        <w:tc>
          <w:tcPr>
            <w:tcW w:w="1080" w:type="dxa"/>
            <w:shd w:val="clear" w:color="000000" w:fill="DCE6F1"/>
            <w:hideMark/>
          </w:tcPr>
          <w:p w14:paraId="671B881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263FF2A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7E4CE1E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shd w:val="clear" w:color="000000" w:fill="DCE6F1"/>
            <w:vAlign w:val="center"/>
            <w:hideMark/>
          </w:tcPr>
          <w:p w14:paraId="6682868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shd w:val="clear" w:color="000000" w:fill="C5D9F1"/>
            <w:noWrap/>
            <w:hideMark/>
          </w:tcPr>
          <w:p w14:paraId="387094D5" w14:textId="1511821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7,100</w:t>
            </w:r>
          </w:p>
        </w:tc>
        <w:tc>
          <w:tcPr>
            <w:tcW w:w="1110" w:type="dxa"/>
            <w:gridSpan w:val="3"/>
            <w:shd w:val="clear" w:color="000000" w:fill="C5D9F1"/>
            <w:noWrap/>
            <w:hideMark/>
          </w:tcPr>
          <w:p w14:paraId="520A7F67" w14:textId="54035B2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9,650</w:t>
            </w:r>
          </w:p>
        </w:tc>
        <w:tc>
          <w:tcPr>
            <w:tcW w:w="1110" w:type="dxa"/>
            <w:gridSpan w:val="2"/>
            <w:shd w:val="clear" w:color="000000" w:fill="C5D9F1"/>
            <w:noWrap/>
            <w:hideMark/>
          </w:tcPr>
          <w:p w14:paraId="77C66BF4" w14:textId="30B8E0E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9,650</w:t>
            </w:r>
          </w:p>
        </w:tc>
        <w:tc>
          <w:tcPr>
            <w:tcW w:w="1110" w:type="dxa"/>
            <w:shd w:val="clear" w:color="000000" w:fill="C5D9F1"/>
            <w:noWrap/>
            <w:hideMark/>
          </w:tcPr>
          <w:p w14:paraId="1228722B" w14:textId="7CC6F43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6,900</w:t>
            </w:r>
          </w:p>
        </w:tc>
        <w:tc>
          <w:tcPr>
            <w:tcW w:w="818" w:type="dxa"/>
            <w:gridSpan w:val="2"/>
            <w:shd w:val="clear" w:color="000000" w:fill="C5D9F1"/>
            <w:noWrap/>
            <w:hideMark/>
          </w:tcPr>
          <w:p w14:paraId="34B09F22" w14:textId="00E5A4F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6,900</w:t>
            </w:r>
          </w:p>
        </w:tc>
      </w:tr>
      <w:tr w:rsidR="004D73D3" w:rsidRPr="0048716F" w14:paraId="2E96DA51" w14:textId="77777777" w:rsidTr="00597AD8">
        <w:trPr>
          <w:trHeight w:val="1932"/>
        </w:trPr>
        <w:tc>
          <w:tcPr>
            <w:tcW w:w="3885" w:type="dxa"/>
            <w:noWrap/>
            <w:vAlign w:val="center"/>
            <w:hideMark/>
          </w:tcPr>
          <w:p w14:paraId="7D9DE11A"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2.2.1 Përmirësimi i efektivitetit të shërbimeve të punësimit, duke garantuar(i)aksesueshmërinë fizike, digjitale, në informacion dhe komunikim;(ii)përshtatjen e arsyeshme, kur është e nevojshme (iii)modelin e ofrimit te shërbimeve të punësimit për personat me aftësi të kufizuara në tre nivele: (a) shërbime bazë universale;(b)shërbime të ndërmjetësimit të avancuar;(c) shërbime të personalizuara intensive, përfshirë punësimin me mbështetje.</w:t>
            </w:r>
          </w:p>
        </w:tc>
        <w:tc>
          <w:tcPr>
            <w:tcW w:w="1080" w:type="dxa"/>
            <w:vAlign w:val="center"/>
            <w:hideMark/>
          </w:tcPr>
          <w:p w14:paraId="2CD19A8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00231A0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DAA02E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5E3DACD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7F1C64F5" w14:textId="0AEEE44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6,750</w:t>
            </w:r>
          </w:p>
        </w:tc>
        <w:tc>
          <w:tcPr>
            <w:tcW w:w="1110" w:type="dxa"/>
            <w:gridSpan w:val="3"/>
            <w:hideMark/>
          </w:tcPr>
          <w:p w14:paraId="7F59F553" w14:textId="6917535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8,750</w:t>
            </w:r>
          </w:p>
        </w:tc>
        <w:tc>
          <w:tcPr>
            <w:tcW w:w="1110" w:type="dxa"/>
            <w:gridSpan w:val="2"/>
            <w:hideMark/>
          </w:tcPr>
          <w:p w14:paraId="392567C4" w14:textId="5E8E8DD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8,750</w:t>
            </w:r>
          </w:p>
        </w:tc>
        <w:tc>
          <w:tcPr>
            <w:tcW w:w="1110" w:type="dxa"/>
            <w:hideMark/>
          </w:tcPr>
          <w:p w14:paraId="6B0A925B" w14:textId="0A41CD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818" w:type="dxa"/>
            <w:gridSpan w:val="2"/>
            <w:hideMark/>
          </w:tcPr>
          <w:p w14:paraId="0F9DAA31" w14:textId="21E527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r>
      <w:tr w:rsidR="004D73D3" w:rsidRPr="0048716F" w14:paraId="3C01FE9E" w14:textId="77777777" w:rsidTr="00597AD8">
        <w:trPr>
          <w:trHeight w:val="552"/>
        </w:trPr>
        <w:tc>
          <w:tcPr>
            <w:tcW w:w="3885" w:type="dxa"/>
            <w:noWrap/>
            <w:vAlign w:val="center"/>
            <w:hideMark/>
          </w:tcPr>
          <w:p w14:paraId="6C4217F6"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2.2.2. Vendosja e specialistëve të dedikuar për ofrimin e shërbimeve për punë kërkuesit me aftësi të kufizuara dhe punëdhënësve potencialë.</w:t>
            </w:r>
          </w:p>
        </w:tc>
        <w:tc>
          <w:tcPr>
            <w:tcW w:w="1080" w:type="dxa"/>
            <w:vAlign w:val="center"/>
            <w:hideMark/>
          </w:tcPr>
          <w:p w14:paraId="3E9E1D9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52E2395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BBEB8B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6EC2075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24A0AF42" w14:textId="441BBDD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43704D38" w14:textId="425B77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64F39CE" w14:textId="449D936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8697338" w14:textId="05E08EC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0760DF3" w14:textId="225A9C6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5E71D08" w14:textId="77777777" w:rsidTr="00597AD8">
        <w:trPr>
          <w:trHeight w:val="1104"/>
        </w:trPr>
        <w:tc>
          <w:tcPr>
            <w:tcW w:w="3885" w:type="dxa"/>
            <w:noWrap/>
            <w:vAlign w:val="center"/>
            <w:hideMark/>
          </w:tcPr>
          <w:p w14:paraId="3391B6FC"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2.2.3 Zhvillimi i kapaciteteve të specialistëve të dedikuar për ofrimin e shërbimeve për punëkërkuesit me aftësi të kufizuara, përfshirë në përdorimin e teknologjisë asitive për punëkërkuesit me aftësi të kufizuara, për ti orientuar ata drejt për përdorimin e tyre kur paraqiten pranë zyrave të punësimit.</w:t>
            </w:r>
          </w:p>
        </w:tc>
        <w:tc>
          <w:tcPr>
            <w:tcW w:w="1080" w:type="dxa"/>
            <w:vAlign w:val="center"/>
            <w:hideMark/>
          </w:tcPr>
          <w:p w14:paraId="7825B53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59A6E13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721BD99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31768BE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2BE22344" w14:textId="74007DD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175</w:t>
            </w:r>
          </w:p>
        </w:tc>
        <w:tc>
          <w:tcPr>
            <w:tcW w:w="1110" w:type="dxa"/>
            <w:gridSpan w:val="3"/>
            <w:hideMark/>
          </w:tcPr>
          <w:p w14:paraId="1D6FB555" w14:textId="7986335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1110" w:type="dxa"/>
            <w:gridSpan w:val="2"/>
            <w:hideMark/>
          </w:tcPr>
          <w:p w14:paraId="618C383F" w14:textId="622BFF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1110" w:type="dxa"/>
            <w:hideMark/>
          </w:tcPr>
          <w:p w14:paraId="5B56B5D5" w14:textId="2D4B67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818" w:type="dxa"/>
            <w:gridSpan w:val="2"/>
            <w:hideMark/>
          </w:tcPr>
          <w:p w14:paraId="288A8A44" w14:textId="08020A1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r>
      <w:tr w:rsidR="004D73D3" w:rsidRPr="0048716F" w14:paraId="32E763C4" w14:textId="77777777" w:rsidTr="00597AD8">
        <w:trPr>
          <w:trHeight w:val="828"/>
        </w:trPr>
        <w:tc>
          <w:tcPr>
            <w:tcW w:w="3885" w:type="dxa"/>
            <w:noWrap/>
            <w:vAlign w:val="center"/>
            <w:hideMark/>
          </w:tcPr>
          <w:p w14:paraId="6E519CF0"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2.2.4 Trajnimi i këshilltarëve të specializuar për punësimin e personave me aftësi të kufizuara në strukturat e AKPA, për të ofruar ndërmjetësim të specializuar dhe mbështetje të vazhdueshme.</w:t>
            </w:r>
          </w:p>
        </w:tc>
        <w:tc>
          <w:tcPr>
            <w:tcW w:w="1080" w:type="dxa"/>
            <w:vAlign w:val="center"/>
            <w:hideMark/>
          </w:tcPr>
          <w:p w14:paraId="4BFE85A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7E59D85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7CD73C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7FE02C0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5606F1D9" w14:textId="1CC5200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175</w:t>
            </w:r>
          </w:p>
        </w:tc>
        <w:tc>
          <w:tcPr>
            <w:tcW w:w="1110" w:type="dxa"/>
            <w:gridSpan w:val="3"/>
            <w:hideMark/>
          </w:tcPr>
          <w:p w14:paraId="6378E6B9" w14:textId="6E560BB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1110" w:type="dxa"/>
            <w:gridSpan w:val="2"/>
            <w:hideMark/>
          </w:tcPr>
          <w:p w14:paraId="30383FB1" w14:textId="3BAFF4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1110" w:type="dxa"/>
            <w:hideMark/>
          </w:tcPr>
          <w:p w14:paraId="78F04622" w14:textId="22466AE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c>
          <w:tcPr>
            <w:tcW w:w="818" w:type="dxa"/>
            <w:gridSpan w:val="2"/>
            <w:hideMark/>
          </w:tcPr>
          <w:p w14:paraId="34BF8894" w14:textId="193A94B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w:t>
            </w:r>
          </w:p>
        </w:tc>
      </w:tr>
      <w:tr w:rsidR="004D73D3" w:rsidRPr="0048716F" w14:paraId="7D063E53" w14:textId="77777777" w:rsidTr="00597AD8">
        <w:trPr>
          <w:trHeight w:val="828"/>
        </w:trPr>
        <w:tc>
          <w:tcPr>
            <w:tcW w:w="3885" w:type="dxa"/>
            <w:shd w:val="clear" w:color="000000" w:fill="B8CCE4"/>
            <w:hideMark/>
          </w:tcPr>
          <w:p w14:paraId="71EB3369" w14:textId="7766EFFD"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2.3 Përmirësimi i sistemit të vlerësimit dhe regjistrimit të punëkërkuesve me aftësi të kufizuara, me fokus të veçante të rinjtë dhe gratë me aftësi të kufizuara</w:t>
            </w:r>
          </w:p>
        </w:tc>
        <w:tc>
          <w:tcPr>
            <w:tcW w:w="1080" w:type="dxa"/>
            <w:shd w:val="clear" w:color="000000" w:fill="B8CCE4"/>
            <w:noWrap/>
            <w:vAlign w:val="center"/>
            <w:hideMark/>
          </w:tcPr>
          <w:p w14:paraId="672041D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shd w:val="clear" w:color="000000" w:fill="B8CCE4"/>
            <w:noWrap/>
            <w:vAlign w:val="center"/>
            <w:hideMark/>
          </w:tcPr>
          <w:p w14:paraId="5B8B01A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B8CCE4"/>
            <w:noWrap/>
            <w:vAlign w:val="center"/>
            <w:hideMark/>
          </w:tcPr>
          <w:p w14:paraId="7ECBBCC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shd w:val="clear" w:color="000000" w:fill="B8CCE4"/>
            <w:noWrap/>
            <w:vAlign w:val="center"/>
            <w:hideMark/>
          </w:tcPr>
          <w:p w14:paraId="69173A2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shd w:val="clear" w:color="000000" w:fill="C5D9F1"/>
            <w:noWrap/>
            <w:hideMark/>
          </w:tcPr>
          <w:p w14:paraId="3B1F9642" w14:textId="1A5D159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45D42783" w14:textId="6F145B6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3,750</w:t>
            </w:r>
          </w:p>
        </w:tc>
        <w:tc>
          <w:tcPr>
            <w:tcW w:w="1110" w:type="dxa"/>
            <w:gridSpan w:val="2"/>
            <w:shd w:val="clear" w:color="000000" w:fill="C5D9F1"/>
            <w:noWrap/>
            <w:hideMark/>
          </w:tcPr>
          <w:p w14:paraId="76FC95A4" w14:textId="51CF858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1,425</w:t>
            </w:r>
          </w:p>
        </w:tc>
        <w:tc>
          <w:tcPr>
            <w:tcW w:w="1110" w:type="dxa"/>
            <w:shd w:val="clear" w:color="000000" w:fill="C5D9F1"/>
            <w:noWrap/>
            <w:hideMark/>
          </w:tcPr>
          <w:p w14:paraId="5305B89A" w14:textId="214D634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175</w:t>
            </w:r>
          </w:p>
        </w:tc>
        <w:tc>
          <w:tcPr>
            <w:tcW w:w="818" w:type="dxa"/>
            <w:gridSpan w:val="2"/>
            <w:shd w:val="clear" w:color="000000" w:fill="C5D9F1"/>
            <w:noWrap/>
            <w:hideMark/>
          </w:tcPr>
          <w:p w14:paraId="1D87C7BC" w14:textId="2D9DD67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175</w:t>
            </w:r>
          </w:p>
        </w:tc>
      </w:tr>
      <w:tr w:rsidR="004D73D3" w:rsidRPr="0048716F" w14:paraId="213BE825" w14:textId="77777777" w:rsidTr="00597AD8">
        <w:trPr>
          <w:trHeight w:val="1380"/>
        </w:trPr>
        <w:tc>
          <w:tcPr>
            <w:tcW w:w="3885" w:type="dxa"/>
            <w:hideMark/>
          </w:tcPr>
          <w:p w14:paraId="7391FDD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2.3.1 Ngritja dhe konsolidimi i sistemit të vlerësimit të kapaciteteve për punë për punëkërkuesit e papunë me aftësi të kufizuara pranë AKPAs, profilizimi individual cilësor i punëkërkuesve me aftësi të kufizuara, duke marrë në konsideratë (i) aftësitë, interesat dhe aspiratat;(ii) nevojat për përshtatje të arsyeshme;) (iii) dimensionin gjinor dhe moshën.</w:t>
            </w:r>
          </w:p>
        </w:tc>
        <w:tc>
          <w:tcPr>
            <w:tcW w:w="1080" w:type="dxa"/>
            <w:hideMark/>
          </w:tcPr>
          <w:p w14:paraId="42C445D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7EB9665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2997C16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3DE3E6F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6B212577" w14:textId="5B327FD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71A730DA" w14:textId="64D7383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gridSpan w:val="2"/>
            <w:hideMark/>
          </w:tcPr>
          <w:p w14:paraId="360A0751" w14:textId="7F13C7D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w:t>
            </w:r>
          </w:p>
        </w:tc>
        <w:tc>
          <w:tcPr>
            <w:tcW w:w="1110" w:type="dxa"/>
            <w:hideMark/>
          </w:tcPr>
          <w:p w14:paraId="39C78C76" w14:textId="78C9C8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w:t>
            </w:r>
          </w:p>
        </w:tc>
        <w:tc>
          <w:tcPr>
            <w:tcW w:w="818" w:type="dxa"/>
            <w:gridSpan w:val="2"/>
            <w:hideMark/>
          </w:tcPr>
          <w:p w14:paraId="37646322" w14:textId="3F36D2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w:t>
            </w:r>
          </w:p>
        </w:tc>
      </w:tr>
      <w:tr w:rsidR="004D73D3" w:rsidRPr="0048716F" w14:paraId="16D327FE" w14:textId="77777777" w:rsidTr="00597AD8">
        <w:trPr>
          <w:trHeight w:val="1104"/>
        </w:trPr>
        <w:tc>
          <w:tcPr>
            <w:tcW w:w="3885" w:type="dxa"/>
            <w:hideMark/>
          </w:tcPr>
          <w:p w14:paraId="12459049"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2.3.2 Krijimi i një sistemi të integruar të informacionit dhe ndërmjetësimit digjital të aksesueshëm, për të garantuar lidhjen automatike të punëkërkuesve me aftësi të kufizuara me: (i) arsimin dhe formimin profesional (AFP); (ii) skemat aktive të punësimit; (iii) tregun e hapur të punës;</w:t>
            </w:r>
          </w:p>
        </w:tc>
        <w:tc>
          <w:tcPr>
            <w:tcW w:w="1080" w:type="dxa"/>
            <w:hideMark/>
          </w:tcPr>
          <w:p w14:paraId="11BD06E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1BBDAEB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411" w:type="dxa"/>
            <w:vAlign w:val="center"/>
            <w:hideMark/>
          </w:tcPr>
          <w:p w14:paraId="56E49F8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1BC92AA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0F771BDF" w14:textId="562C102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6774F880" w14:textId="4ED8FE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1,250</w:t>
            </w:r>
          </w:p>
        </w:tc>
        <w:tc>
          <w:tcPr>
            <w:tcW w:w="1110" w:type="dxa"/>
            <w:gridSpan w:val="2"/>
            <w:hideMark/>
          </w:tcPr>
          <w:p w14:paraId="0D6E3313" w14:textId="3C5D164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1,250</w:t>
            </w:r>
          </w:p>
        </w:tc>
        <w:tc>
          <w:tcPr>
            <w:tcW w:w="1110" w:type="dxa"/>
            <w:hideMark/>
          </w:tcPr>
          <w:p w14:paraId="57AA1AF2" w14:textId="65145C6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3D894D9" w14:textId="237C88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581D4A8" w14:textId="77777777" w:rsidTr="00597AD8">
        <w:trPr>
          <w:trHeight w:val="828"/>
        </w:trPr>
        <w:tc>
          <w:tcPr>
            <w:tcW w:w="3885" w:type="dxa"/>
            <w:shd w:val="clear" w:color="000000" w:fill="DCE6F1"/>
            <w:hideMark/>
          </w:tcPr>
          <w:p w14:paraId="3DB208F9" w14:textId="7B7AAA96"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Masë prioritare 2.4 Konsolidimi dhe zgjerimi i shërbimeve për punëdhënësit dhe punëkërkuesit dhe përshtatja e vazhdueshme e tyre bazuar në praktikat e monitorimit dhe vlerësimit</w:t>
            </w:r>
          </w:p>
        </w:tc>
        <w:tc>
          <w:tcPr>
            <w:tcW w:w="1080" w:type="dxa"/>
            <w:shd w:val="clear" w:color="000000" w:fill="DCE6F1"/>
            <w:hideMark/>
          </w:tcPr>
          <w:p w14:paraId="720F202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495187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57C28C6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shd w:val="clear" w:color="000000" w:fill="DCE6F1"/>
            <w:vAlign w:val="center"/>
            <w:hideMark/>
          </w:tcPr>
          <w:p w14:paraId="5D90CC7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shd w:val="clear" w:color="000000" w:fill="C5D9F1"/>
            <w:noWrap/>
            <w:hideMark/>
          </w:tcPr>
          <w:p w14:paraId="1700DFE7" w14:textId="125D3CD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225,285</w:t>
            </w:r>
          </w:p>
        </w:tc>
        <w:tc>
          <w:tcPr>
            <w:tcW w:w="1110" w:type="dxa"/>
            <w:gridSpan w:val="3"/>
            <w:shd w:val="clear" w:color="000000" w:fill="C5D9F1"/>
            <w:noWrap/>
            <w:hideMark/>
          </w:tcPr>
          <w:p w14:paraId="179A5F43" w14:textId="2059AE1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231,389</w:t>
            </w:r>
          </w:p>
        </w:tc>
        <w:tc>
          <w:tcPr>
            <w:tcW w:w="1110" w:type="dxa"/>
            <w:gridSpan w:val="2"/>
            <w:shd w:val="clear" w:color="000000" w:fill="C5D9F1"/>
            <w:noWrap/>
            <w:hideMark/>
          </w:tcPr>
          <w:p w14:paraId="1845459D" w14:textId="3C467E2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238,008</w:t>
            </w:r>
          </w:p>
        </w:tc>
        <w:tc>
          <w:tcPr>
            <w:tcW w:w="1110" w:type="dxa"/>
            <w:shd w:val="clear" w:color="000000" w:fill="C5D9F1"/>
            <w:noWrap/>
            <w:hideMark/>
          </w:tcPr>
          <w:p w14:paraId="348C5B52" w14:textId="35897E0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244,959</w:t>
            </w:r>
          </w:p>
        </w:tc>
        <w:tc>
          <w:tcPr>
            <w:tcW w:w="818" w:type="dxa"/>
            <w:gridSpan w:val="2"/>
            <w:shd w:val="clear" w:color="000000" w:fill="C5D9F1"/>
            <w:noWrap/>
            <w:hideMark/>
          </w:tcPr>
          <w:p w14:paraId="079836FA" w14:textId="695A4F7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252,257</w:t>
            </w:r>
          </w:p>
        </w:tc>
      </w:tr>
      <w:tr w:rsidR="004D73D3" w:rsidRPr="0048716F" w14:paraId="0C18202A" w14:textId="77777777" w:rsidTr="00597AD8">
        <w:trPr>
          <w:trHeight w:val="1380"/>
        </w:trPr>
        <w:tc>
          <w:tcPr>
            <w:tcW w:w="3885" w:type="dxa"/>
            <w:noWrap/>
            <w:vAlign w:val="center"/>
            <w:hideMark/>
          </w:tcPr>
          <w:p w14:paraId="10C827F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2.4.1 Ofrimi i shërbimeve të punësimit për personat me aftësi të kufizuara në tre nivele:  (i) shërbime bazë universale; (ii)shërbime të ndërmjetësimit të avancuar; (iii) shërbime të personalizuara intensive, përfshirë punësimin me mbështetje, bazuar në “Udhëzuesin mbi këshillimin e punëkërkuesve me aftësi të kufizuara” .</w:t>
            </w:r>
          </w:p>
        </w:tc>
        <w:tc>
          <w:tcPr>
            <w:tcW w:w="1080" w:type="dxa"/>
            <w:hideMark/>
          </w:tcPr>
          <w:p w14:paraId="69B12C9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D08166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4A50A285"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521" w:type="dxa"/>
            <w:gridSpan w:val="2"/>
            <w:vAlign w:val="center"/>
            <w:hideMark/>
          </w:tcPr>
          <w:p w14:paraId="1277A322"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w:t>
            </w:r>
          </w:p>
        </w:tc>
        <w:tc>
          <w:tcPr>
            <w:tcW w:w="1110" w:type="dxa"/>
            <w:gridSpan w:val="2"/>
            <w:hideMark/>
          </w:tcPr>
          <w:p w14:paraId="12BA0886" w14:textId="6A10D2E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68,000</w:t>
            </w:r>
          </w:p>
        </w:tc>
        <w:tc>
          <w:tcPr>
            <w:tcW w:w="1110" w:type="dxa"/>
            <w:gridSpan w:val="3"/>
            <w:hideMark/>
          </w:tcPr>
          <w:p w14:paraId="05E5C6DD" w14:textId="7382B4B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68,000</w:t>
            </w:r>
          </w:p>
        </w:tc>
        <w:tc>
          <w:tcPr>
            <w:tcW w:w="1110" w:type="dxa"/>
            <w:gridSpan w:val="2"/>
            <w:hideMark/>
          </w:tcPr>
          <w:p w14:paraId="5B0AB904" w14:textId="5A85D0A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68,000</w:t>
            </w:r>
          </w:p>
        </w:tc>
        <w:tc>
          <w:tcPr>
            <w:tcW w:w="1110" w:type="dxa"/>
            <w:hideMark/>
          </w:tcPr>
          <w:p w14:paraId="4568B927" w14:textId="3C79EBC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68,000</w:t>
            </w:r>
          </w:p>
        </w:tc>
        <w:tc>
          <w:tcPr>
            <w:tcW w:w="818" w:type="dxa"/>
            <w:gridSpan w:val="2"/>
            <w:hideMark/>
          </w:tcPr>
          <w:p w14:paraId="5D93D9D1" w14:textId="0BFAAA6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68,000</w:t>
            </w:r>
          </w:p>
        </w:tc>
      </w:tr>
      <w:tr w:rsidR="004D73D3" w:rsidRPr="0048716F" w14:paraId="779297E7" w14:textId="77777777" w:rsidTr="00597AD8">
        <w:trPr>
          <w:trHeight w:val="1104"/>
        </w:trPr>
        <w:tc>
          <w:tcPr>
            <w:tcW w:w="3885" w:type="dxa"/>
            <w:noWrap/>
            <w:vAlign w:val="center"/>
            <w:hideMark/>
          </w:tcPr>
          <w:p w14:paraId="14969AB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2.4.2 Përshtatja dhe zgjerimi i programeve të nxitjes së punësimit për të garantuar akses prioritar dhe masa specifike mbështetëse për personat me aftësi të kufizuara, përfshirë subvencionimin e pagës, përshtatjen e vendit të punës dhe mbështetjen për punëdhënësit.</w:t>
            </w:r>
          </w:p>
        </w:tc>
        <w:tc>
          <w:tcPr>
            <w:tcW w:w="1080" w:type="dxa"/>
            <w:hideMark/>
          </w:tcPr>
          <w:p w14:paraId="70B92AF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0AB1A46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5BFC4A65"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521" w:type="dxa"/>
            <w:gridSpan w:val="2"/>
            <w:vAlign w:val="center"/>
            <w:hideMark/>
          </w:tcPr>
          <w:p w14:paraId="78BEFC20"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w:t>
            </w:r>
          </w:p>
        </w:tc>
        <w:tc>
          <w:tcPr>
            <w:tcW w:w="1110" w:type="dxa"/>
            <w:gridSpan w:val="2"/>
            <w:hideMark/>
          </w:tcPr>
          <w:p w14:paraId="51DB45FE" w14:textId="56618FC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92,275</w:t>
            </w:r>
          </w:p>
        </w:tc>
        <w:tc>
          <w:tcPr>
            <w:tcW w:w="1110" w:type="dxa"/>
            <w:gridSpan w:val="3"/>
            <w:hideMark/>
          </w:tcPr>
          <w:p w14:paraId="6419108A" w14:textId="3E4E23A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96,888</w:t>
            </w:r>
          </w:p>
        </w:tc>
        <w:tc>
          <w:tcPr>
            <w:tcW w:w="1110" w:type="dxa"/>
            <w:gridSpan w:val="2"/>
            <w:hideMark/>
          </w:tcPr>
          <w:p w14:paraId="309C7439" w14:textId="60A960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101,733</w:t>
            </w:r>
          </w:p>
        </w:tc>
        <w:tc>
          <w:tcPr>
            <w:tcW w:w="1110" w:type="dxa"/>
            <w:hideMark/>
          </w:tcPr>
          <w:p w14:paraId="7D236C5F" w14:textId="2A997A3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106,819</w:t>
            </w:r>
          </w:p>
        </w:tc>
        <w:tc>
          <w:tcPr>
            <w:tcW w:w="818" w:type="dxa"/>
            <w:gridSpan w:val="2"/>
            <w:hideMark/>
          </w:tcPr>
          <w:p w14:paraId="53016528" w14:textId="547D37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112,160</w:t>
            </w:r>
          </w:p>
        </w:tc>
      </w:tr>
      <w:tr w:rsidR="004D73D3" w:rsidRPr="0048716F" w14:paraId="3D3AEAA2" w14:textId="77777777" w:rsidTr="00597AD8">
        <w:trPr>
          <w:trHeight w:val="1656"/>
        </w:trPr>
        <w:tc>
          <w:tcPr>
            <w:tcW w:w="3885" w:type="dxa"/>
            <w:noWrap/>
            <w:vAlign w:val="center"/>
            <w:hideMark/>
          </w:tcPr>
          <w:p w14:paraId="4DDA7A1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 xml:space="preserve">2.4.3 Zhvillimi dhe zbatimi i programeve të reja dhe të përshtatura për nxitjen e punësimit të punëkërkuesve me aftësi të kufizuara, si </w:t>
            </w:r>
            <w:r w:rsidRPr="0048716F">
              <w:rPr>
                <w:rFonts w:eastAsia="Times New Roman"/>
                <w:i/>
                <w:iCs/>
                <w:sz w:val="18"/>
                <w:szCs w:val="18"/>
                <w:lang w:val="en-US" w:eastAsia="en-US"/>
              </w:rPr>
              <w:t>punësimi me mbështetje</w:t>
            </w:r>
            <w:r w:rsidRPr="0048716F">
              <w:rPr>
                <w:rFonts w:eastAsia="Times New Roman"/>
                <w:sz w:val="18"/>
                <w:szCs w:val="18"/>
                <w:lang w:val="en-US" w:eastAsia="en-US"/>
              </w:rPr>
              <w:t xml:space="preserve">, </w:t>
            </w:r>
            <w:r w:rsidRPr="0048716F">
              <w:rPr>
                <w:rFonts w:eastAsia="Times New Roman"/>
                <w:i/>
                <w:iCs/>
                <w:sz w:val="18"/>
                <w:szCs w:val="18"/>
                <w:lang w:val="en-US" w:eastAsia="en-US"/>
              </w:rPr>
              <w:t>vetëpunësim,</w:t>
            </w:r>
            <w:r w:rsidRPr="0048716F">
              <w:rPr>
                <w:rFonts w:eastAsia="Times New Roman"/>
                <w:sz w:val="18"/>
                <w:szCs w:val="18"/>
                <w:lang w:val="en-US" w:eastAsia="en-US"/>
              </w:rPr>
              <w:t xml:space="preserve"> </w:t>
            </w:r>
            <w:r w:rsidRPr="0048716F">
              <w:rPr>
                <w:rFonts w:eastAsia="Times New Roman"/>
                <w:i/>
                <w:iCs/>
                <w:sz w:val="18"/>
                <w:szCs w:val="18"/>
                <w:lang w:val="en-US" w:eastAsia="en-US"/>
              </w:rPr>
              <w:t>sipërmarrjeve sociale</w:t>
            </w:r>
            <w:r w:rsidRPr="0048716F">
              <w:rPr>
                <w:rFonts w:eastAsia="Times New Roman"/>
                <w:sz w:val="18"/>
                <w:szCs w:val="18"/>
                <w:lang w:val="en-US" w:eastAsia="en-US"/>
              </w:rPr>
              <w:t xml:space="preserve">, </w:t>
            </w:r>
            <w:r w:rsidRPr="0048716F">
              <w:rPr>
                <w:rFonts w:eastAsia="Times New Roman"/>
                <w:i/>
                <w:iCs/>
                <w:sz w:val="18"/>
                <w:szCs w:val="18"/>
                <w:lang w:val="en-US" w:eastAsia="en-US"/>
              </w:rPr>
              <w:t>aftësim i personave me aftësi të kufizuara etj.</w:t>
            </w:r>
            <w:r w:rsidRPr="0048716F">
              <w:rPr>
                <w:rFonts w:eastAsia="Times New Roman"/>
                <w:sz w:val="18"/>
                <w:szCs w:val="18"/>
                <w:lang w:val="en-US" w:eastAsia="en-US"/>
              </w:rPr>
              <w:t>, në partneritet me partner të tjerë social publik dhe privatë, përfshirë organizata me eksperiencë në fushën e aftësimit dhe punësimit për personat me aftësi të kufizuara.</w:t>
            </w:r>
          </w:p>
        </w:tc>
        <w:tc>
          <w:tcPr>
            <w:tcW w:w="1080" w:type="dxa"/>
            <w:hideMark/>
          </w:tcPr>
          <w:p w14:paraId="518ACA4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547DE9C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7D7EE3D7"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521" w:type="dxa"/>
            <w:gridSpan w:val="2"/>
            <w:vAlign w:val="center"/>
            <w:hideMark/>
          </w:tcPr>
          <w:p w14:paraId="07F799CF"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w:t>
            </w:r>
          </w:p>
        </w:tc>
        <w:tc>
          <w:tcPr>
            <w:tcW w:w="1110" w:type="dxa"/>
            <w:gridSpan w:val="2"/>
            <w:hideMark/>
          </w:tcPr>
          <w:p w14:paraId="40D4407D" w14:textId="558AAA5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1,200</w:t>
            </w:r>
          </w:p>
        </w:tc>
        <w:tc>
          <w:tcPr>
            <w:tcW w:w="1110" w:type="dxa"/>
            <w:gridSpan w:val="3"/>
            <w:hideMark/>
          </w:tcPr>
          <w:p w14:paraId="29BACE48" w14:textId="2CEEBD3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E8875F2" w14:textId="74F1B1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421C44B" w14:textId="2A9834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E7442FF" w14:textId="5BEAB7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66CD559" w14:textId="77777777" w:rsidTr="00597AD8">
        <w:trPr>
          <w:trHeight w:val="1104"/>
        </w:trPr>
        <w:tc>
          <w:tcPr>
            <w:tcW w:w="3885" w:type="dxa"/>
            <w:noWrap/>
            <w:vAlign w:val="center"/>
            <w:hideMark/>
          </w:tcPr>
          <w:p w14:paraId="184812F5" w14:textId="568F7129"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2.4.4. Mbështetja e tranzicionit nga shkolla në punë për të rinjtë me aftësi të kufizuara, përmes integrimit i personave me aftësi të kufizuara në skemën e Garancisë Rinore, duke garantuar akses në punësim, formim, praktikë profesionale dhe mbështetje të personalizuar.</w:t>
            </w:r>
          </w:p>
        </w:tc>
        <w:tc>
          <w:tcPr>
            <w:tcW w:w="1080" w:type="dxa"/>
            <w:hideMark/>
          </w:tcPr>
          <w:p w14:paraId="200C0D2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096099D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59F9667A"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521" w:type="dxa"/>
            <w:gridSpan w:val="2"/>
            <w:vAlign w:val="center"/>
            <w:hideMark/>
          </w:tcPr>
          <w:p w14:paraId="4FDD2CB6"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w:t>
            </w:r>
          </w:p>
        </w:tc>
        <w:tc>
          <w:tcPr>
            <w:tcW w:w="1110" w:type="dxa"/>
            <w:gridSpan w:val="2"/>
            <w:hideMark/>
          </w:tcPr>
          <w:p w14:paraId="73092C83" w14:textId="709EC82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33,810</w:t>
            </w:r>
          </w:p>
        </w:tc>
        <w:tc>
          <w:tcPr>
            <w:tcW w:w="1110" w:type="dxa"/>
            <w:gridSpan w:val="3"/>
            <w:hideMark/>
          </w:tcPr>
          <w:p w14:paraId="41FD9B18" w14:textId="0E13C6E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35,501</w:t>
            </w:r>
          </w:p>
        </w:tc>
        <w:tc>
          <w:tcPr>
            <w:tcW w:w="1110" w:type="dxa"/>
            <w:gridSpan w:val="2"/>
            <w:hideMark/>
          </w:tcPr>
          <w:p w14:paraId="3933CB26" w14:textId="7DEDF5F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37,276</w:t>
            </w:r>
          </w:p>
        </w:tc>
        <w:tc>
          <w:tcPr>
            <w:tcW w:w="1110" w:type="dxa"/>
            <w:hideMark/>
          </w:tcPr>
          <w:p w14:paraId="13054C12" w14:textId="5E84E8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39,140</w:t>
            </w:r>
          </w:p>
        </w:tc>
        <w:tc>
          <w:tcPr>
            <w:tcW w:w="818" w:type="dxa"/>
            <w:gridSpan w:val="2"/>
            <w:hideMark/>
          </w:tcPr>
          <w:p w14:paraId="4D440B28" w14:textId="570C48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41,097</w:t>
            </w:r>
          </w:p>
        </w:tc>
      </w:tr>
      <w:tr w:rsidR="004D73D3" w:rsidRPr="0048716F" w14:paraId="426BBD84" w14:textId="77777777" w:rsidTr="00597AD8">
        <w:trPr>
          <w:trHeight w:val="1104"/>
        </w:trPr>
        <w:tc>
          <w:tcPr>
            <w:tcW w:w="3885" w:type="dxa"/>
            <w:noWrap/>
            <w:vAlign w:val="center"/>
            <w:hideMark/>
          </w:tcPr>
          <w:p w14:paraId="58418CAD"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2.4.5  Financim dhe mbështetje për punëdhënësit për të realizuar përshtatjen e arsyeshme për përfshiren reale të punëkërkuesve me aftësi të kufizuara në vendin e punës (përfshirë sigurimin e pajisjeve dhe shërbimeve personale të vazhdueshme)</w:t>
            </w:r>
          </w:p>
        </w:tc>
        <w:tc>
          <w:tcPr>
            <w:tcW w:w="1080" w:type="dxa"/>
            <w:hideMark/>
          </w:tcPr>
          <w:p w14:paraId="65BE9E6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5CD032F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3A40A54B"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521" w:type="dxa"/>
            <w:gridSpan w:val="2"/>
            <w:vAlign w:val="center"/>
            <w:hideMark/>
          </w:tcPr>
          <w:p w14:paraId="5D120D7A"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w:t>
            </w:r>
          </w:p>
        </w:tc>
        <w:tc>
          <w:tcPr>
            <w:tcW w:w="1110" w:type="dxa"/>
            <w:gridSpan w:val="2"/>
            <w:hideMark/>
          </w:tcPr>
          <w:p w14:paraId="189BFC5B" w14:textId="0D191D9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30,000</w:t>
            </w:r>
          </w:p>
        </w:tc>
        <w:tc>
          <w:tcPr>
            <w:tcW w:w="1110" w:type="dxa"/>
            <w:gridSpan w:val="3"/>
            <w:hideMark/>
          </w:tcPr>
          <w:p w14:paraId="332CEC47" w14:textId="444A1A6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c>
          <w:tcPr>
            <w:tcW w:w="1110" w:type="dxa"/>
            <w:gridSpan w:val="2"/>
            <w:hideMark/>
          </w:tcPr>
          <w:p w14:paraId="5D7122A1" w14:textId="4A49C5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c>
          <w:tcPr>
            <w:tcW w:w="1110" w:type="dxa"/>
            <w:hideMark/>
          </w:tcPr>
          <w:p w14:paraId="584A553A" w14:textId="2E97916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c>
          <w:tcPr>
            <w:tcW w:w="818" w:type="dxa"/>
            <w:gridSpan w:val="2"/>
            <w:hideMark/>
          </w:tcPr>
          <w:p w14:paraId="36B46AA3" w14:textId="4AA3FFD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r>
      <w:tr w:rsidR="004D73D3" w:rsidRPr="0048716F" w14:paraId="6E437925" w14:textId="77777777" w:rsidTr="00597AD8">
        <w:trPr>
          <w:trHeight w:val="552"/>
        </w:trPr>
        <w:tc>
          <w:tcPr>
            <w:tcW w:w="3885" w:type="dxa"/>
            <w:noWrap/>
            <w:vAlign w:val="center"/>
            <w:hideMark/>
          </w:tcPr>
          <w:p w14:paraId="3A5243AD"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2.4.6 Organizimi i fushatave informuese  për Fondin Social tëPnësimit dhe programet aktive të tregut të punës për personat me aftësi të kufizuara.</w:t>
            </w:r>
          </w:p>
        </w:tc>
        <w:tc>
          <w:tcPr>
            <w:tcW w:w="1080" w:type="dxa"/>
            <w:hideMark/>
          </w:tcPr>
          <w:p w14:paraId="00FB0BB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39FCD9A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3436864E" w14:textId="77777777" w:rsidR="004D73D3" w:rsidRPr="0048716F" w:rsidRDefault="004D73D3" w:rsidP="0048716F">
            <w:pPr>
              <w:jc w:val="both"/>
              <w:rPr>
                <w:rFonts w:eastAsia="Times New Roman"/>
                <w:i/>
                <w:iCs/>
                <w:color w:val="000000"/>
                <w:sz w:val="18"/>
                <w:szCs w:val="18"/>
                <w:lang w:val="en-US" w:eastAsia="en-US"/>
              </w:rPr>
            </w:pPr>
            <w:r w:rsidRPr="0048716F">
              <w:rPr>
                <w:rFonts w:eastAsia="Times New Roman"/>
                <w:i/>
                <w:iCs/>
                <w:color w:val="000000"/>
                <w:sz w:val="18"/>
                <w:szCs w:val="18"/>
                <w:lang w:eastAsia="en-US"/>
              </w:rPr>
              <w:t>AKPA</w:t>
            </w:r>
          </w:p>
        </w:tc>
        <w:tc>
          <w:tcPr>
            <w:tcW w:w="1521" w:type="dxa"/>
            <w:gridSpan w:val="2"/>
            <w:vAlign w:val="center"/>
            <w:hideMark/>
          </w:tcPr>
          <w:p w14:paraId="2ACB2AD7" w14:textId="77777777" w:rsidR="004D73D3" w:rsidRPr="0048716F" w:rsidRDefault="004D73D3" w:rsidP="00597AD8">
            <w:pPr>
              <w:rPr>
                <w:rFonts w:eastAsia="Times New Roman"/>
                <w:i/>
                <w:iCs/>
                <w:color w:val="000000"/>
                <w:sz w:val="18"/>
                <w:szCs w:val="18"/>
                <w:lang w:val="en-US" w:eastAsia="en-US"/>
              </w:rPr>
            </w:pPr>
            <w:r w:rsidRPr="0048716F">
              <w:rPr>
                <w:rFonts w:eastAsia="Times New Roman"/>
                <w:i/>
                <w:iCs/>
                <w:color w:val="000000"/>
                <w:sz w:val="18"/>
                <w:szCs w:val="18"/>
                <w:lang w:eastAsia="en-US"/>
              </w:rPr>
              <w:t>MEI</w:t>
            </w:r>
          </w:p>
        </w:tc>
        <w:tc>
          <w:tcPr>
            <w:tcW w:w="1110" w:type="dxa"/>
            <w:gridSpan w:val="2"/>
            <w:hideMark/>
          </w:tcPr>
          <w:p w14:paraId="4F373F0A" w14:textId="7EDC137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hideMark/>
          </w:tcPr>
          <w:p w14:paraId="157A40AC" w14:textId="3D8978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0E0FB864" w14:textId="6676E31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0C2186C2" w14:textId="11DB4E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7D3B7D51" w14:textId="0E35B8E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21DD98B0" w14:textId="77777777" w:rsidTr="00597AD8">
        <w:trPr>
          <w:trHeight w:val="552"/>
        </w:trPr>
        <w:tc>
          <w:tcPr>
            <w:tcW w:w="3885" w:type="dxa"/>
            <w:shd w:val="clear" w:color="000000" w:fill="DCE6F1"/>
            <w:hideMark/>
          </w:tcPr>
          <w:p w14:paraId="2D8B6FDC"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2.5 Forcimi i qeverisjes, koordinimit dhe monitorimit për punësimin e personave me aftësi të kufizuara</w:t>
            </w:r>
          </w:p>
        </w:tc>
        <w:tc>
          <w:tcPr>
            <w:tcW w:w="1080" w:type="dxa"/>
            <w:shd w:val="clear" w:color="000000" w:fill="DCE6F1"/>
            <w:hideMark/>
          </w:tcPr>
          <w:p w14:paraId="594F28A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4CD797C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05E6E34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AKPA/MEI</w:t>
            </w:r>
          </w:p>
        </w:tc>
        <w:tc>
          <w:tcPr>
            <w:tcW w:w="1521" w:type="dxa"/>
            <w:gridSpan w:val="2"/>
            <w:shd w:val="clear" w:color="000000" w:fill="DCE6F1"/>
            <w:vAlign w:val="center"/>
            <w:hideMark/>
          </w:tcPr>
          <w:p w14:paraId="05AA95F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MEI/AKPA/AKAFPK</w:t>
            </w:r>
          </w:p>
        </w:tc>
        <w:tc>
          <w:tcPr>
            <w:tcW w:w="1110" w:type="dxa"/>
            <w:gridSpan w:val="2"/>
            <w:shd w:val="clear" w:color="000000" w:fill="C5D9F1"/>
            <w:noWrap/>
            <w:hideMark/>
          </w:tcPr>
          <w:p w14:paraId="7C478615" w14:textId="0CF5738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3,480</w:t>
            </w:r>
          </w:p>
        </w:tc>
        <w:tc>
          <w:tcPr>
            <w:tcW w:w="1110" w:type="dxa"/>
            <w:gridSpan w:val="3"/>
            <w:shd w:val="clear" w:color="000000" w:fill="C5D9F1"/>
            <w:noWrap/>
            <w:hideMark/>
          </w:tcPr>
          <w:p w14:paraId="5EEFC8AA" w14:textId="037D80E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1,380</w:t>
            </w:r>
          </w:p>
        </w:tc>
        <w:tc>
          <w:tcPr>
            <w:tcW w:w="1110" w:type="dxa"/>
            <w:gridSpan w:val="2"/>
            <w:shd w:val="clear" w:color="000000" w:fill="C5D9F1"/>
            <w:noWrap/>
            <w:hideMark/>
          </w:tcPr>
          <w:p w14:paraId="2FF21752" w14:textId="442DEB0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1,380</w:t>
            </w:r>
          </w:p>
        </w:tc>
        <w:tc>
          <w:tcPr>
            <w:tcW w:w="1110" w:type="dxa"/>
            <w:shd w:val="clear" w:color="000000" w:fill="C5D9F1"/>
            <w:noWrap/>
            <w:hideMark/>
          </w:tcPr>
          <w:p w14:paraId="75757E66" w14:textId="487B9CD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1,380</w:t>
            </w:r>
          </w:p>
        </w:tc>
        <w:tc>
          <w:tcPr>
            <w:tcW w:w="818" w:type="dxa"/>
            <w:gridSpan w:val="2"/>
            <w:shd w:val="clear" w:color="000000" w:fill="C5D9F1"/>
            <w:noWrap/>
            <w:hideMark/>
          </w:tcPr>
          <w:p w14:paraId="377F188D" w14:textId="16F9B59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1,380</w:t>
            </w:r>
          </w:p>
        </w:tc>
      </w:tr>
      <w:tr w:rsidR="004D73D3" w:rsidRPr="0048716F" w14:paraId="733511AB" w14:textId="77777777" w:rsidTr="00597AD8">
        <w:trPr>
          <w:trHeight w:val="828"/>
        </w:trPr>
        <w:tc>
          <w:tcPr>
            <w:tcW w:w="3885" w:type="dxa"/>
            <w:noWrap/>
            <w:vAlign w:val="center"/>
            <w:hideMark/>
          </w:tcPr>
          <w:p w14:paraId="4D376C02" w14:textId="04B7A3F8"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2.5.1. Vlerësim kombëtar mbi nivelin e punësimit të personave me aftësi të kufizuara në sektorin publik dhe privat në përputhje me detyrimet ligjore bazuar në Ligjin për nxitjen e punësimit.</w:t>
            </w:r>
          </w:p>
        </w:tc>
        <w:tc>
          <w:tcPr>
            <w:tcW w:w="1080" w:type="dxa"/>
            <w:vAlign w:val="center"/>
            <w:hideMark/>
          </w:tcPr>
          <w:p w14:paraId="62375AE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00A7F38B" w14:textId="141A1339"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4636CCE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3F5E7BC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26BE59E8" w14:textId="51790B7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2,100</w:t>
            </w:r>
          </w:p>
        </w:tc>
        <w:tc>
          <w:tcPr>
            <w:tcW w:w="1110" w:type="dxa"/>
            <w:gridSpan w:val="3"/>
            <w:hideMark/>
          </w:tcPr>
          <w:p w14:paraId="6F8BD4FF" w14:textId="1BD6B34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27731EC" w14:textId="337A27B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1C30B2C" w14:textId="3206BBE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29041B3" w14:textId="2FF2EE7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44B7A49" w14:textId="77777777" w:rsidTr="00597AD8">
        <w:trPr>
          <w:trHeight w:val="1104"/>
        </w:trPr>
        <w:tc>
          <w:tcPr>
            <w:tcW w:w="3885" w:type="dxa"/>
            <w:noWrap/>
            <w:vAlign w:val="center"/>
            <w:hideMark/>
          </w:tcPr>
          <w:p w14:paraId="55F3BC5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2.5.2 Vlerësim periodik i programeve dhe i efekteve të politikave dhe mekanizmit të skemave të përfshirjes aktive në tregun e punës të personave me aftësi të kufizuara, përfshirë aksesin e tyre në sistemin e pagesave të papunësisë dhe mbrojtjen që ky sistem ofron për ta.</w:t>
            </w:r>
          </w:p>
        </w:tc>
        <w:tc>
          <w:tcPr>
            <w:tcW w:w="1080" w:type="dxa"/>
            <w:vAlign w:val="center"/>
            <w:hideMark/>
          </w:tcPr>
          <w:p w14:paraId="028C4F1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5BC3BD4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7F418AB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AKPA</w:t>
            </w:r>
          </w:p>
        </w:tc>
        <w:tc>
          <w:tcPr>
            <w:tcW w:w="1521" w:type="dxa"/>
            <w:gridSpan w:val="2"/>
            <w:vAlign w:val="center"/>
            <w:hideMark/>
          </w:tcPr>
          <w:p w14:paraId="107450C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110" w:type="dxa"/>
            <w:gridSpan w:val="2"/>
            <w:hideMark/>
          </w:tcPr>
          <w:p w14:paraId="594A925E" w14:textId="2A257D6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300</w:t>
            </w:r>
          </w:p>
        </w:tc>
        <w:tc>
          <w:tcPr>
            <w:tcW w:w="1110" w:type="dxa"/>
            <w:gridSpan w:val="3"/>
            <w:hideMark/>
          </w:tcPr>
          <w:p w14:paraId="1CDDF7F8" w14:textId="4CA1497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gridSpan w:val="2"/>
            <w:hideMark/>
          </w:tcPr>
          <w:p w14:paraId="0A7E9414" w14:textId="25073F6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hideMark/>
          </w:tcPr>
          <w:p w14:paraId="35037279" w14:textId="1E64FE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818" w:type="dxa"/>
            <w:gridSpan w:val="2"/>
            <w:hideMark/>
          </w:tcPr>
          <w:p w14:paraId="604B5011" w14:textId="6CEE7D5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r>
      <w:tr w:rsidR="004D73D3" w:rsidRPr="0048716F" w14:paraId="14E528E3" w14:textId="77777777" w:rsidTr="00597AD8">
        <w:trPr>
          <w:trHeight w:val="840"/>
        </w:trPr>
        <w:tc>
          <w:tcPr>
            <w:tcW w:w="3885" w:type="dxa"/>
            <w:noWrap/>
            <w:vAlign w:val="center"/>
            <w:hideMark/>
          </w:tcPr>
          <w:p w14:paraId="1E9F21C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 xml:space="preserve">2.5.3. Koordinimi dhe Monitorimi i zbatimit të zbatimit të PKPAK, në mënyrë të harmonizuar me Strategjinë Kombëtare të  Punësimit dhe Aftësive,  Strategjinë e Mbrojtjes Sociale dhe Planin </w:t>
            </w:r>
            <w:r w:rsidRPr="0048716F">
              <w:rPr>
                <w:rFonts w:eastAsia="Times New Roman"/>
                <w:b/>
                <w:bCs/>
                <w:sz w:val="18"/>
                <w:szCs w:val="18"/>
                <w:lang w:val="en-US" w:eastAsia="en-US"/>
              </w:rPr>
              <w:t xml:space="preserve">e </w:t>
            </w:r>
            <w:r w:rsidRPr="0048716F">
              <w:rPr>
                <w:rFonts w:eastAsia="Times New Roman"/>
                <w:sz w:val="18"/>
                <w:szCs w:val="18"/>
                <w:lang w:val="en-US" w:eastAsia="en-US"/>
              </w:rPr>
              <w:t>Zbatimit të Garancisë Rinore.</w:t>
            </w:r>
          </w:p>
        </w:tc>
        <w:tc>
          <w:tcPr>
            <w:tcW w:w="1080" w:type="dxa"/>
            <w:vAlign w:val="center"/>
            <w:hideMark/>
          </w:tcPr>
          <w:p w14:paraId="59DEBD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5123853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ABB37F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MEI</w:t>
            </w:r>
          </w:p>
        </w:tc>
        <w:tc>
          <w:tcPr>
            <w:tcW w:w="1521" w:type="dxa"/>
            <w:gridSpan w:val="2"/>
            <w:vAlign w:val="center"/>
            <w:hideMark/>
          </w:tcPr>
          <w:p w14:paraId="5B600C6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AKPA, AKAFPK</w:t>
            </w:r>
          </w:p>
        </w:tc>
        <w:tc>
          <w:tcPr>
            <w:tcW w:w="1110" w:type="dxa"/>
            <w:gridSpan w:val="2"/>
            <w:hideMark/>
          </w:tcPr>
          <w:p w14:paraId="0EC79772" w14:textId="389E00E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1,080</w:t>
            </w:r>
          </w:p>
        </w:tc>
        <w:tc>
          <w:tcPr>
            <w:tcW w:w="1110" w:type="dxa"/>
            <w:gridSpan w:val="3"/>
            <w:hideMark/>
          </w:tcPr>
          <w:p w14:paraId="1A09985A" w14:textId="3159C44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1,080</w:t>
            </w:r>
          </w:p>
        </w:tc>
        <w:tc>
          <w:tcPr>
            <w:tcW w:w="1110" w:type="dxa"/>
            <w:gridSpan w:val="2"/>
            <w:hideMark/>
          </w:tcPr>
          <w:p w14:paraId="7D26876A" w14:textId="294ED76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1,080</w:t>
            </w:r>
          </w:p>
        </w:tc>
        <w:tc>
          <w:tcPr>
            <w:tcW w:w="1110" w:type="dxa"/>
            <w:hideMark/>
          </w:tcPr>
          <w:p w14:paraId="4A25DBBA" w14:textId="1CC1F3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1,080</w:t>
            </w:r>
          </w:p>
        </w:tc>
        <w:tc>
          <w:tcPr>
            <w:tcW w:w="818" w:type="dxa"/>
            <w:gridSpan w:val="2"/>
            <w:hideMark/>
          </w:tcPr>
          <w:p w14:paraId="296B4FE7" w14:textId="48A2F03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1,080</w:t>
            </w:r>
          </w:p>
        </w:tc>
      </w:tr>
      <w:tr w:rsidR="004D73D3" w:rsidRPr="0048716F" w14:paraId="295B1676" w14:textId="77777777" w:rsidTr="00597AD8">
        <w:trPr>
          <w:trHeight w:val="324"/>
        </w:trPr>
        <w:tc>
          <w:tcPr>
            <w:tcW w:w="3885" w:type="dxa"/>
            <w:shd w:val="clear" w:color="000000" w:fill="F276AB"/>
            <w:vAlign w:val="center"/>
            <w:hideMark/>
          </w:tcPr>
          <w:p w14:paraId="365E4962"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IV. ARSIMI</w:t>
            </w:r>
          </w:p>
        </w:tc>
        <w:tc>
          <w:tcPr>
            <w:tcW w:w="1080" w:type="dxa"/>
            <w:shd w:val="clear" w:color="000000" w:fill="F276AB"/>
            <w:vAlign w:val="center"/>
            <w:hideMark/>
          </w:tcPr>
          <w:p w14:paraId="5A3201ED" w14:textId="2DE5DF4C"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4B80CC52" w14:textId="66B4295E"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272B3CDC" w14:textId="28A3F549"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40CA79F2" w14:textId="3505A7D8"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32B51155" w14:textId="15C813F0"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331,251</w:t>
            </w:r>
          </w:p>
        </w:tc>
        <w:tc>
          <w:tcPr>
            <w:tcW w:w="1110" w:type="dxa"/>
            <w:gridSpan w:val="3"/>
            <w:shd w:val="clear" w:color="000000" w:fill="F276AB"/>
            <w:vAlign w:val="center"/>
            <w:hideMark/>
          </w:tcPr>
          <w:p w14:paraId="6766AA3D" w14:textId="329293E8"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562,523</w:t>
            </w:r>
          </w:p>
        </w:tc>
        <w:tc>
          <w:tcPr>
            <w:tcW w:w="1110" w:type="dxa"/>
            <w:gridSpan w:val="2"/>
            <w:shd w:val="clear" w:color="000000" w:fill="F276AB"/>
            <w:vAlign w:val="center"/>
            <w:hideMark/>
          </w:tcPr>
          <w:p w14:paraId="689DE77C" w14:textId="20FEDB05"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633,142</w:t>
            </w:r>
          </w:p>
        </w:tc>
        <w:tc>
          <w:tcPr>
            <w:tcW w:w="1110" w:type="dxa"/>
            <w:shd w:val="clear" w:color="000000" w:fill="F276AB"/>
            <w:vAlign w:val="center"/>
            <w:hideMark/>
          </w:tcPr>
          <w:p w14:paraId="0CC66D85" w14:textId="653FCD1C"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680,211</w:t>
            </w:r>
          </w:p>
        </w:tc>
        <w:tc>
          <w:tcPr>
            <w:tcW w:w="818" w:type="dxa"/>
            <w:gridSpan w:val="2"/>
            <w:shd w:val="clear" w:color="000000" w:fill="F276AB"/>
            <w:vAlign w:val="center"/>
            <w:hideMark/>
          </w:tcPr>
          <w:p w14:paraId="33644941" w14:textId="099C1A89"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733,312</w:t>
            </w:r>
          </w:p>
        </w:tc>
      </w:tr>
      <w:tr w:rsidR="004D73D3" w:rsidRPr="0048716F" w14:paraId="0665E2BD" w14:textId="77777777" w:rsidTr="00597AD8">
        <w:trPr>
          <w:trHeight w:val="1848"/>
        </w:trPr>
        <w:tc>
          <w:tcPr>
            <w:tcW w:w="3885" w:type="dxa"/>
            <w:shd w:val="clear" w:color="000000" w:fill="FDE9D9"/>
            <w:hideMark/>
          </w:tcPr>
          <w:p w14:paraId="26796A29"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Objektivi Specifik 1: Zhvillimi dhe edukimi gjithëpërfshirës i fëmijëve me aftësi të kufizuara në fëmijërinë e hershme dhe arsimin parashkollor duke investuar në infrastrukturë, shërbime mbështetëse dhe zhvillimin profesional të stafit të kopshteve.</w:t>
            </w:r>
          </w:p>
        </w:tc>
        <w:tc>
          <w:tcPr>
            <w:tcW w:w="1080" w:type="dxa"/>
            <w:shd w:val="clear" w:color="000000" w:fill="FDE9D9"/>
            <w:hideMark/>
          </w:tcPr>
          <w:p w14:paraId="1AEA70B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2EF259A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2265E7E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 /MPV/NJVV/ASCAP/AKAP/ZVA/DRAP/NJPV</w:t>
            </w:r>
          </w:p>
        </w:tc>
        <w:tc>
          <w:tcPr>
            <w:tcW w:w="1521" w:type="dxa"/>
            <w:gridSpan w:val="2"/>
            <w:shd w:val="clear" w:color="000000" w:fill="FDE9D9"/>
            <w:vAlign w:val="center"/>
            <w:hideMark/>
          </w:tcPr>
          <w:p w14:paraId="3A7D93E1"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NJVV /  DRAP / ZVAP/  DRSHKSH / INSTITUCIONE ARSIMORE/BASHKI/AKAP/DRAP/ZVA /ASCAP/ MSHMS</w:t>
            </w:r>
          </w:p>
        </w:tc>
        <w:tc>
          <w:tcPr>
            <w:tcW w:w="1110" w:type="dxa"/>
            <w:gridSpan w:val="2"/>
            <w:shd w:val="clear" w:color="000000" w:fill="FDE9D9"/>
            <w:noWrap/>
            <w:vAlign w:val="center"/>
            <w:hideMark/>
          </w:tcPr>
          <w:p w14:paraId="7E9F0337" w14:textId="1476A98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60,325</w:t>
            </w:r>
          </w:p>
        </w:tc>
        <w:tc>
          <w:tcPr>
            <w:tcW w:w="1110" w:type="dxa"/>
            <w:gridSpan w:val="3"/>
            <w:shd w:val="clear" w:color="000000" w:fill="FDE9D9"/>
            <w:noWrap/>
            <w:vAlign w:val="center"/>
            <w:hideMark/>
          </w:tcPr>
          <w:p w14:paraId="354B4513" w14:textId="1FBEFFE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91,518</w:t>
            </w:r>
          </w:p>
        </w:tc>
        <w:tc>
          <w:tcPr>
            <w:tcW w:w="1110" w:type="dxa"/>
            <w:gridSpan w:val="2"/>
            <w:shd w:val="clear" w:color="000000" w:fill="FDE9D9"/>
            <w:noWrap/>
            <w:vAlign w:val="center"/>
            <w:hideMark/>
          </w:tcPr>
          <w:p w14:paraId="23A5B98E" w14:textId="62AE626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90,150</w:t>
            </w:r>
          </w:p>
        </w:tc>
        <w:tc>
          <w:tcPr>
            <w:tcW w:w="1110" w:type="dxa"/>
            <w:shd w:val="clear" w:color="000000" w:fill="FDE9D9"/>
            <w:noWrap/>
            <w:vAlign w:val="center"/>
            <w:hideMark/>
          </w:tcPr>
          <w:p w14:paraId="27CC3349" w14:textId="2BF1E0E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90,150</w:t>
            </w:r>
          </w:p>
        </w:tc>
        <w:tc>
          <w:tcPr>
            <w:tcW w:w="818" w:type="dxa"/>
            <w:gridSpan w:val="2"/>
            <w:shd w:val="clear" w:color="000000" w:fill="FDE9D9"/>
            <w:noWrap/>
            <w:vAlign w:val="center"/>
            <w:hideMark/>
          </w:tcPr>
          <w:p w14:paraId="5FD841EC" w14:textId="1775111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90,150</w:t>
            </w:r>
          </w:p>
        </w:tc>
      </w:tr>
      <w:tr w:rsidR="004D73D3" w:rsidRPr="0048716F" w14:paraId="588A3B7C" w14:textId="77777777" w:rsidTr="00597AD8">
        <w:trPr>
          <w:trHeight w:val="864"/>
        </w:trPr>
        <w:tc>
          <w:tcPr>
            <w:tcW w:w="3885" w:type="dxa"/>
            <w:shd w:val="clear" w:color="000000" w:fill="DCE6F1"/>
            <w:hideMark/>
          </w:tcPr>
          <w:p w14:paraId="0DB824A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 1.1: Përmirësimi i kuadrit të politikave dhe qeverisjes për të garantuar akses të barabartë në edukimin e hershëm për fëmijët me aftësi të kufizuara</w:t>
            </w:r>
          </w:p>
        </w:tc>
        <w:tc>
          <w:tcPr>
            <w:tcW w:w="1080" w:type="dxa"/>
            <w:shd w:val="clear" w:color="000000" w:fill="DCE6F1"/>
            <w:hideMark/>
          </w:tcPr>
          <w:p w14:paraId="6C6228A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0CBD70C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shd w:val="clear" w:color="000000" w:fill="DCE6F1"/>
            <w:vAlign w:val="center"/>
            <w:hideMark/>
          </w:tcPr>
          <w:p w14:paraId="5A9D0086" w14:textId="011D9A04"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 MPV, NJVV</w:t>
            </w:r>
          </w:p>
        </w:tc>
        <w:tc>
          <w:tcPr>
            <w:tcW w:w="1521" w:type="dxa"/>
            <w:gridSpan w:val="2"/>
            <w:shd w:val="clear" w:color="000000" w:fill="DCE6F1"/>
            <w:vAlign w:val="center"/>
            <w:hideMark/>
          </w:tcPr>
          <w:p w14:paraId="5429FA48" w14:textId="67AA4C30"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NJVV, DRAP, ZVAP, DRSHKSH, MSHMS,</w:t>
            </w:r>
          </w:p>
        </w:tc>
        <w:tc>
          <w:tcPr>
            <w:tcW w:w="1110" w:type="dxa"/>
            <w:gridSpan w:val="2"/>
            <w:shd w:val="clear" w:color="000000" w:fill="DCE6F1"/>
            <w:hideMark/>
          </w:tcPr>
          <w:p w14:paraId="697381AF" w14:textId="4336EDD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175</w:t>
            </w:r>
          </w:p>
        </w:tc>
        <w:tc>
          <w:tcPr>
            <w:tcW w:w="1110" w:type="dxa"/>
            <w:gridSpan w:val="3"/>
            <w:shd w:val="clear" w:color="000000" w:fill="DCE6F1"/>
            <w:hideMark/>
          </w:tcPr>
          <w:p w14:paraId="0F42F523" w14:textId="63ADA29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868</w:t>
            </w:r>
          </w:p>
        </w:tc>
        <w:tc>
          <w:tcPr>
            <w:tcW w:w="1110" w:type="dxa"/>
            <w:gridSpan w:val="2"/>
            <w:shd w:val="clear" w:color="000000" w:fill="DCE6F1"/>
            <w:hideMark/>
          </w:tcPr>
          <w:p w14:paraId="16C2FC09" w14:textId="07B4204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shd w:val="clear" w:color="000000" w:fill="DCE6F1"/>
            <w:hideMark/>
          </w:tcPr>
          <w:p w14:paraId="514BA136" w14:textId="5F94E1F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818" w:type="dxa"/>
            <w:gridSpan w:val="2"/>
            <w:shd w:val="clear" w:color="000000" w:fill="DCE6F1"/>
            <w:hideMark/>
          </w:tcPr>
          <w:p w14:paraId="5D747A71" w14:textId="2488E59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0FD14977" w14:textId="77777777" w:rsidTr="00597AD8">
        <w:trPr>
          <w:trHeight w:val="1728"/>
        </w:trPr>
        <w:tc>
          <w:tcPr>
            <w:tcW w:w="3885" w:type="dxa"/>
            <w:hideMark/>
          </w:tcPr>
          <w:p w14:paraId="4A18D63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1.1.1 Rishikimi dhe përditësimi i politikave, akteve nënligjore dhe udhëzimeve për edukimin e hershëm gjithëpërfshirës për fëmijët me aftësi të kufizuara.  Realizimi i një vlerësimi të politikave, akteve nënligjore dhe udhëzimeve në fushën e arsimit, shëndetësisë dhe shërbimeve shoqërore, identifikimi i mangësive dhe ofrimi i rekomandimeve për ndërhyrje. (Ref SKA 2021-2026, A.1.1.2)</w:t>
            </w:r>
          </w:p>
        </w:tc>
        <w:tc>
          <w:tcPr>
            <w:tcW w:w="1080" w:type="dxa"/>
            <w:hideMark/>
          </w:tcPr>
          <w:p w14:paraId="35DFEC5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A7A2A4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6BB3F459" w14:textId="32DD63B8"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r w:rsidRPr="0048716F">
              <w:rPr>
                <w:rFonts w:eastAsia="Times New Roman"/>
                <w:b/>
                <w:bCs/>
                <w:color w:val="000000"/>
                <w:sz w:val="18"/>
                <w:szCs w:val="18"/>
                <w:lang w:eastAsia="en-US"/>
              </w:rPr>
              <w:t xml:space="preserve"> </w:t>
            </w:r>
            <w:r w:rsidRPr="0048716F">
              <w:rPr>
                <w:rFonts w:eastAsia="Times New Roman"/>
                <w:color w:val="000000"/>
                <w:sz w:val="18"/>
                <w:szCs w:val="18"/>
                <w:lang w:eastAsia="en-US"/>
              </w:rPr>
              <w:t>MPV, NJVV</w:t>
            </w:r>
          </w:p>
        </w:tc>
        <w:tc>
          <w:tcPr>
            <w:tcW w:w="1521" w:type="dxa"/>
            <w:gridSpan w:val="2"/>
            <w:vAlign w:val="center"/>
            <w:hideMark/>
          </w:tcPr>
          <w:p w14:paraId="71B1FA6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NJVV, DRAP, ZVAP, DROSHKSH, MSHMS, MPV,</w:t>
            </w:r>
          </w:p>
        </w:tc>
        <w:tc>
          <w:tcPr>
            <w:tcW w:w="1110" w:type="dxa"/>
            <w:gridSpan w:val="2"/>
            <w:hideMark/>
          </w:tcPr>
          <w:p w14:paraId="53DF6BC6" w14:textId="372FA91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w:t>
            </w:r>
          </w:p>
        </w:tc>
        <w:tc>
          <w:tcPr>
            <w:tcW w:w="1110" w:type="dxa"/>
            <w:gridSpan w:val="3"/>
            <w:hideMark/>
          </w:tcPr>
          <w:p w14:paraId="3D36739B" w14:textId="05E62B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637</w:t>
            </w:r>
          </w:p>
        </w:tc>
        <w:tc>
          <w:tcPr>
            <w:tcW w:w="1110" w:type="dxa"/>
            <w:gridSpan w:val="2"/>
            <w:hideMark/>
          </w:tcPr>
          <w:p w14:paraId="6CFDD1A1" w14:textId="4CBA38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06002E6" w14:textId="5E35D1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E5C23AB" w14:textId="3F7D40D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A5A67A7" w14:textId="77777777" w:rsidTr="00597AD8">
        <w:trPr>
          <w:trHeight w:val="1440"/>
        </w:trPr>
        <w:tc>
          <w:tcPr>
            <w:tcW w:w="3885" w:type="dxa"/>
            <w:hideMark/>
          </w:tcPr>
          <w:p w14:paraId="6AFC14B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1.1.2 Fuqizimi i mekanizmave ndërinstitucionalë të bashkëpunimit ndërmjet sektorëve të arsimit, shëndetësisë dhe mbrojtjes sociale, permes hartimit dhe zbatimit të një udhëzuesi të përbashkët për identifikimin, referimin, rregjistrimin dhe mbështetjen e zhvillimit dhe edukimit të fëmijëvë me aftësi të kufizuara në kopshte e klasat përgatitore. (Ref SKA 2021-2026, A.1.1.2)</w:t>
            </w:r>
          </w:p>
        </w:tc>
        <w:tc>
          <w:tcPr>
            <w:tcW w:w="1080" w:type="dxa"/>
            <w:hideMark/>
          </w:tcPr>
          <w:p w14:paraId="63B4DE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2CBFD2B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56035B3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MPV, NJVV</w:t>
            </w:r>
          </w:p>
        </w:tc>
        <w:tc>
          <w:tcPr>
            <w:tcW w:w="1521" w:type="dxa"/>
            <w:gridSpan w:val="2"/>
            <w:vAlign w:val="center"/>
            <w:hideMark/>
          </w:tcPr>
          <w:p w14:paraId="59CE672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MPV, NJVV</w:t>
            </w:r>
          </w:p>
        </w:tc>
        <w:tc>
          <w:tcPr>
            <w:tcW w:w="1110" w:type="dxa"/>
            <w:gridSpan w:val="2"/>
            <w:hideMark/>
          </w:tcPr>
          <w:p w14:paraId="5E5822C6" w14:textId="4DA1FF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63AFD70" w14:textId="64ABF78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231</w:t>
            </w:r>
          </w:p>
        </w:tc>
        <w:tc>
          <w:tcPr>
            <w:tcW w:w="1110" w:type="dxa"/>
            <w:gridSpan w:val="2"/>
            <w:hideMark/>
          </w:tcPr>
          <w:p w14:paraId="5019A706" w14:textId="06292EC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3297C42" w14:textId="52678E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99092BE" w14:textId="43451D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F228D38" w14:textId="77777777" w:rsidTr="00597AD8">
        <w:trPr>
          <w:trHeight w:val="576"/>
        </w:trPr>
        <w:tc>
          <w:tcPr>
            <w:tcW w:w="3885" w:type="dxa"/>
            <w:hideMark/>
          </w:tcPr>
          <w:p w14:paraId="29476057"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1.1.3 Hartimi i raportit vjetor mbi ecurinë e nxënësve me AK, për vitin shkollor përkatës.</w:t>
            </w:r>
          </w:p>
        </w:tc>
        <w:tc>
          <w:tcPr>
            <w:tcW w:w="1080" w:type="dxa"/>
            <w:hideMark/>
          </w:tcPr>
          <w:p w14:paraId="3247A7F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0202CD8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0945D8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NJVV, AKAP</w:t>
            </w:r>
          </w:p>
        </w:tc>
        <w:tc>
          <w:tcPr>
            <w:tcW w:w="1521" w:type="dxa"/>
            <w:gridSpan w:val="2"/>
            <w:vAlign w:val="center"/>
            <w:hideMark/>
          </w:tcPr>
          <w:p w14:paraId="16D4226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MPV, MA</w:t>
            </w:r>
          </w:p>
        </w:tc>
        <w:tc>
          <w:tcPr>
            <w:tcW w:w="1110" w:type="dxa"/>
            <w:gridSpan w:val="2"/>
            <w:hideMark/>
          </w:tcPr>
          <w:p w14:paraId="63391359" w14:textId="4D919C5E" w:rsidR="004D73D3" w:rsidRPr="0048716F" w:rsidRDefault="004D73D3" w:rsidP="0048716F">
            <w:pPr>
              <w:jc w:val="both"/>
              <w:rPr>
                <w:rFonts w:eastAsia="Times New Roman"/>
                <w:i/>
                <w:iCs/>
                <w:color w:val="000000"/>
                <w:sz w:val="14"/>
                <w:szCs w:val="14"/>
                <w:lang w:val="en-US" w:eastAsia="en-US"/>
              </w:rPr>
            </w:pPr>
          </w:p>
        </w:tc>
        <w:tc>
          <w:tcPr>
            <w:tcW w:w="1110" w:type="dxa"/>
            <w:gridSpan w:val="3"/>
            <w:hideMark/>
          </w:tcPr>
          <w:p w14:paraId="1FA82B2E" w14:textId="408498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18D4221" w14:textId="39DF4E52" w:rsidR="004D73D3" w:rsidRPr="0048716F" w:rsidRDefault="004D73D3" w:rsidP="0048716F">
            <w:pPr>
              <w:jc w:val="both"/>
              <w:rPr>
                <w:rFonts w:eastAsia="Times New Roman"/>
                <w:i/>
                <w:iCs/>
                <w:color w:val="000000"/>
                <w:sz w:val="14"/>
                <w:szCs w:val="14"/>
                <w:lang w:val="en-US" w:eastAsia="en-US"/>
              </w:rPr>
            </w:pPr>
          </w:p>
        </w:tc>
        <w:tc>
          <w:tcPr>
            <w:tcW w:w="1110" w:type="dxa"/>
            <w:hideMark/>
          </w:tcPr>
          <w:p w14:paraId="732EAB3A" w14:textId="46CC7BBA" w:rsidR="004D73D3" w:rsidRPr="0048716F" w:rsidRDefault="004D73D3" w:rsidP="0048716F">
            <w:pPr>
              <w:jc w:val="both"/>
              <w:rPr>
                <w:rFonts w:eastAsia="Times New Roman"/>
                <w:i/>
                <w:iCs/>
                <w:color w:val="000000"/>
                <w:sz w:val="14"/>
                <w:szCs w:val="14"/>
                <w:lang w:val="en-US" w:eastAsia="en-US"/>
              </w:rPr>
            </w:pPr>
          </w:p>
        </w:tc>
        <w:tc>
          <w:tcPr>
            <w:tcW w:w="818" w:type="dxa"/>
            <w:gridSpan w:val="2"/>
            <w:hideMark/>
          </w:tcPr>
          <w:p w14:paraId="606BB599" w14:textId="2DB3638A" w:rsidR="004D73D3" w:rsidRPr="0048716F" w:rsidRDefault="004D73D3" w:rsidP="0048716F">
            <w:pPr>
              <w:jc w:val="both"/>
              <w:rPr>
                <w:rFonts w:eastAsia="Times New Roman"/>
                <w:i/>
                <w:iCs/>
                <w:color w:val="000000"/>
                <w:sz w:val="14"/>
                <w:szCs w:val="14"/>
                <w:lang w:val="en-US" w:eastAsia="en-US"/>
              </w:rPr>
            </w:pPr>
          </w:p>
        </w:tc>
      </w:tr>
      <w:tr w:rsidR="004D73D3" w:rsidRPr="0048716F" w14:paraId="018E2345" w14:textId="77777777" w:rsidTr="00597AD8">
        <w:trPr>
          <w:trHeight w:val="1104"/>
        </w:trPr>
        <w:tc>
          <w:tcPr>
            <w:tcW w:w="3885" w:type="dxa"/>
            <w:shd w:val="clear" w:color="000000" w:fill="B8CCE4"/>
            <w:noWrap/>
            <w:hideMark/>
          </w:tcPr>
          <w:p w14:paraId="0B9060A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1.2: Krijimi i infrastrukturës dhe mjediseve të aksesueshme, të sigurta, miqësore dhe gjithëpërfshirëse për fëmijët me aftësi të kufizuara në kopshte dhe arsim parashkollor.</w:t>
            </w:r>
          </w:p>
        </w:tc>
        <w:tc>
          <w:tcPr>
            <w:tcW w:w="1080" w:type="dxa"/>
            <w:shd w:val="clear" w:color="000000" w:fill="B8CCE4"/>
            <w:hideMark/>
          </w:tcPr>
          <w:p w14:paraId="3CD7DEA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408652B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7C1EFA7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MA/ MSHPV/ AKAP/DRAP/ZVAP/NJVV</w:t>
            </w:r>
          </w:p>
        </w:tc>
        <w:tc>
          <w:tcPr>
            <w:tcW w:w="1521" w:type="dxa"/>
            <w:gridSpan w:val="2"/>
            <w:shd w:val="clear" w:color="000000" w:fill="B8CCE4"/>
            <w:vAlign w:val="center"/>
            <w:hideMark/>
          </w:tcPr>
          <w:p w14:paraId="4B7C4B00"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NJVV/INSTITUCIONE ARSIMORE/KOPSHTE/BASHKI</w:t>
            </w:r>
          </w:p>
        </w:tc>
        <w:tc>
          <w:tcPr>
            <w:tcW w:w="1110" w:type="dxa"/>
            <w:gridSpan w:val="2"/>
            <w:shd w:val="clear" w:color="000000" w:fill="B8CCE4"/>
            <w:hideMark/>
          </w:tcPr>
          <w:p w14:paraId="7A5624AD" w14:textId="1F3D296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59,400</w:t>
            </w:r>
          </w:p>
        </w:tc>
        <w:tc>
          <w:tcPr>
            <w:tcW w:w="1110" w:type="dxa"/>
            <w:gridSpan w:val="3"/>
            <w:shd w:val="clear" w:color="000000" w:fill="B8CCE4"/>
            <w:hideMark/>
          </w:tcPr>
          <w:p w14:paraId="55C9ED58" w14:textId="09981C7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59,400</w:t>
            </w:r>
          </w:p>
        </w:tc>
        <w:tc>
          <w:tcPr>
            <w:tcW w:w="1110" w:type="dxa"/>
            <w:gridSpan w:val="2"/>
            <w:shd w:val="clear" w:color="000000" w:fill="B8CCE4"/>
            <w:hideMark/>
          </w:tcPr>
          <w:p w14:paraId="3EA32368" w14:textId="1175C07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59,400</w:t>
            </w:r>
          </w:p>
        </w:tc>
        <w:tc>
          <w:tcPr>
            <w:tcW w:w="1110" w:type="dxa"/>
            <w:shd w:val="clear" w:color="000000" w:fill="B8CCE4"/>
            <w:hideMark/>
          </w:tcPr>
          <w:p w14:paraId="13922FD7" w14:textId="5FE2AD9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59,400</w:t>
            </w:r>
          </w:p>
        </w:tc>
        <w:tc>
          <w:tcPr>
            <w:tcW w:w="818" w:type="dxa"/>
            <w:gridSpan w:val="2"/>
            <w:shd w:val="clear" w:color="000000" w:fill="B8CCE4"/>
            <w:hideMark/>
          </w:tcPr>
          <w:p w14:paraId="6A420386" w14:textId="00A32F8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59,400</w:t>
            </w:r>
          </w:p>
        </w:tc>
      </w:tr>
      <w:tr w:rsidR="004D73D3" w:rsidRPr="0048716F" w14:paraId="4AABE0AC" w14:textId="77777777" w:rsidTr="00597AD8">
        <w:trPr>
          <w:trHeight w:val="1440"/>
        </w:trPr>
        <w:tc>
          <w:tcPr>
            <w:tcW w:w="3885" w:type="dxa"/>
            <w:hideMark/>
          </w:tcPr>
          <w:p w14:paraId="44EBBDA5" w14:textId="0F623FE8" w:rsidR="004D73D3" w:rsidRPr="0048716F" w:rsidRDefault="004D73D3" w:rsidP="0048716F">
            <w:pPr>
              <w:jc w:val="both"/>
              <w:rPr>
                <w:rFonts w:eastAsia="Times New Roman"/>
                <w:i/>
                <w:iCs/>
                <w:color w:val="000000"/>
                <w:sz w:val="18"/>
                <w:szCs w:val="18"/>
                <w:lang w:val="en-US" w:eastAsia="en-US"/>
              </w:rPr>
            </w:pPr>
            <w:r w:rsidRPr="0048716F">
              <w:rPr>
                <w:rFonts w:eastAsia="Times New Roman"/>
                <w:color w:val="000000"/>
                <w:sz w:val="18"/>
                <w:szCs w:val="18"/>
                <w:lang w:val="en-US" w:eastAsia="en-US"/>
              </w:rPr>
              <w:t>1.2.1 Planifikimi dhe realizimi i investimeve për të garantuar përshtatshmërinë e godinave të kopshteve dhe klasave përgatitore, (hyrja, ambjentet e brendshmë, ambjentete e lojrave, nyjet hidrosanitare) përfshirë sinjalistikë e kontraste për fëmijët e verbër.</w:t>
            </w:r>
            <w:r w:rsidRPr="0048716F">
              <w:rPr>
                <w:rFonts w:eastAsia="Times New Roman"/>
                <w:i/>
                <w:iCs/>
                <w:color w:val="000000"/>
                <w:sz w:val="18"/>
                <w:szCs w:val="18"/>
                <w:lang w:val="en-US" w:eastAsia="en-US"/>
              </w:rPr>
              <w:t>( Ref SKA 2021-2026, A2.1.5 dhe A.2.4.1)</w:t>
            </w:r>
          </w:p>
        </w:tc>
        <w:tc>
          <w:tcPr>
            <w:tcW w:w="1080" w:type="dxa"/>
            <w:vAlign w:val="center"/>
            <w:hideMark/>
          </w:tcPr>
          <w:p w14:paraId="22D749E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383AAB2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noWrap/>
            <w:vAlign w:val="center"/>
            <w:hideMark/>
          </w:tcPr>
          <w:p w14:paraId="3DC51CF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MSHPV</w:t>
            </w:r>
          </w:p>
        </w:tc>
        <w:tc>
          <w:tcPr>
            <w:tcW w:w="1521" w:type="dxa"/>
            <w:gridSpan w:val="2"/>
            <w:vAlign w:val="center"/>
            <w:hideMark/>
          </w:tcPr>
          <w:p w14:paraId="4DF5C84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NJVV</w:t>
            </w:r>
          </w:p>
        </w:tc>
        <w:tc>
          <w:tcPr>
            <w:tcW w:w="1110" w:type="dxa"/>
            <w:gridSpan w:val="2"/>
            <w:hideMark/>
          </w:tcPr>
          <w:p w14:paraId="69108E93" w14:textId="272E25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19,000</w:t>
            </w:r>
          </w:p>
        </w:tc>
        <w:tc>
          <w:tcPr>
            <w:tcW w:w="1110" w:type="dxa"/>
            <w:gridSpan w:val="3"/>
            <w:hideMark/>
          </w:tcPr>
          <w:p w14:paraId="3B3A8E3F" w14:textId="28A11B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19,000</w:t>
            </w:r>
          </w:p>
        </w:tc>
        <w:tc>
          <w:tcPr>
            <w:tcW w:w="1110" w:type="dxa"/>
            <w:gridSpan w:val="2"/>
            <w:hideMark/>
          </w:tcPr>
          <w:p w14:paraId="506FCF7E" w14:textId="4576FA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19,000</w:t>
            </w:r>
          </w:p>
        </w:tc>
        <w:tc>
          <w:tcPr>
            <w:tcW w:w="1110" w:type="dxa"/>
            <w:hideMark/>
          </w:tcPr>
          <w:p w14:paraId="6C77EEFC" w14:textId="4E48C4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19,000</w:t>
            </w:r>
          </w:p>
        </w:tc>
        <w:tc>
          <w:tcPr>
            <w:tcW w:w="818" w:type="dxa"/>
            <w:gridSpan w:val="2"/>
            <w:hideMark/>
          </w:tcPr>
          <w:p w14:paraId="50182E0F" w14:textId="73996D6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19,000</w:t>
            </w:r>
          </w:p>
        </w:tc>
      </w:tr>
      <w:tr w:rsidR="004D73D3" w:rsidRPr="0048716F" w14:paraId="1AA10FF8" w14:textId="77777777" w:rsidTr="00597AD8">
        <w:trPr>
          <w:trHeight w:val="2592"/>
        </w:trPr>
        <w:tc>
          <w:tcPr>
            <w:tcW w:w="3885" w:type="dxa"/>
            <w:hideMark/>
          </w:tcPr>
          <w:p w14:paraId="3ED6FD8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1.2.2 Planifikim, buxhetim dhe pajisja e kopshteve/klasave përgatitore me mjete didaktike dhe dhe lojra/ kënde lodrash të përshtatura për fëmijët me aftësi të kufizuara.(</w:t>
            </w:r>
            <w:r w:rsidRPr="0048716F">
              <w:rPr>
                <w:rFonts w:eastAsia="Times New Roman"/>
                <w:i/>
                <w:iCs/>
                <w:color w:val="000000"/>
                <w:sz w:val="18"/>
                <w:szCs w:val="18"/>
                <w:lang w:val="en-US" w:eastAsia="en-US"/>
              </w:rPr>
              <w:t>ref SKA2021-2025,  A.2.1.4</w:t>
            </w:r>
            <w:r w:rsidRPr="0048716F">
              <w:rPr>
                <w:rFonts w:eastAsia="Times New Roman"/>
                <w:color w:val="000000"/>
                <w:sz w:val="18"/>
                <w:szCs w:val="18"/>
                <w:lang w:val="en-US" w:eastAsia="en-US"/>
              </w:rPr>
              <w:t>)Disa nga programet teknologjike dhe mjetet e nevojshme për fëmijët me aftësi të kufizuara janë: programe kompjuterike të ndryshme për fëmijët me vështirësi në shikim, në dëgjim dhe në të folur; makina llogaritëse për fëmijët që vuajnë nga diskalkulia; libra audio; monitor/ekran me prekje; set me puzzle/ngjyra/lodra/fletore; libra me figura; i-pad-e; pecs (komunikim nëpërmjet figurave)</w:t>
            </w:r>
          </w:p>
        </w:tc>
        <w:tc>
          <w:tcPr>
            <w:tcW w:w="1080" w:type="dxa"/>
            <w:vAlign w:val="center"/>
            <w:hideMark/>
          </w:tcPr>
          <w:p w14:paraId="58C9E69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54A0C71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noWrap/>
            <w:vAlign w:val="center"/>
            <w:hideMark/>
          </w:tcPr>
          <w:p w14:paraId="37027DB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MSHPV</w:t>
            </w:r>
          </w:p>
        </w:tc>
        <w:tc>
          <w:tcPr>
            <w:tcW w:w="1521" w:type="dxa"/>
            <w:gridSpan w:val="2"/>
            <w:vAlign w:val="center"/>
            <w:hideMark/>
          </w:tcPr>
          <w:p w14:paraId="759DD6C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NJVV</w:t>
            </w:r>
          </w:p>
        </w:tc>
        <w:tc>
          <w:tcPr>
            <w:tcW w:w="1110" w:type="dxa"/>
            <w:gridSpan w:val="2"/>
            <w:hideMark/>
          </w:tcPr>
          <w:p w14:paraId="43468A4E" w14:textId="0DB695E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1110" w:type="dxa"/>
            <w:gridSpan w:val="3"/>
            <w:hideMark/>
          </w:tcPr>
          <w:p w14:paraId="0434BAB7" w14:textId="3C8EBFC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1110" w:type="dxa"/>
            <w:gridSpan w:val="2"/>
            <w:hideMark/>
          </w:tcPr>
          <w:p w14:paraId="75EBB2ED" w14:textId="4BAAED5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1110" w:type="dxa"/>
            <w:hideMark/>
          </w:tcPr>
          <w:p w14:paraId="6E3C33FE" w14:textId="3C1628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818" w:type="dxa"/>
            <w:gridSpan w:val="2"/>
            <w:hideMark/>
          </w:tcPr>
          <w:p w14:paraId="16A387E5" w14:textId="4F522C6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r>
      <w:tr w:rsidR="004D73D3" w:rsidRPr="0048716F" w14:paraId="403A84E8" w14:textId="77777777" w:rsidTr="00597AD8">
        <w:trPr>
          <w:trHeight w:val="2304"/>
        </w:trPr>
        <w:tc>
          <w:tcPr>
            <w:tcW w:w="3885" w:type="dxa"/>
            <w:hideMark/>
          </w:tcPr>
          <w:p w14:paraId="2FEE6447" w14:textId="1E7E7810"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1.2.3 Sesione informuese për prindërit e fëmijëve me dhe pa aftësi të kufizura për rëndësinë e arsimit parashkollor, dhe për elemente që lidhen me barazinë dhe gjithëpërfshirjen e fëmijëve me aftësi të kufizuara. Ndërgjegjësimi i prindërve dhe komunitetit do të bëhet nëpërmjet veprimtarive të mirëplanifikuara në nivel të zyrave vendore të arsimit dhe institucioneve parashkollore, si dhe të shkollave të arsimit bazë pranë të cilave janë atashuar klasat përgatitore, në bashkëpunim edhe me qeverisjen vendore. (ref SKA 2021-2026, A 1.1.1)</w:t>
            </w:r>
          </w:p>
        </w:tc>
        <w:tc>
          <w:tcPr>
            <w:tcW w:w="1080" w:type="dxa"/>
            <w:vAlign w:val="center"/>
            <w:hideMark/>
          </w:tcPr>
          <w:p w14:paraId="6789C0B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AB262C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188343C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AKAP, DRAP, ZVAP, NJVV</w:t>
            </w:r>
          </w:p>
        </w:tc>
        <w:tc>
          <w:tcPr>
            <w:tcW w:w="1521" w:type="dxa"/>
            <w:gridSpan w:val="2"/>
            <w:vAlign w:val="center"/>
            <w:hideMark/>
          </w:tcPr>
          <w:p w14:paraId="7ECC15E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Institucionet arsimore, Kopshtet, Bashki</w:t>
            </w:r>
          </w:p>
        </w:tc>
        <w:tc>
          <w:tcPr>
            <w:tcW w:w="1110" w:type="dxa"/>
            <w:gridSpan w:val="2"/>
            <w:hideMark/>
          </w:tcPr>
          <w:p w14:paraId="7672808F" w14:textId="04D519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20,400</w:t>
            </w:r>
          </w:p>
        </w:tc>
        <w:tc>
          <w:tcPr>
            <w:tcW w:w="1110" w:type="dxa"/>
            <w:gridSpan w:val="3"/>
            <w:hideMark/>
          </w:tcPr>
          <w:p w14:paraId="21BAEF34" w14:textId="5A85ABA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20,400</w:t>
            </w:r>
          </w:p>
        </w:tc>
        <w:tc>
          <w:tcPr>
            <w:tcW w:w="1110" w:type="dxa"/>
            <w:gridSpan w:val="2"/>
            <w:hideMark/>
          </w:tcPr>
          <w:p w14:paraId="1B775E1B" w14:textId="4DF8A49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20,400</w:t>
            </w:r>
          </w:p>
        </w:tc>
        <w:tc>
          <w:tcPr>
            <w:tcW w:w="1110" w:type="dxa"/>
            <w:hideMark/>
          </w:tcPr>
          <w:p w14:paraId="4D61FED6" w14:textId="0644E0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20,400</w:t>
            </w:r>
          </w:p>
        </w:tc>
        <w:tc>
          <w:tcPr>
            <w:tcW w:w="818" w:type="dxa"/>
            <w:gridSpan w:val="2"/>
            <w:hideMark/>
          </w:tcPr>
          <w:p w14:paraId="437A2717" w14:textId="2468BFF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20,400</w:t>
            </w:r>
          </w:p>
        </w:tc>
      </w:tr>
      <w:tr w:rsidR="004D73D3" w:rsidRPr="0048716F" w14:paraId="07A334D0" w14:textId="77777777" w:rsidTr="00597AD8">
        <w:trPr>
          <w:trHeight w:val="828"/>
        </w:trPr>
        <w:tc>
          <w:tcPr>
            <w:tcW w:w="3885" w:type="dxa"/>
            <w:shd w:val="clear" w:color="000000" w:fill="B8CCE4"/>
            <w:hideMark/>
          </w:tcPr>
          <w:p w14:paraId="2009932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1.3. Shërbime mbështetëse multidisiplinare  dhe edukim i hershëm i individualizuar.</w:t>
            </w:r>
          </w:p>
        </w:tc>
        <w:tc>
          <w:tcPr>
            <w:tcW w:w="1080" w:type="dxa"/>
            <w:shd w:val="clear" w:color="000000" w:fill="B8CCE4"/>
            <w:hideMark/>
          </w:tcPr>
          <w:p w14:paraId="2A5FBF2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3633F4A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023EB10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MA/MPV/AKAP/DRAP/ZVAP/MPV/NJPV</w:t>
            </w:r>
          </w:p>
        </w:tc>
        <w:tc>
          <w:tcPr>
            <w:tcW w:w="1521" w:type="dxa"/>
            <w:gridSpan w:val="2"/>
            <w:shd w:val="clear" w:color="000000" w:fill="B8CCE4"/>
            <w:vAlign w:val="center"/>
            <w:hideMark/>
          </w:tcPr>
          <w:p w14:paraId="3A1ADA2C"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NJVV/AKAP/DRAP/ZVA/IAP/AKAP/DRAP/KOPSHTET</w:t>
            </w:r>
          </w:p>
        </w:tc>
        <w:tc>
          <w:tcPr>
            <w:tcW w:w="1110" w:type="dxa"/>
            <w:gridSpan w:val="2"/>
            <w:shd w:val="clear" w:color="000000" w:fill="B8CCE4"/>
            <w:hideMark/>
          </w:tcPr>
          <w:p w14:paraId="3330A866" w14:textId="7A3384A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B8CCE4"/>
            <w:hideMark/>
          </w:tcPr>
          <w:p w14:paraId="6CB91670" w14:textId="3FB0551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2"/>
            <w:shd w:val="clear" w:color="000000" w:fill="B8CCE4"/>
            <w:hideMark/>
          </w:tcPr>
          <w:p w14:paraId="139EA82C" w14:textId="7D18BCA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shd w:val="clear" w:color="000000" w:fill="B8CCE4"/>
            <w:hideMark/>
          </w:tcPr>
          <w:p w14:paraId="48A65F99" w14:textId="65F8B50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818" w:type="dxa"/>
            <w:gridSpan w:val="2"/>
            <w:shd w:val="clear" w:color="000000" w:fill="B8CCE4"/>
            <w:hideMark/>
          </w:tcPr>
          <w:p w14:paraId="31AE5297" w14:textId="18F3743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4C297FD1" w14:textId="77777777" w:rsidTr="00597AD8">
        <w:trPr>
          <w:trHeight w:val="1152"/>
        </w:trPr>
        <w:tc>
          <w:tcPr>
            <w:tcW w:w="3885" w:type="dxa"/>
            <w:noWrap/>
            <w:hideMark/>
          </w:tcPr>
          <w:p w14:paraId="1B2DCDC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1.3.1 Mbështetja me mësues ndihmës për fëmijët me aftësi të kufizuara në kopshte dhe në klasat përgatitore. Përmirësimi i raportit mësues ndihmës dhe fëmijë me aftësi të kufizuara, për të garantuar mbështetje për një periudhë më të gjatë për fëmijën në ambientet zhvillimore/mësimore. (ref  SKA A2.1.1)</w:t>
            </w:r>
          </w:p>
        </w:tc>
        <w:tc>
          <w:tcPr>
            <w:tcW w:w="1080" w:type="dxa"/>
            <w:vAlign w:val="center"/>
            <w:hideMark/>
          </w:tcPr>
          <w:p w14:paraId="473B35D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458C381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noWrap/>
            <w:vAlign w:val="center"/>
            <w:hideMark/>
          </w:tcPr>
          <w:p w14:paraId="2F50A7C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MPV</w:t>
            </w:r>
          </w:p>
        </w:tc>
        <w:tc>
          <w:tcPr>
            <w:tcW w:w="1521" w:type="dxa"/>
            <w:gridSpan w:val="2"/>
            <w:noWrap/>
            <w:vAlign w:val="center"/>
            <w:hideMark/>
          </w:tcPr>
          <w:p w14:paraId="4441DDA1"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NJVV,  AKAP, DRAP, ZVAP, , IAP, Kopshtet</w:t>
            </w:r>
          </w:p>
        </w:tc>
        <w:tc>
          <w:tcPr>
            <w:tcW w:w="1110" w:type="dxa"/>
            <w:gridSpan w:val="2"/>
            <w:hideMark/>
          </w:tcPr>
          <w:p w14:paraId="2DE03CE3" w14:textId="4A782C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E8C8A50" w14:textId="18AE8A1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0A2DB3B" w14:textId="26E829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2C13ACE" w14:textId="3611B0A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9F9B88C" w14:textId="795DAB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A8DDD2F" w14:textId="77777777" w:rsidTr="00597AD8">
        <w:trPr>
          <w:trHeight w:val="864"/>
        </w:trPr>
        <w:tc>
          <w:tcPr>
            <w:tcW w:w="3885" w:type="dxa"/>
            <w:hideMark/>
          </w:tcPr>
          <w:p w14:paraId="6F194E2A" w14:textId="1987BEF0"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1.3.2 Krijimi dhe forcimi i shërbimeve mbështetëse për fëmijët me aftësi të kufizuara në edukimin e hershëm, përmes krijimit/ mbulimit me hapsira zhvillimore të gjithë kopshteve/ IAP.</w:t>
            </w:r>
          </w:p>
        </w:tc>
        <w:tc>
          <w:tcPr>
            <w:tcW w:w="1080" w:type="dxa"/>
            <w:hideMark/>
          </w:tcPr>
          <w:p w14:paraId="38D887E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5E2C9A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85E63C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MPV</w:t>
            </w:r>
          </w:p>
        </w:tc>
        <w:tc>
          <w:tcPr>
            <w:tcW w:w="1521" w:type="dxa"/>
            <w:gridSpan w:val="2"/>
            <w:noWrap/>
            <w:vAlign w:val="center"/>
            <w:hideMark/>
          </w:tcPr>
          <w:p w14:paraId="6827BDC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ZVAP-et IAP-et, NJVV,Kopshtet</w:t>
            </w:r>
          </w:p>
        </w:tc>
        <w:tc>
          <w:tcPr>
            <w:tcW w:w="1110" w:type="dxa"/>
            <w:gridSpan w:val="2"/>
            <w:hideMark/>
          </w:tcPr>
          <w:p w14:paraId="57A7B935" w14:textId="3A79F4F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878F826" w14:textId="5FBF29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3D4B81A" w14:textId="12E56B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2A77F50" w14:textId="7656E78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ECBC693" w14:textId="2BF977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B7A19A7" w14:textId="77777777" w:rsidTr="00597AD8">
        <w:trPr>
          <w:trHeight w:val="2016"/>
        </w:trPr>
        <w:tc>
          <w:tcPr>
            <w:tcW w:w="3885" w:type="dxa"/>
            <w:hideMark/>
          </w:tcPr>
          <w:p w14:paraId="4F6B0E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1.3.3 Angazhimi i profesionistëve të specializuar (psikologë, logopedë, terapistë zhvillimi, punonjës socialë), për të hartuar dhe zbatuar Planet Individuale të Zhvillimit dhe të Edukimit, bazuar në udhëzimin mbi planifikimin e përbashkët të nënshkruar nga institucionet publike arsimore, shëndetësore dhe ato të mbrojtjes e shërbimeve shoqërore në nivel vendor, në përputhje me nevojat individuale të fëmijëve në kopshte (grupi i 3të në kopshte  dhe klasa përgatitore në IAP).</w:t>
            </w:r>
          </w:p>
        </w:tc>
        <w:tc>
          <w:tcPr>
            <w:tcW w:w="1080" w:type="dxa"/>
            <w:hideMark/>
          </w:tcPr>
          <w:p w14:paraId="590A728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00D7F9F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noWrap/>
            <w:vAlign w:val="center"/>
            <w:hideMark/>
          </w:tcPr>
          <w:p w14:paraId="789D1B3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AKAP, DRAP, ZVAP, NJVV, DROSHKSH</w:t>
            </w:r>
          </w:p>
        </w:tc>
        <w:tc>
          <w:tcPr>
            <w:tcW w:w="1521" w:type="dxa"/>
            <w:gridSpan w:val="2"/>
            <w:noWrap/>
            <w:vAlign w:val="center"/>
            <w:hideMark/>
          </w:tcPr>
          <w:p w14:paraId="3E293C4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IAP, Kopshtet</w:t>
            </w:r>
          </w:p>
        </w:tc>
        <w:tc>
          <w:tcPr>
            <w:tcW w:w="1110" w:type="dxa"/>
            <w:gridSpan w:val="2"/>
            <w:hideMark/>
          </w:tcPr>
          <w:p w14:paraId="4EFA89C5" w14:textId="5E6E05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C842ED1" w14:textId="135328D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6050979" w14:textId="1341F21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A496968" w14:textId="333B21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D5D9DC3" w14:textId="1833097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1ED5669" w14:textId="77777777" w:rsidTr="00597AD8">
        <w:trPr>
          <w:trHeight w:val="288"/>
        </w:trPr>
        <w:tc>
          <w:tcPr>
            <w:tcW w:w="3885" w:type="dxa"/>
            <w:hideMark/>
          </w:tcPr>
          <w:p w14:paraId="16371761" w14:textId="78FF27EB" w:rsidR="004D73D3" w:rsidRPr="0048716F" w:rsidRDefault="004D73D3" w:rsidP="0048716F">
            <w:pPr>
              <w:jc w:val="both"/>
              <w:rPr>
                <w:rFonts w:eastAsia="Times New Roman"/>
                <w:color w:val="000000"/>
                <w:sz w:val="18"/>
                <w:szCs w:val="18"/>
                <w:lang w:val="en-US" w:eastAsia="en-US"/>
              </w:rPr>
            </w:pPr>
          </w:p>
        </w:tc>
        <w:tc>
          <w:tcPr>
            <w:tcW w:w="1080" w:type="dxa"/>
            <w:hideMark/>
          </w:tcPr>
          <w:p w14:paraId="5A889384" w14:textId="6FAB4EB7" w:rsidR="004D73D3" w:rsidRPr="0048716F" w:rsidRDefault="004D73D3" w:rsidP="0048716F">
            <w:pPr>
              <w:jc w:val="both"/>
              <w:rPr>
                <w:rFonts w:eastAsia="Times New Roman"/>
                <w:b/>
                <w:bCs/>
                <w:color w:val="000000"/>
                <w:sz w:val="18"/>
                <w:szCs w:val="18"/>
                <w:lang w:val="en-US" w:eastAsia="en-US"/>
              </w:rPr>
            </w:pPr>
          </w:p>
        </w:tc>
        <w:tc>
          <w:tcPr>
            <w:tcW w:w="1260" w:type="dxa"/>
            <w:hideMark/>
          </w:tcPr>
          <w:p w14:paraId="44902065" w14:textId="19F7B559" w:rsidR="004D73D3" w:rsidRPr="0048716F" w:rsidRDefault="004D73D3" w:rsidP="0048716F">
            <w:pPr>
              <w:jc w:val="both"/>
              <w:rPr>
                <w:rFonts w:eastAsia="Times New Roman"/>
                <w:b/>
                <w:bCs/>
                <w:color w:val="000000"/>
                <w:sz w:val="18"/>
                <w:szCs w:val="18"/>
                <w:lang w:val="en-US" w:eastAsia="en-US"/>
              </w:rPr>
            </w:pPr>
          </w:p>
        </w:tc>
        <w:tc>
          <w:tcPr>
            <w:tcW w:w="1411" w:type="dxa"/>
            <w:noWrap/>
            <w:vAlign w:val="bottom"/>
            <w:hideMark/>
          </w:tcPr>
          <w:p w14:paraId="68379CAE" w14:textId="4EF4DC57" w:rsidR="004D73D3" w:rsidRPr="0048716F" w:rsidRDefault="004D73D3" w:rsidP="0048716F">
            <w:pPr>
              <w:jc w:val="both"/>
              <w:rPr>
                <w:rFonts w:eastAsia="Times New Roman"/>
                <w:b/>
                <w:bCs/>
                <w:color w:val="000000"/>
                <w:sz w:val="18"/>
                <w:szCs w:val="18"/>
                <w:lang w:val="en-US" w:eastAsia="en-US"/>
              </w:rPr>
            </w:pPr>
          </w:p>
        </w:tc>
        <w:tc>
          <w:tcPr>
            <w:tcW w:w="1521" w:type="dxa"/>
            <w:gridSpan w:val="2"/>
            <w:noWrap/>
            <w:vAlign w:val="bottom"/>
            <w:hideMark/>
          </w:tcPr>
          <w:p w14:paraId="38829ED2" w14:textId="22B5DA9C" w:rsidR="004D73D3" w:rsidRPr="0048716F" w:rsidRDefault="004D73D3" w:rsidP="00597AD8">
            <w:pPr>
              <w:rPr>
                <w:rFonts w:eastAsia="Times New Roman"/>
                <w:b/>
                <w:bCs/>
                <w:color w:val="000000"/>
                <w:sz w:val="18"/>
                <w:szCs w:val="18"/>
                <w:lang w:val="en-US" w:eastAsia="en-US"/>
              </w:rPr>
            </w:pPr>
          </w:p>
        </w:tc>
        <w:tc>
          <w:tcPr>
            <w:tcW w:w="1110" w:type="dxa"/>
            <w:gridSpan w:val="2"/>
            <w:hideMark/>
          </w:tcPr>
          <w:p w14:paraId="0613AF71" w14:textId="7FC539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C3E2AAA" w14:textId="5016E2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7F78078" w14:textId="77B52B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D0844BA" w14:textId="4ABF02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14151D6" w14:textId="22C9048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7B92C98" w14:textId="77777777" w:rsidTr="00597AD8">
        <w:trPr>
          <w:trHeight w:val="864"/>
        </w:trPr>
        <w:tc>
          <w:tcPr>
            <w:tcW w:w="3885" w:type="dxa"/>
            <w:hideMark/>
          </w:tcPr>
          <w:p w14:paraId="7918C18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1.3.4 Përfshirja aktive e prindërve në procesin e zhvillimit dhe edukimit të hershëm të fëmijëve me aftësi të kufizuara (relaizimin e planit PEI, përmes formalizimit të takimeve të paktën, 1 herë në 3 muaj.</w:t>
            </w:r>
          </w:p>
        </w:tc>
        <w:tc>
          <w:tcPr>
            <w:tcW w:w="1080" w:type="dxa"/>
            <w:hideMark/>
          </w:tcPr>
          <w:p w14:paraId="45C61C0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5C2E48A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noWrap/>
            <w:vAlign w:val="center"/>
            <w:hideMark/>
          </w:tcPr>
          <w:p w14:paraId="76A52DA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NJPV, DRAP, ZVAP</w:t>
            </w:r>
          </w:p>
        </w:tc>
        <w:tc>
          <w:tcPr>
            <w:tcW w:w="1521" w:type="dxa"/>
            <w:gridSpan w:val="2"/>
            <w:noWrap/>
            <w:vAlign w:val="center"/>
            <w:hideMark/>
          </w:tcPr>
          <w:p w14:paraId="39D4CEA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IAP, Kopshtet</w:t>
            </w:r>
          </w:p>
        </w:tc>
        <w:tc>
          <w:tcPr>
            <w:tcW w:w="1110" w:type="dxa"/>
            <w:gridSpan w:val="2"/>
            <w:hideMark/>
          </w:tcPr>
          <w:p w14:paraId="3408FA65" w14:textId="1D981D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77AB5BA" w14:textId="01BA783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99A93E3" w14:textId="417F69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A2833D8" w14:textId="4562F95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359D124" w14:textId="2495BB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DE1DFE7" w14:textId="77777777" w:rsidTr="00597AD8">
        <w:trPr>
          <w:trHeight w:val="864"/>
        </w:trPr>
        <w:tc>
          <w:tcPr>
            <w:tcW w:w="3885" w:type="dxa"/>
            <w:shd w:val="clear" w:color="000000" w:fill="B8CCE4"/>
            <w:hideMark/>
          </w:tcPr>
          <w:p w14:paraId="55F086E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1.4: Zhvillimi i kapaciteteve profesionale dhe sigurimi i cilësisë së edukimit të hershëm gjithëpërfshirës për fëmijët me aftësi të kufizuara.</w:t>
            </w:r>
          </w:p>
        </w:tc>
        <w:tc>
          <w:tcPr>
            <w:tcW w:w="1080" w:type="dxa"/>
            <w:shd w:val="clear" w:color="000000" w:fill="B8CCE4"/>
            <w:hideMark/>
          </w:tcPr>
          <w:p w14:paraId="0773406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6B7A810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55B448E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ASCAP/MA/AKAP/NJVV</w:t>
            </w:r>
          </w:p>
        </w:tc>
        <w:tc>
          <w:tcPr>
            <w:tcW w:w="1521" w:type="dxa"/>
            <w:gridSpan w:val="2"/>
            <w:shd w:val="clear" w:color="000000" w:fill="B8CCE4"/>
            <w:vAlign w:val="center"/>
            <w:hideMark/>
          </w:tcPr>
          <w:p w14:paraId="005C8BBA"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DRAP/ZVAP/NJVV/ASCAP</w:t>
            </w:r>
          </w:p>
        </w:tc>
        <w:tc>
          <w:tcPr>
            <w:tcW w:w="1110" w:type="dxa"/>
            <w:gridSpan w:val="2"/>
            <w:shd w:val="clear" w:color="000000" w:fill="B8CCE4"/>
            <w:hideMark/>
          </w:tcPr>
          <w:p w14:paraId="79690395" w14:textId="2E08AA9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750</w:t>
            </w:r>
          </w:p>
        </w:tc>
        <w:tc>
          <w:tcPr>
            <w:tcW w:w="1110" w:type="dxa"/>
            <w:gridSpan w:val="3"/>
            <w:shd w:val="clear" w:color="000000" w:fill="B8CCE4"/>
            <w:hideMark/>
          </w:tcPr>
          <w:p w14:paraId="4CBB60FE" w14:textId="755BB13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31,250</w:t>
            </w:r>
          </w:p>
        </w:tc>
        <w:tc>
          <w:tcPr>
            <w:tcW w:w="1110" w:type="dxa"/>
            <w:gridSpan w:val="2"/>
            <w:shd w:val="clear" w:color="000000" w:fill="B8CCE4"/>
            <w:hideMark/>
          </w:tcPr>
          <w:p w14:paraId="4B84CDB5" w14:textId="67CF530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30,750</w:t>
            </w:r>
          </w:p>
        </w:tc>
        <w:tc>
          <w:tcPr>
            <w:tcW w:w="1110" w:type="dxa"/>
            <w:shd w:val="clear" w:color="000000" w:fill="B8CCE4"/>
            <w:hideMark/>
          </w:tcPr>
          <w:p w14:paraId="40D48600" w14:textId="7CD72BB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30,750</w:t>
            </w:r>
          </w:p>
        </w:tc>
        <w:tc>
          <w:tcPr>
            <w:tcW w:w="818" w:type="dxa"/>
            <w:gridSpan w:val="2"/>
            <w:shd w:val="clear" w:color="000000" w:fill="B8CCE4"/>
            <w:hideMark/>
          </w:tcPr>
          <w:p w14:paraId="34258165" w14:textId="019EC32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30,750</w:t>
            </w:r>
          </w:p>
        </w:tc>
      </w:tr>
      <w:tr w:rsidR="004D73D3" w:rsidRPr="0048716F" w14:paraId="3CCFFBD9" w14:textId="77777777" w:rsidTr="00597AD8">
        <w:trPr>
          <w:trHeight w:val="2016"/>
        </w:trPr>
        <w:tc>
          <w:tcPr>
            <w:tcW w:w="3885" w:type="dxa"/>
            <w:hideMark/>
          </w:tcPr>
          <w:p w14:paraId="7D575D1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1.4.1 Zhvillimi dhe zbatimi i programeve të detyrueshme të trajnimit fillestar dhe të vazhdueshëm për edukatorët dhe stafin ndihmës/mësuesit ndihmës me qëllim forcimin e kompetencave për arsimin gjithëpërfshirës, zhvillimin e hershëm të fëmijës me aftësi të kufizuara  dhe identifikimin e hershëm të nevojave zhvillimore dhe arsimore, (Ref SKA Produkti A.3.2 ). A.3.2.1 Zhvillimi i moduleve të trajnimit të bazuara në standardet profesionale të mësuesit dhe në koherencë me kurrikulën bazuar në kompetenca).</w:t>
            </w:r>
          </w:p>
        </w:tc>
        <w:tc>
          <w:tcPr>
            <w:tcW w:w="1080" w:type="dxa"/>
            <w:hideMark/>
          </w:tcPr>
          <w:p w14:paraId="1B9AE95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20F75C7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CA4211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ASCAP</w:t>
            </w:r>
          </w:p>
        </w:tc>
        <w:tc>
          <w:tcPr>
            <w:tcW w:w="1521" w:type="dxa"/>
            <w:gridSpan w:val="2"/>
            <w:vAlign w:val="center"/>
            <w:hideMark/>
          </w:tcPr>
          <w:p w14:paraId="4F966EF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 ZVAP, NJVV</w:t>
            </w:r>
          </w:p>
        </w:tc>
        <w:tc>
          <w:tcPr>
            <w:tcW w:w="1110" w:type="dxa"/>
            <w:gridSpan w:val="2"/>
            <w:hideMark/>
          </w:tcPr>
          <w:p w14:paraId="592B93A8" w14:textId="1EC808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w:t>
            </w:r>
          </w:p>
        </w:tc>
        <w:tc>
          <w:tcPr>
            <w:tcW w:w="1110" w:type="dxa"/>
            <w:gridSpan w:val="3"/>
            <w:hideMark/>
          </w:tcPr>
          <w:p w14:paraId="77CC6806" w14:textId="3E0B20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w:t>
            </w:r>
          </w:p>
        </w:tc>
        <w:tc>
          <w:tcPr>
            <w:tcW w:w="1110" w:type="dxa"/>
            <w:gridSpan w:val="2"/>
            <w:hideMark/>
          </w:tcPr>
          <w:p w14:paraId="77BF9FC5" w14:textId="5DED28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w:t>
            </w:r>
          </w:p>
        </w:tc>
        <w:tc>
          <w:tcPr>
            <w:tcW w:w="1110" w:type="dxa"/>
            <w:hideMark/>
          </w:tcPr>
          <w:p w14:paraId="0D61307F" w14:textId="25A4435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w:t>
            </w:r>
          </w:p>
        </w:tc>
        <w:tc>
          <w:tcPr>
            <w:tcW w:w="818" w:type="dxa"/>
            <w:gridSpan w:val="2"/>
            <w:hideMark/>
          </w:tcPr>
          <w:p w14:paraId="648E2936" w14:textId="467A4B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w:t>
            </w:r>
          </w:p>
        </w:tc>
      </w:tr>
      <w:tr w:rsidR="004D73D3" w:rsidRPr="0048716F" w14:paraId="78447293" w14:textId="77777777" w:rsidTr="00597AD8">
        <w:trPr>
          <w:trHeight w:val="576"/>
        </w:trPr>
        <w:tc>
          <w:tcPr>
            <w:tcW w:w="3885" w:type="dxa"/>
            <w:hideMark/>
          </w:tcPr>
          <w:p w14:paraId="11FD77A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1.4.2 Mbështetja e mësuesve ndihmës në arsimin parashkollor si pjesë e rrjetit profesional të mësuesve ndihmës</w:t>
            </w:r>
          </w:p>
        </w:tc>
        <w:tc>
          <w:tcPr>
            <w:tcW w:w="1080" w:type="dxa"/>
            <w:hideMark/>
          </w:tcPr>
          <w:p w14:paraId="43E3B72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11F7291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1EF445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31DD5A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ASCAP</w:t>
            </w:r>
          </w:p>
        </w:tc>
        <w:tc>
          <w:tcPr>
            <w:tcW w:w="1110" w:type="dxa"/>
            <w:gridSpan w:val="2"/>
            <w:hideMark/>
          </w:tcPr>
          <w:p w14:paraId="0A9996C0" w14:textId="3B58552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138F0A2" w14:textId="16DA95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0744920" w14:textId="66A06F7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8261509" w14:textId="66D4EB8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801CDE3" w14:textId="4C119BE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5140663" w14:textId="77777777" w:rsidTr="00597AD8">
        <w:trPr>
          <w:trHeight w:val="1152"/>
        </w:trPr>
        <w:tc>
          <w:tcPr>
            <w:tcW w:w="3885" w:type="dxa"/>
            <w:hideMark/>
          </w:tcPr>
          <w:p w14:paraId="74EC6E0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1.4.3 Zhvillimi dhe zbatimi i programeve të trajnimit për prindërit/familjarët e fëmijëvë me aftësi të kufizuara me qëllim bashkëpunimin me kopshtet dhe institucionet arsimore  për zhvillimin dhe edukimin e hershëm të fëmijës dhe identifikimin e hershëm të nevojave,</w:t>
            </w:r>
          </w:p>
        </w:tc>
        <w:tc>
          <w:tcPr>
            <w:tcW w:w="1080" w:type="dxa"/>
            <w:hideMark/>
          </w:tcPr>
          <w:p w14:paraId="2D451F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FCD33C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0E47CBA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ASCAP, AKAP, NJVV</w:t>
            </w:r>
          </w:p>
        </w:tc>
        <w:tc>
          <w:tcPr>
            <w:tcW w:w="1521" w:type="dxa"/>
            <w:gridSpan w:val="2"/>
            <w:vAlign w:val="center"/>
            <w:hideMark/>
          </w:tcPr>
          <w:p w14:paraId="735CC39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 ZVAP, NJVV</w:t>
            </w:r>
          </w:p>
        </w:tc>
        <w:tc>
          <w:tcPr>
            <w:tcW w:w="1110" w:type="dxa"/>
            <w:gridSpan w:val="2"/>
            <w:hideMark/>
          </w:tcPr>
          <w:p w14:paraId="48C99190" w14:textId="516877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7E2233E" w14:textId="7578E5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30,500</w:t>
            </w:r>
          </w:p>
        </w:tc>
        <w:tc>
          <w:tcPr>
            <w:tcW w:w="1110" w:type="dxa"/>
            <w:gridSpan w:val="2"/>
            <w:hideMark/>
          </w:tcPr>
          <w:p w14:paraId="396EEAE0" w14:textId="1A20CA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c>
          <w:tcPr>
            <w:tcW w:w="1110" w:type="dxa"/>
            <w:hideMark/>
          </w:tcPr>
          <w:p w14:paraId="6F3555AF" w14:textId="0A4A75A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c>
          <w:tcPr>
            <w:tcW w:w="818" w:type="dxa"/>
            <w:gridSpan w:val="2"/>
            <w:hideMark/>
          </w:tcPr>
          <w:p w14:paraId="6C251142" w14:textId="4717554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30,000</w:t>
            </w:r>
          </w:p>
        </w:tc>
      </w:tr>
      <w:tr w:rsidR="004D73D3" w:rsidRPr="0048716F" w14:paraId="0B6EC486" w14:textId="77777777" w:rsidTr="00597AD8">
        <w:trPr>
          <w:trHeight w:val="1320"/>
        </w:trPr>
        <w:tc>
          <w:tcPr>
            <w:tcW w:w="3885" w:type="dxa"/>
            <w:shd w:val="clear" w:color="000000" w:fill="FDE9D9"/>
            <w:hideMark/>
          </w:tcPr>
          <w:p w14:paraId="4C45F61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Objektivi Specifik  2. Garantimi i arsimit parauniversitar gjithëpërfshirës, cilësor dhe të barabartë për nxënësit me aftësi të kufizuara.</w:t>
            </w:r>
          </w:p>
        </w:tc>
        <w:tc>
          <w:tcPr>
            <w:tcW w:w="1080" w:type="dxa"/>
            <w:shd w:val="clear" w:color="000000" w:fill="FDE9D9"/>
            <w:hideMark/>
          </w:tcPr>
          <w:p w14:paraId="32FE4F9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6140CE3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0E33025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MA/MPV/ /ASCAP/AKAP/ZVA/MA/MPV</w:t>
            </w:r>
          </w:p>
        </w:tc>
        <w:tc>
          <w:tcPr>
            <w:tcW w:w="1521" w:type="dxa"/>
            <w:gridSpan w:val="2"/>
            <w:shd w:val="clear" w:color="000000" w:fill="FDE9D9"/>
            <w:vAlign w:val="center"/>
            <w:hideMark/>
          </w:tcPr>
          <w:p w14:paraId="55ECD96E"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DRAP/ ZVAP/NJVV/DROSHKSH/KMD /AKAP/NJVV/ASCAP/ZVAP/AP/ MSHMS</w:t>
            </w:r>
          </w:p>
        </w:tc>
        <w:tc>
          <w:tcPr>
            <w:tcW w:w="1110" w:type="dxa"/>
            <w:gridSpan w:val="2"/>
            <w:shd w:val="clear" w:color="000000" w:fill="FDE9D9"/>
            <w:hideMark/>
          </w:tcPr>
          <w:p w14:paraId="7A5E4266" w14:textId="5179E2E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242,260</w:t>
            </w:r>
          </w:p>
        </w:tc>
        <w:tc>
          <w:tcPr>
            <w:tcW w:w="1110" w:type="dxa"/>
            <w:gridSpan w:val="3"/>
            <w:shd w:val="clear" w:color="000000" w:fill="FDE9D9"/>
            <w:hideMark/>
          </w:tcPr>
          <w:p w14:paraId="0D264369" w14:textId="291D5EA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316,465</w:t>
            </w:r>
          </w:p>
        </w:tc>
        <w:tc>
          <w:tcPr>
            <w:tcW w:w="1110" w:type="dxa"/>
            <w:gridSpan w:val="2"/>
            <w:shd w:val="clear" w:color="000000" w:fill="FDE9D9"/>
            <w:hideMark/>
          </w:tcPr>
          <w:p w14:paraId="0FF4CC78" w14:textId="565FFC3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390,132</w:t>
            </w:r>
          </w:p>
        </w:tc>
        <w:tc>
          <w:tcPr>
            <w:tcW w:w="1110" w:type="dxa"/>
            <w:shd w:val="clear" w:color="000000" w:fill="FDE9D9"/>
            <w:hideMark/>
          </w:tcPr>
          <w:p w14:paraId="3D54C959" w14:textId="39E4087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443,451</w:t>
            </w:r>
          </w:p>
        </w:tc>
        <w:tc>
          <w:tcPr>
            <w:tcW w:w="818" w:type="dxa"/>
            <w:gridSpan w:val="2"/>
            <w:shd w:val="clear" w:color="000000" w:fill="FDE9D9"/>
            <w:hideMark/>
          </w:tcPr>
          <w:p w14:paraId="78BD262F" w14:textId="74A12A3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496,552</w:t>
            </w:r>
          </w:p>
        </w:tc>
      </w:tr>
      <w:tr w:rsidR="004D73D3" w:rsidRPr="0048716F" w14:paraId="19C9CF6B" w14:textId="77777777" w:rsidTr="00597AD8">
        <w:trPr>
          <w:trHeight w:val="792"/>
        </w:trPr>
        <w:tc>
          <w:tcPr>
            <w:tcW w:w="3885" w:type="dxa"/>
            <w:shd w:val="clear" w:color="000000" w:fill="DCE6F1"/>
            <w:hideMark/>
          </w:tcPr>
          <w:p w14:paraId="33760E4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2.1: Kuadër ligjor, institucional dhe mekanizma të qeverisjes për arsimin parauniversitar gjithëpërfshirës.</w:t>
            </w:r>
          </w:p>
        </w:tc>
        <w:tc>
          <w:tcPr>
            <w:tcW w:w="1080" w:type="dxa"/>
            <w:shd w:val="clear" w:color="000000" w:fill="DCE6F1"/>
            <w:hideMark/>
          </w:tcPr>
          <w:p w14:paraId="530EFCE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010929D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5796397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MA/MPV/ ASCAP/AKAP/MSHMS</w:t>
            </w:r>
          </w:p>
        </w:tc>
        <w:tc>
          <w:tcPr>
            <w:tcW w:w="1521" w:type="dxa"/>
            <w:gridSpan w:val="2"/>
            <w:shd w:val="clear" w:color="000000" w:fill="DCE6F1"/>
            <w:vAlign w:val="center"/>
            <w:hideMark/>
          </w:tcPr>
          <w:p w14:paraId="3926DAA7" w14:textId="65DCE06F"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DRAP/ ZVAP/NJVV/DROSHKSH/KMD/</w:t>
            </w:r>
          </w:p>
        </w:tc>
        <w:tc>
          <w:tcPr>
            <w:tcW w:w="1110" w:type="dxa"/>
            <w:gridSpan w:val="2"/>
            <w:shd w:val="clear" w:color="000000" w:fill="C5D9F1"/>
            <w:noWrap/>
            <w:hideMark/>
          </w:tcPr>
          <w:p w14:paraId="229F10DC" w14:textId="040AE5C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611</w:t>
            </w:r>
          </w:p>
        </w:tc>
        <w:tc>
          <w:tcPr>
            <w:tcW w:w="1110" w:type="dxa"/>
            <w:gridSpan w:val="3"/>
            <w:shd w:val="clear" w:color="000000" w:fill="C5D9F1"/>
            <w:noWrap/>
            <w:hideMark/>
          </w:tcPr>
          <w:p w14:paraId="4B5699BE" w14:textId="3DE78F9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611</w:t>
            </w:r>
          </w:p>
        </w:tc>
        <w:tc>
          <w:tcPr>
            <w:tcW w:w="1110" w:type="dxa"/>
            <w:gridSpan w:val="2"/>
            <w:shd w:val="clear" w:color="000000" w:fill="C5D9F1"/>
            <w:noWrap/>
            <w:hideMark/>
          </w:tcPr>
          <w:p w14:paraId="5454F559" w14:textId="629BB67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73</w:t>
            </w:r>
          </w:p>
        </w:tc>
        <w:tc>
          <w:tcPr>
            <w:tcW w:w="1110" w:type="dxa"/>
            <w:shd w:val="clear" w:color="000000" w:fill="C5D9F1"/>
            <w:noWrap/>
            <w:hideMark/>
          </w:tcPr>
          <w:p w14:paraId="5A5543AD" w14:textId="093CEDF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73</w:t>
            </w:r>
          </w:p>
        </w:tc>
        <w:tc>
          <w:tcPr>
            <w:tcW w:w="818" w:type="dxa"/>
            <w:gridSpan w:val="2"/>
            <w:shd w:val="clear" w:color="000000" w:fill="C5D9F1"/>
            <w:noWrap/>
            <w:hideMark/>
          </w:tcPr>
          <w:p w14:paraId="141236B7" w14:textId="464C067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73</w:t>
            </w:r>
          </w:p>
        </w:tc>
      </w:tr>
      <w:tr w:rsidR="004D73D3" w:rsidRPr="0048716F" w14:paraId="6F54BCC4" w14:textId="77777777" w:rsidTr="00597AD8">
        <w:trPr>
          <w:trHeight w:val="864"/>
        </w:trPr>
        <w:tc>
          <w:tcPr>
            <w:tcW w:w="3885" w:type="dxa"/>
            <w:noWrap/>
            <w:vAlign w:val="center"/>
            <w:hideMark/>
          </w:tcPr>
          <w:p w14:paraId="6E26F38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2.1.1 Rishikimi dhe përmirësimi i akteve nënligjore dhe udhëzimeve për zbatimin e arsimit parauniversitar gjithëpërfshirës, bazuar në parimet e barazisë dhe mosdiskriminimit.</w:t>
            </w:r>
          </w:p>
        </w:tc>
        <w:tc>
          <w:tcPr>
            <w:tcW w:w="1080" w:type="dxa"/>
            <w:vAlign w:val="center"/>
            <w:hideMark/>
          </w:tcPr>
          <w:p w14:paraId="6759F3C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00E958A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12F9FBB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1B39A20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 ZVAP, NJVV, DROSHKSH, KMD</w:t>
            </w:r>
          </w:p>
        </w:tc>
        <w:tc>
          <w:tcPr>
            <w:tcW w:w="1110" w:type="dxa"/>
            <w:gridSpan w:val="2"/>
            <w:hideMark/>
          </w:tcPr>
          <w:p w14:paraId="0D0994AA" w14:textId="7C0F952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231</w:t>
            </w:r>
          </w:p>
        </w:tc>
        <w:tc>
          <w:tcPr>
            <w:tcW w:w="1110" w:type="dxa"/>
            <w:gridSpan w:val="3"/>
            <w:hideMark/>
          </w:tcPr>
          <w:p w14:paraId="4398FCBC" w14:textId="772E8E6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231</w:t>
            </w:r>
          </w:p>
        </w:tc>
        <w:tc>
          <w:tcPr>
            <w:tcW w:w="1110" w:type="dxa"/>
            <w:gridSpan w:val="2"/>
            <w:hideMark/>
          </w:tcPr>
          <w:p w14:paraId="5F24989E" w14:textId="01D1E93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9FFBF3D" w14:textId="716E015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35858D6" w14:textId="04AC0C3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6F9B64E" w14:textId="77777777" w:rsidTr="00597AD8">
        <w:trPr>
          <w:trHeight w:val="1152"/>
        </w:trPr>
        <w:tc>
          <w:tcPr>
            <w:tcW w:w="3885" w:type="dxa"/>
            <w:noWrap/>
            <w:vAlign w:val="center"/>
            <w:hideMark/>
          </w:tcPr>
          <w:p w14:paraId="20DA9FC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2.1.2 Forcimi i mekanizmave të koordinimit ndërinstitucional ndërmjet MA, MPV  dhe MSHMS përmes realizimit të një marrëveshje bashkepunimi për të identifikuar,  referuar përmes një qasje të integruar, nevojat e nxënësve me aftësi të kufizuara.</w:t>
            </w:r>
          </w:p>
        </w:tc>
        <w:tc>
          <w:tcPr>
            <w:tcW w:w="1080" w:type="dxa"/>
            <w:vAlign w:val="center"/>
            <w:hideMark/>
          </w:tcPr>
          <w:p w14:paraId="7E30FA7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3806CC7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77DF453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MPV MSHMS</w:t>
            </w:r>
          </w:p>
        </w:tc>
        <w:tc>
          <w:tcPr>
            <w:tcW w:w="1521" w:type="dxa"/>
            <w:gridSpan w:val="2"/>
            <w:vAlign w:val="center"/>
            <w:hideMark/>
          </w:tcPr>
          <w:p w14:paraId="4B6EB06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 ZVAP, NJVV,</w:t>
            </w:r>
          </w:p>
        </w:tc>
        <w:tc>
          <w:tcPr>
            <w:tcW w:w="1110" w:type="dxa"/>
            <w:gridSpan w:val="2"/>
            <w:hideMark/>
          </w:tcPr>
          <w:p w14:paraId="707281C9" w14:textId="618E89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182</w:t>
            </w:r>
          </w:p>
        </w:tc>
        <w:tc>
          <w:tcPr>
            <w:tcW w:w="1110" w:type="dxa"/>
            <w:gridSpan w:val="3"/>
            <w:hideMark/>
          </w:tcPr>
          <w:p w14:paraId="73E9ED75" w14:textId="774C9BB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182</w:t>
            </w:r>
          </w:p>
        </w:tc>
        <w:tc>
          <w:tcPr>
            <w:tcW w:w="1110" w:type="dxa"/>
            <w:gridSpan w:val="2"/>
            <w:hideMark/>
          </w:tcPr>
          <w:p w14:paraId="7047A1DA" w14:textId="75D27C6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7192E3F" w14:textId="2C60128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C0FD8B6" w14:textId="6B7F2F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F368E42" w14:textId="77777777" w:rsidTr="00597AD8">
        <w:trPr>
          <w:trHeight w:val="1728"/>
        </w:trPr>
        <w:tc>
          <w:tcPr>
            <w:tcW w:w="3885" w:type="dxa"/>
            <w:noWrap/>
            <w:vAlign w:val="center"/>
            <w:hideMark/>
          </w:tcPr>
          <w:p w14:paraId="24D38F4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2.1.3 Rishikimi i mekanizmave të monitorimit, raportimit dhe llogaridhënies për zbatimin e arsimit parauniversitar gjithëpërfshirës. Integrimi i indikatorëve të aksesit, përfshirë indikatorët gjinorë, llojeve të aftësisë së kufizuar, të aksesueshmërisë, cilësisë, mbështetjes individuale dhe rezultateve arsimore në sistemet e monitorimit. Realizimi i monitorimeve dhe raportimeve periodike.</w:t>
            </w:r>
          </w:p>
        </w:tc>
        <w:tc>
          <w:tcPr>
            <w:tcW w:w="1080" w:type="dxa"/>
            <w:vAlign w:val="center"/>
            <w:hideMark/>
          </w:tcPr>
          <w:p w14:paraId="632D42F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5A6E7D8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BD1A92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ASCAP, AKAP</w:t>
            </w:r>
          </w:p>
        </w:tc>
        <w:tc>
          <w:tcPr>
            <w:tcW w:w="1521" w:type="dxa"/>
            <w:gridSpan w:val="2"/>
            <w:vAlign w:val="center"/>
            <w:hideMark/>
          </w:tcPr>
          <w:p w14:paraId="155367E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 ZVAP, IAP</w:t>
            </w:r>
          </w:p>
        </w:tc>
        <w:tc>
          <w:tcPr>
            <w:tcW w:w="1110" w:type="dxa"/>
            <w:gridSpan w:val="2"/>
            <w:hideMark/>
          </w:tcPr>
          <w:p w14:paraId="3BC6EDBA" w14:textId="19E5A0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198</w:t>
            </w:r>
          </w:p>
        </w:tc>
        <w:tc>
          <w:tcPr>
            <w:tcW w:w="1110" w:type="dxa"/>
            <w:gridSpan w:val="3"/>
            <w:hideMark/>
          </w:tcPr>
          <w:p w14:paraId="599AD15C" w14:textId="1BC32D3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198</w:t>
            </w:r>
          </w:p>
        </w:tc>
        <w:tc>
          <w:tcPr>
            <w:tcW w:w="1110" w:type="dxa"/>
            <w:gridSpan w:val="2"/>
            <w:hideMark/>
          </w:tcPr>
          <w:p w14:paraId="235E99A1" w14:textId="7A6096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73</w:t>
            </w:r>
          </w:p>
        </w:tc>
        <w:tc>
          <w:tcPr>
            <w:tcW w:w="1110" w:type="dxa"/>
            <w:hideMark/>
          </w:tcPr>
          <w:p w14:paraId="7F387BD8" w14:textId="64FFA8A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73</w:t>
            </w:r>
          </w:p>
        </w:tc>
        <w:tc>
          <w:tcPr>
            <w:tcW w:w="818" w:type="dxa"/>
            <w:gridSpan w:val="2"/>
            <w:hideMark/>
          </w:tcPr>
          <w:p w14:paraId="34F3FCD0" w14:textId="1E865A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73</w:t>
            </w:r>
          </w:p>
        </w:tc>
      </w:tr>
      <w:tr w:rsidR="004D73D3" w:rsidRPr="0048716F" w14:paraId="3D5634EA" w14:textId="77777777" w:rsidTr="00597AD8">
        <w:trPr>
          <w:trHeight w:val="1056"/>
        </w:trPr>
        <w:tc>
          <w:tcPr>
            <w:tcW w:w="3885" w:type="dxa"/>
            <w:shd w:val="clear" w:color="000000" w:fill="DCE6F1"/>
            <w:hideMark/>
          </w:tcPr>
          <w:p w14:paraId="3AFC338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2.2 Identifikim i hershëm, vlerësim multidisiplinar dhe planifikim arsimor i individualizuar për nxënësit me aftësi të kufizuara.</w:t>
            </w:r>
          </w:p>
        </w:tc>
        <w:tc>
          <w:tcPr>
            <w:tcW w:w="1080" w:type="dxa"/>
            <w:shd w:val="clear" w:color="000000" w:fill="DCE6F1"/>
            <w:hideMark/>
          </w:tcPr>
          <w:p w14:paraId="7851625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6536621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725E1F4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AKAP/ DRAP/ ZVAP/MA</w:t>
            </w:r>
          </w:p>
        </w:tc>
        <w:tc>
          <w:tcPr>
            <w:tcW w:w="1521" w:type="dxa"/>
            <w:gridSpan w:val="2"/>
            <w:shd w:val="clear" w:color="000000" w:fill="DCE6F1"/>
            <w:vAlign w:val="center"/>
            <w:hideMark/>
          </w:tcPr>
          <w:p w14:paraId="1FE33B4B"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AKAP/DRAP/ ZVAP/NJVV/ DROSHKSH/IAP/AKAP/ASCAP</w:t>
            </w:r>
          </w:p>
        </w:tc>
        <w:tc>
          <w:tcPr>
            <w:tcW w:w="1110" w:type="dxa"/>
            <w:gridSpan w:val="2"/>
            <w:shd w:val="clear" w:color="000000" w:fill="C5D9F1"/>
            <w:noWrap/>
            <w:hideMark/>
          </w:tcPr>
          <w:p w14:paraId="6B6664D1" w14:textId="4AA4698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218</w:t>
            </w:r>
          </w:p>
        </w:tc>
        <w:tc>
          <w:tcPr>
            <w:tcW w:w="1110" w:type="dxa"/>
            <w:gridSpan w:val="3"/>
            <w:shd w:val="clear" w:color="000000" w:fill="C5D9F1"/>
            <w:noWrap/>
            <w:hideMark/>
          </w:tcPr>
          <w:p w14:paraId="52368515" w14:textId="239AF37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218</w:t>
            </w:r>
          </w:p>
        </w:tc>
        <w:tc>
          <w:tcPr>
            <w:tcW w:w="1110" w:type="dxa"/>
            <w:gridSpan w:val="2"/>
            <w:shd w:val="clear" w:color="000000" w:fill="C5D9F1"/>
            <w:noWrap/>
            <w:hideMark/>
          </w:tcPr>
          <w:p w14:paraId="109C6AB2" w14:textId="5326AB1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218</w:t>
            </w:r>
          </w:p>
        </w:tc>
        <w:tc>
          <w:tcPr>
            <w:tcW w:w="1110" w:type="dxa"/>
            <w:shd w:val="clear" w:color="000000" w:fill="C5D9F1"/>
            <w:noWrap/>
            <w:hideMark/>
          </w:tcPr>
          <w:p w14:paraId="5BB5F000" w14:textId="32A16CA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327</w:t>
            </w:r>
          </w:p>
        </w:tc>
        <w:tc>
          <w:tcPr>
            <w:tcW w:w="818" w:type="dxa"/>
            <w:gridSpan w:val="2"/>
            <w:shd w:val="clear" w:color="000000" w:fill="C5D9F1"/>
            <w:noWrap/>
            <w:hideMark/>
          </w:tcPr>
          <w:p w14:paraId="6DC518D2" w14:textId="775D17D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218</w:t>
            </w:r>
          </w:p>
        </w:tc>
      </w:tr>
      <w:tr w:rsidR="004D73D3" w:rsidRPr="0048716F" w14:paraId="52A2205D" w14:textId="77777777" w:rsidTr="00597AD8">
        <w:trPr>
          <w:trHeight w:val="576"/>
        </w:trPr>
        <w:tc>
          <w:tcPr>
            <w:tcW w:w="3885" w:type="dxa"/>
            <w:noWrap/>
            <w:hideMark/>
          </w:tcPr>
          <w:p w14:paraId="2F38BBD1" w14:textId="496822C4"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2.2.1 Forcimi i sistemit të identifikimit të hershëm të nxënësve me aftësi të kufizuara.</w:t>
            </w:r>
          </w:p>
        </w:tc>
        <w:tc>
          <w:tcPr>
            <w:tcW w:w="1080" w:type="dxa"/>
            <w:vAlign w:val="center"/>
            <w:hideMark/>
          </w:tcPr>
          <w:p w14:paraId="2E8A0D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012F1A0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07063A5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AKAP, DRAP, ZVAP</w:t>
            </w:r>
          </w:p>
        </w:tc>
        <w:tc>
          <w:tcPr>
            <w:tcW w:w="1521" w:type="dxa"/>
            <w:gridSpan w:val="2"/>
            <w:vAlign w:val="center"/>
            <w:hideMark/>
          </w:tcPr>
          <w:p w14:paraId="14F8CD2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 ZVAP, NJVV, DROSHKSH,</w:t>
            </w:r>
          </w:p>
        </w:tc>
        <w:tc>
          <w:tcPr>
            <w:tcW w:w="1110" w:type="dxa"/>
            <w:gridSpan w:val="2"/>
            <w:hideMark/>
          </w:tcPr>
          <w:p w14:paraId="27E2792B" w14:textId="1F8421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1110" w:type="dxa"/>
            <w:gridSpan w:val="3"/>
            <w:hideMark/>
          </w:tcPr>
          <w:p w14:paraId="364F205B" w14:textId="3AF60F2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1110" w:type="dxa"/>
            <w:gridSpan w:val="2"/>
            <w:hideMark/>
          </w:tcPr>
          <w:p w14:paraId="149907F5" w14:textId="6F6B75D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1110" w:type="dxa"/>
            <w:hideMark/>
          </w:tcPr>
          <w:p w14:paraId="4DD30969" w14:textId="769479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818" w:type="dxa"/>
            <w:gridSpan w:val="2"/>
            <w:hideMark/>
          </w:tcPr>
          <w:p w14:paraId="341CDEF5" w14:textId="3F21B2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r>
      <w:tr w:rsidR="004D73D3" w:rsidRPr="0048716F" w14:paraId="361AFD64" w14:textId="77777777" w:rsidTr="00597AD8">
        <w:trPr>
          <w:trHeight w:val="1440"/>
        </w:trPr>
        <w:tc>
          <w:tcPr>
            <w:tcW w:w="3885" w:type="dxa"/>
            <w:noWrap/>
            <w:hideMark/>
          </w:tcPr>
          <w:p w14:paraId="30C074F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2.2.2 Fuqizimi  dhe rritja e efektivitetetit të KMD pranë ZVAP-eve për të realizuar vlerësimin e nxënësve më aftësi të kufizuara. Zbatimi i vlerësimit multidisiplinar të nevojave arsimore të nxënësve,  përfshirë  dhe planifikimet e duhura buxhetore vjetore për plotësimin e  kërkesave për akomodimin/ përshtatjen e arsyeshme.</w:t>
            </w:r>
          </w:p>
        </w:tc>
        <w:tc>
          <w:tcPr>
            <w:tcW w:w="1080" w:type="dxa"/>
            <w:vAlign w:val="center"/>
            <w:hideMark/>
          </w:tcPr>
          <w:p w14:paraId="6252FD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4CB10F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1D579A5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44C8F30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 DRAP, ZVAP</w:t>
            </w:r>
          </w:p>
        </w:tc>
        <w:tc>
          <w:tcPr>
            <w:tcW w:w="1110" w:type="dxa"/>
            <w:gridSpan w:val="2"/>
            <w:hideMark/>
          </w:tcPr>
          <w:p w14:paraId="6C20B500" w14:textId="466DD4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1110" w:type="dxa"/>
            <w:gridSpan w:val="3"/>
            <w:hideMark/>
          </w:tcPr>
          <w:p w14:paraId="3DCCB032" w14:textId="55E9CE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1110" w:type="dxa"/>
            <w:gridSpan w:val="2"/>
            <w:hideMark/>
          </w:tcPr>
          <w:p w14:paraId="709036EB" w14:textId="2CE7BFF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1110" w:type="dxa"/>
            <w:hideMark/>
          </w:tcPr>
          <w:p w14:paraId="6797BD85" w14:textId="2D8A30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818" w:type="dxa"/>
            <w:gridSpan w:val="2"/>
            <w:hideMark/>
          </w:tcPr>
          <w:p w14:paraId="434E8397" w14:textId="2806A4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r>
      <w:tr w:rsidR="004D73D3" w:rsidRPr="0048716F" w14:paraId="5636E601" w14:textId="77777777" w:rsidTr="00597AD8">
        <w:trPr>
          <w:trHeight w:val="576"/>
        </w:trPr>
        <w:tc>
          <w:tcPr>
            <w:tcW w:w="3885" w:type="dxa"/>
            <w:noWrap/>
            <w:hideMark/>
          </w:tcPr>
          <w:p w14:paraId="4477AE62" w14:textId="21ECC236"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2.2.3 Hartimi dhe zbatimi i Planeve Edukativ Individuale), bazuar në nevojat dhe ritmin e të nxënit të secilit nxënës.</w:t>
            </w:r>
          </w:p>
        </w:tc>
        <w:tc>
          <w:tcPr>
            <w:tcW w:w="1080" w:type="dxa"/>
            <w:vAlign w:val="center"/>
            <w:hideMark/>
          </w:tcPr>
          <w:p w14:paraId="3E69C34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7A74BD2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6B88620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A253B2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 DRAP, ZVAP, IAP</w:t>
            </w:r>
          </w:p>
        </w:tc>
        <w:tc>
          <w:tcPr>
            <w:tcW w:w="1110" w:type="dxa"/>
            <w:gridSpan w:val="2"/>
            <w:hideMark/>
          </w:tcPr>
          <w:p w14:paraId="315AF8D9" w14:textId="348813C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A0960B8" w14:textId="17F6D10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4D03C0D" w14:textId="7E61F7B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39C83F4" w14:textId="3986FAC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109</w:t>
            </w:r>
          </w:p>
        </w:tc>
        <w:tc>
          <w:tcPr>
            <w:tcW w:w="818" w:type="dxa"/>
            <w:gridSpan w:val="2"/>
            <w:hideMark/>
          </w:tcPr>
          <w:p w14:paraId="067F218E" w14:textId="2F602B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FB64F8B" w14:textId="77777777" w:rsidTr="00597AD8">
        <w:trPr>
          <w:trHeight w:val="288"/>
        </w:trPr>
        <w:tc>
          <w:tcPr>
            <w:tcW w:w="3885" w:type="dxa"/>
            <w:noWrap/>
            <w:hideMark/>
          </w:tcPr>
          <w:p w14:paraId="13228EA8" w14:textId="1773149E"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2.2.4 Monitorimi  zbatimit dhe efektiviteteit të PEI-ve të paktën 1 herë në vit</w:t>
            </w:r>
          </w:p>
        </w:tc>
        <w:tc>
          <w:tcPr>
            <w:tcW w:w="1080" w:type="dxa"/>
            <w:vAlign w:val="center"/>
            <w:hideMark/>
          </w:tcPr>
          <w:p w14:paraId="2FC771C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1165130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6D9883D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0F065F5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AKAP/ASCAP</w:t>
            </w:r>
          </w:p>
        </w:tc>
        <w:tc>
          <w:tcPr>
            <w:tcW w:w="1110" w:type="dxa"/>
            <w:gridSpan w:val="2"/>
            <w:hideMark/>
          </w:tcPr>
          <w:p w14:paraId="02855CAA" w14:textId="2A67A4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1408C1F" w14:textId="75B731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44C5B1B" w14:textId="663D40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04FDD1E" w14:textId="2747DC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2E2BE96" w14:textId="6E314AD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6A38CD8" w14:textId="77777777" w:rsidTr="00597AD8">
        <w:trPr>
          <w:trHeight w:val="576"/>
        </w:trPr>
        <w:tc>
          <w:tcPr>
            <w:tcW w:w="3885" w:type="dxa"/>
            <w:noWrap/>
            <w:hideMark/>
          </w:tcPr>
          <w:p w14:paraId="6016532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2.2.5 Përfshirja aktive e prindërve në planifikimin edukativ individual të paktën 1 herë në vit.</w:t>
            </w:r>
          </w:p>
        </w:tc>
        <w:tc>
          <w:tcPr>
            <w:tcW w:w="1080" w:type="dxa"/>
            <w:vAlign w:val="center"/>
            <w:hideMark/>
          </w:tcPr>
          <w:p w14:paraId="5381AA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30714A1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05331BF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14C45F2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AKAP/ASCAP</w:t>
            </w:r>
          </w:p>
        </w:tc>
        <w:tc>
          <w:tcPr>
            <w:tcW w:w="1110" w:type="dxa"/>
            <w:gridSpan w:val="2"/>
            <w:hideMark/>
          </w:tcPr>
          <w:p w14:paraId="4C83D44E" w14:textId="74109083" w:rsidR="004D73D3" w:rsidRPr="0048716F" w:rsidRDefault="004D73D3" w:rsidP="0048716F">
            <w:pPr>
              <w:jc w:val="both"/>
              <w:rPr>
                <w:rFonts w:eastAsia="Times New Roman"/>
                <w:i/>
                <w:iCs/>
                <w:color w:val="000000"/>
                <w:sz w:val="14"/>
                <w:szCs w:val="14"/>
                <w:lang w:val="en-US" w:eastAsia="en-US"/>
              </w:rPr>
            </w:pPr>
          </w:p>
        </w:tc>
        <w:tc>
          <w:tcPr>
            <w:tcW w:w="1110" w:type="dxa"/>
            <w:gridSpan w:val="3"/>
            <w:hideMark/>
          </w:tcPr>
          <w:p w14:paraId="78748C73" w14:textId="3A84E834" w:rsidR="004D73D3" w:rsidRPr="0048716F" w:rsidRDefault="004D73D3" w:rsidP="0048716F">
            <w:pPr>
              <w:jc w:val="both"/>
              <w:rPr>
                <w:rFonts w:eastAsia="Times New Roman"/>
                <w:i/>
                <w:iCs/>
                <w:color w:val="000000"/>
                <w:sz w:val="14"/>
                <w:szCs w:val="14"/>
                <w:lang w:val="en-US" w:eastAsia="en-US"/>
              </w:rPr>
            </w:pPr>
          </w:p>
        </w:tc>
        <w:tc>
          <w:tcPr>
            <w:tcW w:w="1110" w:type="dxa"/>
            <w:gridSpan w:val="2"/>
            <w:hideMark/>
          </w:tcPr>
          <w:p w14:paraId="2A3D08FF" w14:textId="17CCDB0D" w:rsidR="004D73D3" w:rsidRPr="0048716F" w:rsidRDefault="004D73D3" w:rsidP="0048716F">
            <w:pPr>
              <w:jc w:val="both"/>
              <w:rPr>
                <w:rFonts w:eastAsia="Times New Roman"/>
                <w:i/>
                <w:iCs/>
                <w:color w:val="000000"/>
                <w:sz w:val="14"/>
                <w:szCs w:val="14"/>
                <w:lang w:val="en-US" w:eastAsia="en-US"/>
              </w:rPr>
            </w:pPr>
          </w:p>
        </w:tc>
        <w:tc>
          <w:tcPr>
            <w:tcW w:w="1110" w:type="dxa"/>
            <w:hideMark/>
          </w:tcPr>
          <w:p w14:paraId="028EE3CD" w14:textId="28FC3221" w:rsidR="004D73D3" w:rsidRPr="0048716F" w:rsidRDefault="004D73D3" w:rsidP="0048716F">
            <w:pPr>
              <w:jc w:val="both"/>
              <w:rPr>
                <w:rFonts w:eastAsia="Times New Roman"/>
                <w:i/>
                <w:iCs/>
                <w:color w:val="000000"/>
                <w:sz w:val="14"/>
                <w:szCs w:val="14"/>
                <w:lang w:val="en-US" w:eastAsia="en-US"/>
              </w:rPr>
            </w:pPr>
          </w:p>
        </w:tc>
        <w:tc>
          <w:tcPr>
            <w:tcW w:w="818" w:type="dxa"/>
            <w:gridSpan w:val="2"/>
            <w:hideMark/>
          </w:tcPr>
          <w:p w14:paraId="3EC5D5B0" w14:textId="6E1BDC80" w:rsidR="004D73D3" w:rsidRPr="0048716F" w:rsidRDefault="004D73D3" w:rsidP="0048716F">
            <w:pPr>
              <w:jc w:val="both"/>
              <w:rPr>
                <w:rFonts w:eastAsia="Times New Roman"/>
                <w:i/>
                <w:iCs/>
                <w:color w:val="000000"/>
                <w:sz w:val="14"/>
                <w:szCs w:val="14"/>
                <w:lang w:val="en-US" w:eastAsia="en-US"/>
              </w:rPr>
            </w:pPr>
          </w:p>
        </w:tc>
      </w:tr>
      <w:tr w:rsidR="004D73D3" w:rsidRPr="0048716F" w14:paraId="11E6AEFD" w14:textId="77777777" w:rsidTr="00597AD8">
        <w:trPr>
          <w:trHeight w:val="792"/>
        </w:trPr>
        <w:tc>
          <w:tcPr>
            <w:tcW w:w="3885" w:type="dxa"/>
            <w:shd w:val="clear" w:color="000000" w:fill="DCE6F1"/>
            <w:hideMark/>
          </w:tcPr>
          <w:p w14:paraId="0B5F050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2.3 Mbështetje profesionale, kurrikulare për nxënie gjithëpërfshirëse për nxënëësit me aftësi të kufizuara.</w:t>
            </w:r>
          </w:p>
        </w:tc>
        <w:tc>
          <w:tcPr>
            <w:tcW w:w="1080" w:type="dxa"/>
            <w:shd w:val="clear" w:color="000000" w:fill="DCE6F1"/>
            <w:hideMark/>
          </w:tcPr>
          <w:p w14:paraId="575086C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474E703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27336F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MA/MPV</w:t>
            </w:r>
          </w:p>
        </w:tc>
        <w:tc>
          <w:tcPr>
            <w:tcW w:w="1521" w:type="dxa"/>
            <w:gridSpan w:val="2"/>
            <w:shd w:val="clear" w:color="000000" w:fill="DCE6F1"/>
            <w:vAlign w:val="center"/>
            <w:hideMark/>
          </w:tcPr>
          <w:p w14:paraId="7B540CEA"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AKAP /DRAP/ ZVAP/ ASCAP/ IAP/ NJVV</w:t>
            </w:r>
          </w:p>
        </w:tc>
        <w:tc>
          <w:tcPr>
            <w:tcW w:w="1110" w:type="dxa"/>
            <w:gridSpan w:val="2"/>
            <w:shd w:val="clear" w:color="000000" w:fill="C5D9F1"/>
            <w:noWrap/>
            <w:hideMark/>
          </w:tcPr>
          <w:p w14:paraId="6280753A" w14:textId="627A454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241,431</w:t>
            </w:r>
          </w:p>
        </w:tc>
        <w:tc>
          <w:tcPr>
            <w:tcW w:w="1110" w:type="dxa"/>
            <w:gridSpan w:val="3"/>
            <w:shd w:val="clear" w:color="000000" w:fill="C5D9F1"/>
            <w:noWrap/>
            <w:hideMark/>
          </w:tcPr>
          <w:p w14:paraId="751E1473" w14:textId="0933F20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315,636</w:t>
            </w:r>
          </w:p>
        </w:tc>
        <w:tc>
          <w:tcPr>
            <w:tcW w:w="1110" w:type="dxa"/>
            <w:gridSpan w:val="2"/>
            <w:shd w:val="clear" w:color="000000" w:fill="C5D9F1"/>
            <w:noWrap/>
            <w:hideMark/>
          </w:tcPr>
          <w:p w14:paraId="1E036C93" w14:textId="4A0895B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389,841</w:t>
            </w:r>
          </w:p>
        </w:tc>
        <w:tc>
          <w:tcPr>
            <w:tcW w:w="1110" w:type="dxa"/>
            <w:shd w:val="clear" w:color="000000" w:fill="C5D9F1"/>
            <w:noWrap/>
            <w:hideMark/>
          </w:tcPr>
          <w:p w14:paraId="0469135B" w14:textId="3D17D71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443,051</w:t>
            </w:r>
          </w:p>
        </w:tc>
        <w:tc>
          <w:tcPr>
            <w:tcW w:w="818" w:type="dxa"/>
            <w:gridSpan w:val="2"/>
            <w:shd w:val="clear" w:color="000000" w:fill="C5D9F1"/>
            <w:noWrap/>
            <w:hideMark/>
          </w:tcPr>
          <w:p w14:paraId="4E183644" w14:textId="5087D6B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496,261</w:t>
            </w:r>
          </w:p>
        </w:tc>
      </w:tr>
      <w:tr w:rsidR="004D73D3" w:rsidRPr="0048716F" w14:paraId="292B702A" w14:textId="77777777" w:rsidTr="00597AD8">
        <w:trPr>
          <w:trHeight w:val="864"/>
        </w:trPr>
        <w:tc>
          <w:tcPr>
            <w:tcW w:w="3885" w:type="dxa"/>
            <w:noWrap/>
            <w:vAlign w:val="center"/>
            <w:hideMark/>
          </w:tcPr>
          <w:p w14:paraId="59D3E30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2.3.1..  Rritja e numrit dhe forcimi i kapaciteteve të mësuesve ndihmës, psikologëve shkollorë, punonjësve socialë dhe specialistëve të tjerë mbështetës.</w:t>
            </w:r>
          </w:p>
        </w:tc>
        <w:tc>
          <w:tcPr>
            <w:tcW w:w="1080" w:type="dxa"/>
            <w:vAlign w:val="center"/>
            <w:hideMark/>
          </w:tcPr>
          <w:p w14:paraId="30BA139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6D8F0FC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245C2EE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7F808BB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 DRAP, ZVAP, ASCAP, IAP</w:t>
            </w:r>
          </w:p>
        </w:tc>
        <w:tc>
          <w:tcPr>
            <w:tcW w:w="1110" w:type="dxa"/>
            <w:gridSpan w:val="2"/>
            <w:hideMark/>
          </w:tcPr>
          <w:p w14:paraId="017CDAFA" w14:textId="1F2E41B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185,640</w:t>
            </w:r>
          </w:p>
        </w:tc>
        <w:tc>
          <w:tcPr>
            <w:tcW w:w="1110" w:type="dxa"/>
            <w:gridSpan w:val="3"/>
            <w:hideMark/>
          </w:tcPr>
          <w:p w14:paraId="2DE96716" w14:textId="777434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259,845</w:t>
            </w:r>
          </w:p>
        </w:tc>
        <w:tc>
          <w:tcPr>
            <w:tcW w:w="1110" w:type="dxa"/>
            <w:gridSpan w:val="2"/>
            <w:hideMark/>
          </w:tcPr>
          <w:p w14:paraId="6E248EA8" w14:textId="3BD6531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334,050</w:t>
            </w:r>
          </w:p>
        </w:tc>
        <w:tc>
          <w:tcPr>
            <w:tcW w:w="1110" w:type="dxa"/>
            <w:hideMark/>
          </w:tcPr>
          <w:p w14:paraId="0B81BC4E" w14:textId="1D4C97F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387,260</w:t>
            </w:r>
          </w:p>
        </w:tc>
        <w:tc>
          <w:tcPr>
            <w:tcW w:w="818" w:type="dxa"/>
            <w:gridSpan w:val="2"/>
            <w:hideMark/>
          </w:tcPr>
          <w:p w14:paraId="0B21C266" w14:textId="275881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440,470</w:t>
            </w:r>
          </w:p>
        </w:tc>
      </w:tr>
      <w:tr w:rsidR="004D73D3" w:rsidRPr="0048716F" w14:paraId="449283CD" w14:textId="77777777" w:rsidTr="00597AD8">
        <w:trPr>
          <w:trHeight w:val="576"/>
        </w:trPr>
        <w:tc>
          <w:tcPr>
            <w:tcW w:w="3885" w:type="dxa"/>
            <w:hideMark/>
          </w:tcPr>
          <w:p w14:paraId="027ABC13" w14:textId="0973E09B"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2.3.2. Sigurimi i shërbimeve ndihmëse dhe mjeteve didaktike për nxënësit me aftësi të kufizuara.(ref SKA2021-2025,  A.2.1.4)</w:t>
            </w:r>
          </w:p>
        </w:tc>
        <w:tc>
          <w:tcPr>
            <w:tcW w:w="1080" w:type="dxa"/>
            <w:vAlign w:val="center"/>
            <w:hideMark/>
          </w:tcPr>
          <w:p w14:paraId="398DDCF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12622B0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B19605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7792D22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 DRAP, ZVAP, ASCAP, IAP</w:t>
            </w:r>
          </w:p>
        </w:tc>
        <w:tc>
          <w:tcPr>
            <w:tcW w:w="1110" w:type="dxa"/>
            <w:gridSpan w:val="2"/>
            <w:hideMark/>
          </w:tcPr>
          <w:p w14:paraId="56954AD5" w14:textId="67674B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40,800</w:t>
            </w:r>
          </w:p>
        </w:tc>
        <w:tc>
          <w:tcPr>
            <w:tcW w:w="1110" w:type="dxa"/>
            <w:gridSpan w:val="3"/>
            <w:hideMark/>
          </w:tcPr>
          <w:p w14:paraId="3864A26C" w14:textId="3964B8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40,800</w:t>
            </w:r>
          </w:p>
        </w:tc>
        <w:tc>
          <w:tcPr>
            <w:tcW w:w="1110" w:type="dxa"/>
            <w:gridSpan w:val="2"/>
            <w:hideMark/>
          </w:tcPr>
          <w:p w14:paraId="07B7E94C" w14:textId="38734D7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40,800</w:t>
            </w:r>
          </w:p>
        </w:tc>
        <w:tc>
          <w:tcPr>
            <w:tcW w:w="1110" w:type="dxa"/>
            <w:hideMark/>
          </w:tcPr>
          <w:p w14:paraId="357DB6D7" w14:textId="712C490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40,800</w:t>
            </w:r>
          </w:p>
        </w:tc>
        <w:tc>
          <w:tcPr>
            <w:tcW w:w="818" w:type="dxa"/>
            <w:gridSpan w:val="2"/>
            <w:hideMark/>
          </w:tcPr>
          <w:p w14:paraId="32DC32B8" w14:textId="7623DF7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40,800</w:t>
            </w:r>
          </w:p>
        </w:tc>
      </w:tr>
      <w:tr w:rsidR="004D73D3" w:rsidRPr="0048716F" w14:paraId="36019BB1" w14:textId="77777777" w:rsidTr="00597AD8">
        <w:trPr>
          <w:trHeight w:val="864"/>
        </w:trPr>
        <w:tc>
          <w:tcPr>
            <w:tcW w:w="3885" w:type="dxa"/>
            <w:hideMark/>
          </w:tcPr>
          <w:p w14:paraId="43D729D6" w14:textId="59410769"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2.3.3.  Zbatimi  i metodologjive gjithëpërfshirëse të mësimdhënies dhe të vlerësimit të nxënësve me aftësi të kufizuara. Zbatimi i parimeve të Dizajnit Universal për të Nxënit (UDL) në procesin mësimor.</w:t>
            </w:r>
          </w:p>
        </w:tc>
        <w:tc>
          <w:tcPr>
            <w:tcW w:w="1080" w:type="dxa"/>
            <w:vAlign w:val="center"/>
            <w:hideMark/>
          </w:tcPr>
          <w:p w14:paraId="306CD2D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vAlign w:val="center"/>
            <w:hideMark/>
          </w:tcPr>
          <w:p w14:paraId="59E0F1E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411" w:type="dxa"/>
            <w:vAlign w:val="center"/>
            <w:hideMark/>
          </w:tcPr>
          <w:p w14:paraId="25ADBB9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15021C9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ASCAP, AKAP</w:t>
            </w:r>
          </w:p>
        </w:tc>
        <w:tc>
          <w:tcPr>
            <w:tcW w:w="1110" w:type="dxa"/>
            <w:gridSpan w:val="2"/>
            <w:hideMark/>
          </w:tcPr>
          <w:p w14:paraId="0D0FC86A" w14:textId="05CEC87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1,391</w:t>
            </w:r>
          </w:p>
        </w:tc>
        <w:tc>
          <w:tcPr>
            <w:tcW w:w="1110" w:type="dxa"/>
            <w:gridSpan w:val="3"/>
            <w:hideMark/>
          </w:tcPr>
          <w:p w14:paraId="31885224" w14:textId="7EA926A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1,391</w:t>
            </w:r>
          </w:p>
        </w:tc>
        <w:tc>
          <w:tcPr>
            <w:tcW w:w="1110" w:type="dxa"/>
            <w:gridSpan w:val="2"/>
            <w:hideMark/>
          </w:tcPr>
          <w:p w14:paraId="55C3FB6E" w14:textId="6C7FFC0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1,391</w:t>
            </w:r>
          </w:p>
        </w:tc>
        <w:tc>
          <w:tcPr>
            <w:tcW w:w="1110" w:type="dxa"/>
            <w:hideMark/>
          </w:tcPr>
          <w:p w14:paraId="5A918852" w14:textId="0FD4C7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1,391</w:t>
            </w:r>
          </w:p>
        </w:tc>
        <w:tc>
          <w:tcPr>
            <w:tcW w:w="818" w:type="dxa"/>
            <w:gridSpan w:val="2"/>
            <w:hideMark/>
          </w:tcPr>
          <w:p w14:paraId="1C279812" w14:textId="69F943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1,391</w:t>
            </w:r>
          </w:p>
        </w:tc>
      </w:tr>
      <w:tr w:rsidR="004D73D3" w:rsidRPr="0048716F" w14:paraId="0A841D19" w14:textId="77777777" w:rsidTr="00597AD8">
        <w:trPr>
          <w:trHeight w:val="1440"/>
        </w:trPr>
        <w:tc>
          <w:tcPr>
            <w:tcW w:w="3885" w:type="dxa"/>
            <w:hideMark/>
          </w:tcPr>
          <w:p w14:paraId="76BEB52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2.3.4 Monitorimi sistematik i zbatimit të metodologjive gjithëpërfshirëse të mësimdhënies dhe të vlerësimit të nxënësve me aftësi të kufizuara. Procesi i monitorimit do të organizohet nga DPAP-ja, nëpërmjet DRAP-ve dhe ZVAP-ve, në bazë të udhëzimeve të hartuara nga ASCAP. Institucionet përgjegjës për këtë pikë do të jetë ASCAP dhe AKAP.</w:t>
            </w:r>
          </w:p>
        </w:tc>
        <w:tc>
          <w:tcPr>
            <w:tcW w:w="1080" w:type="dxa"/>
            <w:vAlign w:val="center"/>
            <w:hideMark/>
          </w:tcPr>
          <w:p w14:paraId="0D37BF6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EB6BB6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333FD78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ASCAP, AKAP</w:t>
            </w:r>
          </w:p>
        </w:tc>
        <w:tc>
          <w:tcPr>
            <w:tcW w:w="1521" w:type="dxa"/>
            <w:gridSpan w:val="2"/>
            <w:vAlign w:val="center"/>
            <w:hideMark/>
          </w:tcPr>
          <w:p w14:paraId="333C149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ASCAP, AKAP</w:t>
            </w:r>
          </w:p>
        </w:tc>
        <w:tc>
          <w:tcPr>
            <w:tcW w:w="1110" w:type="dxa"/>
            <w:gridSpan w:val="2"/>
            <w:hideMark/>
          </w:tcPr>
          <w:p w14:paraId="22EF71DA" w14:textId="1AA2954E" w:rsidR="004D73D3" w:rsidRPr="0048716F" w:rsidRDefault="004D73D3" w:rsidP="0048716F">
            <w:pPr>
              <w:jc w:val="both"/>
              <w:rPr>
                <w:rFonts w:eastAsia="Times New Roman"/>
                <w:i/>
                <w:iCs/>
                <w:color w:val="000000"/>
                <w:sz w:val="14"/>
                <w:szCs w:val="14"/>
                <w:lang w:val="en-US" w:eastAsia="en-US"/>
              </w:rPr>
            </w:pPr>
          </w:p>
        </w:tc>
        <w:tc>
          <w:tcPr>
            <w:tcW w:w="1110" w:type="dxa"/>
            <w:gridSpan w:val="3"/>
            <w:hideMark/>
          </w:tcPr>
          <w:p w14:paraId="56EF6F1E" w14:textId="6A469392" w:rsidR="004D73D3" w:rsidRPr="0048716F" w:rsidRDefault="004D73D3" w:rsidP="0048716F">
            <w:pPr>
              <w:jc w:val="both"/>
              <w:rPr>
                <w:rFonts w:eastAsia="Times New Roman"/>
                <w:i/>
                <w:iCs/>
                <w:color w:val="000000"/>
                <w:sz w:val="14"/>
                <w:szCs w:val="14"/>
                <w:lang w:val="en-US" w:eastAsia="en-US"/>
              </w:rPr>
            </w:pPr>
          </w:p>
        </w:tc>
        <w:tc>
          <w:tcPr>
            <w:tcW w:w="1110" w:type="dxa"/>
            <w:gridSpan w:val="2"/>
            <w:hideMark/>
          </w:tcPr>
          <w:p w14:paraId="3A86B135" w14:textId="309837C2" w:rsidR="004D73D3" w:rsidRPr="0048716F" w:rsidRDefault="004D73D3" w:rsidP="0048716F">
            <w:pPr>
              <w:jc w:val="both"/>
              <w:rPr>
                <w:rFonts w:eastAsia="Times New Roman"/>
                <w:i/>
                <w:iCs/>
                <w:color w:val="000000"/>
                <w:sz w:val="14"/>
                <w:szCs w:val="14"/>
                <w:lang w:val="en-US" w:eastAsia="en-US"/>
              </w:rPr>
            </w:pPr>
          </w:p>
        </w:tc>
        <w:tc>
          <w:tcPr>
            <w:tcW w:w="1110" w:type="dxa"/>
            <w:hideMark/>
          </w:tcPr>
          <w:p w14:paraId="5C4919E4" w14:textId="5A9FE0A5" w:rsidR="004D73D3" w:rsidRPr="0048716F" w:rsidRDefault="004D73D3" w:rsidP="0048716F">
            <w:pPr>
              <w:jc w:val="both"/>
              <w:rPr>
                <w:rFonts w:eastAsia="Times New Roman"/>
                <w:i/>
                <w:iCs/>
                <w:color w:val="000000"/>
                <w:sz w:val="14"/>
                <w:szCs w:val="14"/>
                <w:lang w:val="en-US" w:eastAsia="en-US"/>
              </w:rPr>
            </w:pPr>
          </w:p>
        </w:tc>
        <w:tc>
          <w:tcPr>
            <w:tcW w:w="818" w:type="dxa"/>
            <w:gridSpan w:val="2"/>
            <w:hideMark/>
          </w:tcPr>
          <w:p w14:paraId="7B731F49" w14:textId="427A0B9C" w:rsidR="004D73D3" w:rsidRPr="0048716F" w:rsidRDefault="004D73D3" w:rsidP="0048716F">
            <w:pPr>
              <w:jc w:val="both"/>
              <w:rPr>
                <w:rFonts w:eastAsia="Times New Roman"/>
                <w:i/>
                <w:iCs/>
                <w:color w:val="000000"/>
                <w:sz w:val="14"/>
                <w:szCs w:val="14"/>
                <w:lang w:val="en-US" w:eastAsia="en-US"/>
              </w:rPr>
            </w:pPr>
          </w:p>
        </w:tc>
      </w:tr>
      <w:tr w:rsidR="004D73D3" w:rsidRPr="0048716F" w14:paraId="49381D60" w14:textId="77777777" w:rsidTr="00597AD8">
        <w:trPr>
          <w:trHeight w:val="864"/>
        </w:trPr>
        <w:tc>
          <w:tcPr>
            <w:tcW w:w="3885" w:type="dxa"/>
            <w:hideMark/>
          </w:tcPr>
          <w:p w14:paraId="095CF90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2.3.5 Optimizimi i hapsirave shkollore, burimeve mësimore dhe i mjediseve digjitale në funksion të pjesëmmarjes aktive të nxënësve me aftësi të kufizuara në procesin mësimor.</w:t>
            </w:r>
          </w:p>
        </w:tc>
        <w:tc>
          <w:tcPr>
            <w:tcW w:w="1080" w:type="dxa"/>
            <w:vAlign w:val="center"/>
            <w:hideMark/>
          </w:tcPr>
          <w:p w14:paraId="4EC9B30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2AE592D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440368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 MPV</w:t>
            </w:r>
          </w:p>
        </w:tc>
        <w:tc>
          <w:tcPr>
            <w:tcW w:w="1521" w:type="dxa"/>
            <w:gridSpan w:val="2"/>
            <w:vAlign w:val="center"/>
            <w:hideMark/>
          </w:tcPr>
          <w:p w14:paraId="6E779CE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AKAP, DRAP, ZVAP, ASCAP, NJVV</w:t>
            </w:r>
          </w:p>
        </w:tc>
        <w:tc>
          <w:tcPr>
            <w:tcW w:w="1110" w:type="dxa"/>
            <w:gridSpan w:val="2"/>
            <w:hideMark/>
          </w:tcPr>
          <w:p w14:paraId="7DCAF992" w14:textId="563F26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13,600</w:t>
            </w:r>
          </w:p>
        </w:tc>
        <w:tc>
          <w:tcPr>
            <w:tcW w:w="1110" w:type="dxa"/>
            <w:gridSpan w:val="3"/>
            <w:hideMark/>
          </w:tcPr>
          <w:p w14:paraId="6ED543F5" w14:textId="4FC554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13,600</w:t>
            </w:r>
          </w:p>
        </w:tc>
        <w:tc>
          <w:tcPr>
            <w:tcW w:w="1110" w:type="dxa"/>
            <w:gridSpan w:val="2"/>
            <w:hideMark/>
          </w:tcPr>
          <w:p w14:paraId="069CF9D4" w14:textId="2A7D07E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13,600</w:t>
            </w:r>
          </w:p>
        </w:tc>
        <w:tc>
          <w:tcPr>
            <w:tcW w:w="1110" w:type="dxa"/>
            <w:hideMark/>
          </w:tcPr>
          <w:p w14:paraId="4F28FC2D" w14:textId="5E5B48E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13,600</w:t>
            </w:r>
          </w:p>
        </w:tc>
        <w:tc>
          <w:tcPr>
            <w:tcW w:w="818" w:type="dxa"/>
            <w:gridSpan w:val="2"/>
            <w:hideMark/>
          </w:tcPr>
          <w:p w14:paraId="725F3318" w14:textId="4B97AFD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13,600</w:t>
            </w:r>
          </w:p>
        </w:tc>
      </w:tr>
      <w:tr w:rsidR="004D73D3" w:rsidRPr="0048716F" w14:paraId="1F30F3D8" w14:textId="77777777" w:rsidTr="00597AD8">
        <w:trPr>
          <w:trHeight w:val="576"/>
        </w:trPr>
        <w:tc>
          <w:tcPr>
            <w:tcW w:w="3885" w:type="dxa"/>
            <w:shd w:val="clear" w:color="000000" w:fill="DCE6F1"/>
            <w:hideMark/>
          </w:tcPr>
          <w:p w14:paraId="08CBB6E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Masë prioritare 2.4 Zhvillimi i kapaciteteve njerëzore dhe përfshirja e prindërve dhe komunitetit.</w:t>
            </w:r>
          </w:p>
        </w:tc>
        <w:tc>
          <w:tcPr>
            <w:tcW w:w="1080" w:type="dxa"/>
            <w:shd w:val="clear" w:color="000000" w:fill="DCE6F1"/>
            <w:hideMark/>
          </w:tcPr>
          <w:p w14:paraId="0A33A8C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7ADDFE3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316E080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w:t>
            </w:r>
          </w:p>
        </w:tc>
        <w:tc>
          <w:tcPr>
            <w:tcW w:w="1521" w:type="dxa"/>
            <w:gridSpan w:val="2"/>
            <w:shd w:val="clear" w:color="000000" w:fill="DCE6F1"/>
            <w:vAlign w:val="center"/>
            <w:hideMark/>
          </w:tcPr>
          <w:p w14:paraId="6536C70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DRAP/ZVAP</w:t>
            </w:r>
          </w:p>
        </w:tc>
        <w:tc>
          <w:tcPr>
            <w:tcW w:w="1110" w:type="dxa"/>
            <w:gridSpan w:val="2"/>
            <w:shd w:val="clear" w:color="000000" w:fill="C5D9F1"/>
            <w:noWrap/>
            <w:hideMark/>
          </w:tcPr>
          <w:p w14:paraId="017EA3F4" w14:textId="76666BD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72646888" w14:textId="39EBCB1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2"/>
            <w:shd w:val="clear" w:color="000000" w:fill="C5D9F1"/>
            <w:noWrap/>
            <w:hideMark/>
          </w:tcPr>
          <w:p w14:paraId="110B1FA6" w14:textId="7992801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shd w:val="clear" w:color="000000" w:fill="C5D9F1"/>
            <w:noWrap/>
            <w:hideMark/>
          </w:tcPr>
          <w:p w14:paraId="72C9D415" w14:textId="6F42EE4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818" w:type="dxa"/>
            <w:gridSpan w:val="2"/>
            <w:shd w:val="clear" w:color="000000" w:fill="C5D9F1"/>
            <w:noWrap/>
            <w:hideMark/>
          </w:tcPr>
          <w:p w14:paraId="43DA0CFC" w14:textId="227BDE4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r>
      <w:tr w:rsidR="004D73D3" w:rsidRPr="0048716F" w14:paraId="1059C657" w14:textId="77777777" w:rsidTr="00597AD8">
        <w:trPr>
          <w:trHeight w:val="1440"/>
        </w:trPr>
        <w:tc>
          <w:tcPr>
            <w:tcW w:w="3885" w:type="dxa"/>
            <w:noWrap/>
            <w:hideMark/>
          </w:tcPr>
          <w:p w14:paraId="3407663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2.4.1 Zbatimi i programeve të detyrueshme të zhvillimit profesional për mësuesit, drejtuesit e shkollave dhe stafin mbështetës për forcimin e kompetencave për menaxhimin e diversitetit dhe mbështetjen e të nxënit të individualizuar për nxënësit me aftësi të kufizuara. (Ref Programit kombetar për zhvillimin profesional të mësuesve 2026-2028,ASCAP)</w:t>
            </w:r>
          </w:p>
        </w:tc>
        <w:tc>
          <w:tcPr>
            <w:tcW w:w="1080" w:type="dxa"/>
            <w:vAlign w:val="center"/>
            <w:hideMark/>
          </w:tcPr>
          <w:p w14:paraId="1AE8D6B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7181438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07087C3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B9232A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DRAP/ZVAP</w:t>
            </w:r>
          </w:p>
        </w:tc>
        <w:tc>
          <w:tcPr>
            <w:tcW w:w="1110" w:type="dxa"/>
            <w:gridSpan w:val="2"/>
            <w:hideMark/>
          </w:tcPr>
          <w:p w14:paraId="62AE275A" w14:textId="0EB7B3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E289D1B" w14:textId="279FA1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72006DA" w14:textId="3C91263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2B39E34" w14:textId="1B939F1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FC915E4" w14:textId="72584BC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53BE04E" w14:textId="77777777" w:rsidTr="00597AD8">
        <w:trPr>
          <w:trHeight w:val="1152"/>
        </w:trPr>
        <w:tc>
          <w:tcPr>
            <w:tcW w:w="3885" w:type="dxa"/>
            <w:noWrap/>
            <w:hideMark/>
          </w:tcPr>
          <w:p w14:paraId="5F1AAA7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2.4.2 Fuqizimi i mekanizmave formalë të bashkëpunimit ndërmjet shkollave, nxënësve me dhe pa aftësi të kufizuara, prindërve dhe komunitetit. Informimi dhe përfshirja e prindërve në vendimmarrje dhe në mbështetjen e mirëqenies së nxënësve me aftësi të kufizuara.</w:t>
            </w:r>
          </w:p>
        </w:tc>
        <w:tc>
          <w:tcPr>
            <w:tcW w:w="1080" w:type="dxa"/>
            <w:vAlign w:val="center"/>
            <w:hideMark/>
          </w:tcPr>
          <w:p w14:paraId="1D0B175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vAlign w:val="center"/>
            <w:hideMark/>
          </w:tcPr>
          <w:p w14:paraId="4D8B123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6B47796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3008B2E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DRAP/ZVAP</w:t>
            </w:r>
          </w:p>
        </w:tc>
        <w:tc>
          <w:tcPr>
            <w:tcW w:w="1110" w:type="dxa"/>
            <w:gridSpan w:val="2"/>
            <w:hideMark/>
          </w:tcPr>
          <w:p w14:paraId="58C3AC45" w14:textId="21FBA6E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5B4ABEE" w14:textId="623F6D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F34B3A2" w14:textId="5DC4DB9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3DC3675" w14:textId="3C1FE54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221C97F" w14:textId="1F68076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1A49E3E" w14:textId="77777777" w:rsidTr="00597AD8">
        <w:trPr>
          <w:trHeight w:val="1584"/>
        </w:trPr>
        <w:tc>
          <w:tcPr>
            <w:tcW w:w="3885" w:type="dxa"/>
            <w:shd w:val="clear" w:color="000000" w:fill="FDE9D9"/>
            <w:hideMark/>
          </w:tcPr>
          <w:p w14:paraId="7519020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3.  Transformimi/riorganizimii shkollave specialenë qëndra burimoredhe konsolidimi I rolit dhe veprimtarisë së tyre</w:t>
            </w:r>
          </w:p>
        </w:tc>
        <w:tc>
          <w:tcPr>
            <w:tcW w:w="1080" w:type="dxa"/>
            <w:shd w:val="clear" w:color="000000" w:fill="FDE9D9"/>
            <w:hideMark/>
          </w:tcPr>
          <w:p w14:paraId="5B6EA8E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3F522C7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4E7F96F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MoE/ASCAP</w:t>
            </w:r>
          </w:p>
        </w:tc>
        <w:tc>
          <w:tcPr>
            <w:tcW w:w="1521" w:type="dxa"/>
            <w:gridSpan w:val="2"/>
            <w:shd w:val="clear" w:color="000000" w:fill="FDE9D9"/>
            <w:vAlign w:val="center"/>
            <w:hideMark/>
          </w:tcPr>
          <w:p w14:paraId="0FCF1FC8"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MoE/QB për njerëzit që nuk dëgjojnë/MSHMS/INND/INNSH/PEI/IAL/ZVA/DRAP/NJVV/ASCAP/KMVA</w:t>
            </w:r>
          </w:p>
        </w:tc>
        <w:tc>
          <w:tcPr>
            <w:tcW w:w="1110" w:type="dxa"/>
            <w:gridSpan w:val="2"/>
            <w:shd w:val="clear" w:color="000000" w:fill="FDE9D9"/>
            <w:hideMark/>
          </w:tcPr>
          <w:p w14:paraId="1802E8EA" w14:textId="6D300F1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27,577</w:t>
            </w:r>
          </w:p>
        </w:tc>
        <w:tc>
          <w:tcPr>
            <w:tcW w:w="1110" w:type="dxa"/>
            <w:gridSpan w:val="3"/>
            <w:shd w:val="clear" w:color="000000" w:fill="FDE9D9"/>
            <w:hideMark/>
          </w:tcPr>
          <w:p w14:paraId="42AE27C2" w14:textId="5C7F82B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28,439</w:t>
            </w:r>
          </w:p>
        </w:tc>
        <w:tc>
          <w:tcPr>
            <w:tcW w:w="1110" w:type="dxa"/>
            <w:gridSpan w:val="2"/>
            <w:shd w:val="clear" w:color="000000" w:fill="FDE9D9"/>
            <w:hideMark/>
          </w:tcPr>
          <w:p w14:paraId="2E3813A5" w14:textId="53E84E6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27,827</w:t>
            </w:r>
          </w:p>
        </w:tc>
        <w:tc>
          <w:tcPr>
            <w:tcW w:w="1110" w:type="dxa"/>
            <w:shd w:val="clear" w:color="000000" w:fill="FDE9D9"/>
            <w:hideMark/>
          </w:tcPr>
          <w:p w14:paraId="3856766F" w14:textId="126C399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21,577</w:t>
            </w:r>
          </w:p>
        </w:tc>
        <w:tc>
          <w:tcPr>
            <w:tcW w:w="818" w:type="dxa"/>
            <w:gridSpan w:val="2"/>
            <w:shd w:val="clear" w:color="000000" w:fill="FDE9D9"/>
            <w:hideMark/>
          </w:tcPr>
          <w:p w14:paraId="680A63D4" w14:textId="3EC4C5C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21,577</w:t>
            </w:r>
          </w:p>
        </w:tc>
      </w:tr>
      <w:tr w:rsidR="004D73D3" w:rsidRPr="0048716F" w14:paraId="6F3BA089" w14:textId="77777777" w:rsidTr="00597AD8">
        <w:trPr>
          <w:trHeight w:val="792"/>
        </w:trPr>
        <w:tc>
          <w:tcPr>
            <w:tcW w:w="3885" w:type="dxa"/>
            <w:shd w:val="clear" w:color="000000" w:fill="DCE6F1"/>
            <w:hideMark/>
          </w:tcPr>
          <w:p w14:paraId="5357B5B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3.1:  Konsolidimi i kuadrit rregullator për qendrat burimore.</w:t>
            </w:r>
          </w:p>
        </w:tc>
        <w:tc>
          <w:tcPr>
            <w:tcW w:w="1080" w:type="dxa"/>
            <w:shd w:val="clear" w:color="000000" w:fill="DCE6F1"/>
            <w:hideMark/>
          </w:tcPr>
          <w:p w14:paraId="66E4389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5C5B579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373BFCD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MoE</w:t>
            </w:r>
          </w:p>
        </w:tc>
        <w:tc>
          <w:tcPr>
            <w:tcW w:w="1521" w:type="dxa"/>
            <w:gridSpan w:val="2"/>
            <w:shd w:val="clear" w:color="000000" w:fill="DCE6F1"/>
            <w:vAlign w:val="center"/>
            <w:hideMark/>
          </w:tcPr>
          <w:p w14:paraId="135ECA4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MoE/QB për njerëzit që nuk dëgjojnë/MSHMS</w:t>
            </w:r>
          </w:p>
        </w:tc>
        <w:tc>
          <w:tcPr>
            <w:tcW w:w="1110" w:type="dxa"/>
            <w:gridSpan w:val="2"/>
            <w:shd w:val="clear" w:color="000000" w:fill="C5D9F1"/>
            <w:noWrap/>
            <w:hideMark/>
          </w:tcPr>
          <w:p w14:paraId="3682ABEF" w14:textId="7AADE40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4E0AB4C2" w14:textId="750D7EC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462</w:t>
            </w:r>
          </w:p>
        </w:tc>
        <w:tc>
          <w:tcPr>
            <w:tcW w:w="1110" w:type="dxa"/>
            <w:gridSpan w:val="2"/>
            <w:shd w:val="clear" w:color="000000" w:fill="C5D9F1"/>
            <w:noWrap/>
            <w:hideMark/>
          </w:tcPr>
          <w:p w14:paraId="0BC55484" w14:textId="4E00ABC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shd w:val="clear" w:color="000000" w:fill="C5D9F1"/>
            <w:noWrap/>
            <w:hideMark/>
          </w:tcPr>
          <w:p w14:paraId="2C47FDDB" w14:textId="3D00451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818" w:type="dxa"/>
            <w:gridSpan w:val="2"/>
            <w:shd w:val="clear" w:color="000000" w:fill="C5D9F1"/>
            <w:noWrap/>
            <w:hideMark/>
          </w:tcPr>
          <w:p w14:paraId="60E29359" w14:textId="45988F3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r>
      <w:tr w:rsidR="004D73D3" w:rsidRPr="0048716F" w14:paraId="54CA3B9B" w14:textId="77777777" w:rsidTr="00597AD8">
        <w:trPr>
          <w:trHeight w:val="576"/>
        </w:trPr>
        <w:tc>
          <w:tcPr>
            <w:tcW w:w="3885" w:type="dxa"/>
            <w:hideMark/>
          </w:tcPr>
          <w:p w14:paraId="5D8A947D" w14:textId="08BA3ECB"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3.1.1 Miratimi i VKM-së për unifikimin e Kodit Braille në nivel kombëtar.(draft, ende e pa aprovuar).</w:t>
            </w:r>
          </w:p>
        </w:tc>
        <w:tc>
          <w:tcPr>
            <w:tcW w:w="1080" w:type="dxa"/>
            <w:hideMark/>
          </w:tcPr>
          <w:p w14:paraId="286F6ED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55FB98AD" w14:textId="6C07AC1D"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301D00A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MoE</w:t>
            </w:r>
          </w:p>
        </w:tc>
        <w:tc>
          <w:tcPr>
            <w:tcW w:w="1521" w:type="dxa"/>
            <w:gridSpan w:val="2"/>
            <w:vAlign w:val="center"/>
            <w:hideMark/>
          </w:tcPr>
          <w:p w14:paraId="63AE343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2D173638" w14:textId="50A569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E87DA4F" w14:textId="637C670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462</w:t>
            </w:r>
          </w:p>
        </w:tc>
        <w:tc>
          <w:tcPr>
            <w:tcW w:w="1110" w:type="dxa"/>
            <w:gridSpan w:val="2"/>
            <w:hideMark/>
          </w:tcPr>
          <w:p w14:paraId="6CCEEBFA" w14:textId="702ED93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93FC995" w14:textId="33DB9D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F254B64" w14:textId="163D3D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0D59754" w14:textId="77777777" w:rsidTr="00597AD8">
        <w:trPr>
          <w:trHeight w:val="792"/>
        </w:trPr>
        <w:tc>
          <w:tcPr>
            <w:tcW w:w="3885" w:type="dxa"/>
            <w:hideMark/>
          </w:tcPr>
          <w:p w14:paraId="6D5D81F2" w14:textId="4670CEC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3.1.2 Zhvillimi në vazhdim i kërkimit dhe dokumentimit të gjuhës së shënjave shqipe,pasurimi i  fjalorit.</w:t>
            </w:r>
          </w:p>
        </w:tc>
        <w:tc>
          <w:tcPr>
            <w:tcW w:w="1080" w:type="dxa"/>
            <w:hideMark/>
          </w:tcPr>
          <w:p w14:paraId="374F1C8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7106F57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411" w:type="dxa"/>
            <w:vAlign w:val="center"/>
            <w:hideMark/>
          </w:tcPr>
          <w:p w14:paraId="3303781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272334D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QB për njerëzit që nuk dëgjojnë; MSHMS</w:t>
            </w:r>
          </w:p>
        </w:tc>
        <w:tc>
          <w:tcPr>
            <w:tcW w:w="1110" w:type="dxa"/>
            <w:gridSpan w:val="2"/>
            <w:hideMark/>
          </w:tcPr>
          <w:p w14:paraId="0CAE18AF" w14:textId="191554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4,000</w:t>
            </w:r>
          </w:p>
        </w:tc>
        <w:tc>
          <w:tcPr>
            <w:tcW w:w="1110" w:type="dxa"/>
            <w:gridSpan w:val="3"/>
            <w:hideMark/>
          </w:tcPr>
          <w:p w14:paraId="0DF5B47D" w14:textId="56AA4E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4,000</w:t>
            </w:r>
          </w:p>
        </w:tc>
        <w:tc>
          <w:tcPr>
            <w:tcW w:w="1110" w:type="dxa"/>
            <w:gridSpan w:val="2"/>
            <w:hideMark/>
          </w:tcPr>
          <w:p w14:paraId="2619DAC1" w14:textId="68E93D7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4,000</w:t>
            </w:r>
          </w:p>
        </w:tc>
        <w:tc>
          <w:tcPr>
            <w:tcW w:w="1110" w:type="dxa"/>
            <w:hideMark/>
          </w:tcPr>
          <w:p w14:paraId="48E9F28F" w14:textId="748A0D1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4,000</w:t>
            </w:r>
          </w:p>
        </w:tc>
        <w:tc>
          <w:tcPr>
            <w:tcW w:w="818" w:type="dxa"/>
            <w:gridSpan w:val="2"/>
            <w:hideMark/>
          </w:tcPr>
          <w:p w14:paraId="520B26A0" w14:textId="283D4F7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4,000</w:t>
            </w:r>
          </w:p>
        </w:tc>
      </w:tr>
      <w:tr w:rsidR="004D73D3" w:rsidRPr="0048716F" w14:paraId="0C756BCD" w14:textId="77777777" w:rsidTr="00597AD8">
        <w:trPr>
          <w:trHeight w:val="792"/>
        </w:trPr>
        <w:tc>
          <w:tcPr>
            <w:tcW w:w="3885" w:type="dxa"/>
            <w:hideMark/>
          </w:tcPr>
          <w:p w14:paraId="6D1B24C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3.1.3 Rishikimi i VKM Nr 837, datë 03.12.2014, për aprovimi e alfabetit të zgjeruar të gjuhës së shënjave.</w:t>
            </w:r>
          </w:p>
        </w:tc>
        <w:tc>
          <w:tcPr>
            <w:tcW w:w="1080" w:type="dxa"/>
            <w:hideMark/>
          </w:tcPr>
          <w:p w14:paraId="455E5655" w14:textId="531DD774" w:rsidR="004D73D3" w:rsidRPr="0048716F" w:rsidRDefault="004D73D3" w:rsidP="0048716F">
            <w:pPr>
              <w:jc w:val="both"/>
              <w:rPr>
                <w:rFonts w:eastAsia="Times New Roman"/>
                <w:b/>
                <w:bCs/>
                <w:color w:val="000000"/>
                <w:sz w:val="18"/>
                <w:szCs w:val="18"/>
                <w:lang w:val="en-US" w:eastAsia="en-US"/>
              </w:rPr>
            </w:pPr>
          </w:p>
        </w:tc>
        <w:tc>
          <w:tcPr>
            <w:tcW w:w="1260" w:type="dxa"/>
            <w:hideMark/>
          </w:tcPr>
          <w:p w14:paraId="4F22E0B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081353D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88397D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QB për njerëzit që nuk dëgjojnë; MSHMS</w:t>
            </w:r>
          </w:p>
        </w:tc>
        <w:tc>
          <w:tcPr>
            <w:tcW w:w="1110" w:type="dxa"/>
            <w:gridSpan w:val="2"/>
            <w:hideMark/>
          </w:tcPr>
          <w:p w14:paraId="1B6543A4" w14:textId="23AB9D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6E09BF5" w14:textId="4A833CC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1CBD461" w14:textId="50DE9E4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39F66ED" w14:textId="0DD2FB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53C7C32" w14:textId="1ACF64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462</w:t>
            </w:r>
          </w:p>
        </w:tc>
      </w:tr>
      <w:tr w:rsidR="004D73D3" w:rsidRPr="0048716F" w14:paraId="5553537D" w14:textId="77777777" w:rsidTr="00597AD8">
        <w:trPr>
          <w:trHeight w:val="576"/>
        </w:trPr>
        <w:tc>
          <w:tcPr>
            <w:tcW w:w="3885" w:type="dxa"/>
            <w:shd w:val="clear" w:color="000000" w:fill="DCE6F1"/>
            <w:hideMark/>
          </w:tcPr>
          <w:p w14:paraId="0FB53E9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3.2 Akreditimi dhe integrimi i moduleve të trajnimit të hartuara nga Qëndrat Burimore në programet kombëtare të zhvillimit.</w:t>
            </w:r>
          </w:p>
        </w:tc>
        <w:tc>
          <w:tcPr>
            <w:tcW w:w="1080" w:type="dxa"/>
            <w:shd w:val="clear" w:color="000000" w:fill="DCE6F1"/>
            <w:noWrap/>
            <w:vAlign w:val="center"/>
            <w:hideMark/>
          </w:tcPr>
          <w:p w14:paraId="372ED34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noWrap/>
            <w:vAlign w:val="center"/>
            <w:hideMark/>
          </w:tcPr>
          <w:p w14:paraId="1A6C8CB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515ED8E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ASCAP, MA</w:t>
            </w:r>
          </w:p>
        </w:tc>
        <w:tc>
          <w:tcPr>
            <w:tcW w:w="1521" w:type="dxa"/>
            <w:gridSpan w:val="2"/>
            <w:shd w:val="clear" w:color="000000" w:fill="DCE6F1"/>
            <w:vAlign w:val="center"/>
            <w:hideMark/>
          </w:tcPr>
          <w:p w14:paraId="3EB3743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INND/INNSH/IAP/IAL</w:t>
            </w:r>
          </w:p>
        </w:tc>
        <w:tc>
          <w:tcPr>
            <w:tcW w:w="1110" w:type="dxa"/>
            <w:gridSpan w:val="2"/>
            <w:shd w:val="clear" w:color="000000" w:fill="C5D9F1"/>
            <w:noWrap/>
            <w:hideMark/>
          </w:tcPr>
          <w:p w14:paraId="057DAC69" w14:textId="0A651F3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414BF07E" w14:textId="77F1D87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400</w:t>
            </w:r>
          </w:p>
        </w:tc>
        <w:tc>
          <w:tcPr>
            <w:tcW w:w="1110" w:type="dxa"/>
            <w:gridSpan w:val="2"/>
            <w:shd w:val="clear" w:color="000000" w:fill="C5D9F1"/>
            <w:noWrap/>
            <w:hideMark/>
          </w:tcPr>
          <w:p w14:paraId="1955DC08" w14:textId="479CFC6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shd w:val="clear" w:color="000000" w:fill="C5D9F1"/>
            <w:noWrap/>
            <w:hideMark/>
          </w:tcPr>
          <w:p w14:paraId="0DE6D29C" w14:textId="731B6E8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818" w:type="dxa"/>
            <w:gridSpan w:val="2"/>
            <w:shd w:val="clear" w:color="000000" w:fill="C5D9F1"/>
            <w:noWrap/>
            <w:hideMark/>
          </w:tcPr>
          <w:p w14:paraId="6B2A6AE2" w14:textId="0151D0F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r>
      <w:tr w:rsidR="004D73D3" w:rsidRPr="0048716F" w14:paraId="50E4975F" w14:textId="77777777" w:rsidTr="00597AD8">
        <w:trPr>
          <w:trHeight w:val="576"/>
        </w:trPr>
        <w:tc>
          <w:tcPr>
            <w:tcW w:w="3885" w:type="dxa"/>
            <w:hideMark/>
          </w:tcPr>
          <w:p w14:paraId="78B6D81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3.2.1.Përfundimi i procesit të akreditimit të moduleve të trajnimit të zhvilluara nga INND dhe INNSH.</w:t>
            </w:r>
          </w:p>
        </w:tc>
        <w:tc>
          <w:tcPr>
            <w:tcW w:w="1080" w:type="dxa"/>
            <w:hideMark/>
          </w:tcPr>
          <w:p w14:paraId="198E04D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785B7A73" w14:textId="3ACB77DE"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6875744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ASCAP, MA</w:t>
            </w:r>
          </w:p>
        </w:tc>
        <w:tc>
          <w:tcPr>
            <w:tcW w:w="1521" w:type="dxa"/>
            <w:gridSpan w:val="2"/>
            <w:vAlign w:val="center"/>
            <w:hideMark/>
          </w:tcPr>
          <w:p w14:paraId="7CFAB43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INND, INNSH</w:t>
            </w:r>
          </w:p>
        </w:tc>
        <w:tc>
          <w:tcPr>
            <w:tcW w:w="1110" w:type="dxa"/>
            <w:gridSpan w:val="2"/>
            <w:hideMark/>
          </w:tcPr>
          <w:p w14:paraId="38E07574" w14:textId="7921796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606A3F5" w14:textId="29F0B7A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w:t>
            </w:r>
          </w:p>
        </w:tc>
        <w:tc>
          <w:tcPr>
            <w:tcW w:w="1110" w:type="dxa"/>
            <w:gridSpan w:val="2"/>
            <w:hideMark/>
          </w:tcPr>
          <w:p w14:paraId="17CCA60E" w14:textId="41F321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10B1578" w14:textId="4944C9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14360C7" w14:textId="4DCF90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BFB85A7" w14:textId="77777777" w:rsidTr="00597AD8">
        <w:trPr>
          <w:trHeight w:val="576"/>
        </w:trPr>
        <w:tc>
          <w:tcPr>
            <w:tcW w:w="3885" w:type="dxa"/>
            <w:hideMark/>
          </w:tcPr>
          <w:p w14:paraId="6C8FF29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3.2.2 Zgjerimi i përdorimit të moduleve në trajnime të detyrueshme për stafin arsimor në shkollat e zakonshme.</w:t>
            </w:r>
          </w:p>
        </w:tc>
        <w:tc>
          <w:tcPr>
            <w:tcW w:w="1080" w:type="dxa"/>
            <w:hideMark/>
          </w:tcPr>
          <w:p w14:paraId="695BB92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hideMark/>
          </w:tcPr>
          <w:p w14:paraId="7EDB86C0" w14:textId="2EF1AAC3"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46CD75A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ASCAP, MA</w:t>
            </w:r>
          </w:p>
        </w:tc>
        <w:tc>
          <w:tcPr>
            <w:tcW w:w="1521" w:type="dxa"/>
            <w:gridSpan w:val="2"/>
            <w:vAlign w:val="center"/>
            <w:hideMark/>
          </w:tcPr>
          <w:p w14:paraId="5328465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INND, INNSH, IAP</w:t>
            </w:r>
          </w:p>
        </w:tc>
        <w:tc>
          <w:tcPr>
            <w:tcW w:w="1110" w:type="dxa"/>
            <w:gridSpan w:val="2"/>
            <w:hideMark/>
          </w:tcPr>
          <w:p w14:paraId="4B1F3EF0" w14:textId="51A168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8BE5408" w14:textId="774331B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8AA7E64" w14:textId="51F31F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FBF80BF" w14:textId="0CB22D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0BADEA0" w14:textId="069745F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2A4BDEA" w14:textId="77777777" w:rsidTr="00597AD8">
        <w:trPr>
          <w:trHeight w:val="576"/>
        </w:trPr>
        <w:tc>
          <w:tcPr>
            <w:tcW w:w="3885" w:type="dxa"/>
            <w:hideMark/>
          </w:tcPr>
          <w:p w14:paraId="5B43363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3.2.3 Forcimi i lidhjes ndërmjet qendrave burimore dhe institucioneve të arsimit të lartë për përgatitjen afatgjatë të specialistëve.</w:t>
            </w:r>
          </w:p>
        </w:tc>
        <w:tc>
          <w:tcPr>
            <w:tcW w:w="1080" w:type="dxa"/>
            <w:hideMark/>
          </w:tcPr>
          <w:p w14:paraId="3C8431C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3675750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3187FE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DF0081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2C72B977" w14:textId="52FEFA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841C7BF" w14:textId="4134CE1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E98C919" w14:textId="5F718F9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6678E55" w14:textId="56CBB9C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DCC534F" w14:textId="3E0058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3B59D5C" w14:textId="77777777" w:rsidTr="00597AD8">
        <w:trPr>
          <w:trHeight w:val="576"/>
        </w:trPr>
        <w:tc>
          <w:tcPr>
            <w:tcW w:w="3885" w:type="dxa"/>
            <w:shd w:val="clear" w:color="000000" w:fill="DCE6F1"/>
            <w:hideMark/>
          </w:tcPr>
          <w:p w14:paraId="5516870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3.3. Zgjerimi territorial dhe funksional i shërbimeve të qendrave burimore</w:t>
            </w:r>
          </w:p>
        </w:tc>
        <w:tc>
          <w:tcPr>
            <w:tcW w:w="1080" w:type="dxa"/>
            <w:shd w:val="clear" w:color="000000" w:fill="DCE6F1"/>
            <w:hideMark/>
          </w:tcPr>
          <w:p w14:paraId="5C47339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32941BF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7701142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w:t>
            </w:r>
          </w:p>
        </w:tc>
        <w:tc>
          <w:tcPr>
            <w:tcW w:w="1521" w:type="dxa"/>
            <w:gridSpan w:val="2"/>
            <w:shd w:val="clear" w:color="000000" w:fill="DCE6F1"/>
            <w:vAlign w:val="center"/>
            <w:hideMark/>
          </w:tcPr>
          <w:p w14:paraId="7F6F75C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ZVAP/ DRAP /NJVV/ ASCAP</w:t>
            </w:r>
          </w:p>
        </w:tc>
        <w:tc>
          <w:tcPr>
            <w:tcW w:w="1110" w:type="dxa"/>
            <w:gridSpan w:val="2"/>
            <w:shd w:val="clear" w:color="000000" w:fill="C5D9F1"/>
            <w:noWrap/>
            <w:hideMark/>
          </w:tcPr>
          <w:p w14:paraId="72057FE5" w14:textId="710A099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27,500</w:t>
            </w:r>
          </w:p>
        </w:tc>
        <w:tc>
          <w:tcPr>
            <w:tcW w:w="1110" w:type="dxa"/>
            <w:gridSpan w:val="3"/>
            <w:shd w:val="clear" w:color="000000" w:fill="C5D9F1"/>
            <w:noWrap/>
            <w:hideMark/>
          </w:tcPr>
          <w:p w14:paraId="58086E19" w14:textId="1D9B4B2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27,500</w:t>
            </w:r>
          </w:p>
        </w:tc>
        <w:tc>
          <w:tcPr>
            <w:tcW w:w="1110" w:type="dxa"/>
            <w:gridSpan w:val="2"/>
            <w:shd w:val="clear" w:color="000000" w:fill="C5D9F1"/>
            <w:noWrap/>
            <w:hideMark/>
          </w:tcPr>
          <w:p w14:paraId="5674A34D" w14:textId="26CC56D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27,500</w:t>
            </w:r>
          </w:p>
        </w:tc>
        <w:tc>
          <w:tcPr>
            <w:tcW w:w="1110" w:type="dxa"/>
            <w:shd w:val="clear" w:color="000000" w:fill="C5D9F1"/>
            <w:noWrap/>
            <w:hideMark/>
          </w:tcPr>
          <w:p w14:paraId="53A9A23B" w14:textId="2BEBF01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21,500</w:t>
            </w:r>
          </w:p>
        </w:tc>
        <w:tc>
          <w:tcPr>
            <w:tcW w:w="818" w:type="dxa"/>
            <w:gridSpan w:val="2"/>
            <w:shd w:val="clear" w:color="000000" w:fill="C5D9F1"/>
            <w:noWrap/>
            <w:hideMark/>
          </w:tcPr>
          <w:p w14:paraId="2DC1826F" w14:textId="7B3AC3E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21,500</w:t>
            </w:r>
          </w:p>
        </w:tc>
      </w:tr>
      <w:tr w:rsidR="004D73D3" w:rsidRPr="0048716F" w14:paraId="3EBBF7C6" w14:textId="77777777" w:rsidTr="00597AD8">
        <w:trPr>
          <w:trHeight w:val="1152"/>
        </w:trPr>
        <w:tc>
          <w:tcPr>
            <w:tcW w:w="3885" w:type="dxa"/>
            <w:hideMark/>
          </w:tcPr>
          <w:p w14:paraId="1962C5B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3.3.1 Shtrirja graduale e shërbimeve mbështetëse dhe rehabilituese të qendrave burimore në të gjitha qarqet, përmes zgjerimit të funsionit të hapsirave zhvillimore, dhe ngritjes e fuqizimit të tyre në IAP ku ende mungojnë.</w:t>
            </w:r>
          </w:p>
        </w:tc>
        <w:tc>
          <w:tcPr>
            <w:tcW w:w="1080" w:type="dxa"/>
            <w:hideMark/>
          </w:tcPr>
          <w:p w14:paraId="7D48AC1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7FFC72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A88DFB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4FFC400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ZVAP, DRAP, NJVV</w:t>
            </w:r>
          </w:p>
        </w:tc>
        <w:tc>
          <w:tcPr>
            <w:tcW w:w="1110" w:type="dxa"/>
            <w:gridSpan w:val="2"/>
            <w:hideMark/>
          </w:tcPr>
          <w:p w14:paraId="1B325698" w14:textId="5823E62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1110" w:type="dxa"/>
            <w:gridSpan w:val="3"/>
            <w:hideMark/>
          </w:tcPr>
          <w:p w14:paraId="7530C235" w14:textId="0F0099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1110" w:type="dxa"/>
            <w:gridSpan w:val="2"/>
            <w:hideMark/>
          </w:tcPr>
          <w:p w14:paraId="6A9765E9" w14:textId="7855F9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1110" w:type="dxa"/>
            <w:hideMark/>
          </w:tcPr>
          <w:p w14:paraId="4D2D82D2" w14:textId="3E9B974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c>
          <w:tcPr>
            <w:tcW w:w="818" w:type="dxa"/>
            <w:gridSpan w:val="2"/>
            <w:hideMark/>
          </w:tcPr>
          <w:p w14:paraId="660090B2" w14:textId="786AEB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20,000</w:t>
            </w:r>
          </w:p>
        </w:tc>
      </w:tr>
      <w:tr w:rsidR="004D73D3" w:rsidRPr="0048716F" w14:paraId="1A61E6ED" w14:textId="77777777" w:rsidTr="00597AD8">
        <w:trPr>
          <w:trHeight w:val="576"/>
        </w:trPr>
        <w:tc>
          <w:tcPr>
            <w:tcW w:w="3885" w:type="dxa"/>
            <w:hideMark/>
          </w:tcPr>
          <w:p w14:paraId="4C1D2B1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3.3.2 Zhvillimi dhe shpërndarja e materialeve didaktike të specializuara për përdorim në shkallë kombëtare.</w:t>
            </w:r>
          </w:p>
        </w:tc>
        <w:tc>
          <w:tcPr>
            <w:tcW w:w="1080" w:type="dxa"/>
            <w:hideMark/>
          </w:tcPr>
          <w:p w14:paraId="160BDC9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01B4E2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1291DCD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00D250E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ZVAP, DRAP, NJVV</w:t>
            </w:r>
          </w:p>
        </w:tc>
        <w:tc>
          <w:tcPr>
            <w:tcW w:w="1110" w:type="dxa"/>
            <w:gridSpan w:val="2"/>
            <w:hideMark/>
          </w:tcPr>
          <w:p w14:paraId="1F760F6D" w14:textId="531C60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gridSpan w:val="3"/>
            <w:hideMark/>
          </w:tcPr>
          <w:p w14:paraId="0F3A7EDA" w14:textId="04C9928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gridSpan w:val="2"/>
            <w:hideMark/>
          </w:tcPr>
          <w:p w14:paraId="52211D4A" w14:textId="4E331C5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hideMark/>
          </w:tcPr>
          <w:p w14:paraId="5B6D88E5" w14:textId="50D09C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818" w:type="dxa"/>
            <w:gridSpan w:val="2"/>
            <w:hideMark/>
          </w:tcPr>
          <w:p w14:paraId="142995BB" w14:textId="12F5F52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r>
      <w:tr w:rsidR="004D73D3" w:rsidRPr="0048716F" w14:paraId="3CBA6B83" w14:textId="77777777" w:rsidTr="00597AD8">
        <w:trPr>
          <w:trHeight w:val="576"/>
        </w:trPr>
        <w:tc>
          <w:tcPr>
            <w:tcW w:w="3885" w:type="dxa"/>
            <w:hideMark/>
          </w:tcPr>
          <w:p w14:paraId="38E4CA3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3.3.3 Forcimi i rolit të qendrave burimore si qendra ekspertize për shkollat e zakonshme.</w:t>
            </w:r>
          </w:p>
        </w:tc>
        <w:tc>
          <w:tcPr>
            <w:tcW w:w="1080" w:type="dxa"/>
            <w:hideMark/>
          </w:tcPr>
          <w:p w14:paraId="3C2EA20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40BD98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35A45C0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7D6BE995"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ZVAP, DRAP, AKAP, ASCAP</w:t>
            </w:r>
          </w:p>
        </w:tc>
        <w:tc>
          <w:tcPr>
            <w:tcW w:w="1110" w:type="dxa"/>
            <w:gridSpan w:val="2"/>
            <w:hideMark/>
          </w:tcPr>
          <w:p w14:paraId="2FED064C" w14:textId="1F6445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gridSpan w:val="3"/>
            <w:hideMark/>
          </w:tcPr>
          <w:p w14:paraId="33174D2E" w14:textId="4DEA82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gridSpan w:val="2"/>
            <w:hideMark/>
          </w:tcPr>
          <w:p w14:paraId="1FF8A0B3" w14:textId="56841C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hideMark/>
          </w:tcPr>
          <w:p w14:paraId="2039B557" w14:textId="10F178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0EE9AED" w14:textId="020B97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3CDD5F3" w14:textId="77777777" w:rsidTr="00597AD8">
        <w:trPr>
          <w:trHeight w:val="576"/>
        </w:trPr>
        <w:tc>
          <w:tcPr>
            <w:tcW w:w="3885" w:type="dxa"/>
            <w:shd w:val="clear" w:color="000000" w:fill="B8CCE4"/>
            <w:hideMark/>
          </w:tcPr>
          <w:p w14:paraId="56BB4C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3.4. Monitorimi, vlerësimi dhe sigurimi i cilësisë së funksionimit të qendrave burimore</w:t>
            </w:r>
          </w:p>
        </w:tc>
        <w:tc>
          <w:tcPr>
            <w:tcW w:w="1080" w:type="dxa"/>
            <w:shd w:val="clear" w:color="000000" w:fill="B8CCE4"/>
            <w:noWrap/>
            <w:vAlign w:val="center"/>
            <w:hideMark/>
          </w:tcPr>
          <w:p w14:paraId="6A69B81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shd w:val="clear" w:color="000000" w:fill="B8CCE4"/>
            <w:noWrap/>
            <w:vAlign w:val="center"/>
            <w:hideMark/>
          </w:tcPr>
          <w:p w14:paraId="74C795E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B8CCE4"/>
            <w:noWrap/>
            <w:vAlign w:val="center"/>
            <w:hideMark/>
          </w:tcPr>
          <w:p w14:paraId="27CEB96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w:t>
            </w:r>
          </w:p>
        </w:tc>
        <w:tc>
          <w:tcPr>
            <w:tcW w:w="1521" w:type="dxa"/>
            <w:gridSpan w:val="2"/>
            <w:shd w:val="clear" w:color="000000" w:fill="B8CCE4"/>
            <w:vAlign w:val="center"/>
            <w:hideMark/>
          </w:tcPr>
          <w:p w14:paraId="40AC63D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ZVAP, DRAP, AKAP, ASCAP</w:t>
            </w:r>
          </w:p>
        </w:tc>
        <w:tc>
          <w:tcPr>
            <w:tcW w:w="1110" w:type="dxa"/>
            <w:gridSpan w:val="2"/>
            <w:shd w:val="clear" w:color="000000" w:fill="C5D9F1"/>
            <w:noWrap/>
            <w:hideMark/>
          </w:tcPr>
          <w:p w14:paraId="307EEF65" w14:textId="1AAC080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77</w:t>
            </w:r>
          </w:p>
        </w:tc>
        <w:tc>
          <w:tcPr>
            <w:tcW w:w="1110" w:type="dxa"/>
            <w:gridSpan w:val="3"/>
            <w:shd w:val="clear" w:color="000000" w:fill="C5D9F1"/>
            <w:noWrap/>
            <w:hideMark/>
          </w:tcPr>
          <w:p w14:paraId="10B2C9B0" w14:textId="7CD5E17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77</w:t>
            </w:r>
          </w:p>
        </w:tc>
        <w:tc>
          <w:tcPr>
            <w:tcW w:w="1110" w:type="dxa"/>
            <w:gridSpan w:val="2"/>
            <w:shd w:val="clear" w:color="000000" w:fill="C5D9F1"/>
            <w:noWrap/>
            <w:hideMark/>
          </w:tcPr>
          <w:p w14:paraId="35F0302B" w14:textId="7DA1B2A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327</w:t>
            </w:r>
          </w:p>
        </w:tc>
        <w:tc>
          <w:tcPr>
            <w:tcW w:w="1110" w:type="dxa"/>
            <w:shd w:val="clear" w:color="000000" w:fill="C5D9F1"/>
            <w:noWrap/>
            <w:hideMark/>
          </w:tcPr>
          <w:p w14:paraId="5A74A32F" w14:textId="1CA1021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77</w:t>
            </w:r>
          </w:p>
        </w:tc>
        <w:tc>
          <w:tcPr>
            <w:tcW w:w="818" w:type="dxa"/>
            <w:gridSpan w:val="2"/>
            <w:shd w:val="clear" w:color="000000" w:fill="C5D9F1"/>
            <w:noWrap/>
            <w:hideMark/>
          </w:tcPr>
          <w:p w14:paraId="47A51971" w14:textId="2054EB5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77</w:t>
            </w:r>
          </w:p>
        </w:tc>
      </w:tr>
      <w:tr w:rsidR="004D73D3" w:rsidRPr="0048716F" w14:paraId="4C8C8D3F" w14:textId="77777777" w:rsidTr="00597AD8">
        <w:trPr>
          <w:trHeight w:val="864"/>
        </w:trPr>
        <w:tc>
          <w:tcPr>
            <w:tcW w:w="3885" w:type="dxa"/>
            <w:hideMark/>
          </w:tcPr>
          <w:p w14:paraId="2A95933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3.4.1 Vendosja e indikatorëve të performancës për shërbimet mbështetëse që qëndrat burimore ofrojnë, trajnimet dhe ndikimin e tyre në arsimin gjithëpërfshirës.</w:t>
            </w:r>
          </w:p>
        </w:tc>
        <w:tc>
          <w:tcPr>
            <w:tcW w:w="1080" w:type="dxa"/>
            <w:hideMark/>
          </w:tcPr>
          <w:p w14:paraId="473D407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hideMark/>
          </w:tcPr>
          <w:p w14:paraId="13DF7B90" w14:textId="74D50FDD"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7F9404B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C861CF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ZVAP, DRAP, AKAP, ASCAP</w:t>
            </w:r>
          </w:p>
        </w:tc>
        <w:tc>
          <w:tcPr>
            <w:tcW w:w="1110" w:type="dxa"/>
            <w:gridSpan w:val="2"/>
            <w:hideMark/>
          </w:tcPr>
          <w:p w14:paraId="70136323" w14:textId="0CB8AE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2CF2356" w14:textId="7B99F7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F8B6A31" w14:textId="36C754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w:t>
            </w:r>
          </w:p>
        </w:tc>
        <w:tc>
          <w:tcPr>
            <w:tcW w:w="1110" w:type="dxa"/>
            <w:hideMark/>
          </w:tcPr>
          <w:p w14:paraId="3275AC5F" w14:textId="7DFE94B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76298CB" w14:textId="63D6F83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C715F58" w14:textId="77777777" w:rsidTr="00597AD8">
        <w:trPr>
          <w:trHeight w:val="576"/>
        </w:trPr>
        <w:tc>
          <w:tcPr>
            <w:tcW w:w="3885" w:type="dxa"/>
            <w:hideMark/>
          </w:tcPr>
          <w:p w14:paraId="47137A2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3.4.2 Raportim periodik mbi efektivitetin e qendrave burimore dhe përdorimi i gjetjeve për përmirësim të politikave.</w:t>
            </w:r>
          </w:p>
        </w:tc>
        <w:tc>
          <w:tcPr>
            <w:tcW w:w="1080" w:type="dxa"/>
            <w:hideMark/>
          </w:tcPr>
          <w:p w14:paraId="514158C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hideMark/>
          </w:tcPr>
          <w:p w14:paraId="52F859E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1C9E044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75170051"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ZVAP, DRAP, AKAP, ASCAP</w:t>
            </w:r>
          </w:p>
        </w:tc>
        <w:tc>
          <w:tcPr>
            <w:tcW w:w="1110" w:type="dxa"/>
            <w:gridSpan w:val="2"/>
            <w:hideMark/>
          </w:tcPr>
          <w:p w14:paraId="0E740C2E" w14:textId="62C7E3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77</w:t>
            </w:r>
          </w:p>
        </w:tc>
        <w:tc>
          <w:tcPr>
            <w:tcW w:w="1110" w:type="dxa"/>
            <w:gridSpan w:val="3"/>
            <w:hideMark/>
          </w:tcPr>
          <w:p w14:paraId="1503F1A4" w14:textId="5A2AF5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77</w:t>
            </w:r>
          </w:p>
        </w:tc>
        <w:tc>
          <w:tcPr>
            <w:tcW w:w="1110" w:type="dxa"/>
            <w:gridSpan w:val="2"/>
            <w:hideMark/>
          </w:tcPr>
          <w:p w14:paraId="5359EB81" w14:textId="455B5E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77</w:t>
            </w:r>
          </w:p>
        </w:tc>
        <w:tc>
          <w:tcPr>
            <w:tcW w:w="1110" w:type="dxa"/>
            <w:hideMark/>
          </w:tcPr>
          <w:p w14:paraId="3BACA648" w14:textId="4AE287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77</w:t>
            </w:r>
          </w:p>
        </w:tc>
        <w:tc>
          <w:tcPr>
            <w:tcW w:w="818" w:type="dxa"/>
            <w:gridSpan w:val="2"/>
            <w:hideMark/>
          </w:tcPr>
          <w:p w14:paraId="6973D9A4" w14:textId="541919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77</w:t>
            </w:r>
          </w:p>
        </w:tc>
      </w:tr>
      <w:tr w:rsidR="004D73D3" w:rsidRPr="0048716F" w14:paraId="461BCA48" w14:textId="77777777" w:rsidTr="00597AD8">
        <w:trPr>
          <w:trHeight w:val="828"/>
        </w:trPr>
        <w:tc>
          <w:tcPr>
            <w:tcW w:w="3885" w:type="dxa"/>
            <w:shd w:val="clear" w:color="000000" w:fill="FDE9D9"/>
            <w:hideMark/>
          </w:tcPr>
          <w:p w14:paraId="446362A0" w14:textId="61F5DA90"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4. Arsim i lartë gjithëpërfshirës që plotëson standardet ndërkombëtare të aksesueshmërisë, cilësisë dhe mbështetjes për studentët me aftësi të kufizuara..</w:t>
            </w:r>
          </w:p>
        </w:tc>
        <w:tc>
          <w:tcPr>
            <w:tcW w:w="1080" w:type="dxa"/>
            <w:shd w:val="clear" w:color="000000" w:fill="FDE9D9"/>
            <w:hideMark/>
          </w:tcPr>
          <w:p w14:paraId="33CB5BA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1B890DF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73E9517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w:t>
            </w:r>
          </w:p>
        </w:tc>
        <w:tc>
          <w:tcPr>
            <w:tcW w:w="1521" w:type="dxa"/>
            <w:gridSpan w:val="2"/>
            <w:shd w:val="clear" w:color="000000" w:fill="FDE9D9"/>
            <w:vAlign w:val="center"/>
            <w:hideMark/>
          </w:tcPr>
          <w:p w14:paraId="58E7E7F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ASCAL/IAL</w:t>
            </w:r>
          </w:p>
        </w:tc>
        <w:tc>
          <w:tcPr>
            <w:tcW w:w="1110" w:type="dxa"/>
            <w:gridSpan w:val="2"/>
            <w:shd w:val="clear" w:color="000000" w:fill="FDE9D9"/>
            <w:hideMark/>
          </w:tcPr>
          <w:p w14:paraId="53BA3050" w14:textId="256FA38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1,089</w:t>
            </w:r>
          </w:p>
        </w:tc>
        <w:tc>
          <w:tcPr>
            <w:tcW w:w="1110" w:type="dxa"/>
            <w:gridSpan w:val="3"/>
            <w:shd w:val="clear" w:color="000000" w:fill="FDE9D9"/>
            <w:hideMark/>
          </w:tcPr>
          <w:p w14:paraId="28DC6181" w14:textId="28152E4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126,101</w:t>
            </w:r>
          </w:p>
        </w:tc>
        <w:tc>
          <w:tcPr>
            <w:tcW w:w="1110" w:type="dxa"/>
            <w:gridSpan w:val="2"/>
            <w:shd w:val="clear" w:color="000000" w:fill="FDE9D9"/>
            <w:hideMark/>
          </w:tcPr>
          <w:p w14:paraId="29954FAE" w14:textId="7A57AB8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125,033</w:t>
            </w:r>
          </w:p>
        </w:tc>
        <w:tc>
          <w:tcPr>
            <w:tcW w:w="1110" w:type="dxa"/>
            <w:shd w:val="clear" w:color="000000" w:fill="FDE9D9"/>
            <w:hideMark/>
          </w:tcPr>
          <w:p w14:paraId="601E9A6E" w14:textId="39CF72D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125,033</w:t>
            </w:r>
          </w:p>
        </w:tc>
        <w:tc>
          <w:tcPr>
            <w:tcW w:w="818" w:type="dxa"/>
            <w:gridSpan w:val="2"/>
            <w:shd w:val="clear" w:color="000000" w:fill="FDE9D9"/>
            <w:hideMark/>
          </w:tcPr>
          <w:p w14:paraId="11174E19" w14:textId="4018D30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125,033</w:t>
            </w:r>
          </w:p>
        </w:tc>
      </w:tr>
      <w:tr w:rsidR="004D73D3" w:rsidRPr="0048716F" w14:paraId="3A2E8B52" w14:textId="77777777" w:rsidTr="00597AD8">
        <w:trPr>
          <w:trHeight w:val="1320"/>
        </w:trPr>
        <w:tc>
          <w:tcPr>
            <w:tcW w:w="3885" w:type="dxa"/>
            <w:shd w:val="clear" w:color="000000" w:fill="DCE6F1"/>
            <w:hideMark/>
          </w:tcPr>
          <w:p w14:paraId="332C04A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4.1: Rishikimi dhe forcimi i një kuadri të qëndrueshëm ligjor dhe institucional që garanton mosdiskriminimin, aksesin e barabartë dhe respektimin e standardeve ndërkombëtare të gjithëpërfshirjes së studentëve me aftësi të kufizuara në arsimin e lartë, i integruar me mekanizma të monitorimit dhe sigurimit të cilësisë.</w:t>
            </w:r>
          </w:p>
        </w:tc>
        <w:tc>
          <w:tcPr>
            <w:tcW w:w="1080" w:type="dxa"/>
            <w:shd w:val="clear" w:color="000000" w:fill="DCE6F1"/>
            <w:hideMark/>
          </w:tcPr>
          <w:p w14:paraId="3ABB1BA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3720130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6487EDE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w:t>
            </w:r>
          </w:p>
        </w:tc>
        <w:tc>
          <w:tcPr>
            <w:tcW w:w="1521" w:type="dxa"/>
            <w:gridSpan w:val="2"/>
            <w:shd w:val="clear" w:color="000000" w:fill="DCE6F1"/>
            <w:vAlign w:val="center"/>
            <w:hideMark/>
          </w:tcPr>
          <w:p w14:paraId="4DBFA83D"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ASCAL/IAL</w:t>
            </w:r>
          </w:p>
        </w:tc>
        <w:tc>
          <w:tcPr>
            <w:tcW w:w="1110" w:type="dxa"/>
            <w:gridSpan w:val="2"/>
            <w:shd w:val="clear" w:color="000000" w:fill="C5D9F1"/>
            <w:noWrap/>
            <w:hideMark/>
          </w:tcPr>
          <w:p w14:paraId="4CA611C3" w14:textId="7FBF3E8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389</w:t>
            </w:r>
          </w:p>
        </w:tc>
        <w:tc>
          <w:tcPr>
            <w:tcW w:w="1110" w:type="dxa"/>
            <w:gridSpan w:val="3"/>
            <w:shd w:val="clear" w:color="000000" w:fill="C5D9F1"/>
            <w:noWrap/>
            <w:hideMark/>
          </w:tcPr>
          <w:p w14:paraId="1A044B5F" w14:textId="283998A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1,101</w:t>
            </w:r>
          </w:p>
        </w:tc>
        <w:tc>
          <w:tcPr>
            <w:tcW w:w="1110" w:type="dxa"/>
            <w:gridSpan w:val="2"/>
            <w:shd w:val="clear" w:color="000000" w:fill="C5D9F1"/>
            <w:noWrap/>
            <w:hideMark/>
          </w:tcPr>
          <w:p w14:paraId="31CC33B6" w14:textId="7AD786D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33</w:t>
            </w:r>
          </w:p>
        </w:tc>
        <w:tc>
          <w:tcPr>
            <w:tcW w:w="1110" w:type="dxa"/>
            <w:shd w:val="clear" w:color="000000" w:fill="C5D9F1"/>
            <w:noWrap/>
            <w:hideMark/>
          </w:tcPr>
          <w:p w14:paraId="01E88970" w14:textId="58BDCB2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33</w:t>
            </w:r>
          </w:p>
        </w:tc>
        <w:tc>
          <w:tcPr>
            <w:tcW w:w="818" w:type="dxa"/>
            <w:gridSpan w:val="2"/>
            <w:shd w:val="clear" w:color="000000" w:fill="C5D9F1"/>
            <w:noWrap/>
            <w:hideMark/>
          </w:tcPr>
          <w:p w14:paraId="50ED49A1" w14:textId="0E76CA6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33</w:t>
            </w:r>
          </w:p>
        </w:tc>
      </w:tr>
      <w:tr w:rsidR="004D73D3" w:rsidRPr="0048716F" w14:paraId="474F1316" w14:textId="77777777" w:rsidTr="00597AD8">
        <w:trPr>
          <w:trHeight w:val="792"/>
        </w:trPr>
        <w:tc>
          <w:tcPr>
            <w:tcW w:w="3885" w:type="dxa"/>
            <w:hideMark/>
          </w:tcPr>
          <w:p w14:paraId="26A38D8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4.1.1 Rishikimi dhe përditësimi i politikave, rregulloreve dhe udhëzimeve të IAL-ve për të garantuar arsimin e lartë gjithëpërfshirës. Harmonizimi me legjislacionin kombëtar dhe standardet ndërkombëtare të aksesueshmërisë</w:t>
            </w:r>
          </w:p>
        </w:tc>
        <w:tc>
          <w:tcPr>
            <w:tcW w:w="1080" w:type="dxa"/>
            <w:hideMark/>
          </w:tcPr>
          <w:p w14:paraId="6B7830A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7CEE751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630FD7A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71D07D0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ASCAL/IAL</w:t>
            </w:r>
          </w:p>
        </w:tc>
        <w:tc>
          <w:tcPr>
            <w:tcW w:w="1110" w:type="dxa"/>
            <w:gridSpan w:val="2"/>
            <w:hideMark/>
          </w:tcPr>
          <w:p w14:paraId="66595633" w14:textId="113483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356</w:t>
            </w:r>
          </w:p>
        </w:tc>
        <w:tc>
          <w:tcPr>
            <w:tcW w:w="1110" w:type="dxa"/>
            <w:gridSpan w:val="3"/>
            <w:hideMark/>
          </w:tcPr>
          <w:p w14:paraId="0C4CC882" w14:textId="6FF53AD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356</w:t>
            </w:r>
          </w:p>
        </w:tc>
        <w:tc>
          <w:tcPr>
            <w:tcW w:w="1110" w:type="dxa"/>
            <w:gridSpan w:val="2"/>
            <w:hideMark/>
          </w:tcPr>
          <w:p w14:paraId="78B4DEDE" w14:textId="4E038F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DD6DAF7" w14:textId="38C0741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69B1A5C" w14:textId="0C577C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751E5A1" w14:textId="77777777" w:rsidTr="00597AD8">
        <w:trPr>
          <w:trHeight w:val="528"/>
        </w:trPr>
        <w:tc>
          <w:tcPr>
            <w:tcW w:w="3885" w:type="dxa"/>
            <w:hideMark/>
          </w:tcPr>
          <w:p w14:paraId="3F9C20C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4.1.2 Integrimi i indikatorëve të gjithëpërfshirjes dhe aksesueshmërisë në sistemet e brendshme dhe të jashtme të sigurimit të cilësisë dhe akreditimit të IAL.</w:t>
            </w:r>
          </w:p>
        </w:tc>
        <w:tc>
          <w:tcPr>
            <w:tcW w:w="1080" w:type="dxa"/>
            <w:hideMark/>
          </w:tcPr>
          <w:p w14:paraId="63A1B6A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DE8E807" w14:textId="13452313"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7B1A39B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382443B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6247C762" w14:textId="077D93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6B8E200" w14:textId="7E27A1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712</w:t>
            </w:r>
          </w:p>
        </w:tc>
        <w:tc>
          <w:tcPr>
            <w:tcW w:w="1110" w:type="dxa"/>
            <w:gridSpan w:val="2"/>
            <w:hideMark/>
          </w:tcPr>
          <w:p w14:paraId="2DC30D51" w14:textId="5FFB862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EE2A4E2" w14:textId="42B33B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7DC3E61" w14:textId="0EB4F23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C24A2A6" w14:textId="77777777" w:rsidTr="00597AD8">
        <w:trPr>
          <w:trHeight w:val="528"/>
        </w:trPr>
        <w:tc>
          <w:tcPr>
            <w:tcW w:w="3885" w:type="dxa"/>
            <w:hideMark/>
          </w:tcPr>
          <w:p w14:paraId="4BE33BE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4.1.3 Raportim periodik mbi progresin dhe ndikimin e masave për arsimin e lartë gjithëpërfshirës.</w:t>
            </w:r>
          </w:p>
        </w:tc>
        <w:tc>
          <w:tcPr>
            <w:tcW w:w="1080" w:type="dxa"/>
            <w:hideMark/>
          </w:tcPr>
          <w:p w14:paraId="677D4A9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CA3FFA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A93F10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289366D3"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IAL/ASCAL</w:t>
            </w:r>
          </w:p>
        </w:tc>
        <w:tc>
          <w:tcPr>
            <w:tcW w:w="1110" w:type="dxa"/>
            <w:gridSpan w:val="2"/>
            <w:hideMark/>
          </w:tcPr>
          <w:p w14:paraId="39DC8418" w14:textId="15A77C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w:t>
            </w:r>
          </w:p>
        </w:tc>
        <w:tc>
          <w:tcPr>
            <w:tcW w:w="1110" w:type="dxa"/>
            <w:gridSpan w:val="3"/>
            <w:hideMark/>
          </w:tcPr>
          <w:p w14:paraId="5BC46595" w14:textId="396BB01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w:t>
            </w:r>
          </w:p>
        </w:tc>
        <w:tc>
          <w:tcPr>
            <w:tcW w:w="1110" w:type="dxa"/>
            <w:gridSpan w:val="2"/>
            <w:hideMark/>
          </w:tcPr>
          <w:p w14:paraId="1879EF4E" w14:textId="3E3E84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w:t>
            </w:r>
          </w:p>
        </w:tc>
        <w:tc>
          <w:tcPr>
            <w:tcW w:w="1110" w:type="dxa"/>
            <w:hideMark/>
          </w:tcPr>
          <w:p w14:paraId="18DE4593" w14:textId="675C18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w:t>
            </w:r>
          </w:p>
        </w:tc>
        <w:tc>
          <w:tcPr>
            <w:tcW w:w="818" w:type="dxa"/>
            <w:gridSpan w:val="2"/>
            <w:hideMark/>
          </w:tcPr>
          <w:p w14:paraId="221FE1C2" w14:textId="1C7956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33</w:t>
            </w:r>
          </w:p>
        </w:tc>
      </w:tr>
      <w:tr w:rsidR="004D73D3" w:rsidRPr="0048716F" w14:paraId="560DB9D2" w14:textId="77777777" w:rsidTr="00597AD8">
        <w:trPr>
          <w:trHeight w:val="1320"/>
        </w:trPr>
        <w:tc>
          <w:tcPr>
            <w:tcW w:w="3885" w:type="dxa"/>
            <w:shd w:val="clear" w:color="000000" w:fill="B8CCE4"/>
            <w:hideMark/>
          </w:tcPr>
          <w:p w14:paraId="6480859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4.2 Aksesueshmëri e plotë fizike, digjitale dhe akademike në institucionet e arsimit të lartë Sigurimi i një mjedisi universitar të aksesueshëm për të gjithë studentët, përmes përshtatjes së infrastrukturës, teknologjisë, komunikimit dhe proceseve akademike, në përputhje me parimet e dizajnit universal.</w:t>
            </w:r>
          </w:p>
        </w:tc>
        <w:tc>
          <w:tcPr>
            <w:tcW w:w="1080" w:type="dxa"/>
            <w:shd w:val="clear" w:color="000000" w:fill="B8CCE4"/>
            <w:noWrap/>
            <w:vAlign w:val="center"/>
            <w:hideMark/>
          </w:tcPr>
          <w:p w14:paraId="31927A3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shd w:val="clear" w:color="000000" w:fill="B8CCE4"/>
            <w:noWrap/>
            <w:vAlign w:val="center"/>
            <w:hideMark/>
          </w:tcPr>
          <w:p w14:paraId="5B66F02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B8CCE4"/>
            <w:noWrap/>
            <w:vAlign w:val="center"/>
            <w:hideMark/>
          </w:tcPr>
          <w:p w14:paraId="171740F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w:t>
            </w:r>
          </w:p>
        </w:tc>
        <w:tc>
          <w:tcPr>
            <w:tcW w:w="1521" w:type="dxa"/>
            <w:gridSpan w:val="2"/>
            <w:shd w:val="clear" w:color="000000" w:fill="B8CCE4"/>
            <w:noWrap/>
            <w:vAlign w:val="center"/>
            <w:hideMark/>
          </w:tcPr>
          <w:p w14:paraId="7224EE51"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IAL</w:t>
            </w:r>
          </w:p>
        </w:tc>
        <w:tc>
          <w:tcPr>
            <w:tcW w:w="1110" w:type="dxa"/>
            <w:gridSpan w:val="2"/>
            <w:shd w:val="clear" w:color="000000" w:fill="C5D9F1"/>
            <w:noWrap/>
            <w:hideMark/>
          </w:tcPr>
          <w:p w14:paraId="0DD7936A" w14:textId="4CC971A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700</w:t>
            </w:r>
          </w:p>
        </w:tc>
        <w:tc>
          <w:tcPr>
            <w:tcW w:w="1110" w:type="dxa"/>
            <w:gridSpan w:val="3"/>
            <w:shd w:val="clear" w:color="000000" w:fill="C5D9F1"/>
            <w:noWrap/>
            <w:hideMark/>
          </w:tcPr>
          <w:p w14:paraId="223EF1E5" w14:textId="69999BC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50,000</w:t>
            </w:r>
          </w:p>
        </w:tc>
        <w:tc>
          <w:tcPr>
            <w:tcW w:w="1110" w:type="dxa"/>
            <w:gridSpan w:val="2"/>
            <w:shd w:val="clear" w:color="000000" w:fill="C5D9F1"/>
            <w:noWrap/>
            <w:hideMark/>
          </w:tcPr>
          <w:p w14:paraId="63D2B45B" w14:textId="76A2DEF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50,000</w:t>
            </w:r>
          </w:p>
        </w:tc>
        <w:tc>
          <w:tcPr>
            <w:tcW w:w="1110" w:type="dxa"/>
            <w:shd w:val="clear" w:color="000000" w:fill="C5D9F1"/>
            <w:noWrap/>
            <w:hideMark/>
          </w:tcPr>
          <w:p w14:paraId="255E02EB" w14:textId="5A4CB12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50,000</w:t>
            </w:r>
          </w:p>
        </w:tc>
        <w:tc>
          <w:tcPr>
            <w:tcW w:w="818" w:type="dxa"/>
            <w:gridSpan w:val="2"/>
            <w:shd w:val="clear" w:color="000000" w:fill="C5D9F1"/>
            <w:noWrap/>
            <w:hideMark/>
          </w:tcPr>
          <w:p w14:paraId="22A2AE84" w14:textId="2F68E0F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50,000</w:t>
            </w:r>
          </w:p>
        </w:tc>
      </w:tr>
      <w:tr w:rsidR="004D73D3" w:rsidRPr="0048716F" w14:paraId="6BF555C8" w14:textId="77777777" w:rsidTr="00597AD8">
        <w:trPr>
          <w:trHeight w:val="528"/>
        </w:trPr>
        <w:tc>
          <w:tcPr>
            <w:tcW w:w="3885" w:type="dxa"/>
            <w:hideMark/>
          </w:tcPr>
          <w:p w14:paraId="679E8C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4.2.1 Investime në përshtatjen e infrastrukturës fizike, ambienteve mësimore, bibliotekave dhe laboratorëve.</w:t>
            </w:r>
          </w:p>
        </w:tc>
        <w:tc>
          <w:tcPr>
            <w:tcW w:w="1080" w:type="dxa"/>
            <w:hideMark/>
          </w:tcPr>
          <w:p w14:paraId="487365F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0E1CB97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7F03A4D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49D7455D"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628CCD49" w14:textId="267BA1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EAC54D1" w14:textId="6AFDB4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50,000</w:t>
            </w:r>
          </w:p>
        </w:tc>
        <w:tc>
          <w:tcPr>
            <w:tcW w:w="1110" w:type="dxa"/>
            <w:gridSpan w:val="2"/>
            <w:hideMark/>
          </w:tcPr>
          <w:p w14:paraId="443EB3F6" w14:textId="2EAF798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50,000</w:t>
            </w:r>
          </w:p>
        </w:tc>
        <w:tc>
          <w:tcPr>
            <w:tcW w:w="1110" w:type="dxa"/>
            <w:hideMark/>
          </w:tcPr>
          <w:p w14:paraId="348ABCA2" w14:textId="59FE180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50,000</w:t>
            </w:r>
          </w:p>
        </w:tc>
        <w:tc>
          <w:tcPr>
            <w:tcW w:w="818" w:type="dxa"/>
            <w:gridSpan w:val="2"/>
            <w:hideMark/>
          </w:tcPr>
          <w:p w14:paraId="49736BA4" w14:textId="08E627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50,000</w:t>
            </w:r>
          </w:p>
        </w:tc>
      </w:tr>
      <w:tr w:rsidR="004D73D3" w:rsidRPr="0048716F" w14:paraId="40E6B852" w14:textId="77777777" w:rsidTr="00597AD8">
        <w:trPr>
          <w:trHeight w:val="528"/>
        </w:trPr>
        <w:tc>
          <w:tcPr>
            <w:tcW w:w="3885" w:type="dxa"/>
            <w:hideMark/>
          </w:tcPr>
          <w:p w14:paraId="3DE8C66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4.2.2 Aksesueshmëria e platformave digjitale, materialeve mësimore dhe shërbimeve të informacionit.</w:t>
            </w:r>
          </w:p>
        </w:tc>
        <w:tc>
          <w:tcPr>
            <w:tcW w:w="1080" w:type="dxa"/>
            <w:hideMark/>
          </w:tcPr>
          <w:p w14:paraId="260F404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32225AE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411" w:type="dxa"/>
            <w:vAlign w:val="center"/>
            <w:hideMark/>
          </w:tcPr>
          <w:p w14:paraId="6B06521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vAlign w:val="center"/>
            <w:hideMark/>
          </w:tcPr>
          <w:p w14:paraId="6C87439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1C381960" w14:textId="46648A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w:t>
            </w:r>
          </w:p>
        </w:tc>
        <w:tc>
          <w:tcPr>
            <w:tcW w:w="1110" w:type="dxa"/>
            <w:gridSpan w:val="3"/>
            <w:hideMark/>
          </w:tcPr>
          <w:p w14:paraId="2F32298E" w14:textId="1303E35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270F079" w14:textId="6853A96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1C61B2A" w14:textId="7C296D8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80CDF7F" w14:textId="55DCBD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BE379B1" w14:textId="77777777" w:rsidTr="00597AD8">
        <w:trPr>
          <w:trHeight w:val="528"/>
        </w:trPr>
        <w:tc>
          <w:tcPr>
            <w:tcW w:w="3885" w:type="dxa"/>
            <w:hideMark/>
          </w:tcPr>
          <w:p w14:paraId="6E39E99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4.2.3 Përshtatja e metodave të mësimdhënies, të vlerësimit dhe pjesëmarrjes akademike.</w:t>
            </w:r>
          </w:p>
        </w:tc>
        <w:tc>
          <w:tcPr>
            <w:tcW w:w="1080" w:type="dxa"/>
            <w:hideMark/>
          </w:tcPr>
          <w:p w14:paraId="3EC2605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1F64BB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20C34CC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521" w:type="dxa"/>
            <w:gridSpan w:val="2"/>
            <w:vAlign w:val="center"/>
            <w:hideMark/>
          </w:tcPr>
          <w:p w14:paraId="7F642E1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414978CE" w14:textId="692A5A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AAC5D1D" w14:textId="7FB6A32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17CF90E" w14:textId="6EB37D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26B478F" w14:textId="43D61F1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8A4F8A3" w14:textId="3A256F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AD67A24" w14:textId="77777777" w:rsidTr="00597AD8">
        <w:trPr>
          <w:trHeight w:val="1380"/>
        </w:trPr>
        <w:tc>
          <w:tcPr>
            <w:tcW w:w="3885" w:type="dxa"/>
            <w:shd w:val="clear" w:color="000000" w:fill="DCE6F1"/>
            <w:hideMark/>
          </w:tcPr>
          <w:p w14:paraId="70C04FD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4.3 Shërbime mbështetëse dhe zhvillim kapacitetesh për arsimin e lartë gjithëpërfshirës Forcimi i mbështetjes institucionale dhe profesionale për studentët me aftësi të kufizuara, përmes shërbimeve të specializuara dhe rritjes së kapaciteteve të stafit akademik dhe administrativ.</w:t>
            </w:r>
          </w:p>
        </w:tc>
        <w:tc>
          <w:tcPr>
            <w:tcW w:w="1080" w:type="dxa"/>
            <w:shd w:val="clear" w:color="000000" w:fill="DCE6F1"/>
            <w:vAlign w:val="center"/>
            <w:hideMark/>
          </w:tcPr>
          <w:p w14:paraId="1CC300E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shd w:val="clear" w:color="000000" w:fill="DCE6F1"/>
            <w:vAlign w:val="center"/>
            <w:hideMark/>
          </w:tcPr>
          <w:p w14:paraId="00079BF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3EF7A6C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IAL</w:t>
            </w:r>
          </w:p>
        </w:tc>
        <w:tc>
          <w:tcPr>
            <w:tcW w:w="1521" w:type="dxa"/>
            <w:gridSpan w:val="2"/>
            <w:shd w:val="clear" w:color="000000" w:fill="DCE6F1"/>
            <w:vAlign w:val="center"/>
            <w:hideMark/>
          </w:tcPr>
          <w:p w14:paraId="3DC5FBC8"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IAL</w:t>
            </w:r>
          </w:p>
        </w:tc>
        <w:tc>
          <w:tcPr>
            <w:tcW w:w="1110" w:type="dxa"/>
            <w:gridSpan w:val="2"/>
            <w:shd w:val="clear" w:color="000000" w:fill="C5D9F1"/>
            <w:noWrap/>
            <w:hideMark/>
          </w:tcPr>
          <w:p w14:paraId="6F5906D0" w14:textId="288ABF8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45674DA0" w14:textId="318BD01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75,000</w:t>
            </w:r>
          </w:p>
        </w:tc>
        <w:tc>
          <w:tcPr>
            <w:tcW w:w="1110" w:type="dxa"/>
            <w:gridSpan w:val="2"/>
            <w:shd w:val="clear" w:color="000000" w:fill="C5D9F1"/>
            <w:noWrap/>
            <w:hideMark/>
          </w:tcPr>
          <w:p w14:paraId="2719DAE7" w14:textId="390ED58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75,000</w:t>
            </w:r>
          </w:p>
        </w:tc>
        <w:tc>
          <w:tcPr>
            <w:tcW w:w="1110" w:type="dxa"/>
            <w:shd w:val="clear" w:color="000000" w:fill="C5D9F1"/>
            <w:noWrap/>
            <w:hideMark/>
          </w:tcPr>
          <w:p w14:paraId="25EF995A" w14:textId="036B7D5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75,000</w:t>
            </w:r>
          </w:p>
        </w:tc>
        <w:tc>
          <w:tcPr>
            <w:tcW w:w="818" w:type="dxa"/>
            <w:gridSpan w:val="2"/>
            <w:shd w:val="clear" w:color="000000" w:fill="C5D9F1"/>
            <w:noWrap/>
            <w:hideMark/>
          </w:tcPr>
          <w:p w14:paraId="73DAC578" w14:textId="10BEA0F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75,000</w:t>
            </w:r>
          </w:p>
        </w:tc>
      </w:tr>
      <w:tr w:rsidR="004D73D3" w:rsidRPr="0048716F" w14:paraId="120590A3" w14:textId="77777777" w:rsidTr="00597AD8">
        <w:trPr>
          <w:trHeight w:val="528"/>
        </w:trPr>
        <w:tc>
          <w:tcPr>
            <w:tcW w:w="3885" w:type="dxa"/>
            <w:hideMark/>
          </w:tcPr>
          <w:p w14:paraId="01187FF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4.3.1Krijimi / forcimi i njësive të posaçme mbështetëse për studentët me aftësi të kufizuara në IAL.</w:t>
            </w:r>
          </w:p>
        </w:tc>
        <w:tc>
          <w:tcPr>
            <w:tcW w:w="1080" w:type="dxa"/>
            <w:hideMark/>
          </w:tcPr>
          <w:p w14:paraId="23F2B64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3147591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1931E5D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521" w:type="dxa"/>
            <w:gridSpan w:val="2"/>
            <w:vAlign w:val="center"/>
            <w:hideMark/>
          </w:tcPr>
          <w:p w14:paraId="2A4C464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4B321FED" w14:textId="35F6569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CFF9369" w14:textId="4AE4B47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75,000</w:t>
            </w:r>
          </w:p>
        </w:tc>
        <w:tc>
          <w:tcPr>
            <w:tcW w:w="1110" w:type="dxa"/>
            <w:gridSpan w:val="2"/>
            <w:hideMark/>
          </w:tcPr>
          <w:p w14:paraId="53C7103D" w14:textId="79DD3A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75,000</w:t>
            </w:r>
          </w:p>
        </w:tc>
        <w:tc>
          <w:tcPr>
            <w:tcW w:w="1110" w:type="dxa"/>
            <w:hideMark/>
          </w:tcPr>
          <w:p w14:paraId="16C6DFFC" w14:textId="7B9B77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75,000</w:t>
            </w:r>
          </w:p>
        </w:tc>
        <w:tc>
          <w:tcPr>
            <w:tcW w:w="818" w:type="dxa"/>
            <w:gridSpan w:val="2"/>
            <w:hideMark/>
          </w:tcPr>
          <w:p w14:paraId="668B88A2" w14:textId="7C9F83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75,000</w:t>
            </w:r>
          </w:p>
        </w:tc>
      </w:tr>
      <w:tr w:rsidR="004D73D3" w:rsidRPr="0048716F" w14:paraId="4B5B0990" w14:textId="77777777" w:rsidTr="00597AD8">
        <w:trPr>
          <w:trHeight w:val="540"/>
        </w:trPr>
        <w:tc>
          <w:tcPr>
            <w:tcW w:w="3885" w:type="dxa"/>
            <w:hideMark/>
          </w:tcPr>
          <w:p w14:paraId="7A8A724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4.3.2 Ofrimi i këshillimit akademik, psikosocial dhe ndërmjetësimit për të garantuar përshtatjen e arsyeshme.</w:t>
            </w:r>
          </w:p>
        </w:tc>
        <w:tc>
          <w:tcPr>
            <w:tcW w:w="1080" w:type="dxa"/>
            <w:hideMark/>
          </w:tcPr>
          <w:p w14:paraId="2C4E654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568F64A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6142B2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521" w:type="dxa"/>
            <w:gridSpan w:val="2"/>
            <w:vAlign w:val="center"/>
            <w:hideMark/>
          </w:tcPr>
          <w:p w14:paraId="5EC99AD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IAL</w:t>
            </w:r>
          </w:p>
        </w:tc>
        <w:tc>
          <w:tcPr>
            <w:tcW w:w="1110" w:type="dxa"/>
            <w:gridSpan w:val="2"/>
            <w:hideMark/>
          </w:tcPr>
          <w:p w14:paraId="7746121A" w14:textId="61D71E5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6317424" w14:textId="4DE5676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2417D4B" w14:textId="5C21200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5707585" w14:textId="40F2E62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6594FE7" w14:textId="283AAB3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BEE200B" w14:textId="77777777" w:rsidTr="00597AD8">
        <w:trPr>
          <w:trHeight w:val="324"/>
        </w:trPr>
        <w:tc>
          <w:tcPr>
            <w:tcW w:w="3885" w:type="dxa"/>
            <w:shd w:val="clear" w:color="000000" w:fill="F276AB"/>
            <w:vAlign w:val="center"/>
            <w:hideMark/>
          </w:tcPr>
          <w:p w14:paraId="7E8ABF70"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V. MBROJTJA SOCIALE</w:t>
            </w:r>
          </w:p>
        </w:tc>
        <w:tc>
          <w:tcPr>
            <w:tcW w:w="1080" w:type="dxa"/>
            <w:shd w:val="clear" w:color="000000" w:fill="F276AB"/>
            <w:vAlign w:val="center"/>
            <w:hideMark/>
          </w:tcPr>
          <w:p w14:paraId="2BDF1BA2" w14:textId="6DC61525"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2933D791" w14:textId="63261BEF"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44E1949E" w14:textId="480A8474"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1D0F3B0E" w14:textId="56882DCE"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6C5950C4" w14:textId="0779891F"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19,630</w:t>
            </w:r>
          </w:p>
        </w:tc>
        <w:tc>
          <w:tcPr>
            <w:tcW w:w="1110" w:type="dxa"/>
            <w:gridSpan w:val="3"/>
            <w:shd w:val="clear" w:color="000000" w:fill="F276AB"/>
            <w:vAlign w:val="center"/>
            <w:hideMark/>
          </w:tcPr>
          <w:p w14:paraId="397C5063" w14:textId="557911EA"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169,287</w:t>
            </w:r>
          </w:p>
        </w:tc>
        <w:tc>
          <w:tcPr>
            <w:tcW w:w="1110" w:type="dxa"/>
            <w:gridSpan w:val="2"/>
            <w:shd w:val="clear" w:color="000000" w:fill="F276AB"/>
            <w:vAlign w:val="center"/>
            <w:hideMark/>
          </w:tcPr>
          <w:p w14:paraId="7124B011" w14:textId="4628E347"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70,687</w:t>
            </w:r>
          </w:p>
        </w:tc>
        <w:tc>
          <w:tcPr>
            <w:tcW w:w="1110" w:type="dxa"/>
            <w:shd w:val="clear" w:color="000000" w:fill="F276AB"/>
            <w:vAlign w:val="center"/>
            <w:hideMark/>
          </w:tcPr>
          <w:p w14:paraId="27836EAB" w14:textId="12E9B125"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63,313</w:t>
            </w:r>
          </w:p>
        </w:tc>
        <w:tc>
          <w:tcPr>
            <w:tcW w:w="818" w:type="dxa"/>
            <w:gridSpan w:val="2"/>
            <w:shd w:val="clear" w:color="000000" w:fill="F276AB"/>
            <w:vAlign w:val="center"/>
            <w:hideMark/>
          </w:tcPr>
          <w:p w14:paraId="78395E93" w14:textId="1941249C"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187,047</w:t>
            </w:r>
          </w:p>
        </w:tc>
      </w:tr>
      <w:tr w:rsidR="004D73D3" w:rsidRPr="0048716F" w14:paraId="128E7D55" w14:textId="77777777" w:rsidTr="00597AD8">
        <w:trPr>
          <w:trHeight w:val="1104"/>
        </w:trPr>
        <w:tc>
          <w:tcPr>
            <w:tcW w:w="3885" w:type="dxa"/>
            <w:shd w:val="clear" w:color="000000" w:fill="FDE9D9"/>
            <w:hideMark/>
          </w:tcPr>
          <w:p w14:paraId="09501C64"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lastRenderedPageBreak/>
              <w:t>Objektivi Specifik 1. Përmirësimi i jetesës për Personat me Aftësi të Kufizuara nëpërmjet skemave financiare të përshtatshme, të mirëshënjestruara, transparente dhe të afta për të përballuar rreziqet e ndryshme</w:t>
            </w:r>
          </w:p>
        </w:tc>
        <w:tc>
          <w:tcPr>
            <w:tcW w:w="1080" w:type="dxa"/>
            <w:shd w:val="clear" w:color="000000" w:fill="FDE9D9"/>
            <w:vAlign w:val="center"/>
            <w:hideMark/>
          </w:tcPr>
          <w:p w14:paraId="615DEC5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6B4182E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FDE9D9"/>
            <w:vAlign w:val="center"/>
            <w:hideMark/>
          </w:tcPr>
          <w:p w14:paraId="4B48A17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FDE9D9"/>
            <w:vAlign w:val="center"/>
            <w:hideMark/>
          </w:tcPr>
          <w:p w14:paraId="3C66B36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SHSSH/INSTAT</w:t>
            </w:r>
          </w:p>
        </w:tc>
        <w:tc>
          <w:tcPr>
            <w:tcW w:w="1110" w:type="dxa"/>
            <w:gridSpan w:val="2"/>
            <w:shd w:val="clear" w:color="000000" w:fill="FDE9D9"/>
            <w:noWrap/>
            <w:vAlign w:val="center"/>
            <w:hideMark/>
          </w:tcPr>
          <w:p w14:paraId="4AFE906D" w14:textId="1D0F66C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1,259</w:t>
            </w:r>
          </w:p>
        </w:tc>
        <w:tc>
          <w:tcPr>
            <w:tcW w:w="1110" w:type="dxa"/>
            <w:gridSpan w:val="3"/>
            <w:shd w:val="clear" w:color="000000" w:fill="FDE9D9"/>
            <w:noWrap/>
            <w:vAlign w:val="center"/>
            <w:hideMark/>
          </w:tcPr>
          <w:p w14:paraId="22F77D0B" w14:textId="6D44ADE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8,109</w:t>
            </w:r>
          </w:p>
        </w:tc>
        <w:tc>
          <w:tcPr>
            <w:tcW w:w="1110" w:type="dxa"/>
            <w:gridSpan w:val="2"/>
            <w:shd w:val="clear" w:color="000000" w:fill="FDE9D9"/>
            <w:noWrap/>
            <w:vAlign w:val="center"/>
            <w:hideMark/>
          </w:tcPr>
          <w:p w14:paraId="0B84C180" w14:textId="3E7141B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9,795</w:t>
            </w:r>
          </w:p>
        </w:tc>
        <w:tc>
          <w:tcPr>
            <w:tcW w:w="1110" w:type="dxa"/>
            <w:shd w:val="clear" w:color="000000" w:fill="FDE9D9"/>
            <w:noWrap/>
            <w:vAlign w:val="center"/>
            <w:hideMark/>
          </w:tcPr>
          <w:p w14:paraId="7F000F4E" w14:textId="6F22527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9,285</w:t>
            </w:r>
          </w:p>
        </w:tc>
        <w:tc>
          <w:tcPr>
            <w:tcW w:w="818" w:type="dxa"/>
            <w:gridSpan w:val="2"/>
            <w:shd w:val="clear" w:color="000000" w:fill="FDE9D9"/>
            <w:noWrap/>
            <w:vAlign w:val="center"/>
            <w:hideMark/>
          </w:tcPr>
          <w:p w14:paraId="4058324D" w14:textId="2D7C7DE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8,985</w:t>
            </w:r>
          </w:p>
        </w:tc>
      </w:tr>
      <w:tr w:rsidR="004D73D3" w:rsidRPr="0048716F" w14:paraId="219F169E" w14:textId="77777777" w:rsidTr="00597AD8">
        <w:trPr>
          <w:trHeight w:val="1656"/>
        </w:trPr>
        <w:tc>
          <w:tcPr>
            <w:tcW w:w="3885" w:type="dxa"/>
            <w:shd w:val="clear" w:color="000000" w:fill="DCE6F1"/>
            <w:hideMark/>
          </w:tcPr>
          <w:p w14:paraId="7F6AD2AF"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1.1. Konsolidimi dhe përmirësimi i skemës së pagesave të aftësisë së kufizuar, për të garantuar rritjen e masës së përfitimit, për të mbuluar kostot që lidhen me aftësinë e kufizuar, por edhe skemave të  tjera mbështetëse financiare (NE etj) për të garantuar akses, mbështetje për personat me aftësi të kufizuara dhe familjarët e tyre me ndikim zbutjen e varfërisë dhe pabarazisë</w:t>
            </w:r>
          </w:p>
        </w:tc>
        <w:tc>
          <w:tcPr>
            <w:tcW w:w="1080" w:type="dxa"/>
            <w:shd w:val="clear" w:color="000000" w:fill="DCE6F1"/>
            <w:hideMark/>
          </w:tcPr>
          <w:p w14:paraId="4021753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5E9B942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118E903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253EE90B"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SHSSH/INSTA</w:t>
            </w:r>
          </w:p>
        </w:tc>
        <w:tc>
          <w:tcPr>
            <w:tcW w:w="1110" w:type="dxa"/>
            <w:gridSpan w:val="2"/>
            <w:shd w:val="clear" w:color="000000" w:fill="DCE6F1"/>
            <w:hideMark/>
          </w:tcPr>
          <w:p w14:paraId="797F0FC7" w14:textId="5C71B5E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DCE6F1"/>
            <w:hideMark/>
          </w:tcPr>
          <w:p w14:paraId="1A8D3BC2" w14:textId="14881AE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500</w:t>
            </w:r>
          </w:p>
        </w:tc>
        <w:tc>
          <w:tcPr>
            <w:tcW w:w="1110" w:type="dxa"/>
            <w:gridSpan w:val="2"/>
            <w:shd w:val="clear" w:color="000000" w:fill="DCE6F1"/>
            <w:hideMark/>
          </w:tcPr>
          <w:p w14:paraId="373A3BB2" w14:textId="59A3F50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300</w:t>
            </w:r>
          </w:p>
        </w:tc>
        <w:tc>
          <w:tcPr>
            <w:tcW w:w="1110" w:type="dxa"/>
            <w:shd w:val="clear" w:color="000000" w:fill="DCE6F1"/>
            <w:hideMark/>
          </w:tcPr>
          <w:p w14:paraId="5010FAAC" w14:textId="558A36F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990</w:t>
            </w:r>
          </w:p>
        </w:tc>
        <w:tc>
          <w:tcPr>
            <w:tcW w:w="818" w:type="dxa"/>
            <w:gridSpan w:val="2"/>
            <w:shd w:val="clear" w:color="000000" w:fill="DCE6F1"/>
            <w:hideMark/>
          </w:tcPr>
          <w:p w14:paraId="366D7E9D" w14:textId="7A522E9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690</w:t>
            </w:r>
          </w:p>
        </w:tc>
      </w:tr>
      <w:tr w:rsidR="004D73D3" w:rsidRPr="0048716F" w14:paraId="48DFE3E1" w14:textId="77777777" w:rsidTr="00597AD8">
        <w:trPr>
          <w:trHeight w:val="528"/>
        </w:trPr>
        <w:tc>
          <w:tcPr>
            <w:tcW w:w="3885" w:type="dxa"/>
            <w:vAlign w:val="center"/>
            <w:hideMark/>
          </w:tcPr>
          <w:p w14:paraId="6F336D1C"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1.1.1.Ndërtimi i një mekanizmi vjetor për rishikimin/indeksimin e masës së përfitimit të aftësisë së kufizuar (Ndërhyrja A2.1.4 SMS);</w:t>
            </w:r>
          </w:p>
        </w:tc>
        <w:tc>
          <w:tcPr>
            <w:tcW w:w="1080" w:type="dxa"/>
            <w:hideMark/>
          </w:tcPr>
          <w:p w14:paraId="22EDB07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139801F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49909C8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4BD0BBAE"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21BCF29B" w14:textId="6CB5D55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8B3E977" w14:textId="4AC1AEB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9106D2B" w14:textId="4B8AA0E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638FCE2" w14:textId="2D46C2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34A6A61" w14:textId="64E4747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9135E19" w14:textId="77777777" w:rsidTr="00597AD8">
        <w:trPr>
          <w:trHeight w:val="1320"/>
        </w:trPr>
        <w:tc>
          <w:tcPr>
            <w:tcW w:w="3885" w:type="dxa"/>
            <w:noWrap/>
            <w:hideMark/>
          </w:tcPr>
          <w:p w14:paraId="50360402" w14:textId="2B53D6CA"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1.1.2. Përfshirja e indikatorëve të aftësisë së kufizuar në Anketat e të Ardhurave të Nivelit të Jetesës për të matur nivelin e varfërisë tek personat me aftësi të kufizuara e familjet e tyre; Realizimi i raporteve periodike mbi nivelin e varfërisë brenda popullatës së njerëzve me aftësi të kufizuara dhe familjarëve të tyre (Ndërhyrja A2.1.16 SMS);</w:t>
            </w:r>
          </w:p>
        </w:tc>
        <w:tc>
          <w:tcPr>
            <w:tcW w:w="1080" w:type="dxa"/>
            <w:hideMark/>
          </w:tcPr>
          <w:p w14:paraId="43448F5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383B51B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2029</w:t>
            </w:r>
          </w:p>
        </w:tc>
        <w:tc>
          <w:tcPr>
            <w:tcW w:w="1411" w:type="dxa"/>
            <w:vAlign w:val="center"/>
            <w:hideMark/>
          </w:tcPr>
          <w:p w14:paraId="56BBEA1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2118A05"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INSTAT</w:t>
            </w:r>
          </w:p>
        </w:tc>
        <w:tc>
          <w:tcPr>
            <w:tcW w:w="1110" w:type="dxa"/>
            <w:gridSpan w:val="2"/>
            <w:hideMark/>
          </w:tcPr>
          <w:p w14:paraId="75E8A4B9" w14:textId="6F95DA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9045547" w14:textId="0F50431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3648702B" w14:textId="734F66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hideMark/>
          </w:tcPr>
          <w:p w14:paraId="1403E057" w14:textId="688B28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818" w:type="dxa"/>
            <w:gridSpan w:val="2"/>
            <w:hideMark/>
          </w:tcPr>
          <w:p w14:paraId="73C21E5A" w14:textId="3E350FB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874347E" w14:textId="77777777" w:rsidTr="00597AD8">
        <w:trPr>
          <w:trHeight w:val="528"/>
        </w:trPr>
        <w:tc>
          <w:tcPr>
            <w:tcW w:w="3885" w:type="dxa"/>
            <w:noWrap/>
            <w:hideMark/>
          </w:tcPr>
          <w:p w14:paraId="770DEB93"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1.1.3. Analizë për ofrimin e shërbimeve mbështetëse për personat me aftësi të kufizuara gjatë krizave apo emergjencave civile (A2.1.8 SMS);</w:t>
            </w:r>
          </w:p>
        </w:tc>
        <w:tc>
          <w:tcPr>
            <w:tcW w:w="1080" w:type="dxa"/>
            <w:hideMark/>
          </w:tcPr>
          <w:p w14:paraId="6C13686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3F9916F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6F1258E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2DE9234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63FA5B30" w14:textId="0A60C3F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68933D4" w14:textId="535485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8961B5E" w14:textId="4CCFB08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1A4A657" w14:textId="3C3E6B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48E0C21" w14:textId="7B1025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B9DC37F" w14:textId="77777777" w:rsidTr="00597AD8">
        <w:trPr>
          <w:trHeight w:val="792"/>
        </w:trPr>
        <w:tc>
          <w:tcPr>
            <w:tcW w:w="3885" w:type="dxa"/>
            <w:noWrap/>
            <w:hideMark/>
          </w:tcPr>
          <w:p w14:paraId="3D0E8BD5"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1.1.4.Përgatitja e udhëzuesve me qëllim krijimin e skemave fleksibël të mbështetjes financiare në raste emergjencash (fatkeqësi natyrore, kriza shëndetësore, zhvendosje), me prioritizim të personave me aftësi të kufizuara;</w:t>
            </w:r>
          </w:p>
        </w:tc>
        <w:tc>
          <w:tcPr>
            <w:tcW w:w="1080" w:type="dxa"/>
            <w:hideMark/>
          </w:tcPr>
          <w:p w14:paraId="72173DD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00AC950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77DD4C3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7FC18F54"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3FA47B7B" w14:textId="0984C3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422022A" w14:textId="5A7366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7B9CEFD" w14:textId="1784BB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E468F8F" w14:textId="506DCC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690</w:t>
            </w:r>
          </w:p>
        </w:tc>
        <w:tc>
          <w:tcPr>
            <w:tcW w:w="818" w:type="dxa"/>
            <w:gridSpan w:val="2"/>
            <w:hideMark/>
          </w:tcPr>
          <w:p w14:paraId="33FE3E03" w14:textId="04F6D3B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690</w:t>
            </w:r>
          </w:p>
        </w:tc>
      </w:tr>
      <w:tr w:rsidR="004D73D3" w:rsidRPr="0048716F" w14:paraId="43E151F7" w14:textId="77777777" w:rsidTr="00597AD8">
        <w:trPr>
          <w:trHeight w:val="528"/>
        </w:trPr>
        <w:tc>
          <w:tcPr>
            <w:tcW w:w="3885" w:type="dxa"/>
            <w:noWrap/>
            <w:hideMark/>
          </w:tcPr>
          <w:p w14:paraId="2E61A0C6"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1.1.5. 1.1.5. Mbështetja me skemën financiare të personave me aftësi të kufizuara (A.2.1.4 në SMS)</w:t>
            </w:r>
          </w:p>
        </w:tc>
        <w:tc>
          <w:tcPr>
            <w:tcW w:w="1080" w:type="dxa"/>
            <w:hideMark/>
          </w:tcPr>
          <w:p w14:paraId="7261AA4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27CDC07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1B5DF6F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7ED92C9C"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6C9161AB" w14:textId="15E414C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05CC6D9" w14:textId="573B4F1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24531B3" w14:textId="774A93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39062B6" w14:textId="3542601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527D348" w14:textId="678314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9C71EA3" w14:textId="77777777" w:rsidTr="00597AD8">
        <w:trPr>
          <w:trHeight w:val="936"/>
        </w:trPr>
        <w:tc>
          <w:tcPr>
            <w:tcW w:w="3885" w:type="dxa"/>
            <w:shd w:val="clear" w:color="000000" w:fill="B8CCE4"/>
            <w:noWrap/>
            <w:hideMark/>
          </w:tcPr>
          <w:p w14:paraId="36123E48"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1.2. Konsolidimi i vlerësimit bio-psikosocial të aftësisë së kufizuar me qëllim adresimin efektiv dhe të përgjegjshëm gjinor të nevojave individuale të tyre.</w:t>
            </w:r>
          </w:p>
        </w:tc>
        <w:tc>
          <w:tcPr>
            <w:tcW w:w="1080" w:type="dxa"/>
            <w:shd w:val="clear" w:color="000000" w:fill="B8CCE4"/>
            <w:hideMark/>
          </w:tcPr>
          <w:p w14:paraId="74EC29EB"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2026</w:t>
            </w:r>
          </w:p>
        </w:tc>
        <w:tc>
          <w:tcPr>
            <w:tcW w:w="1260" w:type="dxa"/>
            <w:shd w:val="clear" w:color="000000" w:fill="B8CCE4"/>
            <w:hideMark/>
          </w:tcPr>
          <w:p w14:paraId="23110D71"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eastAsia="en-US"/>
              </w:rPr>
              <w:t>2030</w:t>
            </w:r>
          </w:p>
        </w:tc>
        <w:tc>
          <w:tcPr>
            <w:tcW w:w="1411" w:type="dxa"/>
            <w:shd w:val="clear" w:color="000000" w:fill="B8CCE4"/>
            <w:vAlign w:val="center"/>
            <w:hideMark/>
          </w:tcPr>
          <w:p w14:paraId="603D5F4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B8CCE4"/>
            <w:vAlign w:val="center"/>
            <w:hideMark/>
          </w:tcPr>
          <w:p w14:paraId="2D7CD540"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shd w:val="clear" w:color="000000" w:fill="B8CCE4"/>
            <w:hideMark/>
          </w:tcPr>
          <w:p w14:paraId="290DC368" w14:textId="48254EE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1,259</w:t>
            </w:r>
          </w:p>
        </w:tc>
        <w:tc>
          <w:tcPr>
            <w:tcW w:w="1110" w:type="dxa"/>
            <w:gridSpan w:val="3"/>
            <w:shd w:val="clear" w:color="000000" w:fill="B8CCE4"/>
            <w:hideMark/>
          </w:tcPr>
          <w:p w14:paraId="100E2761" w14:textId="4149A5E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7,609</w:t>
            </w:r>
          </w:p>
        </w:tc>
        <w:tc>
          <w:tcPr>
            <w:tcW w:w="1110" w:type="dxa"/>
            <w:gridSpan w:val="2"/>
            <w:shd w:val="clear" w:color="000000" w:fill="B8CCE4"/>
            <w:hideMark/>
          </w:tcPr>
          <w:p w14:paraId="0A09695E" w14:textId="6884443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9,495</w:t>
            </w:r>
          </w:p>
        </w:tc>
        <w:tc>
          <w:tcPr>
            <w:tcW w:w="1110" w:type="dxa"/>
            <w:shd w:val="clear" w:color="000000" w:fill="B8CCE4"/>
            <w:hideMark/>
          </w:tcPr>
          <w:p w14:paraId="261BE64F" w14:textId="0A3DD01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8,295</w:t>
            </w:r>
          </w:p>
        </w:tc>
        <w:tc>
          <w:tcPr>
            <w:tcW w:w="818" w:type="dxa"/>
            <w:gridSpan w:val="2"/>
            <w:shd w:val="clear" w:color="000000" w:fill="B8CCE4"/>
            <w:hideMark/>
          </w:tcPr>
          <w:p w14:paraId="175F3028" w14:textId="08CA1FE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8,295</w:t>
            </w:r>
          </w:p>
        </w:tc>
      </w:tr>
      <w:tr w:rsidR="004D73D3" w:rsidRPr="0048716F" w14:paraId="4D1A385D" w14:textId="77777777" w:rsidTr="00597AD8">
        <w:trPr>
          <w:trHeight w:val="1320"/>
        </w:trPr>
        <w:tc>
          <w:tcPr>
            <w:tcW w:w="3885" w:type="dxa"/>
            <w:hideMark/>
          </w:tcPr>
          <w:p w14:paraId="26EF1E3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1.2.1. Analizë periodike e impaktit të skemës së vlerësimit të PAK, përfshirë vlerësimin përmes lenteve gjinore të impaktit te gratë dhe burrat me aftësi të kufizuar, si edhe tek fëmijët me aftësi të kufizuara, me qëllim sugjerime të përmirësimeve lidhur me mirëshënjestrimin, përshtatshmërinë dhe efektivitetin e skemës (Ndërhyrja A2.1.1 SMS) ;</w:t>
            </w:r>
          </w:p>
        </w:tc>
        <w:tc>
          <w:tcPr>
            <w:tcW w:w="1080" w:type="dxa"/>
            <w:hideMark/>
          </w:tcPr>
          <w:p w14:paraId="3E671D5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14DE5C8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2028</w:t>
            </w:r>
          </w:p>
        </w:tc>
        <w:tc>
          <w:tcPr>
            <w:tcW w:w="1411" w:type="dxa"/>
            <w:vAlign w:val="center"/>
            <w:hideMark/>
          </w:tcPr>
          <w:p w14:paraId="319004B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7D122610"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3C4B337E" w14:textId="600AEBA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C033008" w14:textId="428A73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15672C8" w14:textId="2639C93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C7E2E42" w14:textId="6415AED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FC17E61" w14:textId="1DE669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7686E43" w14:textId="77777777" w:rsidTr="00597AD8">
        <w:trPr>
          <w:trHeight w:val="528"/>
        </w:trPr>
        <w:tc>
          <w:tcPr>
            <w:tcW w:w="3885" w:type="dxa"/>
            <w:hideMark/>
          </w:tcPr>
          <w:p w14:paraId="01F11B8F"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1.2.2. Rishikimi i kritereve të vlerësimit bio-psiko-social për të rritur dhe për fëmijë,  në përputhje me aplikimin e ICD 11 në sistemin e shëndetësisë</w:t>
            </w:r>
          </w:p>
        </w:tc>
        <w:tc>
          <w:tcPr>
            <w:tcW w:w="1080" w:type="dxa"/>
            <w:hideMark/>
          </w:tcPr>
          <w:p w14:paraId="19BAF34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3413925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6DE29A4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294675BC"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0F1F6738" w14:textId="3F7EEDD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1110" w:type="dxa"/>
            <w:gridSpan w:val="3"/>
            <w:hideMark/>
          </w:tcPr>
          <w:p w14:paraId="42C7927B" w14:textId="3CBDB9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1110" w:type="dxa"/>
            <w:gridSpan w:val="2"/>
            <w:hideMark/>
          </w:tcPr>
          <w:p w14:paraId="7D4B48EE" w14:textId="32F4338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1110" w:type="dxa"/>
            <w:hideMark/>
          </w:tcPr>
          <w:p w14:paraId="4C39C0E8" w14:textId="21A2FB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818" w:type="dxa"/>
            <w:gridSpan w:val="2"/>
            <w:hideMark/>
          </w:tcPr>
          <w:p w14:paraId="5EAA5414" w14:textId="18684B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r>
      <w:tr w:rsidR="004D73D3" w:rsidRPr="0048716F" w14:paraId="0D335101" w14:textId="77777777" w:rsidTr="00597AD8">
        <w:trPr>
          <w:trHeight w:val="792"/>
        </w:trPr>
        <w:tc>
          <w:tcPr>
            <w:tcW w:w="3885" w:type="dxa"/>
            <w:hideMark/>
          </w:tcPr>
          <w:p w14:paraId="0C5AE8DE"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1.2.3. Përmirësimi i infrastrukturës së vlerësimit të PAK me synim realizimin e aksesueshmërisë në mjediset e vlerësimit, përfshirë atë në informacion e komunikim (A2.1.5 SMS);</w:t>
            </w:r>
          </w:p>
        </w:tc>
        <w:tc>
          <w:tcPr>
            <w:tcW w:w="1080" w:type="dxa"/>
            <w:hideMark/>
          </w:tcPr>
          <w:p w14:paraId="16A44F0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3878E39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0BED63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42DD494"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6D40F340" w14:textId="307913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FC0D502" w14:textId="662E2B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gridSpan w:val="2"/>
            <w:hideMark/>
          </w:tcPr>
          <w:p w14:paraId="53B8AA2E" w14:textId="017C82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hideMark/>
          </w:tcPr>
          <w:p w14:paraId="6E659BAC" w14:textId="1241F5B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818" w:type="dxa"/>
            <w:gridSpan w:val="2"/>
            <w:hideMark/>
          </w:tcPr>
          <w:p w14:paraId="4B120414" w14:textId="3BC929A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r>
      <w:tr w:rsidR="004D73D3" w:rsidRPr="0048716F" w14:paraId="3D93CDC0" w14:textId="77777777" w:rsidTr="00597AD8">
        <w:trPr>
          <w:trHeight w:val="1056"/>
        </w:trPr>
        <w:tc>
          <w:tcPr>
            <w:tcW w:w="3885" w:type="dxa"/>
            <w:hideMark/>
          </w:tcPr>
          <w:p w14:paraId="04B74FC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1.2.4. Rritja e performancës së strukturave zbatuese të reformës së vlerësimit biopsiko-social në nivelin qendror, rajonal dhe lokal (Studim dhe rekomandime për burime njerëzore, trajnim për miradministrim, monitorim, vlerësim) (A.2.1.6 SMS);</w:t>
            </w:r>
          </w:p>
        </w:tc>
        <w:tc>
          <w:tcPr>
            <w:tcW w:w="1080" w:type="dxa"/>
            <w:hideMark/>
          </w:tcPr>
          <w:p w14:paraId="077B886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92C1FA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CC7DDE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A99C223"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37B987EA" w14:textId="7AF3B3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39FF59F" w14:textId="3AF1ACC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A9EB7E5" w14:textId="33B7068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6018B96" w14:textId="3B909A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454A03C" w14:textId="533A912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B4A368E" w14:textId="77777777" w:rsidTr="00597AD8">
        <w:trPr>
          <w:trHeight w:val="1056"/>
        </w:trPr>
        <w:tc>
          <w:tcPr>
            <w:tcW w:w="3885" w:type="dxa"/>
            <w:hideMark/>
          </w:tcPr>
          <w:p w14:paraId="6A49222D"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1.2.5. Rritja e mbështetjes për personat me aftësi të kufizuara, të referuar nga vlerësimi bio psiko social me shërbime mbështetëse (shërbime shoqërore, shërbime të kujdesit shëndetësor, shërbime arsimore, shërbime të formimit të aftësive dhe punësimit, pajisje dhe teknologji ndihmëse) (A2.1.7 SMS);</w:t>
            </w:r>
          </w:p>
        </w:tc>
        <w:tc>
          <w:tcPr>
            <w:tcW w:w="1080" w:type="dxa"/>
            <w:hideMark/>
          </w:tcPr>
          <w:p w14:paraId="12B119F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F3E487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036DC88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25B1D235"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31DA10D3" w14:textId="62230E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5C432C4" w14:textId="66D7AE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2DC40F4" w14:textId="408B6DD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6B48982" w14:textId="28E8B7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70C3B43" w14:textId="0DABDC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78F8BCD" w14:textId="77777777" w:rsidTr="00597AD8">
        <w:trPr>
          <w:trHeight w:val="792"/>
        </w:trPr>
        <w:tc>
          <w:tcPr>
            <w:tcW w:w="3885" w:type="dxa"/>
            <w:hideMark/>
          </w:tcPr>
          <w:p w14:paraId="691BCEC8" w14:textId="1548105A"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1.2.6. Fuqizimi i strukturave  kontrolluese dhe monitoruese (rishikimi i funksioneve dhe burimeve njerëzore, plotësimi i stafeve, trajnimi, etj.) dhe fuqizimi i kapaciteteve të tyre (A2.1.9 SMS);</w:t>
            </w:r>
          </w:p>
        </w:tc>
        <w:tc>
          <w:tcPr>
            <w:tcW w:w="1080" w:type="dxa"/>
            <w:hideMark/>
          </w:tcPr>
          <w:p w14:paraId="6AD8CFC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1AA71E0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8385A4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44ECE855"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4F99CCBC" w14:textId="323D91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A50298D" w14:textId="687F22F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056FD95" w14:textId="46D215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44B2488" w14:textId="3F681C6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1C5425C" w14:textId="34464C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B01141D" w14:textId="77777777" w:rsidTr="00597AD8">
        <w:trPr>
          <w:trHeight w:val="1056"/>
        </w:trPr>
        <w:tc>
          <w:tcPr>
            <w:tcW w:w="3885" w:type="dxa"/>
            <w:hideMark/>
          </w:tcPr>
          <w:p w14:paraId="68F32324" w14:textId="07F1300E"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1.2.7. Përmirësimi i sistemit të manaxhimit të informacionit dhe integrimi i plotë me sistemin e shërbimeve shoqërore, shëndetësore, të arsimit, formimit profesional, punësimit, etj., mbështetur në sugjerimet e analizave periodike (A2.1.10);</w:t>
            </w:r>
          </w:p>
        </w:tc>
        <w:tc>
          <w:tcPr>
            <w:tcW w:w="1080" w:type="dxa"/>
            <w:hideMark/>
          </w:tcPr>
          <w:p w14:paraId="52981CF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260" w:type="dxa"/>
            <w:hideMark/>
          </w:tcPr>
          <w:p w14:paraId="309BA6A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5E55A26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1644DAD6"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6A8BEFCC" w14:textId="3DE9D9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57B5DD2" w14:textId="0500CE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8CB0CAB" w14:textId="4F58D5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0B1CB9E" w14:textId="47BA60E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FDD61E3" w14:textId="1B1AADF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71B312A" w14:textId="77777777" w:rsidTr="00597AD8">
        <w:trPr>
          <w:trHeight w:val="1584"/>
        </w:trPr>
        <w:tc>
          <w:tcPr>
            <w:tcW w:w="3885" w:type="dxa"/>
            <w:hideMark/>
          </w:tcPr>
          <w:p w14:paraId="436D5D6C" w14:textId="69919C86"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 xml:space="preserve">1.2.8.Konsolidimi i Mekanizmit të Referimit të personave me aftësi të kufizuara, me qëllim menaxhimin e integruar të rastit dhe sigurimin e mbështetjes maksimale bazuar në protokolle specifike (kujdes dhe vëmendje e veçantë për gratë dhe vajzat me aftësi të kufizuara, të cilat janë viktima të dhunës gjinore); Krijimi i profileve individuale të shënjestruara të PAK bazuar në </w:t>
            </w:r>
            <w:r w:rsidRPr="0048716F">
              <w:rPr>
                <w:rFonts w:eastAsia="Times New Roman"/>
                <w:sz w:val="18"/>
                <w:szCs w:val="18"/>
                <w:lang w:val="en-US" w:eastAsia="en-US"/>
              </w:rPr>
              <w:lastRenderedPageBreak/>
              <w:t>vlerësimet e ekipeve multidisiplinare, të pasuruara pranë çdo sektori (A2.1.11 SMS);</w:t>
            </w:r>
          </w:p>
        </w:tc>
        <w:tc>
          <w:tcPr>
            <w:tcW w:w="1080" w:type="dxa"/>
            <w:hideMark/>
          </w:tcPr>
          <w:p w14:paraId="55A5DD9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lastRenderedPageBreak/>
              <w:t>2026</w:t>
            </w:r>
          </w:p>
        </w:tc>
        <w:tc>
          <w:tcPr>
            <w:tcW w:w="1260" w:type="dxa"/>
            <w:hideMark/>
          </w:tcPr>
          <w:p w14:paraId="5733A0A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2028</w:t>
            </w:r>
          </w:p>
        </w:tc>
        <w:tc>
          <w:tcPr>
            <w:tcW w:w="1411" w:type="dxa"/>
            <w:vAlign w:val="center"/>
            <w:hideMark/>
          </w:tcPr>
          <w:p w14:paraId="72A737F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141A6D33"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54DC0409" w14:textId="224F21F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850</w:t>
            </w:r>
          </w:p>
        </w:tc>
        <w:tc>
          <w:tcPr>
            <w:tcW w:w="1110" w:type="dxa"/>
            <w:gridSpan w:val="3"/>
            <w:hideMark/>
          </w:tcPr>
          <w:p w14:paraId="1793A430" w14:textId="4A64015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w:t>
            </w:r>
          </w:p>
        </w:tc>
        <w:tc>
          <w:tcPr>
            <w:tcW w:w="1110" w:type="dxa"/>
            <w:gridSpan w:val="2"/>
            <w:hideMark/>
          </w:tcPr>
          <w:p w14:paraId="160E93E4" w14:textId="48E916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w:t>
            </w:r>
          </w:p>
        </w:tc>
        <w:tc>
          <w:tcPr>
            <w:tcW w:w="1110" w:type="dxa"/>
            <w:hideMark/>
          </w:tcPr>
          <w:p w14:paraId="484C4C1F" w14:textId="2489A7C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211273E" w14:textId="3D8CCA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785F022" w14:textId="77777777" w:rsidTr="00597AD8">
        <w:trPr>
          <w:trHeight w:val="792"/>
        </w:trPr>
        <w:tc>
          <w:tcPr>
            <w:tcW w:w="3885" w:type="dxa"/>
            <w:hideMark/>
          </w:tcPr>
          <w:p w14:paraId="493A0893" w14:textId="5D440726"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1.2.9. Zhvillimi i fushatave të komunikimit dhe informimit të vazhdueshëm të aksesueshëm për sistemin e vlerësimit të personave me aftësi të kufizuara dhe dimensionit gjinor të këtij vlerësimi (A2.1.12 SMS);</w:t>
            </w:r>
          </w:p>
        </w:tc>
        <w:tc>
          <w:tcPr>
            <w:tcW w:w="1080" w:type="dxa"/>
            <w:hideMark/>
          </w:tcPr>
          <w:p w14:paraId="5267D3F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743B2EB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D7B7AE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252766CF"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739FDA14" w14:textId="5EBC623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67E2B06" w14:textId="4EFA70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1456576" w14:textId="7E56DD4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E52495E" w14:textId="4187C4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5D56B65" w14:textId="10168F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01E567F" w14:textId="77777777" w:rsidTr="00597AD8">
        <w:trPr>
          <w:trHeight w:val="528"/>
        </w:trPr>
        <w:tc>
          <w:tcPr>
            <w:tcW w:w="3885" w:type="dxa"/>
            <w:hideMark/>
          </w:tcPr>
          <w:p w14:paraId="685A3E83"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1.2.10. Vlerësimi periodik i nivelit të kënaqësisë së përfituesve të aftësisë së kufizuar dhe familjarëve të tyre me skemën e vlerësimit biopsikosocial (A2.1.13);</w:t>
            </w:r>
          </w:p>
        </w:tc>
        <w:tc>
          <w:tcPr>
            <w:tcW w:w="1080" w:type="dxa"/>
            <w:hideMark/>
          </w:tcPr>
          <w:p w14:paraId="691D12A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1B61CCE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1FE051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59164162"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45D73A5F" w14:textId="1C00E79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CE72C52" w14:textId="2528CF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B9C2F82" w14:textId="2294A66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1D799D2" w14:textId="5DBE152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734D00D" w14:textId="37E2525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EA542A5" w14:textId="77777777" w:rsidTr="00597AD8">
        <w:trPr>
          <w:trHeight w:val="528"/>
        </w:trPr>
        <w:tc>
          <w:tcPr>
            <w:tcW w:w="3885" w:type="dxa"/>
            <w:hideMark/>
          </w:tcPr>
          <w:p w14:paraId="26E8FC76"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1.2.11. Analizë mbi praktikat e vlerësimit dhe përfitimeve të të gjitha kategorive të aftësisë së kufizuar (përfshirë gjjininë dhe statuset) (A2.1.14);</w:t>
            </w:r>
          </w:p>
        </w:tc>
        <w:tc>
          <w:tcPr>
            <w:tcW w:w="1080" w:type="dxa"/>
            <w:hideMark/>
          </w:tcPr>
          <w:p w14:paraId="532A08C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0EA0386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39F928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BC5A5E8"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387A6CBB" w14:textId="703762C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BAA054B" w14:textId="0FD6261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499F366" w14:textId="588975A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11B7223" w14:textId="7C3DF5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4F679A4" w14:textId="0F5187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EF69F4A" w14:textId="77777777" w:rsidTr="00597AD8">
        <w:trPr>
          <w:trHeight w:val="528"/>
        </w:trPr>
        <w:tc>
          <w:tcPr>
            <w:tcW w:w="3885" w:type="dxa"/>
            <w:hideMark/>
          </w:tcPr>
          <w:p w14:paraId="24FAAB6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1.2.12. Mbështetje e integruar socio -shëndetësore e familjarëve/kujdestarëve të personave me AK, si edhe, mbështetje për punësim (A2.1.19 SMS).</w:t>
            </w:r>
          </w:p>
        </w:tc>
        <w:tc>
          <w:tcPr>
            <w:tcW w:w="1080" w:type="dxa"/>
            <w:hideMark/>
          </w:tcPr>
          <w:p w14:paraId="3F8D703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3017E9B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206E009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719D5BC"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75295334" w14:textId="19A96BE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D69DDC9" w14:textId="13F3FAB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16E576F" w14:textId="4B49F6D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1,886</w:t>
            </w:r>
          </w:p>
        </w:tc>
        <w:tc>
          <w:tcPr>
            <w:tcW w:w="1110" w:type="dxa"/>
            <w:hideMark/>
          </w:tcPr>
          <w:p w14:paraId="311D4159" w14:textId="0FB2166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1,886</w:t>
            </w:r>
          </w:p>
        </w:tc>
        <w:tc>
          <w:tcPr>
            <w:tcW w:w="818" w:type="dxa"/>
            <w:gridSpan w:val="2"/>
            <w:hideMark/>
          </w:tcPr>
          <w:p w14:paraId="4A60CF1E" w14:textId="40FBD1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1,886</w:t>
            </w:r>
          </w:p>
        </w:tc>
      </w:tr>
      <w:tr w:rsidR="004D73D3" w:rsidRPr="0048716F" w14:paraId="05EB30F4" w14:textId="77777777" w:rsidTr="00597AD8">
        <w:trPr>
          <w:trHeight w:val="792"/>
        </w:trPr>
        <w:tc>
          <w:tcPr>
            <w:tcW w:w="3885" w:type="dxa"/>
            <w:hideMark/>
          </w:tcPr>
          <w:p w14:paraId="5649E19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1.2.13. Trajnimi I personelit të shërbimeve sociale dhe Komisioneve të Vlerësimit të Aftësisë së Kufizuar për bazat e komunikimit efikas me personat që nuk dëgjojnë, përmes ofrimit të trajnimit bazik në Gjuhën e shenjave Shqipe.</w:t>
            </w:r>
          </w:p>
        </w:tc>
        <w:tc>
          <w:tcPr>
            <w:tcW w:w="1080" w:type="dxa"/>
            <w:hideMark/>
          </w:tcPr>
          <w:p w14:paraId="6B5FC2C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53C1431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8376C3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413EA5C3"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1B69FD63" w14:textId="0E291F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C2A86BF" w14:textId="5FAEC91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68027AE" w14:textId="18BBBC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D7EECF7" w14:textId="3B7D38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955A6C2" w14:textId="75A07A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64B3F67" w14:textId="77777777" w:rsidTr="00597AD8">
        <w:trPr>
          <w:trHeight w:val="828"/>
        </w:trPr>
        <w:tc>
          <w:tcPr>
            <w:tcW w:w="3885" w:type="dxa"/>
            <w:shd w:val="clear" w:color="000000" w:fill="FDE9D9"/>
            <w:hideMark/>
          </w:tcPr>
          <w:p w14:paraId="2AC1B744" w14:textId="288694E0"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Objektivi Specifik  2. Zgjerimi i shërbimeve sociale të integruara, të aksesueshme e cilësore si dhe avancimi i deinstitucionalizimit, në partneritet me pushtetin vendor dhe aktorët e tjerë.</w:t>
            </w:r>
          </w:p>
        </w:tc>
        <w:tc>
          <w:tcPr>
            <w:tcW w:w="1080" w:type="dxa"/>
            <w:shd w:val="clear" w:color="000000" w:fill="FDE9D9"/>
            <w:hideMark/>
          </w:tcPr>
          <w:p w14:paraId="64A06F2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79D47DD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FDE9D9"/>
            <w:vAlign w:val="center"/>
            <w:hideMark/>
          </w:tcPr>
          <w:p w14:paraId="67EC58B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MSHMS/ASCK</w:t>
            </w:r>
          </w:p>
        </w:tc>
        <w:tc>
          <w:tcPr>
            <w:tcW w:w="1521" w:type="dxa"/>
            <w:gridSpan w:val="2"/>
            <w:shd w:val="clear" w:color="000000" w:fill="FDE9D9"/>
            <w:vAlign w:val="center"/>
            <w:hideMark/>
          </w:tcPr>
          <w:p w14:paraId="7113C2A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shd w:val="clear" w:color="000000" w:fill="FDE9D9"/>
            <w:hideMark/>
          </w:tcPr>
          <w:p w14:paraId="1E20B6DA" w14:textId="74E243C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9,760</w:t>
            </w:r>
          </w:p>
        </w:tc>
        <w:tc>
          <w:tcPr>
            <w:tcW w:w="1110" w:type="dxa"/>
            <w:gridSpan w:val="3"/>
            <w:shd w:val="clear" w:color="000000" w:fill="FDE9D9"/>
            <w:hideMark/>
          </w:tcPr>
          <w:p w14:paraId="681385A9" w14:textId="0347EBD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13,005</w:t>
            </w:r>
          </w:p>
        </w:tc>
        <w:tc>
          <w:tcPr>
            <w:tcW w:w="1110" w:type="dxa"/>
            <w:gridSpan w:val="2"/>
            <w:shd w:val="clear" w:color="000000" w:fill="FDE9D9"/>
            <w:hideMark/>
          </w:tcPr>
          <w:p w14:paraId="4FFB94A3" w14:textId="2DDB90C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16,110</w:t>
            </w:r>
          </w:p>
        </w:tc>
        <w:tc>
          <w:tcPr>
            <w:tcW w:w="1110" w:type="dxa"/>
            <w:shd w:val="clear" w:color="000000" w:fill="FDE9D9"/>
            <w:hideMark/>
          </w:tcPr>
          <w:p w14:paraId="01820ECE" w14:textId="4A3E694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14,160</w:t>
            </w:r>
          </w:p>
        </w:tc>
        <w:tc>
          <w:tcPr>
            <w:tcW w:w="818" w:type="dxa"/>
            <w:gridSpan w:val="2"/>
            <w:shd w:val="clear" w:color="000000" w:fill="FDE9D9"/>
            <w:hideMark/>
          </w:tcPr>
          <w:p w14:paraId="757EA34A" w14:textId="18897F3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15,024</w:t>
            </w:r>
          </w:p>
        </w:tc>
      </w:tr>
      <w:tr w:rsidR="004D73D3" w:rsidRPr="0048716F" w14:paraId="7DA06549" w14:textId="77777777" w:rsidTr="00597AD8">
        <w:trPr>
          <w:trHeight w:val="1104"/>
        </w:trPr>
        <w:tc>
          <w:tcPr>
            <w:tcW w:w="3885" w:type="dxa"/>
            <w:shd w:val="clear" w:color="000000" w:fill="DCE6F1"/>
            <w:hideMark/>
          </w:tcPr>
          <w:p w14:paraId="5FCC1879"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2.1: Rishikimi dhe konsolidimi i kuadrit rregullator ligjor dhe institucional për mundësimin e shërbimeve të përkujdesit shoqëror për personat me aftësi të kufizuara, udhëhequr nga parimet e qasjes duale dhe shërbimeve gjatë gjithë ciklit të jetës.</w:t>
            </w:r>
          </w:p>
        </w:tc>
        <w:tc>
          <w:tcPr>
            <w:tcW w:w="1080" w:type="dxa"/>
            <w:shd w:val="clear" w:color="000000" w:fill="DCE6F1"/>
            <w:hideMark/>
          </w:tcPr>
          <w:p w14:paraId="33D3D3C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6070D38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6370F3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7F34E52A"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shd w:val="clear" w:color="000000" w:fill="C5D9F1"/>
            <w:noWrap/>
            <w:hideMark/>
          </w:tcPr>
          <w:p w14:paraId="2B4866CF" w14:textId="312D1C2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9,760</w:t>
            </w:r>
          </w:p>
        </w:tc>
        <w:tc>
          <w:tcPr>
            <w:tcW w:w="1110" w:type="dxa"/>
            <w:gridSpan w:val="3"/>
            <w:shd w:val="clear" w:color="000000" w:fill="C5D9F1"/>
            <w:noWrap/>
            <w:hideMark/>
          </w:tcPr>
          <w:p w14:paraId="139CD1EB" w14:textId="084622C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13,005</w:t>
            </w:r>
          </w:p>
        </w:tc>
        <w:tc>
          <w:tcPr>
            <w:tcW w:w="1110" w:type="dxa"/>
            <w:gridSpan w:val="2"/>
            <w:shd w:val="clear" w:color="000000" w:fill="C5D9F1"/>
            <w:noWrap/>
            <w:hideMark/>
          </w:tcPr>
          <w:p w14:paraId="022DD920" w14:textId="6DDB965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16,110</w:t>
            </w:r>
          </w:p>
        </w:tc>
        <w:tc>
          <w:tcPr>
            <w:tcW w:w="1110" w:type="dxa"/>
            <w:shd w:val="clear" w:color="000000" w:fill="C5D9F1"/>
            <w:noWrap/>
            <w:hideMark/>
          </w:tcPr>
          <w:p w14:paraId="33EF4F4E" w14:textId="2FC3E89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14,160</w:t>
            </w:r>
          </w:p>
        </w:tc>
        <w:tc>
          <w:tcPr>
            <w:tcW w:w="818" w:type="dxa"/>
            <w:gridSpan w:val="2"/>
            <w:shd w:val="clear" w:color="000000" w:fill="C5D9F1"/>
            <w:noWrap/>
            <w:hideMark/>
          </w:tcPr>
          <w:p w14:paraId="7EC24365" w14:textId="0D980B7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15,024</w:t>
            </w:r>
          </w:p>
        </w:tc>
      </w:tr>
      <w:tr w:rsidR="004D73D3" w:rsidRPr="0048716F" w14:paraId="58733C90" w14:textId="77777777" w:rsidTr="00597AD8">
        <w:trPr>
          <w:trHeight w:val="1056"/>
        </w:trPr>
        <w:tc>
          <w:tcPr>
            <w:tcW w:w="3885" w:type="dxa"/>
            <w:noWrap/>
            <w:hideMark/>
          </w:tcPr>
          <w:p w14:paraId="0D5A9B6E"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2.1.1. Përmirësimi i protokolleve dhe procedurave operacionale të referimeve nga komisionet biopsikosociale të vlerësimit të aftësisë së kufizuar, me qëllim përmirësimin e ndërveprimit për menaxhimin e integruar të rastit nga cdo institucion dhe/ apo shërbim i referuar;</w:t>
            </w:r>
          </w:p>
        </w:tc>
        <w:tc>
          <w:tcPr>
            <w:tcW w:w="1080" w:type="dxa"/>
            <w:hideMark/>
          </w:tcPr>
          <w:p w14:paraId="680992D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52523D2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2029</w:t>
            </w:r>
          </w:p>
        </w:tc>
        <w:tc>
          <w:tcPr>
            <w:tcW w:w="1411" w:type="dxa"/>
            <w:vAlign w:val="center"/>
            <w:hideMark/>
          </w:tcPr>
          <w:p w14:paraId="3802051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40896AF1"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72D86C80" w14:textId="28776EA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3C7593E" w14:textId="776646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1,086</w:t>
            </w:r>
          </w:p>
        </w:tc>
        <w:tc>
          <w:tcPr>
            <w:tcW w:w="1110" w:type="dxa"/>
            <w:gridSpan w:val="2"/>
            <w:hideMark/>
          </w:tcPr>
          <w:p w14:paraId="41B78B32" w14:textId="73F867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1,086</w:t>
            </w:r>
          </w:p>
        </w:tc>
        <w:tc>
          <w:tcPr>
            <w:tcW w:w="1110" w:type="dxa"/>
            <w:hideMark/>
          </w:tcPr>
          <w:p w14:paraId="3963D7C1" w14:textId="6F04A5F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1,086</w:t>
            </w:r>
          </w:p>
        </w:tc>
        <w:tc>
          <w:tcPr>
            <w:tcW w:w="818" w:type="dxa"/>
            <w:gridSpan w:val="2"/>
            <w:hideMark/>
          </w:tcPr>
          <w:p w14:paraId="4658D1BE" w14:textId="1B782F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81882B4" w14:textId="77777777" w:rsidTr="00597AD8">
        <w:trPr>
          <w:trHeight w:val="792"/>
        </w:trPr>
        <w:tc>
          <w:tcPr>
            <w:tcW w:w="3885" w:type="dxa"/>
            <w:noWrap/>
            <w:hideMark/>
          </w:tcPr>
          <w:p w14:paraId="57E758A5" w14:textId="6CC9F149"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2.1.2. Vlerësim i situatës së fëmijëve dhe të rriturve me aftësi të kufizuara për shërbime alternative, përfshirë skenarët e mundshëm, planet individuale dhe kostimin (B3.2.1. SMS);</w:t>
            </w:r>
          </w:p>
        </w:tc>
        <w:tc>
          <w:tcPr>
            <w:tcW w:w="1080" w:type="dxa"/>
            <w:hideMark/>
          </w:tcPr>
          <w:p w14:paraId="6140A73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085B5A0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39858E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7696E0B7"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1537CE09" w14:textId="50FBB3B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8E7E4FF" w14:textId="4BE4428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348C72F" w14:textId="1E01927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A0E008E" w14:textId="1C3CAE9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638476A" w14:textId="7A1B0EC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71BA670" w14:textId="77777777" w:rsidTr="00597AD8">
        <w:trPr>
          <w:trHeight w:val="188"/>
        </w:trPr>
        <w:tc>
          <w:tcPr>
            <w:tcW w:w="3885" w:type="dxa"/>
            <w:hideMark/>
          </w:tcPr>
          <w:p w14:paraId="4F5AFB05" w14:textId="7B11F533" w:rsidR="004D73D3" w:rsidRPr="0048716F" w:rsidRDefault="004D73D3" w:rsidP="0048716F">
            <w:pPr>
              <w:jc w:val="both"/>
              <w:rPr>
                <w:rFonts w:eastAsia="Times New Roman"/>
                <w:sz w:val="18"/>
                <w:szCs w:val="18"/>
                <w:lang w:val="en-US" w:eastAsia="en-US"/>
              </w:rPr>
            </w:pPr>
          </w:p>
        </w:tc>
        <w:tc>
          <w:tcPr>
            <w:tcW w:w="1080" w:type="dxa"/>
            <w:hideMark/>
          </w:tcPr>
          <w:p w14:paraId="705CE187" w14:textId="7AF8A5BA" w:rsidR="004D73D3" w:rsidRPr="0048716F" w:rsidRDefault="004D73D3" w:rsidP="0048716F">
            <w:pPr>
              <w:jc w:val="both"/>
              <w:rPr>
                <w:rFonts w:eastAsia="Times New Roman"/>
                <w:b/>
                <w:bCs/>
                <w:i/>
                <w:iCs/>
                <w:color w:val="000000"/>
                <w:sz w:val="18"/>
                <w:szCs w:val="18"/>
                <w:lang w:val="en-US" w:eastAsia="en-US"/>
              </w:rPr>
            </w:pPr>
          </w:p>
        </w:tc>
        <w:tc>
          <w:tcPr>
            <w:tcW w:w="1260" w:type="dxa"/>
            <w:hideMark/>
          </w:tcPr>
          <w:p w14:paraId="3644FBC5" w14:textId="2FFAC8AF" w:rsidR="004D73D3" w:rsidRPr="0048716F" w:rsidRDefault="004D73D3" w:rsidP="0048716F">
            <w:pPr>
              <w:jc w:val="both"/>
              <w:rPr>
                <w:rFonts w:eastAsia="Times New Roman"/>
                <w:b/>
                <w:bCs/>
                <w:i/>
                <w:iCs/>
                <w:color w:val="000000"/>
                <w:sz w:val="18"/>
                <w:szCs w:val="18"/>
                <w:lang w:val="en-US" w:eastAsia="en-US"/>
              </w:rPr>
            </w:pPr>
          </w:p>
        </w:tc>
        <w:tc>
          <w:tcPr>
            <w:tcW w:w="1411" w:type="dxa"/>
            <w:vAlign w:val="center"/>
            <w:hideMark/>
          </w:tcPr>
          <w:p w14:paraId="0F7B747C" w14:textId="42F19BA5" w:rsidR="004D73D3" w:rsidRPr="0048716F" w:rsidRDefault="004D73D3" w:rsidP="0048716F">
            <w:pPr>
              <w:jc w:val="both"/>
              <w:rPr>
                <w:rFonts w:eastAsia="Times New Roman"/>
                <w:color w:val="000000"/>
                <w:sz w:val="18"/>
                <w:szCs w:val="18"/>
                <w:lang w:val="en-US" w:eastAsia="en-US"/>
              </w:rPr>
            </w:pPr>
          </w:p>
        </w:tc>
        <w:tc>
          <w:tcPr>
            <w:tcW w:w="1521" w:type="dxa"/>
            <w:gridSpan w:val="2"/>
            <w:vAlign w:val="center"/>
            <w:hideMark/>
          </w:tcPr>
          <w:p w14:paraId="0E306A34" w14:textId="49ECDA03" w:rsidR="004D73D3" w:rsidRPr="0048716F" w:rsidRDefault="004D73D3" w:rsidP="00597AD8">
            <w:pPr>
              <w:rPr>
                <w:rFonts w:eastAsia="Times New Roman"/>
                <w:color w:val="000000"/>
                <w:sz w:val="18"/>
                <w:szCs w:val="18"/>
                <w:lang w:val="en-US" w:eastAsia="en-US"/>
              </w:rPr>
            </w:pPr>
          </w:p>
        </w:tc>
        <w:tc>
          <w:tcPr>
            <w:tcW w:w="1110" w:type="dxa"/>
            <w:gridSpan w:val="2"/>
            <w:hideMark/>
          </w:tcPr>
          <w:p w14:paraId="7267065C" w14:textId="7949DEB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56BDD79" w14:textId="3F757DE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61C53EE" w14:textId="3BEA45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7CCBDBB" w14:textId="3F11F5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4979AD5" w14:textId="396D39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13714A2" w14:textId="77777777" w:rsidTr="00597AD8">
        <w:trPr>
          <w:trHeight w:val="528"/>
        </w:trPr>
        <w:tc>
          <w:tcPr>
            <w:tcW w:w="3885" w:type="dxa"/>
            <w:noWrap/>
            <w:hideMark/>
          </w:tcPr>
          <w:p w14:paraId="1ACCCDFD"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2.1.3. Mbështetja dhe zgjerimi i shërbimeve lëvizëse të specializuara, por edhe online, në zonat e largëta e pa shërbime me ndihmës profesionalë (B.3.2.4 SMS);</w:t>
            </w:r>
          </w:p>
        </w:tc>
        <w:tc>
          <w:tcPr>
            <w:tcW w:w="1080" w:type="dxa"/>
            <w:hideMark/>
          </w:tcPr>
          <w:p w14:paraId="3E07185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313D624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AEFF8C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32728CF"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10554A1F" w14:textId="56CC647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3092E3A" w14:textId="3F8E541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23F42F0" w14:textId="193315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FF798D3" w14:textId="75E85E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8AEB3DD" w14:textId="0438547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210FD08" w14:textId="77777777" w:rsidTr="00597AD8">
        <w:trPr>
          <w:trHeight w:val="792"/>
        </w:trPr>
        <w:tc>
          <w:tcPr>
            <w:tcW w:w="3885" w:type="dxa"/>
            <w:noWrap/>
            <w:hideMark/>
          </w:tcPr>
          <w:p w14:paraId="091F3B2F"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2.1.5. Zgjerimi i shërbimeve të ndërhyrjes së hershme, ditore, rehabilituese, psikosociale, këshillimore dhe mbështetëse në komunitet, të përshtatura për fëmijët, adoleshentët, të rrituritme aftesi te kufizuara. B 3.2.4-B.3.2.6</w:t>
            </w:r>
          </w:p>
        </w:tc>
        <w:tc>
          <w:tcPr>
            <w:tcW w:w="1080" w:type="dxa"/>
            <w:hideMark/>
          </w:tcPr>
          <w:p w14:paraId="0E2E339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1D7F216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131EAB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6306A7C7"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115F5EB4" w14:textId="7EB8D0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2C0D7F7" w14:textId="0969DE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B29D788" w14:textId="5FF2B1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F3E23BE" w14:textId="37F20DE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DEE17B9" w14:textId="4DF027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F5F1F6A" w14:textId="77777777" w:rsidTr="00597AD8">
        <w:trPr>
          <w:trHeight w:val="528"/>
        </w:trPr>
        <w:tc>
          <w:tcPr>
            <w:tcW w:w="3885" w:type="dxa"/>
            <w:hideMark/>
          </w:tcPr>
          <w:p w14:paraId="40C7FA3E"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2.1.6. Mbështetja e ngritjes së modelit të kujdestarisë alternative  per femijet me aftesi te kufizuara (B.3.2.3 SMS);</w:t>
            </w:r>
          </w:p>
        </w:tc>
        <w:tc>
          <w:tcPr>
            <w:tcW w:w="1080" w:type="dxa"/>
            <w:hideMark/>
          </w:tcPr>
          <w:p w14:paraId="52D7EA4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044544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18620C8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48642C6"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2DBC6937" w14:textId="472B38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01D412B" w14:textId="17BA25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D59CE75" w14:textId="714D58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952556B" w14:textId="51C85E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6A3A789" w14:textId="420A943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A22A175" w14:textId="77777777" w:rsidTr="00597AD8">
        <w:trPr>
          <w:trHeight w:val="792"/>
        </w:trPr>
        <w:tc>
          <w:tcPr>
            <w:tcW w:w="3885" w:type="dxa"/>
            <w:noWrap/>
            <w:hideMark/>
          </w:tcPr>
          <w:p w14:paraId="5F450DE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2.1.6.Ofrimi i kujdesit/shërbimeve për prindërit dhe familjen e personave me aftësi të kufizuara në komunitetet ku ata jetojnë, përfshirë inicimin e shërbimit të Respite Care (B.3.2.5 SMS);</w:t>
            </w:r>
          </w:p>
        </w:tc>
        <w:tc>
          <w:tcPr>
            <w:tcW w:w="1080" w:type="dxa"/>
            <w:hideMark/>
          </w:tcPr>
          <w:p w14:paraId="773271E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6548FD8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C3387C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1FEBAAD1"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2F04D424" w14:textId="3DA6091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74B361A" w14:textId="6470BED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B677928" w14:textId="7C647DD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B9FDB15" w14:textId="702207F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EA48F85" w14:textId="6997001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48C4A7A" w14:textId="77777777" w:rsidTr="00597AD8">
        <w:trPr>
          <w:trHeight w:val="792"/>
        </w:trPr>
        <w:tc>
          <w:tcPr>
            <w:tcW w:w="3885" w:type="dxa"/>
            <w:noWrap/>
            <w:hideMark/>
          </w:tcPr>
          <w:p w14:paraId="0D98CB9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2.1.7.Mbështetja për ngritjen e shërbimeve shtëpi familje në komunitet për të rriturit e vetmuar me aftësi të kufizuara dhe në prag institucionalizimi (B.3.2.6 SMS);</w:t>
            </w:r>
          </w:p>
        </w:tc>
        <w:tc>
          <w:tcPr>
            <w:tcW w:w="1080" w:type="dxa"/>
            <w:hideMark/>
          </w:tcPr>
          <w:p w14:paraId="39C626C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01CAADD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577BA2C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D20F421"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3442712D" w14:textId="4EA60A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3FCA75B" w14:textId="7CC3C81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EAD505C" w14:textId="3D1F76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9F0AE78" w14:textId="736DED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161EB4A" w14:textId="77813D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51AADAF" w14:textId="77777777" w:rsidTr="00597AD8">
        <w:trPr>
          <w:trHeight w:val="1320"/>
        </w:trPr>
        <w:tc>
          <w:tcPr>
            <w:tcW w:w="3885" w:type="dxa"/>
            <w:noWrap/>
            <w:hideMark/>
          </w:tcPr>
          <w:p w14:paraId="751206EE"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2.1.8. Përfshirja e indikatorëve për personat me aftësi të kufizuara në çdo shërbim gjithëpërfshirës në komunitet, duke marrë në konsideratë pengesat e shtuara për gratë më aftësi të kufizuara, personat që jetojnë në zonat rurale etj. Koment Blerta: Nuk duhet hequr, duhet pare si do zbatohet se ka qene dhe me pare, por nuk eshte zbatuar.</w:t>
            </w:r>
          </w:p>
        </w:tc>
        <w:tc>
          <w:tcPr>
            <w:tcW w:w="1080" w:type="dxa"/>
            <w:hideMark/>
          </w:tcPr>
          <w:p w14:paraId="4FA0C5C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65D0641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069CCFC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48DBBDB7"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3109E6B4" w14:textId="6C78DD5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3E45D55" w14:textId="7E917D1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ADD6CD4" w14:textId="4EB671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1,109</w:t>
            </w:r>
          </w:p>
        </w:tc>
        <w:tc>
          <w:tcPr>
            <w:tcW w:w="1110" w:type="dxa"/>
            <w:hideMark/>
          </w:tcPr>
          <w:p w14:paraId="2BA4F0E3" w14:textId="62A05A7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1,155</w:t>
            </w:r>
          </w:p>
        </w:tc>
        <w:tc>
          <w:tcPr>
            <w:tcW w:w="818" w:type="dxa"/>
            <w:gridSpan w:val="2"/>
            <w:hideMark/>
          </w:tcPr>
          <w:p w14:paraId="71B9EF35" w14:textId="1C6566A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1,109</w:t>
            </w:r>
          </w:p>
        </w:tc>
      </w:tr>
      <w:tr w:rsidR="004D73D3" w:rsidRPr="0048716F" w14:paraId="6C7DA2CC" w14:textId="77777777" w:rsidTr="00597AD8">
        <w:trPr>
          <w:trHeight w:val="1584"/>
        </w:trPr>
        <w:tc>
          <w:tcPr>
            <w:tcW w:w="3885" w:type="dxa"/>
            <w:noWrap/>
            <w:hideMark/>
          </w:tcPr>
          <w:p w14:paraId="6B85B590" w14:textId="7920C3F9"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2.1.9. Përmirësimi i standarteve ekzistuese e hartimi i atyre të reja për çdo shërbim,  nën frymën e përfshirjes në to të elementëve që çojnë drejt shërbimeve gjithëpërfshirëse për personat me aftësi të kufizuara, sipas Kornizës së Standarteve Bazë të Cilësisë për Shërbimet e Kujdesit Shoqëror; Përfshirja e standarteve të aksesueshmërisë  në dizenjimin e çdo shërbimi, qoftë ky gjithëpërfshirës apo specifik për personat me aftësi të kufizuara;</w:t>
            </w:r>
          </w:p>
        </w:tc>
        <w:tc>
          <w:tcPr>
            <w:tcW w:w="1080" w:type="dxa"/>
            <w:hideMark/>
          </w:tcPr>
          <w:p w14:paraId="03934ED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4544A62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75A6553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9212523"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579A5BB2" w14:textId="3D9B3D8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7BCAD67" w14:textId="4FE270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2,159</w:t>
            </w:r>
          </w:p>
        </w:tc>
        <w:tc>
          <w:tcPr>
            <w:tcW w:w="1110" w:type="dxa"/>
            <w:gridSpan w:val="2"/>
            <w:hideMark/>
          </w:tcPr>
          <w:p w14:paraId="7C553E47" w14:textId="3F2092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2,159</w:t>
            </w:r>
          </w:p>
        </w:tc>
        <w:tc>
          <w:tcPr>
            <w:tcW w:w="1110" w:type="dxa"/>
            <w:hideMark/>
          </w:tcPr>
          <w:p w14:paraId="6D431F47" w14:textId="1AE3DD4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2,159</w:t>
            </w:r>
          </w:p>
        </w:tc>
        <w:tc>
          <w:tcPr>
            <w:tcW w:w="818" w:type="dxa"/>
            <w:gridSpan w:val="2"/>
            <w:hideMark/>
          </w:tcPr>
          <w:p w14:paraId="4313DFCD" w14:textId="0B2FA1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2,159</w:t>
            </w:r>
          </w:p>
        </w:tc>
      </w:tr>
      <w:tr w:rsidR="004D73D3" w:rsidRPr="0048716F" w14:paraId="23CB8506" w14:textId="77777777" w:rsidTr="00597AD8">
        <w:trPr>
          <w:trHeight w:val="528"/>
        </w:trPr>
        <w:tc>
          <w:tcPr>
            <w:tcW w:w="3885" w:type="dxa"/>
            <w:hideMark/>
          </w:tcPr>
          <w:p w14:paraId="2ADB5875"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2.1.10.Trajnimi i personelit për shërbimet alternative, si dhe për parandalimin e institucionalizimit (B3.2.8 SMS);</w:t>
            </w:r>
          </w:p>
        </w:tc>
        <w:tc>
          <w:tcPr>
            <w:tcW w:w="1080" w:type="dxa"/>
            <w:hideMark/>
          </w:tcPr>
          <w:p w14:paraId="3BDD4D0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33E00AA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505D36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B8CFB3A"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2A8EB8DD" w14:textId="10C16C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056B321" w14:textId="4DF1DD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922BF58" w14:textId="342ED2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5138250" w14:textId="6A254EB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87B0DC0" w14:textId="182701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E240350" w14:textId="77777777" w:rsidTr="00597AD8">
        <w:trPr>
          <w:trHeight w:val="1056"/>
        </w:trPr>
        <w:tc>
          <w:tcPr>
            <w:tcW w:w="3885" w:type="dxa"/>
            <w:noWrap/>
            <w:hideMark/>
          </w:tcPr>
          <w:p w14:paraId="51BAFDD6" w14:textId="2B7EDC31"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2.1.11.Monitorimi i procesit të deinstitucionalizmit; Ndërtimi i bazës së të dhënave dhe treguesve, si dhe qartësimi i  përgjegjësive për mbledhjen dhe përditësimin e të dhënave për kujdestarinë alternative, përfshirë të dhënat cilësore (fëmijë dhe të rritur); (B3.2.10 i SMS)</w:t>
            </w:r>
          </w:p>
        </w:tc>
        <w:tc>
          <w:tcPr>
            <w:tcW w:w="1080" w:type="dxa"/>
            <w:hideMark/>
          </w:tcPr>
          <w:p w14:paraId="0DA8DF9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2296B6C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0AEF44C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182ED852"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582D7A95" w14:textId="619767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3C49A31" w14:textId="487AD8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85C3181" w14:textId="1D38DF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3E3E453" w14:textId="17617F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8BB2269" w14:textId="56EF6D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1823D82" w14:textId="77777777" w:rsidTr="00597AD8">
        <w:trPr>
          <w:trHeight w:val="792"/>
        </w:trPr>
        <w:tc>
          <w:tcPr>
            <w:tcW w:w="3885" w:type="dxa"/>
            <w:noWrap/>
            <w:hideMark/>
          </w:tcPr>
          <w:p w14:paraId="76A006DA"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2.1.12.Kryerja e vlerësimeve periodike të plota të nevojave, aftësive dhe preferencave të të rriturve, duke përfshirë kujdestarët/familjarët, profesionistët dhe vetë përfituesit në proces (B3.2.11 i SMS)</w:t>
            </w:r>
          </w:p>
        </w:tc>
        <w:tc>
          <w:tcPr>
            <w:tcW w:w="1080" w:type="dxa"/>
            <w:hideMark/>
          </w:tcPr>
          <w:p w14:paraId="7433BD8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7FFA9FE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4CD58C9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77EE900"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1ABD79AC" w14:textId="7774572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9,760</w:t>
            </w:r>
          </w:p>
        </w:tc>
        <w:tc>
          <w:tcPr>
            <w:tcW w:w="1110" w:type="dxa"/>
            <w:gridSpan w:val="3"/>
            <w:hideMark/>
          </w:tcPr>
          <w:p w14:paraId="71F178B3" w14:textId="0110B4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9,760</w:t>
            </w:r>
          </w:p>
        </w:tc>
        <w:tc>
          <w:tcPr>
            <w:tcW w:w="1110" w:type="dxa"/>
            <w:gridSpan w:val="2"/>
            <w:hideMark/>
          </w:tcPr>
          <w:p w14:paraId="57B0543A" w14:textId="1DA3A7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9,760</w:t>
            </w:r>
          </w:p>
        </w:tc>
        <w:tc>
          <w:tcPr>
            <w:tcW w:w="1110" w:type="dxa"/>
            <w:hideMark/>
          </w:tcPr>
          <w:p w14:paraId="229C0FD0" w14:textId="104B8C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9,760</w:t>
            </w:r>
          </w:p>
        </w:tc>
        <w:tc>
          <w:tcPr>
            <w:tcW w:w="818" w:type="dxa"/>
            <w:gridSpan w:val="2"/>
            <w:hideMark/>
          </w:tcPr>
          <w:p w14:paraId="581750C3" w14:textId="307A78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9,760</w:t>
            </w:r>
          </w:p>
        </w:tc>
      </w:tr>
      <w:tr w:rsidR="004D73D3" w:rsidRPr="0048716F" w14:paraId="5C871814" w14:textId="77777777" w:rsidTr="00597AD8">
        <w:trPr>
          <w:trHeight w:val="792"/>
        </w:trPr>
        <w:tc>
          <w:tcPr>
            <w:tcW w:w="3885" w:type="dxa"/>
            <w:hideMark/>
          </w:tcPr>
          <w:p w14:paraId="4C7E5095"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2.1.13. Vlerësim i cilësisë së shërbimeve të marra në çdo qendër shërbimesh në nivel të njësisë së vetëqeverisjes vendore, fokusuar në perceptimin e vetë personave me aftësi të kufizuara dhe të familjarëve të tyre.</w:t>
            </w:r>
          </w:p>
        </w:tc>
        <w:tc>
          <w:tcPr>
            <w:tcW w:w="1080" w:type="dxa"/>
            <w:hideMark/>
          </w:tcPr>
          <w:p w14:paraId="24E6525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32F2019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0933CED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ASCK</w:t>
            </w:r>
          </w:p>
        </w:tc>
        <w:tc>
          <w:tcPr>
            <w:tcW w:w="1521" w:type="dxa"/>
            <w:gridSpan w:val="2"/>
            <w:vAlign w:val="center"/>
            <w:hideMark/>
          </w:tcPr>
          <w:p w14:paraId="23936899"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SHSSH</w:t>
            </w:r>
          </w:p>
        </w:tc>
        <w:tc>
          <w:tcPr>
            <w:tcW w:w="1110" w:type="dxa"/>
            <w:gridSpan w:val="2"/>
            <w:hideMark/>
          </w:tcPr>
          <w:p w14:paraId="69208288" w14:textId="7F68D5D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F3C8A27" w14:textId="11CF681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08CBF79" w14:textId="107B01B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1,995</w:t>
            </w:r>
          </w:p>
        </w:tc>
        <w:tc>
          <w:tcPr>
            <w:tcW w:w="1110" w:type="dxa"/>
            <w:hideMark/>
          </w:tcPr>
          <w:p w14:paraId="629A85D5" w14:textId="09238C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D0D2667" w14:textId="4110F63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1,995</w:t>
            </w:r>
          </w:p>
        </w:tc>
      </w:tr>
      <w:tr w:rsidR="004D73D3" w:rsidRPr="0048716F" w14:paraId="6CFC8494" w14:textId="77777777" w:rsidTr="00597AD8">
        <w:trPr>
          <w:trHeight w:val="1932"/>
        </w:trPr>
        <w:tc>
          <w:tcPr>
            <w:tcW w:w="3885" w:type="dxa"/>
            <w:shd w:val="clear" w:color="000000" w:fill="FDE9D9"/>
            <w:hideMark/>
          </w:tcPr>
          <w:p w14:paraId="45B3AF3A"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Objektivi Specifik 3. Të mundësohet që të gjithë personat me aftësi të kufizuara në Shqipëri të kenë mundësi reale dhe të barabarta për të jetuar në komunitet, me zgjedhje dhe kontroll mbi jetën e tyre, përmes strehimit të aksesueshëm, mbështetjes individuale, shërbimeve të bazuara në komunitet dhe njohjes së plotë të kapacitetit ligjor, në përputhje me Konventën e OKB për të Drejtat e Personave me Aftësi të Kufizuara.</w:t>
            </w:r>
          </w:p>
        </w:tc>
        <w:tc>
          <w:tcPr>
            <w:tcW w:w="1080" w:type="dxa"/>
            <w:shd w:val="clear" w:color="000000" w:fill="FDE9D9"/>
            <w:hideMark/>
          </w:tcPr>
          <w:p w14:paraId="1956167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16A9B21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FDE9D9"/>
            <w:vAlign w:val="center"/>
            <w:hideMark/>
          </w:tcPr>
          <w:p w14:paraId="07231AA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MSHMS/MEI</w:t>
            </w:r>
          </w:p>
        </w:tc>
        <w:tc>
          <w:tcPr>
            <w:tcW w:w="1521" w:type="dxa"/>
            <w:gridSpan w:val="2"/>
            <w:shd w:val="clear" w:color="000000" w:fill="FDE9D9"/>
            <w:vAlign w:val="center"/>
            <w:hideMark/>
          </w:tcPr>
          <w:p w14:paraId="68C1D51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MEKI/MSHMS</w:t>
            </w:r>
          </w:p>
        </w:tc>
        <w:tc>
          <w:tcPr>
            <w:tcW w:w="1110" w:type="dxa"/>
            <w:gridSpan w:val="2"/>
            <w:shd w:val="clear" w:color="000000" w:fill="FDE9D9"/>
            <w:hideMark/>
          </w:tcPr>
          <w:p w14:paraId="6F182F63" w14:textId="1C8CD4B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5,289</w:t>
            </w:r>
          </w:p>
        </w:tc>
        <w:tc>
          <w:tcPr>
            <w:tcW w:w="1110" w:type="dxa"/>
            <w:gridSpan w:val="3"/>
            <w:shd w:val="clear" w:color="000000" w:fill="FDE9D9"/>
            <w:hideMark/>
          </w:tcPr>
          <w:p w14:paraId="0DDEE1FA" w14:textId="29F4B3A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16,580</w:t>
            </w:r>
          </w:p>
        </w:tc>
        <w:tc>
          <w:tcPr>
            <w:tcW w:w="1110" w:type="dxa"/>
            <w:gridSpan w:val="2"/>
            <w:shd w:val="clear" w:color="000000" w:fill="FDE9D9"/>
            <w:hideMark/>
          </w:tcPr>
          <w:p w14:paraId="3A8FF4C9" w14:textId="3606CCF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27,222</w:t>
            </w:r>
          </w:p>
        </w:tc>
        <w:tc>
          <w:tcPr>
            <w:tcW w:w="1110" w:type="dxa"/>
            <w:shd w:val="clear" w:color="000000" w:fill="FDE9D9"/>
            <w:hideMark/>
          </w:tcPr>
          <w:p w14:paraId="3FAE8901" w14:textId="331B2BB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26,127</w:t>
            </w:r>
          </w:p>
        </w:tc>
        <w:tc>
          <w:tcPr>
            <w:tcW w:w="818" w:type="dxa"/>
            <w:gridSpan w:val="2"/>
            <w:shd w:val="clear" w:color="000000" w:fill="FDE9D9"/>
            <w:hideMark/>
          </w:tcPr>
          <w:p w14:paraId="25CAB7DE" w14:textId="3D25C7E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26,827</w:t>
            </w:r>
          </w:p>
        </w:tc>
      </w:tr>
      <w:tr w:rsidR="004D73D3" w:rsidRPr="0048716F" w14:paraId="31B6BDBF" w14:textId="77777777" w:rsidTr="00597AD8">
        <w:trPr>
          <w:trHeight w:val="1320"/>
        </w:trPr>
        <w:tc>
          <w:tcPr>
            <w:tcW w:w="3885" w:type="dxa"/>
            <w:shd w:val="clear" w:color="000000" w:fill="DCE6F1"/>
            <w:hideMark/>
          </w:tcPr>
          <w:p w14:paraId="2E77262A"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3.1. Të garantohet e drejta e personave me aftësi të kufizuara për të jetuar në komunitet, me zgjedhje reale mbi ku, si dhe me kë jetojnë, përmes sigurimit të strehimit të aksesueshëm, shërbimeve mbështetëse në banesë dhe alternativave komunitare ndaj institucionalizimit.</w:t>
            </w:r>
          </w:p>
        </w:tc>
        <w:tc>
          <w:tcPr>
            <w:tcW w:w="1080" w:type="dxa"/>
            <w:shd w:val="clear" w:color="000000" w:fill="DCE6F1"/>
            <w:hideMark/>
          </w:tcPr>
          <w:p w14:paraId="2BFFF19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14E45A5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176A9AB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521" w:type="dxa"/>
            <w:gridSpan w:val="2"/>
            <w:shd w:val="clear" w:color="000000" w:fill="DCE6F1"/>
            <w:vAlign w:val="center"/>
            <w:hideMark/>
          </w:tcPr>
          <w:p w14:paraId="6FBD3F08"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MEIMSHMS</w:t>
            </w:r>
          </w:p>
        </w:tc>
        <w:tc>
          <w:tcPr>
            <w:tcW w:w="1110" w:type="dxa"/>
            <w:gridSpan w:val="2"/>
            <w:shd w:val="clear" w:color="000000" w:fill="C5D9F1"/>
            <w:noWrap/>
            <w:hideMark/>
          </w:tcPr>
          <w:p w14:paraId="4A2801BA" w14:textId="7DF5D1A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7BD72518" w14:textId="7E52FE6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2,345</w:t>
            </w:r>
          </w:p>
        </w:tc>
        <w:tc>
          <w:tcPr>
            <w:tcW w:w="1110" w:type="dxa"/>
            <w:gridSpan w:val="2"/>
            <w:shd w:val="clear" w:color="000000" w:fill="C5D9F1"/>
            <w:noWrap/>
            <w:hideMark/>
          </w:tcPr>
          <w:p w14:paraId="07B6F279" w14:textId="2509B64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20,127</w:t>
            </w:r>
          </w:p>
        </w:tc>
        <w:tc>
          <w:tcPr>
            <w:tcW w:w="1110" w:type="dxa"/>
            <w:shd w:val="clear" w:color="000000" w:fill="C5D9F1"/>
            <w:noWrap/>
            <w:hideMark/>
          </w:tcPr>
          <w:p w14:paraId="1080BCE3" w14:textId="6B33290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20,127</w:t>
            </w:r>
          </w:p>
        </w:tc>
        <w:tc>
          <w:tcPr>
            <w:tcW w:w="818" w:type="dxa"/>
            <w:gridSpan w:val="2"/>
            <w:shd w:val="clear" w:color="000000" w:fill="C5D9F1"/>
            <w:noWrap/>
            <w:hideMark/>
          </w:tcPr>
          <w:p w14:paraId="35DB1B65" w14:textId="2A23940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20,827</w:t>
            </w:r>
          </w:p>
        </w:tc>
      </w:tr>
      <w:tr w:rsidR="004D73D3" w:rsidRPr="0048716F" w14:paraId="4F393AFF" w14:textId="77777777" w:rsidTr="00597AD8">
        <w:trPr>
          <w:trHeight w:val="1056"/>
        </w:trPr>
        <w:tc>
          <w:tcPr>
            <w:tcW w:w="3885" w:type="dxa"/>
            <w:hideMark/>
          </w:tcPr>
          <w:p w14:paraId="4A9A09E0"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3.1.1.  Identifikimi dhe hartëzimi i personave me aftësi të kufizuar në rrezik institucionalizimi në cdo njësi administrative; Hartimi i një studimi kombëtar të nevojave për strehim të aksesueshëm për personat me Aftësi të Kufizuara, me fokus në zvogëlimin e rrezikut të institucionalizimit;</w:t>
            </w:r>
          </w:p>
        </w:tc>
        <w:tc>
          <w:tcPr>
            <w:tcW w:w="1080" w:type="dxa"/>
            <w:hideMark/>
          </w:tcPr>
          <w:p w14:paraId="1279A6C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5FFFCFF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73D964D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MEI/MSHMS</w:t>
            </w:r>
          </w:p>
        </w:tc>
        <w:tc>
          <w:tcPr>
            <w:tcW w:w="1521" w:type="dxa"/>
            <w:gridSpan w:val="2"/>
            <w:noWrap/>
            <w:vAlign w:val="center"/>
            <w:hideMark/>
          </w:tcPr>
          <w:p w14:paraId="75FE2B1F" w14:textId="31F3742A" w:rsidR="004D73D3" w:rsidRPr="0048716F" w:rsidRDefault="004D73D3" w:rsidP="00597AD8">
            <w:pPr>
              <w:rPr>
                <w:rFonts w:eastAsia="Times New Roman"/>
                <w:color w:val="000000"/>
                <w:sz w:val="18"/>
                <w:szCs w:val="18"/>
                <w:lang w:val="en-US" w:eastAsia="en-US"/>
              </w:rPr>
            </w:pPr>
          </w:p>
        </w:tc>
        <w:tc>
          <w:tcPr>
            <w:tcW w:w="1110" w:type="dxa"/>
            <w:gridSpan w:val="2"/>
            <w:hideMark/>
          </w:tcPr>
          <w:p w14:paraId="32C94C1C" w14:textId="48FC996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F798DC9" w14:textId="71386B6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2,345</w:t>
            </w:r>
          </w:p>
        </w:tc>
        <w:tc>
          <w:tcPr>
            <w:tcW w:w="1110" w:type="dxa"/>
            <w:gridSpan w:val="2"/>
            <w:hideMark/>
          </w:tcPr>
          <w:p w14:paraId="25413A07" w14:textId="1528ABD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25BE87F" w14:textId="6900638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AF334B1" w14:textId="4EDE57F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2,345</w:t>
            </w:r>
          </w:p>
        </w:tc>
      </w:tr>
      <w:tr w:rsidR="004D73D3" w:rsidRPr="0048716F" w14:paraId="15FEEEDA" w14:textId="77777777" w:rsidTr="00597AD8">
        <w:trPr>
          <w:trHeight w:val="528"/>
        </w:trPr>
        <w:tc>
          <w:tcPr>
            <w:tcW w:w="3885" w:type="dxa"/>
            <w:hideMark/>
          </w:tcPr>
          <w:p w14:paraId="61993A87"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3.1.2. Vlerësimi dhe vijimësia e aplikimit të kuotave për përfituesit me aftësi të kufizuara në banesat sociale;</w:t>
            </w:r>
          </w:p>
        </w:tc>
        <w:tc>
          <w:tcPr>
            <w:tcW w:w="1080" w:type="dxa"/>
            <w:hideMark/>
          </w:tcPr>
          <w:p w14:paraId="4E672A7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6D5779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658C91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521" w:type="dxa"/>
            <w:gridSpan w:val="2"/>
            <w:noWrap/>
            <w:vAlign w:val="center"/>
            <w:hideMark/>
          </w:tcPr>
          <w:p w14:paraId="372697B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110" w:type="dxa"/>
            <w:gridSpan w:val="2"/>
            <w:hideMark/>
          </w:tcPr>
          <w:p w14:paraId="5E985CEA" w14:textId="3AC78A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63177BE" w14:textId="1E520AF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2CB7BBC" w14:textId="366A11C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3568841" w14:textId="01E6CD7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9B5FEDB" w14:textId="45ED907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A03821A" w14:textId="77777777" w:rsidTr="00597AD8">
        <w:trPr>
          <w:trHeight w:val="528"/>
        </w:trPr>
        <w:tc>
          <w:tcPr>
            <w:tcW w:w="3885" w:type="dxa"/>
            <w:hideMark/>
          </w:tcPr>
          <w:p w14:paraId="701DEC1F"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3.1.3. Vlerësimi dhe vijimësia e përcaktimit të kuotave për subvencionimin e qerasë për persona me aftësi të kufizuara;</w:t>
            </w:r>
          </w:p>
        </w:tc>
        <w:tc>
          <w:tcPr>
            <w:tcW w:w="1080" w:type="dxa"/>
            <w:hideMark/>
          </w:tcPr>
          <w:p w14:paraId="46F853A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3FAEFBC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6FDB24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521" w:type="dxa"/>
            <w:gridSpan w:val="2"/>
            <w:noWrap/>
            <w:vAlign w:val="center"/>
            <w:hideMark/>
          </w:tcPr>
          <w:p w14:paraId="3DADDF8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110" w:type="dxa"/>
            <w:gridSpan w:val="2"/>
            <w:hideMark/>
          </w:tcPr>
          <w:p w14:paraId="52644628" w14:textId="4A9896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BE454C1" w14:textId="14242A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194635B" w14:textId="7A2907E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4B45B79" w14:textId="56F731D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625FA63" w14:textId="77578ED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5344565" w14:textId="77777777" w:rsidTr="00597AD8">
        <w:trPr>
          <w:trHeight w:val="528"/>
        </w:trPr>
        <w:tc>
          <w:tcPr>
            <w:tcW w:w="3885" w:type="dxa"/>
            <w:hideMark/>
          </w:tcPr>
          <w:p w14:paraId="23A30CFE"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3.1.4. Përgatitja e informacionit në formate të aksesueshëm mbi përfitimin e strehimi social;</w:t>
            </w:r>
          </w:p>
        </w:tc>
        <w:tc>
          <w:tcPr>
            <w:tcW w:w="1080" w:type="dxa"/>
            <w:hideMark/>
          </w:tcPr>
          <w:p w14:paraId="4136352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hideMark/>
          </w:tcPr>
          <w:p w14:paraId="57A2F56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1AE87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521" w:type="dxa"/>
            <w:gridSpan w:val="2"/>
            <w:noWrap/>
            <w:vAlign w:val="center"/>
            <w:hideMark/>
          </w:tcPr>
          <w:p w14:paraId="3F8B7457"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110" w:type="dxa"/>
            <w:gridSpan w:val="2"/>
            <w:hideMark/>
          </w:tcPr>
          <w:p w14:paraId="63FB15FB" w14:textId="507481A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28718FF" w14:textId="12CB15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3D6CE2D" w14:textId="47B79AF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18,482</w:t>
            </w:r>
          </w:p>
        </w:tc>
        <w:tc>
          <w:tcPr>
            <w:tcW w:w="1110" w:type="dxa"/>
            <w:hideMark/>
          </w:tcPr>
          <w:p w14:paraId="62B03829" w14:textId="33F9782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18,482</w:t>
            </w:r>
          </w:p>
        </w:tc>
        <w:tc>
          <w:tcPr>
            <w:tcW w:w="818" w:type="dxa"/>
            <w:gridSpan w:val="2"/>
            <w:hideMark/>
          </w:tcPr>
          <w:p w14:paraId="1D67765B" w14:textId="407DC9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18,482</w:t>
            </w:r>
          </w:p>
        </w:tc>
      </w:tr>
      <w:tr w:rsidR="004D73D3" w:rsidRPr="0048716F" w14:paraId="2B8504D2" w14:textId="77777777" w:rsidTr="00597AD8">
        <w:trPr>
          <w:trHeight w:val="1056"/>
        </w:trPr>
        <w:tc>
          <w:tcPr>
            <w:tcW w:w="3885" w:type="dxa"/>
            <w:hideMark/>
          </w:tcPr>
          <w:p w14:paraId="61570057"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3.1.5. Përcaktimi i standardeve të aksesueshmërisë për banesat sociale, të detyrueshme për të gjitha programet publike të strehimit; segregation/ghettoization should be avoided, and therefore a neë approach to social housing needs to be used</w:t>
            </w:r>
          </w:p>
        </w:tc>
        <w:tc>
          <w:tcPr>
            <w:tcW w:w="1080" w:type="dxa"/>
            <w:hideMark/>
          </w:tcPr>
          <w:p w14:paraId="61B502D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hideMark/>
          </w:tcPr>
          <w:p w14:paraId="783AC7E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02139B9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521" w:type="dxa"/>
            <w:gridSpan w:val="2"/>
            <w:noWrap/>
            <w:vAlign w:val="center"/>
            <w:hideMark/>
          </w:tcPr>
          <w:p w14:paraId="454401C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110" w:type="dxa"/>
            <w:gridSpan w:val="2"/>
            <w:hideMark/>
          </w:tcPr>
          <w:p w14:paraId="5D055C61" w14:textId="0C9A13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1B5D659" w14:textId="2DFBC13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7ECD765" w14:textId="618244F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1,645</w:t>
            </w:r>
          </w:p>
        </w:tc>
        <w:tc>
          <w:tcPr>
            <w:tcW w:w="1110" w:type="dxa"/>
            <w:hideMark/>
          </w:tcPr>
          <w:p w14:paraId="441006F9" w14:textId="5BCB513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1,645</w:t>
            </w:r>
          </w:p>
        </w:tc>
        <w:tc>
          <w:tcPr>
            <w:tcW w:w="818" w:type="dxa"/>
            <w:gridSpan w:val="2"/>
            <w:hideMark/>
          </w:tcPr>
          <w:p w14:paraId="35E84AA9" w14:textId="40AF3A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DE08E04" w14:textId="77777777" w:rsidTr="00597AD8">
        <w:trPr>
          <w:trHeight w:val="1056"/>
        </w:trPr>
        <w:tc>
          <w:tcPr>
            <w:tcW w:w="3885" w:type="dxa"/>
            <w:hideMark/>
          </w:tcPr>
          <w:p w14:paraId="2916B472"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3.1.6. Ngritja dhe zgjerimi, në rast të pamundësisë së jetesës individualisht, të shtëpive të mbështetura në komunitet, përfshirë edhe ato për personat me aftësi të kufizuara psiko sociale (referohu nderhyrjes 2.1.7 ne objektivin 2, e cila eshte edhe nderhyrje ne SMS B.3.2.6)</w:t>
            </w:r>
          </w:p>
        </w:tc>
        <w:tc>
          <w:tcPr>
            <w:tcW w:w="1080" w:type="dxa"/>
            <w:hideMark/>
          </w:tcPr>
          <w:p w14:paraId="6715502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37B1DB9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D41F26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noWrap/>
            <w:vAlign w:val="center"/>
            <w:hideMark/>
          </w:tcPr>
          <w:p w14:paraId="25FCCB8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MEI</w:t>
            </w:r>
          </w:p>
        </w:tc>
        <w:tc>
          <w:tcPr>
            <w:tcW w:w="1110" w:type="dxa"/>
            <w:gridSpan w:val="2"/>
            <w:hideMark/>
          </w:tcPr>
          <w:p w14:paraId="6E19EFA2" w14:textId="322F36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40B0D03" w14:textId="5A8FD3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6FF3355" w14:textId="7AEF8E3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7613ED6" w14:textId="614427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8B4745B" w14:textId="79774F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CA5BAA4" w14:textId="77777777" w:rsidTr="00597AD8">
        <w:trPr>
          <w:trHeight w:val="1056"/>
        </w:trPr>
        <w:tc>
          <w:tcPr>
            <w:tcW w:w="3885" w:type="dxa"/>
            <w:shd w:val="clear" w:color="000000" w:fill="B8CCE4"/>
            <w:hideMark/>
          </w:tcPr>
          <w:p w14:paraId="0AB509D2"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Masa prioritare 3.2. Të krijohet dhe zbatohet një program kombëtar i shërbimit të ndihmësit personal, në mbështetje të jetesës së pavarur, i standardizuar, i financuar dhe i monitoruar, që u mundëson personave me aftësi të kufizuara të kontrollojnë jetën e tyre, të marrin pjesë në komunitet.</w:t>
            </w:r>
          </w:p>
        </w:tc>
        <w:tc>
          <w:tcPr>
            <w:tcW w:w="1080" w:type="dxa"/>
            <w:shd w:val="clear" w:color="000000" w:fill="B8CCE4"/>
            <w:noWrap/>
            <w:vAlign w:val="center"/>
            <w:hideMark/>
          </w:tcPr>
          <w:p w14:paraId="5E46730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B8CCE4"/>
            <w:noWrap/>
            <w:vAlign w:val="center"/>
            <w:hideMark/>
          </w:tcPr>
          <w:p w14:paraId="4FB71CF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B8CCE4"/>
            <w:noWrap/>
            <w:vAlign w:val="center"/>
            <w:hideMark/>
          </w:tcPr>
          <w:p w14:paraId="3EE0337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B8CCE4"/>
            <w:noWrap/>
            <w:vAlign w:val="center"/>
            <w:hideMark/>
          </w:tcPr>
          <w:p w14:paraId="3A23F58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shd w:val="clear" w:color="000000" w:fill="C5D9F1"/>
            <w:noWrap/>
            <w:hideMark/>
          </w:tcPr>
          <w:p w14:paraId="108E77C9" w14:textId="1F65770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4,789</w:t>
            </w:r>
          </w:p>
        </w:tc>
        <w:tc>
          <w:tcPr>
            <w:tcW w:w="1110" w:type="dxa"/>
            <w:gridSpan w:val="3"/>
            <w:shd w:val="clear" w:color="000000" w:fill="C5D9F1"/>
            <w:noWrap/>
            <w:hideMark/>
          </w:tcPr>
          <w:p w14:paraId="449621A7" w14:textId="2F5F901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12,734</w:t>
            </w:r>
          </w:p>
        </w:tc>
        <w:tc>
          <w:tcPr>
            <w:tcW w:w="1110" w:type="dxa"/>
            <w:gridSpan w:val="2"/>
            <w:shd w:val="clear" w:color="000000" w:fill="C5D9F1"/>
            <w:noWrap/>
            <w:hideMark/>
          </w:tcPr>
          <w:p w14:paraId="4E95D005" w14:textId="212BF82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6,595</w:t>
            </w:r>
          </w:p>
        </w:tc>
        <w:tc>
          <w:tcPr>
            <w:tcW w:w="1110" w:type="dxa"/>
            <w:shd w:val="clear" w:color="000000" w:fill="C5D9F1"/>
            <w:noWrap/>
            <w:hideMark/>
          </w:tcPr>
          <w:p w14:paraId="645A2D2D" w14:textId="3CC57E1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6,000</w:t>
            </w:r>
          </w:p>
        </w:tc>
        <w:tc>
          <w:tcPr>
            <w:tcW w:w="818" w:type="dxa"/>
            <w:gridSpan w:val="2"/>
            <w:shd w:val="clear" w:color="000000" w:fill="C5D9F1"/>
            <w:noWrap/>
            <w:hideMark/>
          </w:tcPr>
          <w:p w14:paraId="7283FD9F" w14:textId="0BA47E7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6,000</w:t>
            </w:r>
          </w:p>
        </w:tc>
      </w:tr>
      <w:tr w:rsidR="004D73D3" w:rsidRPr="0048716F" w14:paraId="138F6F38" w14:textId="77777777" w:rsidTr="00597AD8">
        <w:trPr>
          <w:trHeight w:val="1320"/>
        </w:trPr>
        <w:tc>
          <w:tcPr>
            <w:tcW w:w="3885" w:type="dxa"/>
            <w:hideMark/>
          </w:tcPr>
          <w:p w14:paraId="0CF6056A"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3.2.1. Kryerja e një studimi të vlerësimit të nevojës për shërbimin e ndihmësit personal, përmes një analize të thelluar ligjore dhe funksionale të skemave aktuale dhe  parashikimeve për nderhyrje të nevojshme ne kuadrin legjislativ te sherbimeve sociale dhe ne aktet nenligjore perkatese, me qellim qe ndihmesi personal te funksionoje si nje sherbim i mirestrukturuar i jeteses se pavarur.</w:t>
            </w:r>
          </w:p>
        </w:tc>
        <w:tc>
          <w:tcPr>
            <w:tcW w:w="1080" w:type="dxa"/>
            <w:hideMark/>
          </w:tcPr>
          <w:p w14:paraId="553A733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3E622E2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2027</w:t>
            </w:r>
          </w:p>
        </w:tc>
        <w:tc>
          <w:tcPr>
            <w:tcW w:w="1411" w:type="dxa"/>
            <w:vAlign w:val="center"/>
            <w:hideMark/>
          </w:tcPr>
          <w:p w14:paraId="5790E0E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6C112F9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6A5AE794" w14:textId="6CF94FF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1,295</w:t>
            </w:r>
          </w:p>
        </w:tc>
        <w:tc>
          <w:tcPr>
            <w:tcW w:w="1110" w:type="dxa"/>
            <w:gridSpan w:val="3"/>
            <w:hideMark/>
          </w:tcPr>
          <w:p w14:paraId="3C72F60D" w14:textId="577541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1,295</w:t>
            </w:r>
          </w:p>
        </w:tc>
        <w:tc>
          <w:tcPr>
            <w:tcW w:w="1110" w:type="dxa"/>
            <w:gridSpan w:val="2"/>
            <w:hideMark/>
          </w:tcPr>
          <w:p w14:paraId="21563009" w14:textId="20AB94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27D7E8C" w14:textId="425EE2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36C79F5" w14:textId="021154E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D4933A8" w14:textId="77777777" w:rsidTr="00597AD8">
        <w:trPr>
          <w:trHeight w:val="528"/>
        </w:trPr>
        <w:tc>
          <w:tcPr>
            <w:tcW w:w="3885" w:type="dxa"/>
            <w:hideMark/>
          </w:tcPr>
          <w:p w14:paraId="00AA7F3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3.2.2. Hartimi i ndryshimeve ligjore e plotësimi I tyre me akte nënligjore, bazuar në analizën e thelluar ligjore për ndihmësin personal;</w:t>
            </w:r>
          </w:p>
        </w:tc>
        <w:tc>
          <w:tcPr>
            <w:tcW w:w="1080" w:type="dxa"/>
            <w:hideMark/>
          </w:tcPr>
          <w:p w14:paraId="27DEA8C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23FDF80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2027</w:t>
            </w:r>
          </w:p>
        </w:tc>
        <w:tc>
          <w:tcPr>
            <w:tcW w:w="1411" w:type="dxa"/>
            <w:vAlign w:val="center"/>
            <w:hideMark/>
          </w:tcPr>
          <w:p w14:paraId="6120A4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3C4E12A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1A2EA63A" w14:textId="7E23BE8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1,295</w:t>
            </w:r>
          </w:p>
        </w:tc>
        <w:tc>
          <w:tcPr>
            <w:tcW w:w="1110" w:type="dxa"/>
            <w:gridSpan w:val="3"/>
            <w:hideMark/>
          </w:tcPr>
          <w:p w14:paraId="0AABC7D4" w14:textId="3948F51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1,295</w:t>
            </w:r>
          </w:p>
        </w:tc>
        <w:tc>
          <w:tcPr>
            <w:tcW w:w="1110" w:type="dxa"/>
            <w:gridSpan w:val="2"/>
            <w:hideMark/>
          </w:tcPr>
          <w:p w14:paraId="7B1DD1CD" w14:textId="251160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20691BF" w14:textId="745C69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1121200" w14:textId="114375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8775992" w14:textId="77777777" w:rsidTr="00597AD8">
        <w:trPr>
          <w:trHeight w:val="528"/>
        </w:trPr>
        <w:tc>
          <w:tcPr>
            <w:tcW w:w="3885" w:type="dxa"/>
            <w:hideMark/>
          </w:tcPr>
          <w:p w14:paraId="7C4FB3EE"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3.2.3. Miratimi I standardeve për shërbimin e ndihmësit personal, bazuar në udhëzimet e CRPD dhe praktikat e vendeve të BE;</w:t>
            </w:r>
          </w:p>
        </w:tc>
        <w:tc>
          <w:tcPr>
            <w:tcW w:w="1080" w:type="dxa"/>
            <w:hideMark/>
          </w:tcPr>
          <w:p w14:paraId="18B6B41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3426945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2027</w:t>
            </w:r>
          </w:p>
        </w:tc>
        <w:tc>
          <w:tcPr>
            <w:tcW w:w="1411" w:type="dxa"/>
            <w:vAlign w:val="center"/>
            <w:hideMark/>
          </w:tcPr>
          <w:p w14:paraId="4716A9B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4B79F44D"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209DFC80" w14:textId="327AB6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473</w:t>
            </w:r>
          </w:p>
        </w:tc>
        <w:tc>
          <w:tcPr>
            <w:tcW w:w="1110" w:type="dxa"/>
            <w:gridSpan w:val="3"/>
            <w:hideMark/>
          </w:tcPr>
          <w:p w14:paraId="67EC7BC3" w14:textId="28686F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473</w:t>
            </w:r>
          </w:p>
        </w:tc>
        <w:tc>
          <w:tcPr>
            <w:tcW w:w="1110" w:type="dxa"/>
            <w:gridSpan w:val="2"/>
            <w:hideMark/>
          </w:tcPr>
          <w:p w14:paraId="7654C9B1" w14:textId="2914CA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DCA940C" w14:textId="675A74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F9E56DE" w14:textId="29697E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5F9850C" w14:textId="77777777" w:rsidTr="00597AD8">
        <w:trPr>
          <w:trHeight w:val="1056"/>
        </w:trPr>
        <w:tc>
          <w:tcPr>
            <w:tcW w:w="3885" w:type="dxa"/>
            <w:hideMark/>
          </w:tcPr>
          <w:p w14:paraId="65B3DE20"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3.2.4. Përmirësimi i mekanizmave të vlerësimit të nevojave për ndihmësin personal, përmes përmirësimit të formularëve dhe procedurave të aplikuara në KVAK biopsikosocial; Trajnime të stafeve të ekipeve multidisiplinare të vlerësimit biopsikosocial në të gjithë vendin;</w:t>
            </w:r>
          </w:p>
        </w:tc>
        <w:tc>
          <w:tcPr>
            <w:tcW w:w="1080" w:type="dxa"/>
            <w:hideMark/>
          </w:tcPr>
          <w:p w14:paraId="405D524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572A7A2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2027</w:t>
            </w:r>
          </w:p>
        </w:tc>
        <w:tc>
          <w:tcPr>
            <w:tcW w:w="1411" w:type="dxa"/>
            <w:vAlign w:val="center"/>
            <w:hideMark/>
          </w:tcPr>
          <w:p w14:paraId="139C4C5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6E2A2F60"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63685A6D" w14:textId="3317E5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1,725</w:t>
            </w:r>
          </w:p>
        </w:tc>
        <w:tc>
          <w:tcPr>
            <w:tcW w:w="1110" w:type="dxa"/>
            <w:gridSpan w:val="3"/>
            <w:hideMark/>
          </w:tcPr>
          <w:p w14:paraId="3561FEA9" w14:textId="056E81A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1,725</w:t>
            </w:r>
          </w:p>
        </w:tc>
        <w:tc>
          <w:tcPr>
            <w:tcW w:w="1110" w:type="dxa"/>
            <w:gridSpan w:val="2"/>
            <w:hideMark/>
          </w:tcPr>
          <w:p w14:paraId="0B7364ED" w14:textId="1E6516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4F38F2B" w14:textId="682040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EC851DD" w14:textId="17F781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8DCFB23" w14:textId="77777777" w:rsidTr="00597AD8">
        <w:trPr>
          <w:trHeight w:val="528"/>
        </w:trPr>
        <w:tc>
          <w:tcPr>
            <w:tcW w:w="3885" w:type="dxa"/>
            <w:hideMark/>
          </w:tcPr>
          <w:p w14:paraId="2071D748"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 xml:space="preserve">3.2.6. Hartimi i një akti normativ lidhur me financimin e shërbimit të ndihmësit personal, </w:t>
            </w:r>
            <w:r w:rsidRPr="0048716F">
              <w:rPr>
                <w:rFonts w:eastAsia="Times New Roman"/>
                <w:sz w:val="18"/>
                <w:szCs w:val="18"/>
                <w:lang w:val="en-US" w:eastAsia="en-US"/>
              </w:rPr>
              <w:lastRenderedPageBreak/>
              <w:t>masën e financimit, procedurat e rekrutimit, monitorimit të shërbimit;</w:t>
            </w:r>
          </w:p>
        </w:tc>
        <w:tc>
          <w:tcPr>
            <w:tcW w:w="1080" w:type="dxa"/>
            <w:hideMark/>
          </w:tcPr>
          <w:p w14:paraId="4A5CA84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2027</w:t>
            </w:r>
          </w:p>
        </w:tc>
        <w:tc>
          <w:tcPr>
            <w:tcW w:w="1260" w:type="dxa"/>
            <w:hideMark/>
          </w:tcPr>
          <w:p w14:paraId="5FB1157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2028</w:t>
            </w:r>
          </w:p>
        </w:tc>
        <w:tc>
          <w:tcPr>
            <w:tcW w:w="1411" w:type="dxa"/>
            <w:vAlign w:val="center"/>
            <w:hideMark/>
          </w:tcPr>
          <w:p w14:paraId="2792713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380E4125"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15E5ED14" w14:textId="73C4F5A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0C4DA6E" w14:textId="0EADD15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945</w:t>
            </w:r>
          </w:p>
        </w:tc>
        <w:tc>
          <w:tcPr>
            <w:tcW w:w="1110" w:type="dxa"/>
            <w:gridSpan w:val="2"/>
            <w:hideMark/>
          </w:tcPr>
          <w:p w14:paraId="0AFC705A" w14:textId="6D0F977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595</w:t>
            </w:r>
          </w:p>
        </w:tc>
        <w:tc>
          <w:tcPr>
            <w:tcW w:w="1110" w:type="dxa"/>
            <w:hideMark/>
          </w:tcPr>
          <w:p w14:paraId="116EDDA0" w14:textId="46D22E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5390E0D" w14:textId="3DB489E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211723A" w14:textId="77777777" w:rsidTr="00597AD8">
        <w:trPr>
          <w:trHeight w:val="1056"/>
        </w:trPr>
        <w:tc>
          <w:tcPr>
            <w:tcW w:w="3885" w:type="dxa"/>
            <w:hideMark/>
          </w:tcPr>
          <w:p w14:paraId="309B5591"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3.2.7. Prioritizimi i mbështetjes së shërbimit të ndihmësit personal për personat me aftësi të kufizuara të thella dhe ato në rrezik të lartë institucionalizimi, në numra të vegjël, në të gjithë vendin, për të testuar parametrat, procedurat, dhe efektet sociale;</w:t>
            </w:r>
          </w:p>
        </w:tc>
        <w:tc>
          <w:tcPr>
            <w:tcW w:w="1080" w:type="dxa"/>
            <w:hideMark/>
          </w:tcPr>
          <w:p w14:paraId="522E6C1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59F4EAE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3E5274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29212DA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78E05AF8" w14:textId="0A9D90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20EC1FF" w14:textId="7F27981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B352EAD" w14:textId="577342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624C70EC" w14:textId="44BAC44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994F1EA" w14:textId="0BA094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B7A80B2" w14:textId="77777777" w:rsidTr="00597AD8">
        <w:trPr>
          <w:trHeight w:val="792"/>
        </w:trPr>
        <w:tc>
          <w:tcPr>
            <w:tcW w:w="3885" w:type="dxa"/>
            <w:shd w:val="clear" w:color="000000" w:fill="FFFFFF"/>
            <w:hideMark/>
          </w:tcPr>
          <w:p w14:paraId="0257FB35"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3.2.8. Ngritja dhe funksionimi i Qendrës së Jetës së Pavarur për ofrimin e trajnimit, mbështetjes dhe menaxhimit të marrëdhënieve me ndihmësit personalë për personat me aftësi të kufizuara.</w:t>
            </w:r>
          </w:p>
        </w:tc>
        <w:tc>
          <w:tcPr>
            <w:tcW w:w="1080" w:type="dxa"/>
            <w:hideMark/>
          </w:tcPr>
          <w:p w14:paraId="044CD57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12A59BA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7650742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0785F53B"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391D84B8" w14:textId="34DA031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C7947BB" w14:textId="1CD3813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7,000</w:t>
            </w:r>
          </w:p>
        </w:tc>
        <w:tc>
          <w:tcPr>
            <w:tcW w:w="1110" w:type="dxa"/>
            <w:gridSpan w:val="2"/>
            <w:hideMark/>
          </w:tcPr>
          <w:p w14:paraId="13C1B651" w14:textId="2AEBF16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1110" w:type="dxa"/>
            <w:hideMark/>
          </w:tcPr>
          <w:p w14:paraId="097BEBB0" w14:textId="5C7CDB5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c>
          <w:tcPr>
            <w:tcW w:w="818" w:type="dxa"/>
            <w:gridSpan w:val="2"/>
            <w:hideMark/>
          </w:tcPr>
          <w:p w14:paraId="720D837F" w14:textId="74FDE10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6,000</w:t>
            </w:r>
          </w:p>
        </w:tc>
      </w:tr>
      <w:tr w:rsidR="004D73D3" w:rsidRPr="0048716F" w14:paraId="76F8F811" w14:textId="77777777" w:rsidTr="00597AD8">
        <w:trPr>
          <w:trHeight w:val="1380"/>
        </w:trPr>
        <w:tc>
          <w:tcPr>
            <w:tcW w:w="3885" w:type="dxa"/>
            <w:shd w:val="clear" w:color="000000" w:fill="DCE6F1"/>
            <w:hideMark/>
          </w:tcPr>
          <w:p w14:paraId="75A7F32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3.3. Të garantohet për të gjithë personat me aftësi të kufizuara njohja e plotë para ligjit dhe e drejta për të marrë vendime për jetën e tyre, përmes zëvendësimit të kujdestarisë me një sistem të vendimmarrjes së mbështetur që respekton vullnetin, preferencat dhe autonominë e individit (Referohu tek Drejtësia)</w:t>
            </w:r>
          </w:p>
        </w:tc>
        <w:tc>
          <w:tcPr>
            <w:tcW w:w="1080" w:type="dxa"/>
            <w:shd w:val="clear" w:color="000000" w:fill="DCE6F1"/>
            <w:hideMark/>
          </w:tcPr>
          <w:p w14:paraId="4728B5E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7FD72D5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7CF44FC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43A677D0"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MD</w:t>
            </w:r>
          </w:p>
        </w:tc>
        <w:tc>
          <w:tcPr>
            <w:tcW w:w="1110" w:type="dxa"/>
            <w:gridSpan w:val="2"/>
            <w:shd w:val="clear" w:color="000000" w:fill="C5D9F1"/>
            <w:noWrap/>
            <w:hideMark/>
          </w:tcPr>
          <w:p w14:paraId="644F48A4" w14:textId="0E27EA9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500</w:t>
            </w:r>
          </w:p>
        </w:tc>
        <w:tc>
          <w:tcPr>
            <w:tcW w:w="1110" w:type="dxa"/>
            <w:gridSpan w:val="3"/>
            <w:shd w:val="clear" w:color="000000" w:fill="C5D9F1"/>
            <w:noWrap/>
            <w:hideMark/>
          </w:tcPr>
          <w:p w14:paraId="50A2B2DD" w14:textId="6961864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1,500</w:t>
            </w:r>
          </w:p>
        </w:tc>
        <w:tc>
          <w:tcPr>
            <w:tcW w:w="1110" w:type="dxa"/>
            <w:gridSpan w:val="2"/>
            <w:shd w:val="clear" w:color="000000" w:fill="C5D9F1"/>
            <w:noWrap/>
            <w:hideMark/>
          </w:tcPr>
          <w:p w14:paraId="0CB4A8B9" w14:textId="045723A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500</w:t>
            </w:r>
          </w:p>
        </w:tc>
        <w:tc>
          <w:tcPr>
            <w:tcW w:w="1110" w:type="dxa"/>
            <w:shd w:val="clear" w:color="000000" w:fill="C5D9F1"/>
            <w:noWrap/>
            <w:hideMark/>
          </w:tcPr>
          <w:p w14:paraId="09B96BEB" w14:textId="6BC408B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818" w:type="dxa"/>
            <w:gridSpan w:val="2"/>
            <w:shd w:val="clear" w:color="000000" w:fill="C5D9F1"/>
            <w:noWrap/>
            <w:hideMark/>
          </w:tcPr>
          <w:p w14:paraId="296DDE61" w14:textId="1E55CB8E"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r>
      <w:tr w:rsidR="004D73D3" w:rsidRPr="0048716F" w14:paraId="36812811" w14:textId="77777777" w:rsidTr="00597AD8">
        <w:trPr>
          <w:trHeight w:val="528"/>
        </w:trPr>
        <w:tc>
          <w:tcPr>
            <w:tcW w:w="3885" w:type="dxa"/>
            <w:noWrap/>
            <w:hideMark/>
          </w:tcPr>
          <w:p w14:paraId="4851934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3.3.1. Përgatitja e një analize ligjore me fokus identifikimin dhe orientimin e boshllëqeve, të cilat pengojnë aplikimin e vendimmarrjes së mbështetur;</w:t>
            </w:r>
          </w:p>
        </w:tc>
        <w:tc>
          <w:tcPr>
            <w:tcW w:w="1080" w:type="dxa"/>
            <w:hideMark/>
          </w:tcPr>
          <w:p w14:paraId="7C8C8C7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36F5CAD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2028</w:t>
            </w:r>
          </w:p>
        </w:tc>
        <w:tc>
          <w:tcPr>
            <w:tcW w:w="1411" w:type="dxa"/>
            <w:vAlign w:val="center"/>
            <w:hideMark/>
          </w:tcPr>
          <w:p w14:paraId="0E73352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MD/MSHMS</w:t>
            </w:r>
          </w:p>
        </w:tc>
        <w:tc>
          <w:tcPr>
            <w:tcW w:w="1521" w:type="dxa"/>
            <w:gridSpan w:val="2"/>
            <w:vAlign w:val="center"/>
            <w:hideMark/>
          </w:tcPr>
          <w:p w14:paraId="74CB08F5" w14:textId="5C6ED1F6" w:rsidR="004D73D3" w:rsidRPr="0048716F" w:rsidRDefault="004D73D3" w:rsidP="00597AD8">
            <w:pPr>
              <w:rPr>
                <w:rFonts w:eastAsia="Times New Roman"/>
                <w:color w:val="000000"/>
                <w:sz w:val="18"/>
                <w:szCs w:val="18"/>
                <w:lang w:val="en-US" w:eastAsia="en-US"/>
              </w:rPr>
            </w:pPr>
          </w:p>
        </w:tc>
        <w:tc>
          <w:tcPr>
            <w:tcW w:w="1110" w:type="dxa"/>
            <w:gridSpan w:val="2"/>
            <w:hideMark/>
          </w:tcPr>
          <w:p w14:paraId="2C239F82" w14:textId="33D0668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3"/>
            <w:hideMark/>
          </w:tcPr>
          <w:p w14:paraId="6DAB057B" w14:textId="3003047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gridSpan w:val="2"/>
            <w:hideMark/>
          </w:tcPr>
          <w:p w14:paraId="54FE35EB" w14:textId="72FBA5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hideMark/>
          </w:tcPr>
          <w:p w14:paraId="37676A56" w14:textId="77FDA2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56749A6" w14:textId="116D1E4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5AE6459" w14:textId="77777777" w:rsidTr="00597AD8">
        <w:trPr>
          <w:trHeight w:val="1848"/>
        </w:trPr>
        <w:tc>
          <w:tcPr>
            <w:tcW w:w="3885" w:type="dxa"/>
            <w:noWrap/>
            <w:hideMark/>
          </w:tcPr>
          <w:p w14:paraId="13EAE7F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3.3.2.Rishikimi i dispozitave ligjore të Kodit Civil, Kodit të Procedurës Civile, Kodit të Familjes,  Kodit Penal dhe Kodit të Procedurës Penale, Ligjit të Shëndetit Mendor për të garantuar të drejtën për të ushtruar zotësinë e plotë për të vepruar për personat me aftësi të kufizuara, me një fokus të veçantë te personat me aftësi të kufizuara psikosociale dhe intelektuale, të cilët janë prekur në mënyrë disproporcionale nga heqja e zotësisë juridike, krahasuar me pjesën tjetër të popullsisë, në të gjitha aspektet e jetes;</w:t>
            </w:r>
          </w:p>
        </w:tc>
        <w:tc>
          <w:tcPr>
            <w:tcW w:w="1080" w:type="dxa"/>
            <w:hideMark/>
          </w:tcPr>
          <w:p w14:paraId="35D10B9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FB6E0D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2028</w:t>
            </w:r>
          </w:p>
        </w:tc>
        <w:tc>
          <w:tcPr>
            <w:tcW w:w="1411" w:type="dxa"/>
            <w:vAlign w:val="center"/>
            <w:hideMark/>
          </w:tcPr>
          <w:p w14:paraId="15DDA14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MD/MSHMS</w:t>
            </w:r>
          </w:p>
        </w:tc>
        <w:tc>
          <w:tcPr>
            <w:tcW w:w="1521" w:type="dxa"/>
            <w:gridSpan w:val="2"/>
            <w:vAlign w:val="center"/>
            <w:hideMark/>
          </w:tcPr>
          <w:p w14:paraId="72801712" w14:textId="222E4C14" w:rsidR="004D73D3" w:rsidRPr="0048716F" w:rsidRDefault="004D73D3" w:rsidP="00597AD8">
            <w:pPr>
              <w:rPr>
                <w:rFonts w:eastAsia="Times New Roman"/>
                <w:color w:val="000000"/>
                <w:sz w:val="18"/>
                <w:szCs w:val="18"/>
                <w:lang w:val="en-US" w:eastAsia="en-US"/>
              </w:rPr>
            </w:pPr>
          </w:p>
        </w:tc>
        <w:tc>
          <w:tcPr>
            <w:tcW w:w="1110" w:type="dxa"/>
            <w:gridSpan w:val="2"/>
            <w:hideMark/>
          </w:tcPr>
          <w:p w14:paraId="37021349" w14:textId="7D3D1B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5AABA33" w14:textId="7537FE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61B618D5" w14:textId="7D6B4C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1E38935" w14:textId="1FF2E35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1138A53" w14:textId="325FE7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58EEC98" w14:textId="77777777" w:rsidTr="00597AD8">
        <w:trPr>
          <w:trHeight w:val="528"/>
        </w:trPr>
        <w:tc>
          <w:tcPr>
            <w:tcW w:w="3885" w:type="dxa"/>
            <w:noWrap/>
            <w:hideMark/>
          </w:tcPr>
          <w:p w14:paraId="1E4C8E24"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3.3.3. Iniciimi, përgatitja, miratimi i kuadrit ligjor në mbështetje të ngritjes së mekanizmave të vendimmarrjes së mbështetur;</w:t>
            </w:r>
          </w:p>
        </w:tc>
        <w:tc>
          <w:tcPr>
            <w:tcW w:w="1080" w:type="dxa"/>
            <w:hideMark/>
          </w:tcPr>
          <w:p w14:paraId="79F5AC7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2029</w:t>
            </w:r>
          </w:p>
        </w:tc>
        <w:tc>
          <w:tcPr>
            <w:tcW w:w="1260" w:type="dxa"/>
            <w:hideMark/>
          </w:tcPr>
          <w:p w14:paraId="60E5D2E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6BD7DB6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MD/MSHMS</w:t>
            </w:r>
          </w:p>
        </w:tc>
        <w:tc>
          <w:tcPr>
            <w:tcW w:w="1521" w:type="dxa"/>
            <w:gridSpan w:val="2"/>
            <w:vAlign w:val="center"/>
            <w:hideMark/>
          </w:tcPr>
          <w:p w14:paraId="5309CEB2" w14:textId="244210E5" w:rsidR="004D73D3" w:rsidRPr="0048716F" w:rsidRDefault="004D73D3" w:rsidP="00597AD8">
            <w:pPr>
              <w:rPr>
                <w:rFonts w:eastAsia="Times New Roman"/>
                <w:color w:val="000000"/>
                <w:sz w:val="18"/>
                <w:szCs w:val="18"/>
                <w:lang w:val="en-US" w:eastAsia="en-US"/>
              </w:rPr>
            </w:pPr>
          </w:p>
        </w:tc>
        <w:tc>
          <w:tcPr>
            <w:tcW w:w="1110" w:type="dxa"/>
            <w:gridSpan w:val="2"/>
            <w:hideMark/>
          </w:tcPr>
          <w:p w14:paraId="3A4B644C" w14:textId="239E348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9538515" w14:textId="46091C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4256FCA" w14:textId="01FD086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B3E6747" w14:textId="596525A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40D1943" w14:textId="23C3293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701E97F" w14:textId="77777777" w:rsidTr="00597AD8">
        <w:trPr>
          <w:trHeight w:val="792"/>
        </w:trPr>
        <w:tc>
          <w:tcPr>
            <w:tcW w:w="3885" w:type="dxa"/>
            <w:noWrap/>
            <w:hideMark/>
          </w:tcPr>
          <w:p w14:paraId="7717411B"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3.3.4. Rritja e kapaciteteve të profesionistëve për të kuptuar dhe zbatuar vendimmarrjen e mbështetur në sektorë të lidhur me shëndetësinë, policinë, prokurorinë, gjyqësorin, noterë e avokatë;</w:t>
            </w:r>
          </w:p>
        </w:tc>
        <w:tc>
          <w:tcPr>
            <w:tcW w:w="1080" w:type="dxa"/>
            <w:hideMark/>
          </w:tcPr>
          <w:p w14:paraId="5229AA5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2379678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0384C92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MD/MSHMS</w:t>
            </w:r>
          </w:p>
        </w:tc>
        <w:tc>
          <w:tcPr>
            <w:tcW w:w="1521" w:type="dxa"/>
            <w:gridSpan w:val="2"/>
            <w:vAlign w:val="center"/>
            <w:hideMark/>
          </w:tcPr>
          <w:p w14:paraId="1824EE34" w14:textId="11114C79" w:rsidR="004D73D3" w:rsidRPr="0048716F" w:rsidRDefault="004D73D3" w:rsidP="00597AD8">
            <w:pPr>
              <w:rPr>
                <w:rFonts w:eastAsia="Times New Roman"/>
                <w:color w:val="000000"/>
                <w:sz w:val="18"/>
                <w:szCs w:val="18"/>
                <w:lang w:val="en-US" w:eastAsia="en-US"/>
              </w:rPr>
            </w:pPr>
          </w:p>
        </w:tc>
        <w:tc>
          <w:tcPr>
            <w:tcW w:w="1110" w:type="dxa"/>
            <w:gridSpan w:val="2"/>
            <w:hideMark/>
          </w:tcPr>
          <w:p w14:paraId="5BD2F3FE" w14:textId="67E1C9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6E72C78" w14:textId="1E097D6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DA1BF3A" w14:textId="682A3C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131E06C" w14:textId="7BCB27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17B6C98" w14:textId="7D7CE8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6D0F3DB" w14:textId="77777777" w:rsidTr="00597AD8">
        <w:trPr>
          <w:trHeight w:val="528"/>
        </w:trPr>
        <w:tc>
          <w:tcPr>
            <w:tcW w:w="3885" w:type="dxa"/>
            <w:hideMark/>
          </w:tcPr>
          <w:p w14:paraId="7F6784A6" w14:textId="77777777"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t>3.3.5. Organizimi i vizitave studimore në vende ku aplikimi në praktikë i vendimmarrjes së mbështetur ka rezultuar i suksesshëm.</w:t>
            </w:r>
          </w:p>
        </w:tc>
        <w:tc>
          <w:tcPr>
            <w:tcW w:w="1080" w:type="dxa"/>
            <w:hideMark/>
          </w:tcPr>
          <w:p w14:paraId="4158DA8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2029</w:t>
            </w:r>
          </w:p>
        </w:tc>
        <w:tc>
          <w:tcPr>
            <w:tcW w:w="1260" w:type="dxa"/>
            <w:hideMark/>
          </w:tcPr>
          <w:p w14:paraId="08C346A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4679581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MD/MSHMS</w:t>
            </w:r>
          </w:p>
        </w:tc>
        <w:tc>
          <w:tcPr>
            <w:tcW w:w="1521" w:type="dxa"/>
            <w:gridSpan w:val="2"/>
            <w:vAlign w:val="center"/>
            <w:hideMark/>
          </w:tcPr>
          <w:p w14:paraId="38346C41" w14:textId="3BF31BD4" w:rsidR="004D73D3" w:rsidRPr="0048716F" w:rsidRDefault="004D73D3" w:rsidP="00597AD8">
            <w:pPr>
              <w:rPr>
                <w:rFonts w:eastAsia="Times New Roman"/>
                <w:color w:val="000000"/>
                <w:sz w:val="18"/>
                <w:szCs w:val="18"/>
                <w:lang w:val="en-US" w:eastAsia="en-US"/>
              </w:rPr>
            </w:pPr>
          </w:p>
        </w:tc>
        <w:tc>
          <w:tcPr>
            <w:tcW w:w="1110" w:type="dxa"/>
            <w:gridSpan w:val="2"/>
            <w:hideMark/>
          </w:tcPr>
          <w:p w14:paraId="4E29B88D" w14:textId="4D38AA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199E93E" w14:textId="5BBA55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895B833" w14:textId="5DC813A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2C88413" w14:textId="1C5D56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17F9703" w14:textId="296DD3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59D6D20" w14:textId="77777777" w:rsidTr="00597AD8">
        <w:trPr>
          <w:trHeight w:val="792"/>
        </w:trPr>
        <w:tc>
          <w:tcPr>
            <w:tcW w:w="3885" w:type="dxa"/>
            <w:noWrap/>
            <w:hideMark/>
          </w:tcPr>
          <w:p w14:paraId="6927E103" w14:textId="754AE785" w:rsidR="004D73D3" w:rsidRPr="0048716F" w:rsidRDefault="004D73D3" w:rsidP="0048716F">
            <w:pPr>
              <w:jc w:val="both"/>
              <w:rPr>
                <w:rFonts w:eastAsia="Times New Roman"/>
                <w:sz w:val="18"/>
                <w:szCs w:val="18"/>
                <w:lang w:val="en-US" w:eastAsia="en-US"/>
              </w:rPr>
            </w:pPr>
            <w:r w:rsidRPr="0048716F">
              <w:rPr>
                <w:rFonts w:eastAsia="Times New Roman"/>
                <w:sz w:val="18"/>
                <w:szCs w:val="18"/>
                <w:lang w:val="en-US" w:eastAsia="en-US"/>
              </w:rPr>
              <w:lastRenderedPageBreak/>
              <w:t>3.3.6. Përgatitja e materialeve udhëzuese për aplikimin e vendimmarrjes së mbështetur në formate alternative dhe realizimi i fushatave të informimit për persona me aftësi të kufizuara dhe familjarë të tyre.</w:t>
            </w:r>
          </w:p>
        </w:tc>
        <w:tc>
          <w:tcPr>
            <w:tcW w:w="1080" w:type="dxa"/>
            <w:hideMark/>
          </w:tcPr>
          <w:p w14:paraId="39F02E3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E2A728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4D77E6B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BDA5C70"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MD</w:t>
            </w:r>
          </w:p>
        </w:tc>
        <w:tc>
          <w:tcPr>
            <w:tcW w:w="1110" w:type="dxa"/>
            <w:gridSpan w:val="2"/>
            <w:hideMark/>
          </w:tcPr>
          <w:p w14:paraId="5318EE62" w14:textId="128FA5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E7DFA31" w14:textId="5C16E7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1F42CC7" w14:textId="529CFF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F669540" w14:textId="1ECEA2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D78929D" w14:textId="149A4C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77C3702" w14:textId="77777777" w:rsidTr="00597AD8">
        <w:trPr>
          <w:trHeight w:val="1380"/>
        </w:trPr>
        <w:tc>
          <w:tcPr>
            <w:tcW w:w="3885" w:type="dxa"/>
            <w:shd w:val="clear" w:color="000000" w:fill="FDE9D9"/>
            <w:hideMark/>
          </w:tcPr>
          <w:p w14:paraId="0370212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4: Të garantohet mbrojtja efektive e të drejtave, dinjitetit dhe barazisë së grave dhe vajzave me aftësi të kufizuara nga të gjitha format e dhunës, duke adresuar diskriminimin e shumëfishtë dhe duke siguruar akses të plotë dhe të përshtatur në shërbime, mekanizma mbrojtës dhe drejtësi.</w:t>
            </w:r>
          </w:p>
        </w:tc>
        <w:tc>
          <w:tcPr>
            <w:tcW w:w="1080" w:type="dxa"/>
            <w:shd w:val="clear" w:color="000000" w:fill="FDE9D9"/>
            <w:hideMark/>
          </w:tcPr>
          <w:p w14:paraId="7FB53F7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6750B80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FDE9D9"/>
            <w:vAlign w:val="center"/>
            <w:hideMark/>
          </w:tcPr>
          <w:p w14:paraId="1EB1ECA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FDE9D9"/>
            <w:vAlign w:val="center"/>
            <w:hideMark/>
          </w:tcPr>
          <w:p w14:paraId="2AD03D93" w14:textId="7E773773" w:rsidR="004D73D3" w:rsidRPr="0048716F" w:rsidRDefault="004D73D3" w:rsidP="00597AD8">
            <w:pPr>
              <w:rPr>
                <w:rFonts w:eastAsia="Times New Roman"/>
                <w:color w:val="000000"/>
                <w:sz w:val="18"/>
                <w:szCs w:val="18"/>
                <w:lang w:val="en-US" w:eastAsia="en-US"/>
              </w:rPr>
            </w:pPr>
          </w:p>
        </w:tc>
        <w:tc>
          <w:tcPr>
            <w:tcW w:w="1110" w:type="dxa"/>
            <w:gridSpan w:val="2"/>
            <w:shd w:val="clear" w:color="000000" w:fill="FDE9D9"/>
            <w:hideMark/>
          </w:tcPr>
          <w:p w14:paraId="11D6FCC2" w14:textId="4A392BF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3,173</w:t>
            </w:r>
          </w:p>
        </w:tc>
        <w:tc>
          <w:tcPr>
            <w:tcW w:w="1110" w:type="dxa"/>
            <w:gridSpan w:val="3"/>
            <w:shd w:val="clear" w:color="000000" w:fill="FDE9D9"/>
            <w:hideMark/>
          </w:tcPr>
          <w:p w14:paraId="7FAB5578" w14:textId="5E0C97E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128,443</w:t>
            </w:r>
          </w:p>
        </w:tc>
        <w:tc>
          <w:tcPr>
            <w:tcW w:w="1110" w:type="dxa"/>
            <w:gridSpan w:val="2"/>
            <w:shd w:val="clear" w:color="000000" w:fill="FDE9D9"/>
            <w:hideMark/>
          </w:tcPr>
          <w:p w14:paraId="6AFAE93B" w14:textId="702003B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7,718</w:t>
            </w:r>
          </w:p>
        </w:tc>
        <w:tc>
          <w:tcPr>
            <w:tcW w:w="1110" w:type="dxa"/>
            <w:shd w:val="clear" w:color="000000" w:fill="FDE9D9"/>
            <w:hideMark/>
          </w:tcPr>
          <w:p w14:paraId="36D27A64" w14:textId="643CDF7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6,545</w:t>
            </w:r>
          </w:p>
        </w:tc>
        <w:tc>
          <w:tcPr>
            <w:tcW w:w="818" w:type="dxa"/>
            <w:gridSpan w:val="2"/>
            <w:shd w:val="clear" w:color="000000" w:fill="FDE9D9"/>
            <w:hideMark/>
          </w:tcPr>
          <w:p w14:paraId="43AE0ED7" w14:textId="7DA4CC8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131,061</w:t>
            </w:r>
          </w:p>
        </w:tc>
      </w:tr>
      <w:tr w:rsidR="004D73D3" w:rsidRPr="0048716F" w14:paraId="5E759EE9" w14:textId="77777777" w:rsidTr="00597AD8">
        <w:trPr>
          <w:trHeight w:val="792"/>
        </w:trPr>
        <w:tc>
          <w:tcPr>
            <w:tcW w:w="3885" w:type="dxa"/>
            <w:shd w:val="clear" w:color="000000" w:fill="DCE6F1"/>
            <w:hideMark/>
          </w:tcPr>
          <w:p w14:paraId="4357069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4.1. Garantimi i aksesueshmërisë dhe përshtatjes së shërbimeve, mekanizmave të referimit dhe procedurave për gratë dhe vajzat me aftësi të kufizuara, viktima të dhunës.</w:t>
            </w:r>
          </w:p>
        </w:tc>
        <w:tc>
          <w:tcPr>
            <w:tcW w:w="1080" w:type="dxa"/>
            <w:shd w:val="clear" w:color="000000" w:fill="DCE6F1"/>
            <w:hideMark/>
          </w:tcPr>
          <w:p w14:paraId="7CA4B7E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56300C1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0C4C628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696C101B" w14:textId="364887D4" w:rsidR="004D73D3" w:rsidRPr="0048716F" w:rsidRDefault="004D73D3" w:rsidP="00597AD8">
            <w:pPr>
              <w:rPr>
                <w:rFonts w:eastAsia="Times New Roman"/>
                <w:color w:val="000000"/>
                <w:sz w:val="18"/>
                <w:szCs w:val="18"/>
                <w:lang w:val="en-US" w:eastAsia="en-US"/>
              </w:rPr>
            </w:pPr>
          </w:p>
        </w:tc>
        <w:tc>
          <w:tcPr>
            <w:tcW w:w="1110" w:type="dxa"/>
            <w:gridSpan w:val="2"/>
            <w:shd w:val="clear" w:color="000000" w:fill="C5D9F1"/>
            <w:noWrap/>
            <w:hideMark/>
          </w:tcPr>
          <w:p w14:paraId="71B2D7D0" w14:textId="7E59FDE2"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1,173</w:t>
            </w:r>
          </w:p>
        </w:tc>
        <w:tc>
          <w:tcPr>
            <w:tcW w:w="1110" w:type="dxa"/>
            <w:gridSpan w:val="3"/>
            <w:shd w:val="clear" w:color="000000" w:fill="C5D9F1"/>
            <w:noWrap/>
            <w:hideMark/>
          </w:tcPr>
          <w:p w14:paraId="750E3800" w14:textId="5408B52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3,343</w:t>
            </w:r>
          </w:p>
        </w:tc>
        <w:tc>
          <w:tcPr>
            <w:tcW w:w="1110" w:type="dxa"/>
            <w:gridSpan w:val="2"/>
            <w:shd w:val="clear" w:color="000000" w:fill="C5D9F1"/>
            <w:noWrap/>
            <w:hideMark/>
          </w:tcPr>
          <w:p w14:paraId="3D87585A" w14:textId="4A2E5B2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1,173</w:t>
            </w:r>
          </w:p>
        </w:tc>
        <w:tc>
          <w:tcPr>
            <w:tcW w:w="1110" w:type="dxa"/>
            <w:shd w:val="clear" w:color="000000" w:fill="C5D9F1"/>
            <w:noWrap/>
            <w:hideMark/>
          </w:tcPr>
          <w:p w14:paraId="0C555462" w14:textId="1A2D727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818" w:type="dxa"/>
            <w:gridSpan w:val="2"/>
            <w:shd w:val="clear" w:color="000000" w:fill="C5D9F1"/>
            <w:noWrap/>
            <w:hideMark/>
          </w:tcPr>
          <w:p w14:paraId="4092E55B" w14:textId="22D8430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4,516</w:t>
            </w:r>
          </w:p>
        </w:tc>
      </w:tr>
      <w:tr w:rsidR="004D73D3" w:rsidRPr="0048716F" w14:paraId="08592025" w14:textId="77777777" w:rsidTr="00597AD8">
        <w:trPr>
          <w:trHeight w:val="528"/>
        </w:trPr>
        <w:tc>
          <w:tcPr>
            <w:tcW w:w="3885" w:type="dxa"/>
            <w:hideMark/>
          </w:tcPr>
          <w:p w14:paraId="615E3C1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4.1.1. Realizimi I një studimi të aksesueshmërisë në të gjitha qëndrat që ofrojnë shërbime për gratë e vajzat, viktima të dhunës;</w:t>
            </w:r>
          </w:p>
        </w:tc>
        <w:tc>
          <w:tcPr>
            <w:tcW w:w="1080" w:type="dxa"/>
            <w:hideMark/>
          </w:tcPr>
          <w:p w14:paraId="77342A5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2748A88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9768FA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447295A5" w14:textId="5D8F2B71" w:rsidR="004D73D3" w:rsidRPr="0048716F" w:rsidRDefault="004D73D3" w:rsidP="00597AD8">
            <w:pPr>
              <w:rPr>
                <w:rFonts w:eastAsia="Times New Roman"/>
                <w:color w:val="000000"/>
                <w:sz w:val="18"/>
                <w:szCs w:val="18"/>
                <w:lang w:val="en-US" w:eastAsia="en-US"/>
              </w:rPr>
            </w:pPr>
          </w:p>
        </w:tc>
        <w:tc>
          <w:tcPr>
            <w:tcW w:w="1110" w:type="dxa"/>
            <w:gridSpan w:val="2"/>
            <w:hideMark/>
          </w:tcPr>
          <w:p w14:paraId="7AE3C4D0" w14:textId="21EBD88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F0252A8" w14:textId="70051C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c>
          <w:tcPr>
            <w:tcW w:w="1110" w:type="dxa"/>
            <w:gridSpan w:val="2"/>
            <w:hideMark/>
          </w:tcPr>
          <w:p w14:paraId="6729AA81" w14:textId="3C5D52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c>
          <w:tcPr>
            <w:tcW w:w="1110" w:type="dxa"/>
            <w:hideMark/>
          </w:tcPr>
          <w:p w14:paraId="447F0EE6" w14:textId="317EFC4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96B66F1" w14:textId="20F879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r>
      <w:tr w:rsidR="004D73D3" w:rsidRPr="0048716F" w14:paraId="5B38BD45" w14:textId="77777777" w:rsidTr="00597AD8">
        <w:trPr>
          <w:trHeight w:val="792"/>
        </w:trPr>
        <w:tc>
          <w:tcPr>
            <w:tcW w:w="3885" w:type="dxa"/>
            <w:hideMark/>
          </w:tcPr>
          <w:p w14:paraId="5E32D0D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4.1.2. Përcaktimi i treguesve  për monitorimin e aksesueshmërisë së shërbimeve dhe efektivitetit të masave për gratë dhe vajzat me aftësi të kufizuara, viktima të dhunës;</w:t>
            </w:r>
          </w:p>
        </w:tc>
        <w:tc>
          <w:tcPr>
            <w:tcW w:w="1080" w:type="dxa"/>
            <w:hideMark/>
          </w:tcPr>
          <w:p w14:paraId="5E8247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6F84EF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EF9481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7C4EB02E" w14:textId="77678BB7" w:rsidR="004D73D3" w:rsidRPr="0048716F" w:rsidRDefault="004D73D3" w:rsidP="00597AD8">
            <w:pPr>
              <w:rPr>
                <w:rFonts w:eastAsia="Times New Roman"/>
                <w:color w:val="000000"/>
                <w:sz w:val="18"/>
                <w:szCs w:val="18"/>
                <w:lang w:val="en-US" w:eastAsia="en-US"/>
              </w:rPr>
            </w:pPr>
          </w:p>
        </w:tc>
        <w:tc>
          <w:tcPr>
            <w:tcW w:w="1110" w:type="dxa"/>
            <w:gridSpan w:val="2"/>
            <w:hideMark/>
          </w:tcPr>
          <w:p w14:paraId="71C9C626" w14:textId="5DCCA1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4C3A028" w14:textId="77CF1A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c>
          <w:tcPr>
            <w:tcW w:w="1110" w:type="dxa"/>
            <w:gridSpan w:val="2"/>
            <w:hideMark/>
          </w:tcPr>
          <w:p w14:paraId="3FE3FE37" w14:textId="71E367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89C5C19" w14:textId="4EDAF45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185F5F0" w14:textId="1698F0F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r>
      <w:tr w:rsidR="004D73D3" w:rsidRPr="0048716F" w14:paraId="7B56B366" w14:textId="77777777" w:rsidTr="00597AD8">
        <w:trPr>
          <w:trHeight w:val="792"/>
        </w:trPr>
        <w:tc>
          <w:tcPr>
            <w:tcW w:w="3885" w:type="dxa"/>
            <w:hideMark/>
          </w:tcPr>
          <w:p w14:paraId="2AC1EC0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4.1.3. Integrimi i kritereve specifike për aftësinë e kufizuar dhe diskriminimin e shumëfishtë në procedurat e vlerësimit të riskut dhe menaxhimit të rasteve nga MKR dhe profesionistët përkatës;</w:t>
            </w:r>
          </w:p>
        </w:tc>
        <w:tc>
          <w:tcPr>
            <w:tcW w:w="1080" w:type="dxa"/>
            <w:hideMark/>
          </w:tcPr>
          <w:p w14:paraId="6C890BA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6091059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68F8E4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3C520446" w14:textId="04618888" w:rsidR="004D73D3" w:rsidRPr="0048716F" w:rsidRDefault="004D73D3" w:rsidP="00597AD8">
            <w:pPr>
              <w:rPr>
                <w:rFonts w:eastAsia="Times New Roman"/>
                <w:color w:val="000000"/>
                <w:sz w:val="18"/>
                <w:szCs w:val="18"/>
                <w:lang w:val="en-US" w:eastAsia="en-US"/>
              </w:rPr>
            </w:pPr>
          </w:p>
        </w:tc>
        <w:tc>
          <w:tcPr>
            <w:tcW w:w="1110" w:type="dxa"/>
            <w:gridSpan w:val="2"/>
            <w:hideMark/>
          </w:tcPr>
          <w:p w14:paraId="317ABA09" w14:textId="4857C5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C3FC57C" w14:textId="684AAD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587F432" w14:textId="5131B8F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BB00D51" w14:textId="23C6877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BFB8628" w14:textId="7D28FCC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2DE99AB" w14:textId="77777777" w:rsidTr="00597AD8">
        <w:trPr>
          <w:trHeight w:val="1584"/>
        </w:trPr>
        <w:tc>
          <w:tcPr>
            <w:tcW w:w="3885" w:type="dxa"/>
            <w:hideMark/>
          </w:tcPr>
          <w:p w14:paraId="482D4E75" w14:textId="2877011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4.1.4. Rishikimi i standarteve të shërbimeve për qëndrat e trajtimit të viktimave të dhunës  dhe viktimave të trafikimit, për t’i përputhur ato me CRPD dhe Konventën e Stambollit, Direktivën e BE-së 1385/2024, duke u shoqëruar edhe me rishikimin e procedurave, protokolleve, burimeve njerëzore, për të realizur një mirëmenaxhim të rasteve, bazuar në një qasje individuale dhe muldisiplinare për gratë e vajzat me aftësi të kufizuara;</w:t>
            </w:r>
          </w:p>
        </w:tc>
        <w:tc>
          <w:tcPr>
            <w:tcW w:w="1080" w:type="dxa"/>
            <w:hideMark/>
          </w:tcPr>
          <w:p w14:paraId="0D27C8D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A503D3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034841E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061581EE" w14:textId="7871A73E" w:rsidR="004D73D3" w:rsidRPr="0048716F" w:rsidRDefault="004D73D3" w:rsidP="00597AD8">
            <w:pPr>
              <w:rPr>
                <w:rFonts w:eastAsia="Times New Roman"/>
                <w:color w:val="000000"/>
                <w:sz w:val="18"/>
                <w:szCs w:val="18"/>
                <w:lang w:val="en-US" w:eastAsia="en-US"/>
              </w:rPr>
            </w:pPr>
          </w:p>
        </w:tc>
        <w:tc>
          <w:tcPr>
            <w:tcW w:w="1110" w:type="dxa"/>
            <w:gridSpan w:val="2"/>
            <w:hideMark/>
          </w:tcPr>
          <w:p w14:paraId="02264BBA" w14:textId="54238DF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233D4E4" w14:textId="731CAEE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998</w:t>
            </w:r>
          </w:p>
        </w:tc>
        <w:tc>
          <w:tcPr>
            <w:tcW w:w="1110" w:type="dxa"/>
            <w:gridSpan w:val="2"/>
            <w:hideMark/>
          </w:tcPr>
          <w:p w14:paraId="697AF520" w14:textId="07468A1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D1ABC83" w14:textId="6CCDC03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5BEC6D4" w14:textId="2E5C36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998</w:t>
            </w:r>
          </w:p>
        </w:tc>
      </w:tr>
      <w:tr w:rsidR="004D73D3" w:rsidRPr="0048716F" w14:paraId="2F94B121" w14:textId="77777777" w:rsidTr="00597AD8">
        <w:trPr>
          <w:trHeight w:val="792"/>
        </w:trPr>
        <w:tc>
          <w:tcPr>
            <w:tcW w:w="3885" w:type="dxa"/>
            <w:hideMark/>
          </w:tcPr>
          <w:p w14:paraId="20BA091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4.1.5. Realizimi një vlerësim mbi nevojat për trajnime dhe të hartohet, aprovohet, financohet ofrimi i trajnimeve të nevojshme për stafin për të garantuar shërbimin për vajzat dhe gratë e viktima të dhunës me aftësi të kufizuara.</w:t>
            </w:r>
          </w:p>
        </w:tc>
        <w:tc>
          <w:tcPr>
            <w:tcW w:w="1080" w:type="dxa"/>
            <w:hideMark/>
          </w:tcPr>
          <w:p w14:paraId="1BFC8F2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430BA68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101469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18FDE0C1" w14:textId="22A21E64" w:rsidR="004D73D3" w:rsidRPr="0048716F" w:rsidRDefault="004D73D3" w:rsidP="00597AD8">
            <w:pPr>
              <w:rPr>
                <w:rFonts w:eastAsia="Times New Roman"/>
                <w:color w:val="000000"/>
                <w:sz w:val="18"/>
                <w:szCs w:val="18"/>
                <w:lang w:val="en-US" w:eastAsia="en-US"/>
              </w:rPr>
            </w:pPr>
          </w:p>
        </w:tc>
        <w:tc>
          <w:tcPr>
            <w:tcW w:w="1110" w:type="dxa"/>
            <w:gridSpan w:val="2"/>
            <w:hideMark/>
          </w:tcPr>
          <w:p w14:paraId="5EA4140B" w14:textId="573BA8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c>
          <w:tcPr>
            <w:tcW w:w="1110" w:type="dxa"/>
            <w:gridSpan w:val="3"/>
            <w:hideMark/>
          </w:tcPr>
          <w:p w14:paraId="57A1D238" w14:textId="6DAB598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60AA195" w14:textId="47258ED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10E5B8E8" w14:textId="44999A9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7F365C9" w14:textId="61B839C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1,173</w:t>
            </w:r>
          </w:p>
        </w:tc>
      </w:tr>
      <w:tr w:rsidR="004D73D3" w:rsidRPr="0048716F" w14:paraId="10E103ED" w14:textId="77777777" w:rsidTr="00597AD8">
        <w:trPr>
          <w:trHeight w:val="1056"/>
        </w:trPr>
        <w:tc>
          <w:tcPr>
            <w:tcW w:w="3885" w:type="dxa"/>
            <w:shd w:val="clear" w:color="000000" w:fill="B8CCE4"/>
            <w:hideMark/>
          </w:tcPr>
          <w:p w14:paraId="765C020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 4.2. Parandalimi i dhunës ndaj grave dhe vajzave me aftësi të kufizuara në familje dhe komunitet, përmes rritjes së ndërgjegjësimit të familjarëve, kujdestarëve dhe komunitetit, si dhe forcimit të mekanizmave të raportimit të bazuara në evidencë, mbrojtjes dhe ndërhyrjes së hershme.</w:t>
            </w:r>
          </w:p>
        </w:tc>
        <w:tc>
          <w:tcPr>
            <w:tcW w:w="1080" w:type="dxa"/>
            <w:shd w:val="clear" w:color="000000" w:fill="B8CCE4"/>
            <w:noWrap/>
            <w:vAlign w:val="center"/>
            <w:hideMark/>
          </w:tcPr>
          <w:p w14:paraId="42C7760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B8CCE4"/>
            <w:noWrap/>
            <w:vAlign w:val="center"/>
            <w:hideMark/>
          </w:tcPr>
          <w:p w14:paraId="7906D09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B8CCE4"/>
            <w:noWrap/>
            <w:vAlign w:val="center"/>
            <w:hideMark/>
          </w:tcPr>
          <w:p w14:paraId="157C1A1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B8CCE4"/>
            <w:noWrap/>
            <w:vAlign w:val="center"/>
            <w:hideMark/>
          </w:tcPr>
          <w:p w14:paraId="55021F9A"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C5D9F1"/>
            <w:noWrap/>
            <w:hideMark/>
          </w:tcPr>
          <w:p w14:paraId="4D832DB6" w14:textId="7B5C49CD"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2,000</w:t>
            </w:r>
          </w:p>
        </w:tc>
        <w:tc>
          <w:tcPr>
            <w:tcW w:w="1110" w:type="dxa"/>
            <w:gridSpan w:val="3"/>
            <w:shd w:val="clear" w:color="000000" w:fill="C5D9F1"/>
            <w:noWrap/>
            <w:hideMark/>
          </w:tcPr>
          <w:p w14:paraId="3C7D85FF" w14:textId="6B5CAB7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4,100</w:t>
            </w:r>
          </w:p>
        </w:tc>
        <w:tc>
          <w:tcPr>
            <w:tcW w:w="1110" w:type="dxa"/>
            <w:gridSpan w:val="2"/>
            <w:shd w:val="clear" w:color="000000" w:fill="C5D9F1"/>
            <w:noWrap/>
            <w:hideMark/>
          </w:tcPr>
          <w:p w14:paraId="368A4A2D" w14:textId="5BF19BC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3,900</w:t>
            </w:r>
          </w:p>
        </w:tc>
        <w:tc>
          <w:tcPr>
            <w:tcW w:w="1110" w:type="dxa"/>
            <w:shd w:val="clear" w:color="000000" w:fill="C5D9F1"/>
            <w:noWrap/>
            <w:hideMark/>
          </w:tcPr>
          <w:p w14:paraId="724C5F36" w14:textId="12031A5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3,900</w:t>
            </w:r>
          </w:p>
        </w:tc>
        <w:tc>
          <w:tcPr>
            <w:tcW w:w="818" w:type="dxa"/>
            <w:gridSpan w:val="2"/>
            <w:shd w:val="clear" w:color="000000" w:fill="C5D9F1"/>
            <w:noWrap/>
            <w:hideMark/>
          </w:tcPr>
          <w:p w14:paraId="76ED83AA" w14:textId="20E41C1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3,900</w:t>
            </w:r>
          </w:p>
        </w:tc>
      </w:tr>
      <w:tr w:rsidR="004D73D3" w:rsidRPr="0048716F" w14:paraId="6ADBBCB5" w14:textId="77777777" w:rsidTr="00597AD8">
        <w:trPr>
          <w:trHeight w:val="1584"/>
        </w:trPr>
        <w:tc>
          <w:tcPr>
            <w:tcW w:w="3885" w:type="dxa"/>
            <w:hideMark/>
          </w:tcPr>
          <w:p w14:paraId="2360559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4.2.1.Garantimi i  aksesit të vazhdueshëm në informacion për vajzat dhe gratë me aftësi të kufizuara sa më pranë ambjenteve ku ato jetojnë,  mbi  parandalimin, njohjen dhe raportimin e formave të ndryshme të dhunës me bazë gjinore,  përmes fuqizimit të rolit të mjekut të familjes, administratorit shoqëror, punonjësit social e psikologut në shkolla, si aktorë kyç për informim, edukim, identifikim të hershëm, referim dhe parandalim të dhunës;</w:t>
            </w:r>
          </w:p>
        </w:tc>
        <w:tc>
          <w:tcPr>
            <w:tcW w:w="1080" w:type="dxa"/>
            <w:hideMark/>
          </w:tcPr>
          <w:p w14:paraId="41C162E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32FCA70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1A00F8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1480AE66" w14:textId="6A154536" w:rsidR="004D73D3" w:rsidRPr="0048716F" w:rsidRDefault="004D73D3" w:rsidP="00597AD8">
            <w:pPr>
              <w:rPr>
                <w:rFonts w:eastAsia="Times New Roman"/>
                <w:color w:val="000000"/>
                <w:sz w:val="18"/>
                <w:szCs w:val="18"/>
                <w:lang w:val="en-US" w:eastAsia="en-US"/>
              </w:rPr>
            </w:pPr>
          </w:p>
        </w:tc>
        <w:tc>
          <w:tcPr>
            <w:tcW w:w="1110" w:type="dxa"/>
            <w:gridSpan w:val="2"/>
            <w:hideMark/>
          </w:tcPr>
          <w:p w14:paraId="27AF384D" w14:textId="0A9F2C1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1110" w:type="dxa"/>
            <w:gridSpan w:val="3"/>
            <w:hideMark/>
          </w:tcPr>
          <w:p w14:paraId="080FB320" w14:textId="0231CEB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1110" w:type="dxa"/>
            <w:gridSpan w:val="2"/>
            <w:hideMark/>
          </w:tcPr>
          <w:p w14:paraId="5D577B3C" w14:textId="4C902C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1110" w:type="dxa"/>
            <w:hideMark/>
          </w:tcPr>
          <w:p w14:paraId="001F97E0" w14:textId="0FB15A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818" w:type="dxa"/>
            <w:gridSpan w:val="2"/>
            <w:hideMark/>
          </w:tcPr>
          <w:p w14:paraId="57120F24" w14:textId="6762C96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r>
      <w:tr w:rsidR="004D73D3" w:rsidRPr="0048716F" w14:paraId="057CA18E" w14:textId="77777777" w:rsidTr="00597AD8">
        <w:trPr>
          <w:trHeight w:val="1056"/>
        </w:trPr>
        <w:tc>
          <w:tcPr>
            <w:tcW w:w="3885" w:type="dxa"/>
            <w:hideMark/>
          </w:tcPr>
          <w:p w14:paraId="0AE351C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4.2.2. Zhvillimi i programeve të ndërgjegjësimit dhe edukimit, të synuara për familjarët dhe kujdestarët e grave dhe vajzave me aftësi të kufizuara, me fokus në parandalimin e dhunës, identifikimin e shenjave të hershme të abuzimit dhe detyrimin për raportim.</w:t>
            </w:r>
          </w:p>
        </w:tc>
        <w:tc>
          <w:tcPr>
            <w:tcW w:w="1080" w:type="dxa"/>
            <w:hideMark/>
          </w:tcPr>
          <w:p w14:paraId="4DC634C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47E4D56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0DB689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6C4968EF" w14:textId="53D66A02" w:rsidR="004D73D3" w:rsidRPr="0048716F" w:rsidRDefault="004D73D3" w:rsidP="00597AD8">
            <w:pPr>
              <w:rPr>
                <w:rFonts w:eastAsia="Times New Roman"/>
                <w:color w:val="000000"/>
                <w:sz w:val="18"/>
                <w:szCs w:val="18"/>
                <w:lang w:val="en-US" w:eastAsia="en-US"/>
              </w:rPr>
            </w:pPr>
          </w:p>
        </w:tc>
        <w:tc>
          <w:tcPr>
            <w:tcW w:w="1110" w:type="dxa"/>
            <w:gridSpan w:val="2"/>
            <w:hideMark/>
          </w:tcPr>
          <w:p w14:paraId="574B9C79" w14:textId="1BF428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ABEAD58" w14:textId="0A87B2F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500CC536" w14:textId="277DE1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14F683F5" w14:textId="599E8E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50311197" w14:textId="3B9FD75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0DE2716F" w14:textId="77777777" w:rsidTr="00597AD8">
        <w:trPr>
          <w:trHeight w:val="1584"/>
        </w:trPr>
        <w:tc>
          <w:tcPr>
            <w:tcW w:w="3885" w:type="dxa"/>
            <w:hideMark/>
          </w:tcPr>
          <w:p w14:paraId="194E73F1" w14:textId="7E152375"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4.2.3.Përmirësimi/krijimi i  një sistemi gjithëpërfshirës për mbledhjen e të dhënave të ndara sipas gjinisë dhe llojit të aftësisë së kufizuar për gratë dhe vajzat me aftësi të kufizuara të cilat përjetojnë dhunë, në përputhje me standardet për mbrojtjen e të dhënave personale dhe konfidencialitetin. Këtu duhet të përfshihen të dhëna për shkaqet, faktorët e riskut, aksesin në shërbime, shërbimet mbështetëse, zbatimin e urdhrave të mbrojtjes dhe ndihmën juridike falas;</w:t>
            </w:r>
          </w:p>
        </w:tc>
        <w:tc>
          <w:tcPr>
            <w:tcW w:w="1080" w:type="dxa"/>
            <w:hideMark/>
          </w:tcPr>
          <w:p w14:paraId="71C2B69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55E3E17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24CD8C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79247E76" w14:textId="0BFE2D34" w:rsidR="004D73D3" w:rsidRPr="0048716F" w:rsidRDefault="004D73D3" w:rsidP="00597AD8">
            <w:pPr>
              <w:rPr>
                <w:rFonts w:eastAsia="Times New Roman"/>
                <w:color w:val="000000"/>
                <w:sz w:val="18"/>
                <w:szCs w:val="18"/>
                <w:lang w:val="en-US" w:eastAsia="en-US"/>
              </w:rPr>
            </w:pPr>
          </w:p>
        </w:tc>
        <w:tc>
          <w:tcPr>
            <w:tcW w:w="1110" w:type="dxa"/>
            <w:gridSpan w:val="2"/>
            <w:hideMark/>
          </w:tcPr>
          <w:p w14:paraId="08147BF7" w14:textId="209807F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4E47964" w14:textId="1A7858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gridSpan w:val="2"/>
            <w:hideMark/>
          </w:tcPr>
          <w:p w14:paraId="1C11AFD2" w14:textId="7F6DEA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hideMark/>
          </w:tcPr>
          <w:p w14:paraId="6D92D17F" w14:textId="0DFCD54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818" w:type="dxa"/>
            <w:gridSpan w:val="2"/>
            <w:hideMark/>
          </w:tcPr>
          <w:p w14:paraId="347BD68B" w14:textId="7097C4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r>
      <w:tr w:rsidR="004D73D3" w:rsidRPr="0048716F" w14:paraId="533560A0" w14:textId="77777777" w:rsidTr="00597AD8">
        <w:trPr>
          <w:trHeight w:val="792"/>
        </w:trPr>
        <w:tc>
          <w:tcPr>
            <w:tcW w:w="3885" w:type="dxa"/>
            <w:hideMark/>
          </w:tcPr>
          <w:p w14:paraId="4326681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4.2.4 Zbatimi i  rekomandimeve të organeve të të drejtave të njeriut, lidhur me cështjet që lidhen me dhunën ndaj grave dhe dhunën në familje, përfshirë edhe orientimin drejt praktikave më të mira në vend dhe atyre ndërkombëtare;</w:t>
            </w:r>
          </w:p>
        </w:tc>
        <w:tc>
          <w:tcPr>
            <w:tcW w:w="1080" w:type="dxa"/>
            <w:hideMark/>
          </w:tcPr>
          <w:p w14:paraId="33753AF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3363D71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183E900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33272E43" w14:textId="0958425A" w:rsidR="004D73D3" w:rsidRPr="0048716F" w:rsidRDefault="004D73D3" w:rsidP="00597AD8">
            <w:pPr>
              <w:rPr>
                <w:rFonts w:eastAsia="Times New Roman"/>
                <w:color w:val="000000"/>
                <w:sz w:val="18"/>
                <w:szCs w:val="18"/>
                <w:lang w:val="en-US" w:eastAsia="en-US"/>
              </w:rPr>
            </w:pPr>
          </w:p>
        </w:tc>
        <w:tc>
          <w:tcPr>
            <w:tcW w:w="1110" w:type="dxa"/>
            <w:gridSpan w:val="2"/>
            <w:hideMark/>
          </w:tcPr>
          <w:p w14:paraId="01268727" w14:textId="14B3E0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E1B893B" w14:textId="16D55F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gridSpan w:val="2"/>
            <w:hideMark/>
          </w:tcPr>
          <w:p w14:paraId="416C80C4" w14:textId="557BC9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hideMark/>
          </w:tcPr>
          <w:p w14:paraId="7A94A675" w14:textId="4B694E6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818" w:type="dxa"/>
            <w:gridSpan w:val="2"/>
            <w:hideMark/>
          </w:tcPr>
          <w:p w14:paraId="33C2CCBE" w14:textId="4D15BD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r>
      <w:tr w:rsidR="004D73D3" w:rsidRPr="0048716F" w14:paraId="58CD562A" w14:textId="77777777" w:rsidTr="00597AD8">
        <w:trPr>
          <w:trHeight w:val="1056"/>
        </w:trPr>
        <w:tc>
          <w:tcPr>
            <w:tcW w:w="3885" w:type="dxa"/>
            <w:hideMark/>
          </w:tcPr>
          <w:p w14:paraId="41C8BE8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 xml:space="preserve">4.2.5. Integrimi i cështjet e grave me aftësi të kufizuara në mekanizmat ekzistues për parandalimin dhe raportimin e dhunës me bazë gjinore.Të zhvillohen trajnime të posaçme për stafin përgjegjës për mbledhjen dhe analizimin e të </w:t>
            </w:r>
            <w:r w:rsidRPr="0048716F">
              <w:rPr>
                <w:rFonts w:eastAsia="Times New Roman"/>
                <w:color w:val="000000"/>
                <w:sz w:val="18"/>
                <w:szCs w:val="18"/>
                <w:lang w:val="en-US" w:eastAsia="en-US"/>
              </w:rPr>
              <w:lastRenderedPageBreak/>
              <w:t>dhënave mbi qasjen gjinore, aftësinë e kufizuar dhe dhunën me bazë gjinore;</w:t>
            </w:r>
          </w:p>
        </w:tc>
        <w:tc>
          <w:tcPr>
            <w:tcW w:w="1080" w:type="dxa"/>
            <w:hideMark/>
          </w:tcPr>
          <w:p w14:paraId="4D422A2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2027</w:t>
            </w:r>
          </w:p>
        </w:tc>
        <w:tc>
          <w:tcPr>
            <w:tcW w:w="1260" w:type="dxa"/>
            <w:hideMark/>
          </w:tcPr>
          <w:p w14:paraId="7E58876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254EE40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5E8E3B74" w14:textId="56024169" w:rsidR="004D73D3" w:rsidRPr="0048716F" w:rsidRDefault="004D73D3" w:rsidP="00597AD8">
            <w:pPr>
              <w:rPr>
                <w:rFonts w:eastAsia="Times New Roman"/>
                <w:color w:val="000000"/>
                <w:sz w:val="18"/>
                <w:szCs w:val="18"/>
                <w:lang w:val="en-US" w:eastAsia="en-US"/>
              </w:rPr>
            </w:pPr>
          </w:p>
        </w:tc>
        <w:tc>
          <w:tcPr>
            <w:tcW w:w="1110" w:type="dxa"/>
            <w:gridSpan w:val="2"/>
            <w:hideMark/>
          </w:tcPr>
          <w:p w14:paraId="118BAE5B" w14:textId="658E47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6AC8B09" w14:textId="4A59B07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1110" w:type="dxa"/>
            <w:gridSpan w:val="2"/>
            <w:hideMark/>
          </w:tcPr>
          <w:p w14:paraId="145EB808" w14:textId="44FB17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hideMark/>
          </w:tcPr>
          <w:p w14:paraId="10C6C3A1" w14:textId="2B4A50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818" w:type="dxa"/>
            <w:gridSpan w:val="2"/>
            <w:hideMark/>
          </w:tcPr>
          <w:p w14:paraId="344BBE39" w14:textId="266F86D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r>
      <w:tr w:rsidR="004D73D3" w:rsidRPr="0048716F" w14:paraId="397451B8" w14:textId="77777777" w:rsidTr="00597AD8">
        <w:trPr>
          <w:trHeight w:val="1104"/>
        </w:trPr>
        <w:tc>
          <w:tcPr>
            <w:tcW w:w="3885" w:type="dxa"/>
            <w:shd w:val="clear" w:color="000000" w:fill="DCE6F1"/>
            <w:hideMark/>
          </w:tcPr>
          <w:p w14:paraId="586F71B5" w14:textId="1F9443B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 4. 3. Mundësimi i një qasjeje të plotë, të informuar dhe padiskriminim në shërbime të shëndetit seksual dhe riprodhues, duke respektuar autonominë dhe të drejtat riprodhuese të grave me aftësi të kufizuara.</w:t>
            </w:r>
          </w:p>
        </w:tc>
        <w:tc>
          <w:tcPr>
            <w:tcW w:w="1080" w:type="dxa"/>
            <w:shd w:val="clear" w:color="000000" w:fill="DCE6F1"/>
            <w:hideMark/>
          </w:tcPr>
          <w:p w14:paraId="466A0E8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6DBC792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7281CAA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7847522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MSHMS/ISHP/OSHKSH</w:t>
            </w:r>
          </w:p>
        </w:tc>
        <w:tc>
          <w:tcPr>
            <w:tcW w:w="1110" w:type="dxa"/>
            <w:gridSpan w:val="2"/>
            <w:shd w:val="clear" w:color="000000" w:fill="C5D9F1"/>
            <w:noWrap/>
            <w:hideMark/>
          </w:tcPr>
          <w:p w14:paraId="6326E5D9" w14:textId="2ED91D2A"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hideMark/>
          </w:tcPr>
          <w:p w14:paraId="664CADA4" w14:textId="7B8C8778"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121,000</w:t>
            </w:r>
          </w:p>
        </w:tc>
        <w:tc>
          <w:tcPr>
            <w:tcW w:w="1110" w:type="dxa"/>
            <w:gridSpan w:val="2"/>
            <w:shd w:val="clear" w:color="000000" w:fill="C5D9F1"/>
            <w:noWrap/>
            <w:hideMark/>
          </w:tcPr>
          <w:p w14:paraId="26AE576E" w14:textId="09A3E6C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2,645</w:t>
            </w:r>
          </w:p>
        </w:tc>
        <w:tc>
          <w:tcPr>
            <w:tcW w:w="1110" w:type="dxa"/>
            <w:shd w:val="clear" w:color="000000" w:fill="C5D9F1"/>
            <w:noWrap/>
            <w:hideMark/>
          </w:tcPr>
          <w:p w14:paraId="095CCB31" w14:textId="0C055ED3"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2,645</w:t>
            </w:r>
          </w:p>
        </w:tc>
        <w:tc>
          <w:tcPr>
            <w:tcW w:w="818" w:type="dxa"/>
            <w:gridSpan w:val="2"/>
            <w:shd w:val="clear" w:color="000000" w:fill="C5D9F1"/>
            <w:noWrap/>
            <w:hideMark/>
          </w:tcPr>
          <w:p w14:paraId="47EBBB11" w14:textId="15FD26C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122,645</w:t>
            </w:r>
          </w:p>
        </w:tc>
      </w:tr>
      <w:tr w:rsidR="004D73D3" w:rsidRPr="0048716F" w14:paraId="5112783D" w14:textId="77777777" w:rsidTr="00597AD8">
        <w:trPr>
          <w:trHeight w:val="528"/>
        </w:trPr>
        <w:tc>
          <w:tcPr>
            <w:tcW w:w="3885" w:type="dxa"/>
            <w:noWrap/>
            <w:hideMark/>
          </w:tcPr>
          <w:p w14:paraId="3E6FD1D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4.3.1. Sigurimi i informacionit për shëndetin seksual dhe riprodhues në formate të aksesueshme (braille, audio, gjuhë e thjeshtuar, gjuhë shenjash);</w:t>
            </w:r>
          </w:p>
        </w:tc>
        <w:tc>
          <w:tcPr>
            <w:tcW w:w="1080" w:type="dxa"/>
            <w:hideMark/>
          </w:tcPr>
          <w:p w14:paraId="62D10DD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090C3BC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55D4EB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57A219D3"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ISHP/OKSHK</w:t>
            </w:r>
          </w:p>
        </w:tc>
        <w:tc>
          <w:tcPr>
            <w:tcW w:w="1110" w:type="dxa"/>
            <w:gridSpan w:val="2"/>
            <w:hideMark/>
          </w:tcPr>
          <w:p w14:paraId="00C58ED8" w14:textId="58F86AC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605AA1E" w14:textId="51ADED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120,000</w:t>
            </w:r>
          </w:p>
        </w:tc>
        <w:tc>
          <w:tcPr>
            <w:tcW w:w="1110" w:type="dxa"/>
            <w:gridSpan w:val="2"/>
            <w:hideMark/>
          </w:tcPr>
          <w:p w14:paraId="125C1CD7" w14:textId="28D71F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2CB1E2C" w14:textId="0747E3E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551756B" w14:textId="3036C1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120,000</w:t>
            </w:r>
          </w:p>
        </w:tc>
      </w:tr>
      <w:tr w:rsidR="004D73D3" w:rsidRPr="0048716F" w14:paraId="553F2101" w14:textId="77777777" w:rsidTr="00597AD8">
        <w:trPr>
          <w:trHeight w:val="1056"/>
        </w:trPr>
        <w:tc>
          <w:tcPr>
            <w:tcW w:w="3885" w:type="dxa"/>
            <w:noWrap/>
            <w:hideMark/>
          </w:tcPr>
          <w:p w14:paraId="4C9BAB6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4.3.2. Trajnime të detyrueshme për personelin shëndetësor mbi të drejtat seksuale dhe riprodhuese të grave me aftësi të kufizuara, komunikimin etik, të respektueshëm dhe pa paragjykime, pëlqimin e informuar dhe vendimmarrjen e mbështetur;</w:t>
            </w:r>
          </w:p>
        </w:tc>
        <w:tc>
          <w:tcPr>
            <w:tcW w:w="1080" w:type="dxa"/>
            <w:hideMark/>
          </w:tcPr>
          <w:p w14:paraId="0B0C6AB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hideMark/>
          </w:tcPr>
          <w:p w14:paraId="76659F9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33A8C39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6C64603A"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MSHMS/OSHKSH/ISHP</w:t>
            </w:r>
          </w:p>
        </w:tc>
        <w:tc>
          <w:tcPr>
            <w:tcW w:w="1110" w:type="dxa"/>
            <w:gridSpan w:val="2"/>
            <w:hideMark/>
          </w:tcPr>
          <w:p w14:paraId="61CC923F" w14:textId="6AA05B8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0135A6D" w14:textId="44AA990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0180AB6B" w14:textId="740A9E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403CD49B" w14:textId="229C42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78B5104C" w14:textId="0800BC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689B45C7" w14:textId="77777777" w:rsidTr="00597AD8">
        <w:trPr>
          <w:trHeight w:val="528"/>
        </w:trPr>
        <w:tc>
          <w:tcPr>
            <w:tcW w:w="3885" w:type="dxa"/>
            <w:noWrap/>
            <w:hideMark/>
          </w:tcPr>
          <w:p w14:paraId="71E204B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4.3.3. Hartimi i protokolleve standarde që garantojnë pëlqimin e informuar për çdo shërbim shëndetësor seksual dhe riprodhues;</w:t>
            </w:r>
          </w:p>
        </w:tc>
        <w:tc>
          <w:tcPr>
            <w:tcW w:w="1080" w:type="dxa"/>
            <w:hideMark/>
          </w:tcPr>
          <w:p w14:paraId="06DAF8A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19811BC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091321E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E08130D"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OSHKSH/ISHP</w:t>
            </w:r>
          </w:p>
        </w:tc>
        <w:tc>
          <w:tcPr>
            <w:tcW w:w="1110" w:type="dxa"/>
            <w:gridSpan w:val="2"/>
            <w:hideMark/>
          </w:tcPr>
          <w:p w14:paraId="56CFB0CA" w14:textId="42857BA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8BE11C4" w14:textId="799839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EBC8AFC" w14:textId="446462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823</w:t>
            </w:r>
          </w:p>
        </w:tc>
        <w:tc>
          <w:tcPr>
            <w:tcW w:w="1110" w:type="dxa"/>
            <w:hideMark/>
          </w:tcPr>
          <w:p w14:paraId="122CA5EA" w14:textId="449D6C4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823</w:t>
            </w:r>
          </w:p>
        </w:tc>
        <w:tc>
          <w:tcPr>
            <w:tcW w:w="818" w:type="dxa"/>
            <w:gridSpan w:val="2"/>
            <w:hideMark/>
          </w:tcPr>
          <w:p w14:paraId="55E5B69B" w14:textId="74A36DE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823</w:t>
            </w:r>
          </w:p>
        </w:tc>
      </w:tr>
      <w:tr w:rsidR="004D73D3" w:rsidRPr="0048716F" w14:paraId="71326C37" w14:textId="77777777" w:rsidTr="00597AD8">
        <w:trPr>
          <w:trHeight w:val="792"/>
        </w:trPr>
        <w:tc>
          <w:tcPr>
            <w:tcW w:w="3885" w:type="dxa"/>
            <w:noWrap/>
            <w:hideMark/>
          </w:tcPr>
          <w:p w14:paraId="27D0CB9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4.3.4. Hartimi i protokolleve që ndalojnë praktikat diskriminuese si sterilizimi i detyruar apo ndërhyrjet pa pëlqim si edhe sigurimi i mekanizmave për vendimmarrje të mbështetur.</w:t>
            </w:r>
          </w:p>
        </w:tc>
        <w:tc>
          <w:tcPr>
            <w:tcW w:w="1080" w:type="dxa"/>
            <w:hideMark/>
          </w:tcPr>
          <w:p w14:paraId="101F5A1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1DCEFB7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2891F46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259C3AD"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OSHKSH/ISHP</w:t>
            </w:r>
          </w:p>
        </w:tc>
        <w:tc>
          <w:tcPr>
            <w:tcW w:w="1110" w:type="dxa"/>
            <w:gridSpan w:val="2"/>
            <w:hideMark/>
          </w:tcPr>
          <w:p w14:paraId="48B4766D" w14:textId="0CC63CC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E2FFE61" w14:textId="6EADAB5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23EA45C" w14:textId="0E78814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823</w:t>
            </w:r>
          </w:p>
        </w:tc>
        <w:tc>
          <w:tcPr>
            <w:tcW w:w="1110" w:type="dxa"/>
            <w:hideMark/>
          </w:tcPr>
          <w:p w14:paraId="58341E15" w14:textId="1CFFF48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823</w:t>
            </w:r>
          </w:p>
        </w:tc>
        <w:tc>
          <w:tcPr>
            <w:tcW w:w="818" w:type="dxa"/>
            <w:gridSpan w:val="2"/>
            <w:hideMark/>
          </w:tcPr>
          <w:p w14:paraId="62730277" w14:textId="2A2286C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823</w:t>
            </w:r>
          </w:p>
        </w:tc>
      </w:tr>
      <w:tr w:rsidR="004D73D3" w:rsidRPr="0048716F" w14:paraId="58237A2B" w14:textId="77777777" w:rsidTr="00597AD8">
        <w:trPr>
          <w:trHeight w:val="1104"/>
        </w:trPr>
        <w:tc>
          <w:tcPr>
            <w:tcW w:w="3885" w:type="dxa"/>
            <w:shd w:val="clear" w:color="000000" w:fill="FDE9D9"/>
            <w:hideMark/>
          </w:tcPr>
          <w:p w14:paraId="366E63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5: Fëmijët me aftësi të kufizuara gëzojnë plotësisht të drejtat dhe liritë e tyre themelore në baza të barabarta me fëmijët e tjerë, duke pasur gjithmonë parasysh interesin më të lartë të tyre, me fokus mbështetjen e përshtatshmë sipas moshës dhe nevojave individuale.</w:t>
            </w:r>
          </w:p>
        </w:tc>
        <w:tc>
          <w:tcPr>
            <w:tcW w:w="1080" w:type="dxa"/>
            <w:shd w:val="clear" w:color="000000" w:fill="FDE9D9"/>
            <w:vAlign w:val="center"/>
            <w:hideMark/>
          </w:tcPr>
          <w:p w14:paraId="43F6B56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6A9A817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FDE9D9"/>
            <w:vAlign w:val="center"/>
            <w:hideMark/>
          </w:tcPr>
          <w:p w14:paraId="4465A9E4"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shd w:val="clear" w:color="000000" w:fill="FDE9D9"/>
            <w:vAlign w:val="center"/>
            <w:hideMark/>
          </w:tcPr>
          <w:p w14:paraId="0B336CBE"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shd w:val="clear" w:color="000000" w:fill="FDE9D9"/>
            <w:noWrap/>
            <w:vAlign w:val="center"/>
            <w:hideMark/>
          </w:tcPr>
          <w:p w14:paraId="4EDF717D" w14:textId="758F4BB7"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150</w:t>
            </w:r>
          </w:p>
        </w:tc>
        <w:tc>
          <w:tcPr>
            <w:tcW w:w="1110" w:type="dxa"/>
            <w:gridSpan w:val="3"/>
            <w:shd w:val="clear" w:color="000000" w:fill="FDE9D9"/>
            <w:noWrap/>
            <w:vAlign w:val="center"/>
            <w:hideMark/>
          </w:tcPr>
          <w:p w14:paraId="6D11B8A6" w14:textId="0709BB6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3,150</w:t>
            </w:r>
          </w:p>
        </w:tc>
        <w:tc>
          <w:tcPr>
            <w:tcW w:w="1110" w:type="dxa"/>
            <w:gridSpan w:val="2"/>
            <w:shd w:val="clear" w:color="000000" w:fill="FDE9D9"/>
            <w:noWrap/>
            <w:vAlign w:val="center"/>
            <w:hideMark/>
          </w:tcPr>
          <w:p w14:paraId="5BE5BC41" w14:textId="378E555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4,150</w:t>
            </w:r>
          </w:p>
        </w:tc>
        <w:tc>
          <w:tcPr>
            <w:tcW w:w="1110" w:type="dxa"/>
            <w:shd w:val="clear" w:color="000000" w:fill="FDE9D9"/>
            <w:noWrap/>
            <w:vAlign w:val="center"/>
            <w:hideMark/>
          </w:tcPr>
          <w:p w14:paraId="1773DE83" w14:textId="6469784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3,150</w:t>
            </w:r>
          </w:p>
        </w:tc>
        <w:tc>
          <w:tcPr>
            <w:tcW w:w="818" w:type="dxa"/>
            <w:gridSpan w:val="2"/>
            <w:shd w:val="clear" w:color="000000" w:fill="FDE9D9"/>
            <w:noWrap/>
            <w:vAlign w:val="center"/>
            <w:hideMark/>
          </w:tcPr>
          <w:p w14:paraId="532BF359" w14:textId="0DBBF1EC"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4,150</w:t>
            </w:r>
          </w:p>
        </w:tc>
      </w:tr>
      <w:tr w:rsidR="004D73D3" w:rsidRPr="0048716F" w14:paraId="14D81CC6" w14:textId="77777777" w:rsidTr="00597AD8">
        <w:trPr>
          <w:trHeight w:val="1104"/>
        </w:trPr>
        <w:tc>
          <w:tcPr>
            <w:tcW w:w="3885" w:type="dxa"/>
            <w:shd w:val="clear" w:color="000000" w:fill="DCE6F1"/>
            <w:hideMark/>
          </w:tcPr>
          <w:p w14:paraId="64129F7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5. 1. Përforcimi i mbrojtjes nga dhuna dhe diskriminimi, përmes fuqizimit të kapaciteteve, shërbimeve të integruara, forcimit të sistemeve të të dhënave, monitorimit dhe raportimit.</w:t>
            </w:r>
          </w:p>
        </w:tc>
        <w:tc>
          <w:tcPr>
            <w:tcW w:w="1080" w:type="dxa"/>
            <w:shd w:val="clear" w:color="000000" w:fill="DCE6F1"/>
            <w:hideMark/>
          </w:tcPr>
          <w:p w14:paraId="397D260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1129779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DCE6F1"/>
            <w:vAlign w:val="center"/>
            <w:hideMark/>
          </w:tcPr>
          <w:p w14:paraId="7EDCF460"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shd w:val="clear" w:color="000000" w:fill="DCE6F1"/>
            <w:vAlign w:val="center"/>
            <w:hideMark/>
          </w:tcPr>
          <w:p w14:paraId="7D980CFE"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DCE6F1"/>
            <w:hideMark/>
          </w:tcPr>
          <w:p w14:paraId="4D3771B8" w14:textId="76DBEBC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w:t>
            </w:r>
          </w:p>
        </w:tc>
        <w:tc>
          <w:tcPr>
            <w:tcW w:w="1110" w:type="dxa"/>
            <w:gridSpan w:val="3"/>
            <w:shd w:val="clear" w:color="000000" w:fill="DCE6F1"/>
            <w:hideMark/>
          </w:tcPr>
          <w:p w14:paraId="63128D03" w14:textId="7087D81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3,150</w:t>
            </w:r>
          </w:p>
        </w:tc>
        <w:tc>
          <w:tcPr>
            <w:tcW w:w="1110" w:type="dxa"/>
            <w:gridSpan w:val="2"/>
            <w:shd w:val="clear" w:color="000000" w:fill="DCE6F1"/>
            <w:hideMark/>
          </w:tcPr>
          <w:p w14:paraId="59B89EE1" w14:textId="12BCBD8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4,150</w:t>
            </w:r>
          </w:p>
        </w:tc>
        <w:tc>
          <w:tcPr>
            <w:tcW w:w="1110" w:type="dxa"/>
            <w:shd w:val="clear" w:color="000000" w:fill="DCE6F1"/>
            <w:hideMark/>
          </w:tcPr>
          <w:p w14:paraId="1AB40212" w14:textId="55FCE32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3,150</w:t>
            </w:r>
          </w:p>
        </w:tc>
        <w:tc>
          <w:tcPr>
            <w:tcW w:w="818" w:type="dxa"/>
            <w:gridSpan w:val="2"/>
            <w:shd w:val="clear" w:color="000000" w:fill="DCE6F1"/>
            <w:hideMark/>
          </w:tcPr>
          <w:p w14:paraId="06C02856" w14:textId="27D69D1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4,150</w:t>
            </w:r>
          </w:p>
        </w:tc>
      </w:tr>
      <w:tr w:rsidR="004D73D3" w:rsidRPr="0048716F" w14:paraId="36C91396" w14:textId="77777777" w:rsidTr="00597AD8">
        <w:trPr>
          <w:trHeight w:val="1320"/>
        </w:trPr>
        <w:tc>
          <w:tcPr>
            <w:tcW w:w="3885" w:type="dxa"/>
            <w:vAlign w:val="center"/>
            <w:hideMark/>
          </w:tcPr>
          <w:p w14:paraId="41D48DE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 xml:space="preserve">5.1.1. Rritja e kapaciteteve të profesionistëve të vijës së parë mësues, edukatorë, punonjës socialë, staf shëndetësor, personel në qendra të zhvillimit e shërbime me fokus në identifikimin e hershëm të dhunës, raportimin dhe menaxhimin e rasteve, </w:t>
            </w:r>
            <w:r w:rsidRPr="0048716F">
              <w:rPr>
                <w:rFonts w:eastAsia="Times New Roman"/>
                <w:color w:val="000000"/>
                <w:sz w:val="18"/>
                <w:szCs w:val="18"/>
                <w:lang w:val="en-US" w:eastAsia="en-US"/>
              </w:rPr>
              <w:lastRenderedPageBreak/>
              <w:t>aplikimin e metodave praktike dhe studimeve të rasteve, me fokus fëmijët me aftësi të kufizuara;</w:t>
            </w:r>
          </w:p>
        </w:tc>
        <w:tc>
          <w:tcPr>
            <w:tcW w:w="1080" w:type="dxa"/>
            <w:hideMark/>
          </w:tcPr>
          <w:p w14:paraId="1253C230"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lastRenderedPageBreak/>
              <w:t>2027</w:t>
            </w:r>
          </w:p>
        </w:tc>
        <w:tc>
          <w:tcPr>
            <w:tcW w:w="1260" w:type="dxa"/>
            <w:hideMark/>
          </w:tcPr>
          <w:p w14:paraId="324D6FE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5FCB8B52"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vAlign w:val="center"/>
            <w:hideMark/>
          </w:tcPr>
          <w:p w14:paraId="1EACB9C9"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63600432" w14:textId="4AAC164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58DEA7F" w14:textId="03666C4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1110" w:type="dxa"/>
            <w:gridSpan w:val="2"/>
            <w:hideMark/>
          </w:tcPr>
          <w:p w14:paraId="6069FF66" w14:textId="26FE3C2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1110" w:type="dxa"/>
            <w:hideMark/>
          </w:tcPr>
          <w:p w14:paraId="5D77D03B" w14:textId="71B628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c>
          <w:tcPr>
            <w:tcW w:w="818" w:type="dxa"/>
            <w:gridSpan w:val="2"/>
            <w:hideMark/>
          </w:tcPr>
          <w:p w14:paraId="587C6204" w14:textId="1F0890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2,000</w:t>
            </w:r>
          </w:p>
        </w:tc>
      </w:tr>
      <w:tr w:rsidR="004D73D3" w:rsidRPr="0048716F" w14:paraId="5E8B4ED7" w14:textId="77777777" w:rsidTr="00597AD8">
        <w:trPr>
          <w:trHeight w:val="792"/>
        </w:trPr>
        <w:tc>
          <w:tcPr>
            <w:tcW w:w="3885" w:type="dxa"/>
            <w:noWrap/>
            <w:hideMark/>
          </w:tcPr>
          <w:p w14:paraId="5B013D0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5.1.2. Informimi dhe trajnimi i prindërve/kujdestarëve mbi të drejtat e fëmijëve me aftësi të kufizuara, format e dhunës dhe shenjat paralajmëruese, mekanizmat e raportimit;</w:t>
            </w:r>
          </w:p>
        </w:tc>
        <w:tc>
          <w:tcPr>
            <w:tcW w:w="1080" w:type="dxa"/>
            <w:hideMark/>
          </w:tcPr>
          <w:p w14:paraId="59901A9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0858671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2030</w:t>
            </w:r>
          </w:p>
        </w:tc>
        <w:tc>
          <w:tcPr>
            <w:tcW w:w="1411" w:type="dxa"/>
            <w:vAlign w:val="center"/>
            <w:hideMark/>
          </w:tcPr>
          <w:p w14:paraId="427800ED"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vAlign w:val="center"/>
            <w:hideMark/>
          </w:tcPr>
          <w:p w14:paraId="10C84B95"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6F08518B" w14:textId="0CB8E81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D2D271A" w14:textId="4F3FF82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841CF9C" w14:textId="27B6FD9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4FC6723B" w14:textId="3FB4795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B19241E" w14:textId="73D2736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3E20B128" w14:textId="77777777" w:rsidTr="00597AD8">
        <w:trPr>
          <w:trHeight w:val="1056"/>
        </w:trPr>
        <w:tc>
          <w:tcPr>
            <w:tcW w:w="3885" w:type="dxa"/>
            <w:noWrap/>
            <w:hideMark/>
          </w:tcPr>
          <w:p w14:paraId="215C73E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5.1.3. Ofrimi i mbështetjes psikosociale për fëmijët me aftësi të kufizuara, viktima të dhunës e diskriminimit dhe familjet e tyre në institucione arsimore, shërbime komunitare në përputhje me moshën (lidhe me masen  2.1.5. tek objektivi 2);</w:t>
            </w:r>
          </w:p>
        </w:tc>
        <w:tc>
          <w:tcPr>
            <w:tcW w:w="1080" w:type="dxa"/>
            <w:hideMark/>
          </w:tcPr>
          <w:p w14:paraId="72D86BE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73B0026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425873D8"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vAlign w:val="center"/>
            <w:hideMark/>
          </w:tcPr>
          <w:p w14:paraId="56610441"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62ED02D5" w14:textId="5F9C80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992A1B0" w14:textId="6A5745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9519D87" w14:textId="7CF4B81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B150D8C" w14:textId="73E9C0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51B594F7" w14:textId="11DDA6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3A0F571" w14:textId="77777777" w:rsidTr="00597AD8">
        <w:trPr>
          <w:trHeight w:val="288"/>
        </w:trPr>
        <w:tc>
          <w:tcPr>
            <w:tcW w:w="3885" w:type="dxa"/>
            <w:noWrap/>
            <w:hideMark/>
          </w:tcPr>
          <w:p w14:paraId="073914D1" w14:textId="7F4D13D8" w:rsidR="004D73D3" w:rsidRPr="0048716F" w:rsidRDefault="004D73D3" w:rsidP="0048716F">
            <w:pPr>
              <w:jc w:val="both"/>
              <w:rPr>
                <w:rFonts w:eastAsia="Times New Roman"/>
                <w:color w:val="000000"/>
                <w:sz w:val="18"/>
                <w:szCs w:val="18"/>
                <w:lang w:val="en-US" w:eastAsia="en-US"/>
              </w:rPr>
            </w:pPr>
          </w:p>
        </w:tc>
        <w:tc>
          <w:tcPr>
            <w:tcW w:w="1080" w:type="dxa"/>
            <w:hideMark/>
          </w:tcPr>
          <w:p w14:paraId="33E03BC4" w14:textId="4AFF449F" w:rsidR="004D73D3" w:rsidRPr="0048716F" w:rsidRDefault="004D73D3" w:rsidP="0048716F">
            <w:pPr>
              <w:jc w:val="both"/>
              <w:rPr>
                <w:rFonts w:eastAsia="Times New Roman"/>
                <w:b/>
                <w:bCs/>
                <w:color w:val="000000"/>
                <w:sz w:val="18"/>
                <w:szCs w:val="18"/>
                <w:lang w:val="en-US" w:eastAsia="en-US"/>
              </w:rPr>
            </w:pPr>
          </w:p>
        </w:tc>
        <w:tc>
          <w:tcPr>
            <w:tcW w:w="1260" w:type="dxa"/>
            <w:hideMark/>
          </w:tcPr>
          <w:p w14:paraId="3C619DA1" w14:textId="3DF86B0B" w:rsidR="004D73D3" w:rsidRPr="0048716F" w:rsidRDefault="004D73D3" w:rsidP="0048716F">
            <w:pPr>
              <w:jc w:val="both"/>
              <w:rPr>
                <w:rFonts w:eastAsia="Times New Roman"/>
                <w:b/>
                <w:bCs/>
                <w:color w:val="000000"/>
                <w:sz w:val="18"/>
                <w:szCs w:val="18"/>
                <w:lang w:val="en-US" w:eastAsia="en-US"/>
              </w:rPr>
            </w:pPr>
          </w:p>
        </w:tc>
        <w:tc>
          <w:tcPr>
            <w:tcW w:w="1411" w:type="dxa"/>
            <w:vAlign w:val="center"/>
            <w:hideMark/>
          </w:tcPr>
          <w:p w14:paraId="07E8F1A6" w14:textId="7E2F5252" w:rsidR="004D73D3" w:rsidRPr="00807F1C" w:rsidRDefault="004D73D3" w:rsidP="0048716F">
            <w:pPr>
              <w:jc w:val="both"/>
              <w:rPr>
                <w:rFonts w:eastAsia="Times New Roman"/>
                <w:color w:val="000000"/>
                <w:sz w:val="18"/>
                <w:szCs w:val="18"/>
                <w:lang w:val="en-US" w:eastAsia="en-US"/>
              </w:rPr>
            </w:pPr>
          </w:p>
        </w:tc>
        <w:tc>
          <w:tcPr>
            <w:tcW w:w="1521" w:type="dxa"/>
            <w:gridSpan w:val="2"/>
            <w:vAlign w:val="center"/>
            <w:hideMark/>
          </w:tcPr>
          <w:p w14:paraId="0E8B1DB6" w14:textId="7875FF02" w:rsidR="004D73D3" w:rsidRPr="0048716F" w:rsidRDefault="004D73D3" w:rsidP="00597AD8">
            <w:pPr>
              <w:rPr>
                <w:rFonts w:eastAsia="Times New Roman"/>
                <w:color w:val="000000"/>
                <w:sz w:val="18"/>
                <w:szCs w:val="18"/>
                <w:lang w:val="en-US" w:eastAsia="en-US"/>
              </w:rPr>
            </w:pPr>
          </w:p>
        </w:tc>
        <w:tc>
          <w:tcPr>
            <w:tcW w:w="1110" w:type="dxa"/>
            <w:gridSpan w:val="2"/>
            <w:hideMark/>
          </w:tcPr>
          <w:p w14:paraId="09FF8FA2" w14:textId="5ACDD3D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C35FC64" w14:textId="7B2CFD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E204732" w14:textId="5AE44B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7580BDA" w14:textId="2702BC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7CB76FE" w14:textId="26EB07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36D3D96" w14:textId="77777777" w:rsidTr="00597AD8">
        <w:trPr>
          <w:trHeight w:val="528"/>
        </w:trPr>
        <w:tc>
          <w:tcPr>
            <w:tcW w:w="3885" w:type="dxa"/>
            <w:noWrap/>
            <w:hideMark/>
          </w:tcPr>
          <w:p w14:paraId="60F4E3F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5.1.4. Përfshirja e fëmijëve me aftësi të kufizuara në raporteve kombëtare, ndërkombëtare dhe sektoriale, të cilat hartohen me fokus fëmijët;</w:t>
            </w:r>
          </w:p>
        </w:tc>
        <w:tc>
          <w:tcPr>
            <w:tcW w:w="1080" w:type="dxa"/>
            <w:hideMark/>
          </w:tcPr>
          <w:p w14:paraId="2DDA547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2BE856D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0B58539F"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vAlign w:val="center"/>
            <w:hideMark/>
          </w:tcPr>
          <w:p w14:paraId="568CA23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6C394086" w14:textId="6DB930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w:t>
            </w:r>
          </w:p>
        </w:tc>
        <w:tc>
          <w:tcPr>
            <w:tcW w:w="1110" w:type="dxa"/>
            <w:gridSpan w:val="3"/>
            <w:hideMark/>
          </w:tcPr>
          <w:p w14:paraId="6B6D3543" w14:textId="6EFC42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w:t>
            </w:r>
          </w:p>
        </w:tc>
        <w:tc>
          <w:tcPr>
            <w:tcW w:w="1110" w:type="dxa"/>
            <w:gridSpan w:val="2"/>
            <w:hideMark/>
          </w:tcPr>
          <w:p w14:paraId="57A12A6C" w14:textId="083B540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w:t>
            </w:r>
          </w:p>
        </w:tc>
        <w:tc>
          <w:tcPr>
            <w:tcW w:w="1110" w:type="dxa"/>
            <w:hideMark/>
          </w:tcPr>
          <w:p w14:paraId="5CE55E67" w14:textId="5D976A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w:t>
            </w:r>
          </w:p>
        </w:tc>
        <w:tc>
          <w:tcPr>
            <w:tcW w:w="818" w:type="dxa"/>
            <w:gridSpan w:val="2"/>
            <w:hideMark/>
          </w:tcPr>
          <w:p w14:paraId="66638835" w14:textId="711217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w:t>
            </w:r>
          </w:p>
        </w:tc>
      </w:tr>
      <w:tr w:rsidR="004D73D3" w:rsidRPr="0048716F" w14:paraId="7C58CD9A" w14:textId="77777777" w:rsidTr="00597AD8">
        <w:trPr>
          <w:trHeight w:val="792"/>
        </w:trPr>
        <w:tc>
          <w:tcPr>
            <w:tcW w:w="3885" w:type="dxa"/>
            <w:noWrap/>
            <w:hideMark/>
          </w:tcPr>
          <w:p w14:paraId="60E05F4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5.1.5. Fuqizimi i capaciteteve të Njësive të Mbrojtjes së Fëmijëve për të gjithëpërfshirë fëmijët me aftësi të kufizuara në plane, programe, raportime të tyre;</w:t>
            </w:r>
          </w:p>
        </w:tc>
        <w:tc>
          <w:tcPr>
            <w:tcW w:w="1080" w:type="dxa"/>
            <w:hideMark/>
          </w:tcPr>
          <w:p w14:paraId="1AB44B6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11BDD77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vAlign w:val="center"/>
            <w:hideMark/>
          </w:tcPr>
          <w:p w14:paraId="3AFF74F4" w14:textId="77777777" w:rsidR="004D73D3" w:rsidRPr="00807F1C" w:rsidRDefault="004D73D3" w:rsidP="0048716F">
            <w:pPr>
              <w:jc w:val="both"/>
              <w:rPr>
                <w:rFonts w:eastAsia="Times New Roman"/>
                <w:b/>
                <w:bCs/>
                <w:color w:val="000000"/>
                <w:sz w:val="18"/>
                <w:szCs w:val="18"/>
                <w:lang w:val="en-US" w:eastAsia="en-US"/>
              </w:rPr>
            </w:pPr>
            <w:r w:rsidRPr="00807F1C">
              <w:rPr>
                <w:rFonts w:eastAsia="Times New Roman"/>
                <w:b/>
                <w:bCs/>
                <w:color w:val="000000"/>
                <w:sz w:val="18"/>
                <w:szCs w:val="18"/>
                <w:lang w:eastAsia="en-US"/>
              </w:rPr>
              <w:t>ASHDMF</w:t>
            </w:r>
          </w:p>
        </w:tc>
        <w:tc>
          <w:tcPr>
            <w:tcW w:w="1521" w:type="dxa"/>
            <w:gridSpan w:val="2"/>
            <w:vAlign w:val="center"/>
            <w:hideMark/>
          </w:tcPr>
          <w:p w14:paraId="7536791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45D19B37" w14:textId="6D80AAE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53C57B0" w14:textId="5A003AF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gridSpan w:val="2"/>
            <w:hideMark/>
          </w:tcPr>
          <w:p w14:paraId="46FCB216" w14:textId="5D667DC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6748C3D7" w14:textId="253CEBC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6D8E04BE" w14:textId="05FEF33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25C3B735" w14:textId="77777777" w:rsidTr="00597AD8">
        <w:trPr>
          <w:trHeight w:val="1380"/>
        </w:trPr>
        <w:tc>
          <w:tcPr>
            <w:tcW w:w="3885" w:type="dxa"/>
            <w:shd w:val="clear" w:color="000000" w:fill="FDE9D9"/>
            <w:hideMark/>
          </w:tcPr>
          <w:p w14:paraId="75D49264" w14:textId="20C64C58"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specific 6: Forcimi i një sistemi gjithëpërfshirës për menaxhimin dhe reagimin ndaj ndryshimeve klimatike, fatkeqësive dhe krizave në Shqipëri, në nivel qendror dhe lokal, me fokus të veçantë te personat me aftësi të kufizuara, për të garantuar sigurinë e jetës dhe mbrojtjen e tyre.</w:t>
            </w:r>
          </w:p>
        </w:tc>
        <w:tc>
          <w:tcPr>
            <w:tcW w:w="1080" w:type="dxa"/>
            <w:shd w:val="clear" w:color="000000" w:fill="FDE9D9"/>
            <w:hideMark/>
          </w:tcPr>
          <w:p w14:paraId="7700F37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7A8A420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2030</w:t>
            </w:r>
          </w:p>
        </w:tc>
        <w:tc>
          <w:tcPr>
            <w:tcW w:w="1411" w:type="dxa"/>
            <w:shd w:val="clear" w:color="000000" w:fill="FDE9D9"/>
            <w:vAlign w:val="center"/>
            <w:hideMark/>
          </w:tcPr>
          <w:p w14:paraId="2512E56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AKMC</w:t>
            </w:r>
          </w:p>
        </w:tc>
        <w:tc>
          <w:tcPr>
            <w:tcW w:w="1521" w:type="dxa"/>
            <w:gridSpan w:val="2"/>
            <w:shd w:val="clear" w:color="000000" w:fill="FDE9D9"/>
            <w:vAlign w:val="center"/>
            <w:hideMark/>
          </w:tcPr>
          <w:p w14:paraId="60F65297"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FDE9D9"/>
            <w:noWrap/>
            <w:vAlign w:val="center"/>
            <w:hideMark/>
          </w:tcPr>
          <w:p w14:paraId="64CB45F7" w14:textId="24664329"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FDE9D9"/>
            <w:noWrap/>
            <w:vAlign w:val="center"/>
            <w:hideMark/>
          </w:tcPr>
          <w:p w14:paraId="65481023" w14:textId="518AF5B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2"/>
            <w:shd w:val="clear" w:color="000000" w:fill="FDE9D9"/>
            <w:noWrap/>
            <w:vAlign w:val="center"/>
            <w:hideMark/>
          </w:tcPr>
          <w:p w14:paraId="189FEEC7" w14:textId="717DBB96"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5,691</w:t>
            </w:r>
          </w:p>
        </w:tc>
        <w:tc>
          <w:tcPr>
            <w:tcW w:w="1110" w:type="dxa"/>
            <w:shd w:val="clear" w:color="000000" w:fill="FDE9D9"/>
            <w:noWrap/>
            <w:vAlign w:val="center"/>
            <w:hideMark/>
          </w:tcPr>
          <w:p w14:paraId="4A97F686" w14:textId="2C5B60F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4,045</w:t>
            </w:r>
          </w:p>
        </w:tc>
        <w:tc>
          <w:tcPr>
            <w:tcW w:w="818" w:type="dxa"/>
            <w:gridSpan w:val="2"/>
            <w:shd w:val="clear" w:color="000000" w:fill="FDE9D9"/>
            <w:noWrap/>
            <w:vAlign w:val="center"/>
            <w:hideMark/>
          </w:tcPr>
          <w:p w14:paraId="42D94F4B" w14:textId="39117D8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1,000</w:t>
            </w:r>
          </w:p>
        </w:tc>
      </w:tr>
      <w:tr w:rsidR="004D73D3" w:rsidRPr="0048716F" w14:paraId="1D563E95" w14:textId="77777777" w:rsidTr="00597AD8">
        <w:trPr>
          <w:trHeight w:val="552"/>
        </w:trPr>
        <w:tc>
          <w:tcPr>
            <w:tcW w:w="3885" w:type="dxa"/>
            <w:shd w:val="clear" w:color="000000" w:fill="DCE6F1"/>
            <w:hideMark/>
          </w:tcPr>
          <w:p w14:paraId="6058204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6.1. Integrimi i aftësisë së kufizuar në politikat dhe kuadrin ligjor për menaxhimin e riskut nga fatkeqësitë</w:t>
            </w:r>
          </w:p>
        </w:tc>
        <w:tc>
          <w:tcPr>
            <w:tcW w:w="1080" w:type="dxa"/>
            <w:shd w:val="clear" w:color="000000" w:fill="DCE6F1"/>
            <w:hideMark/>
          </w:tcPr>
          <w:p w14:paraId="2FDA39B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61E46AE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12E723A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AKMC</w:t>
            </w:r>
          </w:p>
        </w:tc>
        <w:tc>
          <w:tcPr>
            <w:tcW w:w="1521" w:type="dxa"/>
            <w:gridSpan w:val="2"/>
            <w:shd w:val="clear" w:color="000000" w:fill="DCE6F1"/>
            <w:vAlign w:val="center"/>
            <w:hideMark/>
          </w:tcPr>
          <w:p w14:paraId="485056F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DCE6F1"/>
            <w:hideMark/>
          </w:tcPr>
          <w:p w14:paraId="4D247D78" w14:textId="4654FD6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DCE6F1"/>
            <w:hideMark/>
          </w:tcPr>
          <w:p w14:paraId="0BEE5298" w14:textId="7DF15A8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2"/>
            <w:shd w:val="clear" w:color="000000" w:fill="DCE6F1"/>
            <w:hideMark/>
          </w:tcPr>
          <w:p w14:paraId="50E33735" w14:textId="10F564B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5,691</w:t>
            </w:r>
          </w:p>
        </w:tc>
        <w:tc>
          <w:tcPr>
            <w:tcW w:w="1110" w:type="dxa"/>
            <w:shd w:val="clear" w:color="000000" w:fill="DCE6F1"/>
            <w:hideMark/>
          </w:tcPr>
          <w:p w14:paraId="37C9C99E" w14:textId="109468C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4,045</w:t>
            </w:r>
          </w:p>
        </w:tc>
        <w:tc>
          <w:tcPr>
            <w:tcW w:w="818" w:type="dxa"/>
            <w:gridSpan w:val="2"/>
            <w:shd w:val="clear" w:color="000000" w:fill="DCE6F1"/>
            <w:hideMark/>
          </w:tcPr>
          <w:p w14:paraId="53487250" w14:textId="0D59AAE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1,000</w:t>
            </w:r>
          </w:p>
        </w:tc>
      </w:tr>
      <w:tr w:rsidR="004D73D3" w:rsidRPr="0048716F" w14:paraId="69EF4D55" w14:textId="77777777" w:rsidTr="00597AD8">
        <w:trPr>
          <w:trHeight w:val="792"/>
        </w:trPr>
        <w:tc>
          <w:tcPr>
            <w:tcW w:w="3885" w:type="dxa"/>
            <w:vAlign w:val="center"/>
            <w:hideMark/>
          </w:tcPr>
          <w:p w14:paraId="10AB939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6.1.1. Rishikimi i ligjeve dhe strategjive për menaxhimin e riskut nga fatkeqësitë për të garantuar përfshirjen e personave me aftësi të kufizuara, në përputhje me Konventën për të Drejtat e Personave me Aftësi të Kufizuara (CRPD);</w:t>
            </w:r>
          </w:p>
        </w:tc>
        <w:tc>
          <w:tcPr>
            <w:tcW w:w="1080" w:type="dxa"/>
            <w:hideMark/>
          </w:tcPr>
          <w:p w14:paraId="214A3AA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37B841D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411" w:type="dxa"/>
            <w:vAlign w:val="center"/>
            <w:hideMark/>
          </w:tcPr>
          <w:p w14:paraId="32C227D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AKMC</w:t>
            </w:r>
          </w:p>
        </w:tc>
        <w:tc>
          <w:tcPr>
            <w:tcW w:w="1521" w:type="dxa"/>
            <w:gridSpan w:val="2"/>
            <w:vAlign w:val="center"/>
            <w:hideMark/>
          </w:tcPr>
          <w:p w14:paraId="5D7F94C2"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027ACA05" w14:textId="5C58D23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BA4D8BD" w14:textId="7928D24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E1BA9F9" w14:textId="030A7F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2,345</w:t>
            </w:r>
          </w:p>
        </w:tc>
        <w:tc>
          <w:tcPr>
            <w:tcW w:w="1110" w:type="dxa"/>
            <w:hideMark/>
          </w:tcPr>
          <w:p w14:paraId="465481BC" w14:textId="235182A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301DFB1" w14:textId="1D1C0E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469643A" w14:textId="77777777" w:rsidTr="00597AD8">
        <w:trPr>
          <w:trHeight w:val="528"/>
        </w:trPr>
        <w:tc>
          <w:tcPr>
            <w:tcW w:w="3885" w:type="dxa"/>
            <w:noWrap/>
            <w:hideMark/>
          </w:tcPr>
          <w:p w14:paraId="1C76B36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6.1.2. Përfshirja e detyrimeve ligjore për realizimin e aksesueshmërisë, njoftimit të hershëm dhe evakuimit, reagimit gjithëpërfshirës;</w:t>
            </w:r>
          </w:p>
        </w:tc>
        <w:tc>
          <w:tcPr>
            <w:tcW w:w="1080" w:type="dxa"/>
            <w:hideMark/>
          </w:tcPr>
          <w:p w14:paraId="10CC99F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143B204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411" w:type="dxa"/>
            <w:vAlign w:val="center"/>
            <w:hideMark/>
          </w:tcPr>
          <w:p w14:paraId="3B52EAB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AKMC</w:t>
            </w:r>
          </w:p>
        </w:tc>
        <w:tc>
          <w:tcPr>
            <w:tcW w:w="1521" w:type="dxa"/>
            <w:gridSpan w:val="2"/>
            <w:vAlign w:val="center"/>
            <w:hideMark/>
          </w:tcPr>
          <w:p w14:paraId="77031F8E"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4DDE89D0" w14:textId="30E432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D59DABC" w14:textId="23B2D2B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B2946E6" w14:textId="29C996E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2,345</w:t>
            </w:r>
          </w:p>
        </w:tc>
        <w:tc>
          <w:tcPr>
            <w:tcW w:w="1110" w:type="dxa"/>
            <w:hideMark/>
          </w:tcPr>
          <w:p w14:paraId="6991AEE8" w14:textId="25CED91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4EFF3D1" w14:textId="0DE3F8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3709633" w14:textId="77777777" w:rsidTr="00597AD8">
        <w:trPr>
          <w:trHeight w:val="1056"/>
        </w:trPr>
        <w:tc>
          <w:tcPr>
            <w:tcW w:w="3885" w:type="dxa"/>
            <w:noWrap/>
            <w:hideMark/>
          </w:tcPr>
          <w:p w14:paraId="6A36F3F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6.1.3. Zhvillimi i udhëzimeve për planifikimin dhe menaxhimin e emergjencave që adresojnë nevojat specifike të personave me aftësi të kufizuara, me fokus të shtuar në institucione rezidenciale dhe ofrues shërbimesh për të rritur e fëmijë me aftësi të kufizuara;</w:t>
            </w:r>
          </w:p>
        </w:tc>
        <w:tc>
          <w:tcPr>
            <w:tcW w:w="1080" w:type="dxa"/>
            <w:hideMark/>
          </w:tcPr>
          <w:p w14:paraId="593A1DF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259CD21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411" w:type="dxa"/>
            <w:vAlign w:val="center"/>
            <w:hideMark/>
          </w:tcPr>
          <w:p w14:paraId="0C34A72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AKMC</w:t>
            </w:r>
          </w:p>
        </w:tc>
        <w:tc>
          <w:tcPr>
            <w:tcW w:w="1521" w:type="dxa"/>
            <w:gridSpan w:val="2"/>
            <w:vAlign w:val="center"/>
            <w:hideMark/>
          </w:tcPr>
          <w:p w14:paraId="5AFC709B"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2178DF6C" w14:textId="1F045BF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5200867" w14:textId="60C11CF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28EF2CEA" w14:textId="6227EA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7A9ACA25" w14:textId="694B5D0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1,523</w:t>
            </w:r>
          </w:p>
        </w:tc>
        <w:tc>
          <w:tcPr>
            <w:tcW w:w="818" w:type="dxa"/>
            <w:gridSpan w:val="2"/>
            <w:hideMark/>
          </w:tcPr>
          <w:p w14:paraId="1F49F60A" w14:textId="439F8AC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8C5B9F9" w14:textId="77777777" w:rsidTr="00597AD8">
        <w:trPr>
          <w:trHeight w:val="792"/>
        </w:trPr>
        <w:tc>
          <w:tcPr>
            <w:tcW w:w="3885" w:type="dxa"/>
            <w:noWrap/>
            <w:hideMark/>
          </w:tcPr>
          <w:p w14:paraId="413F280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6.1.4. Hartimi i protokolleve operacionale të evakuimit, strehimit dhe ndihmës humanitare të aksesueshme për të gjitha kategoritë e aftësisë së kufizuar, me fokus të vecantë institucionet dhe qendrat e shërbimeve;</w:t>
            </w:r>
          </w:p>
        </w:tc>
        <w:tc>
          <w:tcPr>
            <w:tcW w:w="1080" w:type="dxa"/>
            <w:hideMark/>
          </w:tcPr>
          <w:p w14:paraId="2EF0486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53173EE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3DD63FA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AKMC</w:t>
            </w:r>
          </w:p>
        </w:tc>
        <w:tc>
          <w:tcPr>
            <w:tcW w:w="1521" w:type="dxa"/>
            <w:gridSpan w:val="2"/>
            <w:vAlign w:val="center"/>
            <w:hideMark/>
          </w:tcPr>
          <w:p w14:paraId="5F54A190"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4CC6FE7C" w14:textId="2F97546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91DA77A" w14:textId="0A4D7AF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1AEB149" w14:textId="347034A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5D41FAD" w14:textId="534694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1,523</w:t>
            </w:r>
          </w:p>
        </w:tc>
        <w:tc>
          <w:tcPr>
            <w:tcW w:w="818" w:type="dxa"/>
            <w:gridSpan w:val="2"/>
            <w:hideMark/>
          </w:tcPr>
          <w:p w14:paraId="25D007BE" w14:textId="7FE4B6D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1B5CC11" w14:textId="77777777" w:rsidTr="00597AD8">
        <w:trPr>
          <w:trHeight w:val="804"/>
        </w:trPr>
        <w:tc>
          <w:tcPr>
            <w:tcW w:w="3885" w:type="dxa"/>
            <w:noWrap/>
            <w:hideMark/>
          </w:tcPr>
          <w:p w14:paraId="147C56E8" w14:textId="044661E5"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6.1.5. Trajnimi i administratës publike, strukturave të emergjencave civile dhe pushtetit vendor mbi qasjen gjithëpërfshirëse ndaj aftësisë së kufizuar në raste të emergjencave dhe fatkeqësive natyrore;</w:t>
            </w:r>
          </w:p>
        </w:tc>
        <w:tc>
          <w:tcPr>
            <w:tcW w:w="1080" w:type="dxa"/>
            <w:hideMark/>
          </w:tcPr>
          <w:p w14:paraId="011EC6C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260" w:type="dxa"/>
            <w:hideMark/>
          </w:tcPr>
          <w:p w14:paraId="14BC27C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114F616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AKMC</w:t>
            </w:r>
          </w:p>
        </w:tc>
        <w:tc>
          <w:tcPr>
            <w:tcW w:w="1521" w:type="dxa"/>
            <w:gridSpan w:val="2"/>
            <w:vAlign w:val="center"/>
            <w:hideMark/>
          </w:tcPr>
          <w:p w14:paraId="2D5781EC"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111FF4FF" w14:textId="274A3C6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2068397" w14:textId="397F98B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EF2E261" w14:textId="4DF3710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1110" w:type="dxa"/>
            <w:hideMark/>
          </w:tcPr>
          <w:p w14:paraId="66E36D01" w14:textId="3D89408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c>
          <w:tcPr>
            <w:tcW w:w="818" w:type="dxa"/>
            <w:gridSpan w:val="2"/>
            <w:hideMark/>
          </w:tcPr>
          <w:p w14:paraId="3DD9A5AE" w14:textId="304E58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1,000</w:t>
            </w:r>
          </w:p>
        </w:tc>
      </w:tr>
      <w:tr w:rsidR="004D73D3" w:rsidRPr="0048716F" w14:paraId="43AFD616" w14:textId="77777777" w:rsidTr="00597AD8">
        <w:trPr>
          <w:trHeight w:val="324"/>
        </w:trPr>
        <w:tc>
          <w:tcPr>
            <w:tcW w:w="3885" w:type="dxa"/>
            <w:shd w:val="clear" w:color="000000" w:fill="F276AB"/>
            <w:vAlign w:val="center"/>
            <w:hideMark/>
          </w:tcPr>
          <w:p w14:paraId="16628970"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VI. SHËNDETËSIA</w:t>
            </w:r>
          </w:p>
        </w:tc>
        <w:tc>
          <w:tcPr>
            <w:tcW w:w="1080" w:type="dxa"/>
            <w:shd w:val="clear" w:color="000000" w:fill="F276AB"/>
            <w:vAlign w:val="center"/>
            <w:hideMark/>
          </w:tcPr>
          <w:p w14:paraId="5D3F3852" w14:textId="48ACE9D8"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5D608930" w14:textId="2C93ED1F"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5B7BE9C0" w14:textId="41FC7615"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3BC3597F" w14:textId="0D4AE9D6"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504D2272" w14:textId="3308480E"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192,519</w:t>
            </w:r>
          </w:p>
        </w:tc>
        <w:tc>
          <w:tcPr>
            <w:tcW w:w="1110" w:type="dxa"/>
            <w:gridSpan w:val="3"/>
            <w:shd w:val="clear" w:color="000000" w:fill="F276AB"/>
            <w:vAlign w:val="center"/>
            <w:hideMark/>
          </w:tcPr>
          <w:p w14:paraId="3A2F49EE" w14:textId="0A39358E"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206,105</w:t>
            </w:r>
          </w:p>
        </w:tc>
        <w:tc>
          <w:tcPr>
            <w:tcW w:w="1110" w:type="dxa"/>
            <w:gridSpan w:val="2"/>
            <w:shd w:val="clear" w:color="000000" w:fill="F276AB"/>
            <w:vAlign w:val="center"/>
            <w:hideMark/>
          </w:tcPr>
          <w:p w14:paraId="4333F31F" w14:textId="4FCC0273"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188,312</w:t>
            </w:r>
          </w:p>
        </w:tc>
        <w:tc>
          <w:tcPr>
            <w:tcW w:w="1110" w:type="dxa"/>
            <w:shd w:val="clear" w:color="000000" w:fill="F276AB"/>
            <w:vAlign w:val="center"/>
            <w:hideMark/>
          </w:tcPr>
          <w:p w14:paraId="3B02C6ED" w14:textId="2F956989"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200,275</w:t>
            </w:r>
          </w:p>
        </w:tc>
        <w:tc>
          <w:tcPr>
            <w:tcW w:w="818" w:type="dxa"/>
            <w:gridSpan w:val="2"/>
            <w:shd w:val="clear" w:color="000000" w:fill="F276AB"/>
            <w:vAlign w:val="center"/>
            <w:hideMark/>
          </w:tcPr>
          <w:p w14:paraId="749643B1" w14:textId="6BE96711"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189,241</w:t>
            </w:r>
          </w:p>
        </w:tc>
      </w:tr>
      <w:tr w:rsidR="004D73D3" w:rsidRPr="0048716F" w14:paraId="2931ABE1" w14:textId="77777777" w:rsidTr="00597AD8">
        <w:trPr>
          <w:trHeight w:val="1164"/>
        </w:trPr>
        <w:tc>
          <w:tcPr>
            <w:tcW w:w="3885" w:type="dxa"/>
            <w:shd w:val="clear" w:color="000000" w:fill="FDE9D9"/>
            <w:hideMark/>
          </w:tcPr>
          <w:p w14:paraId="4BB4DC5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1. Ulja e numrit të rasteve të reja dhe e ashpërsisë së aftësisë së kufizuar të evitueshme, si  dhe garantimi i kujdesit shëndetësor gjithëpërfshirës për personat me aftësi të kufizuara gjatë gjithë ciklit të jetës</w:t>
            </w:r>
          </w:p>
        </w:tc>
        <w:tc>
          <w:tcPr>
            <w:tcW w:w="1080" w:type="dxa"/>
            <w:shd w:val="clear" w:color="000000" w:fill="FDE9D9"/>
            <w:hideMark/>
          </w:tcPr>
          <w:p w14:paraId="7475C0F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6479530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1D73C29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MSHMS/ISHP/OSHKSH</w:t>
            </w:r>
          </w:p>
        </w:tc>
        <w:tc>
          <w:tcPr>
            <w:tcW w:w="1521" w:type="dxa"/>
            <w:gridSpan w:val="2"/>
            <w:shd w:val="clear" w:color="000000" w:fill="FDE9D9"/>
            <w:vAlign w:val="center"/>
            <w:hideMark/>
          </w:tcPr>
          <w:p w14:paraId="7CFBC18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OSHKSH/ NJVKSH/ MA/BASHKI</w:t>
            </w:r>
          </w:p>
        </w:tc>
        <w:tc>
          <w:tcPr>
            <w:tcW w:w="1110" w:type="dxa"/>
            <w:gridSpan w:val="2"/>
            <w:shd w:val="clear" w:color="000000" w:fill="FDE9D9"/>
            <w:hideMark/>
          </w:tcPr>
          <w:p w14:paraId="613D9471" w14:textId="2063722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45,887</w:t>
            </w:r>
          </w:p>
        </w:tc>
        <w:tc>
          <w:tcPr>
            <w:tcW w:w="1110" w:type="dxa"/>
            <w:gridSpan w:val="3"/>
            <w:shd w:val="clear" w:color="000000" w:fill="FDE9D9"/>
            <w:hideMark/>
          </w:tcPr>
          <w:p w14:paraId="127498E2" w14:textId="4464D60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46,449</w:t>
            </w:r>
          </w:p>
        </w:tc>
        <w:tc>
          <w:tcPr>
            <w:tcW w:w="1110" w:type="dxa"/>
            <w:gridSpan w:val="2"/>
            <w:shd w:val="clear" w:color="000000" w:fill="FDE9D9"/>
            <w:hideMark/>
          </w:tcPr>
          <w:p w14:paraId="1E19C3CF" w14:textId="741963C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33,916</w:t>
            </w:r>
          </w:p>
        </w:tc>
        <w:tc>
          <w:tcPr>
            <w:tcW w:w="1110" w:type="dxa"/>
            <w:shd w:val="clear" w:color="000000" w:fill="FDE9D9"/>
            <w:hideMark/>
          </w:tcPr>
          <w:p w14:paraId="5D79AE65" w14:textId="0BDC294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30,892</w:t>
            </w:r>
          </w:p>
        </w:tc>
        <w:tc>
          <w:tcPr>
            <w:tcW w:w="818" w:type="dxa"/>
            <w:gridSpan w:val="2"/>
            <w:shd w:val="clear" w:color="000000" w:fill="FDE9D9"/>
            <w:hideMark/>
          </w:tcPr>
          <w:p w14:paraId="20243C80" w14:textId="4A01940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24,081</w:t>
            </w:r>
          </w:p>
        </w:tc>
      </w:tr>
      <w:tr w:rsidR="004D73D3" w:rsidRPr="0048716F" w14:paraId="45FDFE36" w14:textId="77777777" w:rsidTr="00597AD8">
        <w:trPr>
          <w:trHeight w:val="420"/>
        </w:trPr>
        <w:tc>
          <w:tcPr>
            <w:tcW w:w="3885" w:type="dxa"/>
            <w:shd w:val="clear" w:color="000000" w:fill="DCE6F1"/>
            <w:hideMark/>
          </w:tcPr>
          <w:p w14:paraId="719BA51C" w14:textId="39980BC2"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1.1: Forcimi i parandalimit dhe diagnostikimit të hershëm</w:t>
            </w:r>
          </w:p>
        </w:tc>
        <w:tc>
          <w:tcPr>
            <w:tcW w:w="1080" w:type="dxa"/>
            <w:shd w:val="clear" w:color="000000" w:fill="DCE6F1"/>
            <w:hideMark/>
          </w:tcPr>
          <w:p w14:paraId="7B1A233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34C62BE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318E3F6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MSHMS/ISHP</w:t>
            </w:r>
          </w:p>
        </w:tc>
        <w:tc>
          <w:tcPr>
            <w:tcW w:w="1521" w:type="dxa"/>
            <w:gridSpan w:val="2"/>
            <w:shd w:val="clear" w:color="000000" w:fill="DCE6F1"/>
            <w:vAlign w:val="center"/>
            <w:hideMark/>
          </w:tcPr>
          <w:p w14:paraId="392395D5"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OSHKSH/ NJVKSH/ MA/BASHKI</w:t>
            </w:r>
          </w:p>
        </w:tc>
        <w:tc>
          <w:tcPr>
            <w:tcW w:w="1110" w:type="dxa"/>
            <w:gridSpan w:val="2"/>
            <w:shd w:val="clear" w:color="000000" w:fill="DCE6F1"/>
            <w:hideMark/>
          </w:tcPr>
          <w:p w14:paraId="2537DB6E" w14:textId="6151034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22,120</w:t>
            </w:r>
          </w:p>
        </w:tc>
        <w:tc>
          <w:tcPr>
            <w:tcW w:w="1110" w:type="dxa"/>
            <w:gridSpan w:val="3"/>
            <w:shd w:val="clear" w:color="000000" w:fill="DCE6F1"/>
            <w:hideMark/>
          </w:tcPr>
          <w:p w14:paraId="6AE9D6A3" w14:textId="6FAFD68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24,093</w:t>
            </w:r>
          </w:p>
        </w:tc>
        <w:tc>
          <w:tcPr>
            <w:tcW w:w="1110" w:type="dxa"/>
            <w:gridSpan w:val="2"/>
            <w:shd w:val="clear" w:color="000000" w:fill="DCE6F1"/>
            <w:hideMark/>
          </w:tcPr>
          <w:p w14:paraId="27DC1697" w14:textId="207C44E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4,909</w:t>
            </w:r>
          </w:p>
        </w:tc>
        <w:tc>
          <w:tcPr>
            <w:tcW w:w="1110" w:type="dxa"/>
            <w:shd w:val="clear" w:color="000000" w:fill="DCE6F1"/>
            <w:hideMark/>
          </w:tcPr>
          <w:p w14:paraId="415B5D92" w14:textId="06F0B3F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7,409</w:t>
            </w:r>
          </w:p>
        </w:tc>
        <w:tc>
          <w:tcPr>
            <w:tcW w:w="818" w:type="dxa"/>
            <w:gridSpan w:val="2"/>
            <w:shd w:val="clear" w:color="000000" w:fill="DCE6F1"/>
            <w:hideMark/>
          </w:tcPr>
          <w:p w14:paraId="69218526" w14:textId="792E006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5,000</w:t>
            </w:r>
          </w:p>
        </w:tc>
      </w:tr>
      <w:tr w:rsidR="004D73D3" w:rsidRPr="0048716F" w14:paraId="4339F456" w14:textId="77777777" w:rsidTr="00597AD8">
        <w:trPr>
          <w:trHeight w:val="876"/>
        </w:trPr>
        <w:tc>
          <w:tcPr>
            <w:tcW w:w="3885" w:type="dxa"/>
            <w:vAlign w:val="center"/>
            <w:hideMark/>
          </w:tcPr>
          <w:p w14:paraId="3C0E3DA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1.1.1. Hartimi, miratimi dhe zbatimi i protokolleve standarde për kontrollet parandaluese/ depistimin e hershëm të çrregullimeve zhvillimore dhe shëndetësore për fëmijët e moshës 0–6 vjeç</w:t>
            </w:r>
          </w:p>
        </w:tc>
        <w:tc>
          <w:tcPr>
            <w:tcW w:w="1080" w:type="dxa"/>
            <w:hideMark/>
          </w:tcPr>
          <w:p w14:paraId="0960EA7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60ECDA9"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411" w:type="dxa"/>
            <w:vAlign w:val="center"/>
            <w:hideMark/>
          </w:tcPr>
          <w:p w14:paraId="60F4B9B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MSHMS/ISHP</w:t>
            </w:r>
          </w:p>
        </w:tc>
        <w:tc>
          <w:tcPr>
            <w:tcW w:w="1521" w:type="dxa"/>
            <w:gridSpan w:val="2"/>
            <w:vAlign w:val="center"/>
            <w:hideMark/>
          </w:tcPr>
          <w:p w14:paraId="27857BD9"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110" w:type="dxa"/>
            <w:gridSpan w:val="2"/>
            <w:hideMark/>
          </w:tcPr>
          <w:p w14:paraId="46ECE98E" w14:textId="3D4C547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18,284</w:t>
            </w:r>
          </w:p>
        </w:tc>
        <w:tc>
          <w:tcPr>
            <w:tcW w:w="1110" w:type="dxa"/>
            <w:gridSpan w:val="3"/>
            <w:hideMark/>
          </w:tcPr>
          <w:p w14:paraId="09C8CF7F" w14:textId="1EAD0F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18,284</w:t>
            </w:r>
          </w:p>
        </w:tc>
        <w:tc>
          <w:tcPr>
            <w:tcW w:w="1110" w:type="dxa"/>
            <w:gridSpan w:val="2"/>
            <w:hideMark/>
          </w:tcPr>
          <w:p w14:paraId="77CCE59E" w14:textId="176FBC2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A91DE3B" w14:textId="3ED2E01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9072C44" w14:textId="0BE6EE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D467659" w14:textId="77777777" w:rsidTr="00597AD8">
        <w:trPr>
          <w:trHeight w:val="1152"/>
        </w:trPr>
        <w:tc>
          <w:tcPr>
            <w:tcW w:w="3885" w:type="dxa"/>
            <w:noWrap/>
            <w:hideMark/>
          </w:tcPr>
          <w:p w14:paraId="215F539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1.1.2. Zhvillimi i një programi për identifikimin e hershëm të tipologjive të aftësisë së kufizuar dhe ndërhyrjen e personalizuar, përmes rritjes së bashkëpunimit me konsultoret e nënës e fëmijës, shërbimet socio shëndetësore, institucionet parashkollore</w:t>
            </w:r>
          </w:p>
        </w:tc>
        <w:tc>
          <w:tcPr>
            <w:tcW w:w="1080" w:type="dxa"/>
            <w:hideMark/>
          </w:tcPr>
          <w:p w14:paraId="6116CB9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28CD30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2F89248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MSHMS/ISHP</w:t>
            </w:r>
          </w:p>
        </w:tc>
        <w:tc>
          <w:tcPr>
            <w:tcW w:w="1521" w:type="dxa"/>
            <w:gridSpan w:val="2"/>
            <w:vAlign w:val="center"/>
            <w:hideMark/>
          </w:tcPr>
          <w:p w14:paraId="3B4A956C"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OSHKSH/MA/Bashkitë</w:t>
            </w:r>
          </w:p>
        </w:tc>
        <w:tc>
          <w:tcPr>
            <w:tcW w:w="1110" w:type="dxa"/>
            <w:gridSpan w:val="2"/>
            <w:hideMark/>
          </w:tcPr>
          <w:p w14:paraId="3753364A" w14:textId="119A3F8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1,400</w:t>
            </w:r>
          </w:p>
        </w:tc>
        <w:tc>
          <w:tcPr>
            <w:tcW w:w="1110" w:type="dxa"/>
            <w:gridSpan w:val="3"/>
            <w:hideMark/>
          </w:tcPr>
          <w:p w14:paraId="0E56777F" w14:textId="2E856B5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3,400</w:t>
            </w:r>
          </w:p>
        </w:tc>
        <w:tc>
          <w:tcPr>
            <w:tcW w:w="1110" w:type="dxa"/>
            <w:gridSpan w:val="2"/>
            <w:hideMark/>
          </w:tcPr>
          <w:p w14:paraId="263308F9" w14:textId="24FD77D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hideMark/>
          </w:tcPr>
          <w:p w14:paraId="0EEBF707" w14:textId="2AD7F4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w:t>
            </w:r>
          </w:p>
        </w:tc>
        <w:tc>
          <w:tcPr>
            <w:tcW w:w="818" w:type="dxa"/>
            <w:gridSpan w:val="2"/>
            <w:hideMark/>
          </w:tcPr>
          <w:p w14:paraId="0D706E5C" w14:textId="4380B10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5,000</w:t>
            </w:r>
          </w:p>
        </w:tc>
      </w:tr>
      <w:tr w:rsidR="004D73D3" w:rsidRPr="0048716F" w14:paraId="4E7AEFBB" w14:textId="77777777" w:rsidTr="00597AD8">
        <w:trPr>
          <w:trHeight w:val="1152"/>
        </w:trPr>
        <w:tc>
          <w:tcPr>
            <w:tcW w:w="3885" w:type="dxa"/>
            <w:noWrap/>
            <w:hideMark/>
          </w:tcPr>
          <w:p w14:paraId="0336ED4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1.1.3. Angazhimi i komunitetit për rritjen e vaksinimit tek fëmijët me aftësi të kufizuara, me qëllim ndërgjegjësimin dhe pjesëmarrjen e familjeve për të siguruar që fëmijët me aftësi të kufizuara të marrin të gjitha vaksinimet e rekomanduara.</w:t>
            </w:r>
          </w:p>
        </w:tc>
        <w:tc>
          <w:tcPr>
            <w:tcW w:w="1080" w:type="dxa"/>
            <w:hideMark/>
          </w:tcPr>
          <w:p w14:paraId="6D39986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5599936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7FB9705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 ISHP/NJVKSH/OSHKSH</w:t>
            </w:r>
          </w:p>
        </w:tc>
        <w:tc>
          <w:tcPr>
            <w:tcW w:w="1521" w:type="dxa"/>
            <w:gridSpan w:val="2"/>
            <w:vAlign w:val="center"/>
            <w:hideMark/>
          </w:tcPr>
          <w:p w14:paraId="0818DA10" w14:textId="3B138A32"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ISHP/NJVKSH/OSHKSH/BASHKI</w:t>
            </w:r>
          </w:p>
        </w:tc>
        <w:tc>
          <w:tcPr>
            <w:tcW w:w="1110" w:type="dxa"/>
            <w:gridSpan w:val="2"/>
            <w:hideMark/>
          </w:tcPr>
          <w:p w14:paraId="3C723A5B" w14:textId="39AC41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2,436</w:t>
            </w:r>
          </w:p>
        </w:tc>
        <w:tc>
          <w:tcPr>
            <w:tcW w:w="1110" w:type="dxa"/>
            <w:gridSpan w:val="3"/>
            <w:hideMark/>
          </w:tcPr>
          <w:p w14:paraId="053584C9" w14:textId="5315F06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2,409</w:t>
            </w:r>
          </w:p>
        </w:tc>
        <w:tc>
          <w:tcPr>
            <w:tcW w:w="1110" w:type="dxa"/>
            <w:gridSpan w:val="2"/>
            <w:hideMark/>
          </w:tcPr>
          <w:p w14:paraId="7133D0AF" w14:textId="0ABB204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2,409</w:t>
            </w:r>
          </w:p>
        </w:tc>
        <w:tc>
          <w:tcPr>
            <w:tcW w:w="1110" w:type="dxa"/>
            <w:hideMark/>
          </w:tcPr>
          <w:p w14:paraId="6BD9B638" w14:textId="412F24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2,409</w:t>
            </w:r>
          </w:p>
        </w:tc>
        <w:tc>
          <w:tcPr>
            <w:tcW w:w="818" w:type="dxa"/>
            <w:gridSpan w:val="2"/>
            <w:hideMark/>
          </w:tcPr>
          <w:p w14:paraId="1A306AB9" w14:textId="5D0B01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2782975" w14:textId="77777777" w:rsidTr="00597AD8">
        <w:trPr>
          <w:trHeight w:val="576"/>
        </w:trPr>
        <w:tc>
          <w:tcPr>
            <w:tcW w:w="3885" w:type="dxa"/>
            <w:shd w:val="clear" w:color="000000" w:fill="B8CCE4"/>
            <w:noWrap/>
            <w:hideMark/>
          </w:tcPr>
          <w:p w14:paraId="5D4BBF6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1.2: Zhvillimi i kujdesit shëndetësor gjithëpërfshirës dhe të orientuar drejt personave me aftësi të kufizuara</w:t>
            </w:r>
          </w:p>
        </w:tc>
        <w:tc>
          <w:tcPr>
            <w:tcW w:w="1080" w:type="dxa"/>
            <w:shd w:val="clear" w:color="000000" w:fill="B8CCE4"/>
            <w:hideMark/>
          </w:tcPr>
          <w:p w14:paraId="3DFBF1B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hideMark/>
          </w:tcPr>
          <w:p w14:paraId="0575FFD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1AE55BB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521" w:type="dxa"/>
            <w:gridSpan w:val="2"/>
            <w:shd w:val="clear" w:color="000000" w:fill="B8CCE4"/>
            <w:vAlign w:val="center"/>
            <w:hideMark/>
          </w:tcPr>
          <w:p w14:paraId="6BFD19B4"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shd w:val="clear" w:color="000000" w:fill="B8CCE4"/>
            <w:hideMark/>
          </w:tcPr>
          <w:p w14:paraId="67D0097F" w14:textId="439263E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23,767</w:t>
            </w:r>
          </w:p>
        </w:tc>
        <w:tc>
          <w:tcPr>
            <w:tcW w:w="1110" w:type="dxa"/>
            <w:gridSpan w:val="3"/>
            <w:shd w:val="clear" w:color="000000" w:fill="B8CCE4"/>
            <w:hideMark/>
          </w:tcPr>
          <w:p w14:paraId="330937C3" w14:textId="111C8FC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22,357</w:t>
            </w:r>
          </w:p>
        </w:tc>
        <w:tc>
          <w:tcPr>
            <w:tcW w:w="1110" w:type="dxa"/>
            <w:gridSpan w:val="2"/>
            <w:shd w:val="clear" w:color="000000" w:fill="B8CCE4"/>
            <w:hideMark/>
          </w:tcPr>
          <w:p w14:paraId="03ACF987" w14:textId="79DF2E5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29,007</w:t>
            </w:r>
          </w:p>
        </w:tc>
        <w:tc>
          <w:tcPr>
            <w:tcW w:w="1110" w:type="dxa"/>
            <w:shd w:val="clear" w:color="000000" w:fill="B8CCE4"/>
            <w:hideMark/>
          </w:tcPr>
          <w:p w14:paraId="1DED60AD" w14:textId="20439C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23,483</w:t>
            </w:r>
          </w:p>
        </w:tc>
        <w:tc>
          <w:tcPr>
            <w:tcW w:w="818" w:type="dxa"/>
            <w:gridSpan w:val="2"/>
            <w:shd w:val="clear" w:color="000000" w:fill="B8CCE4"/>
            <w:hideMark/>
          </w:tcPr>
          <w:p w14:paraId="36A27BE7" w14:textId="452D65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19,081</w:t>
            </w:r>
          </w:p>
        </w:tc>
      </w:tr>
      <w:tr w:rsidR="004D73D3" w:rsidRPr="0048716F" w14:paraId="67F9FA2E" w14:textId="77777777" w:rsidTr="00597AD8">
        <w:trPr>
          <w:trHeight w:val="864"/>
        </w:trPr>
        <w:tc>
          <w:tcPr>
            <w:tcW w:w="3885" w:type="dxa"/>
            <w:hideMark/>
          </w:tcPr>
          <w:p w14:paraId="26DB2D7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1.2.1. Rritja e numrit të ekipeve socio-shëndetësore pranë shërbimeve të KSHP dhe fuqizimi I tyre me fokus identifikimin e hershëm të aftësisë së kufizuar, informimin dhe referimin e tyre në shërbime sipas nevojave.</w:t>
            </w:r>
          </w:p>
        </w:tc>
        <w:tc>
          <w:tcPr>
            <w:tcW w:w="1080" w:type="dxa"/>
            <w:hideMark/>
          </w:tcPr>
          <w:p w14:paraId="416D1942"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116ED4B1"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63E24A5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521" w:type="dxa"/>
            <w:gridSpan w:val="2"/>
            <w:vAlign w:val="center"/>
            <w:hideMark/>
          </w:tcPr>
          <w:p w14:paraId="7B4BB73C"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22C176C1" w14:textId="650311E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14,531</w:t>
            </w:r>
          </w:p>
        </w:tc>
        <w:tc>
          <w:tcPr>
            <w:tcW w:w="1110" w:type="dxa"/>
            <w:gridSpan w:val="3"/>
            <w:hideMark/>
          </w:tcPr>
          <w:p w14:paraId="72F58AA0" w14:textId="3CF283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14,531</w:t>
            </w:r>
          </w:p>
        </w:tc>
        <w:tc>
          <w:tcPr>
            <w:tcW w:w="1110" w:type="dxa"/>
            <w:gridSpan w:val="2"/>
            <w:hideMark/>
          </w:tcPr>
          <w:p w14:paraId="50D40506" w14:textId="3726E9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14,531</w:t>
            </w:r>
          </w:p>
        </w:tc>
        <w:tc>
          <w:tcPr>
            <w:tcW w:w="1110" w:type="dxa"/>
            <w:hideMark/>
          </w:tcPr>
          <w:p w14:paraId="70D19C68" w14:textId="6E67BD4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14,531</w:t>
            </w:r>
          </w:p>
        </w:tc>
        <w:tc>
          <w:tcPr>
            <w:tcW w:w="818" w:type="dxa"/>
            <w:gridSpan w:val="2"/>
            <w:hideMark/>
          </w:tcPr>
          <w:p w14:paraId="346A2AD5" w14:textId="362CBE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14,531</w:t>
            </w:r>
          </w:p>
        </w:tc>
      </w:tr>
      <w:tr w:rsidR="004D73D3" w:rsidRPr="0048716F" w14:paraId="4367A70A" w14:textId="77777777" w:rsidTr="00597AD8">
        <w:trPr>
          <w:trHeight w:val="576"/>
        </w:trPr>
        <w:tc>
          <w:tcPr>
            <w:tcW w:w="3885" w:type="dxa"/>
            <w:hideMark/>
          </w:tcPr>
          <w:p w14:paraId="7BFF978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1.2.2. Përgatitja e një udhëzuesi për një sistem shëndetësor gjithë përfshirës per personat me aftësi të kufizuara, me synim mbulimin universal.</w:t>
            </w:r>
          </w:p>
        </w:tc>
        <w:tc>
          <w:tcPr>
            <w:tcW w:w="1080" w:type="dxa"/>
            <w:hideMark/>
          </w:tcPr>
          <w:p w14:paraId="176496D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2029</w:t>
            </w:r>
          </w:p>
        </w:tc>
        <w:tc>
          <w:tcPr>
            <w:tcW w:w="1260" w:type="dxa"/>
            <w:hideMark/>
          </w:tcPr>
          <w:p w14:paraId="08FC9C7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5E0C391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521" w:type="dxa"/>
            <w:gridSpan w:val="2"/>
            <w:vAlign w:val="center"/>
            <w:hideMark/>
          </w:tcPr>
          <w:p w14:paraId="15F6B405"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3464F20B" w14:textId="7210F1C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FA65BC0" w14:textId="091BD7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C1AA0BA" w14:textId="50DAE0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3494E074" w14:textId="6EB9035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4,402</w:t>
            </w:r>
          </w:p>
        </w:tc>
        <w:tc>
          <w:tcPr>
            <w:tcW w:w="818" w:type="dxa"/>
            <w:gridSpan w:val="2"/>
            <w:hideMark/>
          </w:tcPr>
          <w:p w14:paraId="4E7396A9" w14:textId="7A36A50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415630E" w14:textId="77777777" w:rsidTr="00597AD8">
        <w:trPr>
          <w:trHeight w:val="864"/>
        </w:trPr>
        <w:tc>
          <w:tcPr>
            <w:tcW w:w="3885" w:type="dxa"/>
            <w:hideMark/>
          </w:tcPr>
          <w:p w14:paraId="7A7FF5B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1.2.3. Mundësimi i aksesit të barabartë në informacion dhe shërbime të shëndetit seksual dhe riprodhues për të gjitha kategoritë e personave me aftësi të kufizuara, në formate të aksesueshme.</w:t>
            </w:r>
          </w:p>
        </w:tc>
        <w:tc>
          <w:tcPr>
            <w:tcW w:w="1080" w:type="dxa"/>
            <w:hideMark/>
          </w:tcPr>
          <w:p w14:paraId="1A02211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260" w:type="dxa"/>
            <w:hideMark/>
          </w:tcPr>
          <w:p w14:paraId="5EBCE87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103001E4"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521" w:type="dxa"/>
            <w:gridSpan w:val="2"/>
            <w:vAlign w:val="center"/>
            <w:hideMark/>
          </w:tcPr>
          <w:p w14:paraId="1CC552AF"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110" w:type="dxa"/>
            <w:gridSpan w:val="2"/>
            <w:hideMark/>
          </w:tcPr>
          <w:p w14:paraId="5901C8A8" w14:textId="0A2127E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47BC101" w14:textId="605CAA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AA81364" w14:textId="7E8793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6,650</w:t>
            </w:r>
          </w:p>
        </w:tc>
        <w:tc>
          <w:tcPr>
            <w:tcW w:w="1110" w:type="dxa"/>
            <w:hideMark/>
          </w:tcPr>
          <w:p w14:paraId="6CFC9680" w14:textId="703B50F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4,550</w:t>
            </w:r>
          </w:p>
        </w:tc>
        <w:tc>
          <w:tcPr>
            <w:tcW w:w="818" w:type="dxa"/>
            <w:gridSpan w:val="2"/>
            <w:hideMark/>
          </w:tcPr>
          <w:p w14:paraId="3126AF07" w14:textId="1F3F52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4,550</w:t>
            </w:r>
          </w:p>
        </w:tc>
      </w:tr>
      <w:tr w:rsidR="004D73D3" w:rsidRPr="0048716F" w14:paraId="1A4F1C20" w14:textId="77777777" w:rsidTr="00597AD8">
        <w:trPr>
          <w:trHeight w:val="1152"/>
        </w:trPr>
        <w:tc>
          <w:tcPr>
            <w:tcW w:w="3885" w:type="dxa"/>
            <w:hideMark/>
          </w:tcPr>
          <w:p w14:paraId="3385DCD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1.2.4. Hartimi dhe miratimi i standardeve kombëtare për shërbimet shëndetësore gjithëpërfshirëse dhe protokolleve klinike për trajtim me dinjitet, respekt dhe pa diskriminim për cdo tipologji të personave me aftësi të kufizuar.</w:t>
            </w:r>
          </w:p>
        </w:tc>
        <w:tc>
          <w:tcPr>
            <w:tcW w:w="1080" w:type="dxa"/>
            <w:hideMark/>
          </w:tcPr>
          <w:p w14:paraId="3174F16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E5DCE1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411" w:type="dxa"/>
            <w:vAlign w:val="center"/>
            <w:hideMark/>
          </w:tcPr>
          <w:p w14:paraId="1FB821BF"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75F36AAF"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110" w:type="dxa"/>
            <w:gridSpan w:val="2"/>
            <w:hideMark/>
          </w:tcPr>
          <w:p w14:paraId="1650B4A9" w14:textId="154721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3,723</w:t>
            </w:r>
          </w:p>
        </w:tc>
        <w:tc>
          <w:tcPr>
            <w:tcW w:w="1110" w:type="dxa"/>
            <w:gridSpan w:val="3"/>
            <w:hideMark/>
          </w:tcPr>
          <w:p w14:paraId="312F7F41" w14:textId="3459D1D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2,313</w:t>
            </w:r>
          </w:p>
        </w:tc>
        <w:tc>
          <w:tcPr>
            <w:tcW w:w="1110" w:type="dxa"/>
            <w:gridSpan w:val="2"/>
            <w:hideMark/>
          </w:tcPr>
          <w:p w14:paraId="06319B83" w14:textId="2B20F7D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2,313</w:t>
            </w:r>
          </w:p>
        </w:tc>
        <w:tc>
          <w:tcPr>
            <w:tcW w:w="1110" w:type="dxa"/>
            <w:hideMark/>
          </w:tcPr>
          <w:p w14:paraId="38279B3A" w14:textId="37397A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27AC11B" w14:textId="4DEFEB7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01D6496" w14:textId="77777777" w:rsidTr="00597AD8">
        <w:trPr>
          <w:trHeight w:val="864"/>
        </w:trPr>
        <w:tc>
          <w:tcPr>
            <w:tcW w:w="3885" w:type="dxa"/>
            <w:hideMark/>
          </w:tcPr>
          <w:p w14:paraId="67F6C00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1.2.5. Hartimi i mekanizmave për ndërhyrje prioritare dhe pa radhë për personat me aftësi të kufizuara komplekse në të gjitha nivelet e ofrimit të shërbimeve shëndetësore.</w:t>
            </w:r>
          </w:p>
        </w:tc>
        <w:tc>
          <w:tcPr>
            <w:tcW w:w="1080" w:type="dxa"/>
            <w:vAlign w:val="center"/>
            <w:hideMark/>
          </w:tcPr>
          <w:p w14:paraId="0030D20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vAlign w:val="center"/>
            <w:hideMark/>
          </w:tcPr>
          <w:p w14:paraId="6BF67DC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411" w:type="dxa"/>
            <w:vAlign w:val="center"/>
            <w:hideMark/>
          </w:tcPr>
          <w:p w14:paraId="6A444BA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59183B2F"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110" w:type="dxa"/>
            <w:gridSpan w:val="2"/>
            <w:hideMark/>
          </w:tcPr>
          <w:p w14:paraId="11A36646" w14:textId="0B497C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5,513</w:t>
            </w:r>
          </w:p>
        </w:tc>
        <w:tc>
          <w:tcPr>
            <w:tcW w:w="1110" w:type="dxa"/>
            <w:gridSpan w:val="3"/>
            <w:hideMark/>
          </w:tcPr>
          <w:p w14:paraId="449749FF" w14:textId="3604265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5,513</w:t>
            </w:r>
          </w:p>
        </w:tc>
        <w:tc>
          <w:tcPr>
            <w:tcW w:w="1110" w:type="dxa"/>
            <w:gridSpan w:val="2"/>
            <w:hideMark/>
          </w:tcPr>
          <w:p w14:paraId="7AFE88CF" w14:textId="4D6B180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5,513</w:t>
            </w:r>
          </w:p>
        </w:tc>
        <w:tc>
          <w:tcPr>
            <w:tcW w:w="1110" w:type="dxa"/>
            <w:hideMark/>
          </w:tcPr>
          <w:p w14:paraId="11D370DA" w14:textId="37DF11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779D1436" w14:textId="68425CD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F05EC06" w14:textId="77777777" w:rsidTr="00597AD8">
        <w:trPr>
          <w:trHeight w:val="864"/>
        </w:trPr>
        <w:tc>
          <w:tcPr>
            <w:tcW w:w="3885" w:type="dxa"/>
            <w:shd w:val="clear" w:color="000000" w:fill="FDE9D9"/>
            <w:hideMark/>
          </w:tcPr>
          <w:p w14:paraId="62A8A9D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2.Mundësimi i rehabilitimit cilësor, shërbimeve të shëndetit mendor dhe aksesit në teknologji ndihmëse, të bazuara në komunitet dhe në nevojat individuale</w:t>
            </w:r>
          </w:p>
        </w:tc>
        <w:tc>
          <w:tcPr>
            <w:tcW w:w="1080" w:type="dxa"/>
            <w:shd w:val="clear" w:color="000000" w:fill="FDE9D9"/>
            <w:hideMark/>
          </w:tcPr>
          <w:p w14:paraId="7B8813F6" w14:textId="54F08164" w:rsidR="004D73D3" w:rsidRPr="0048716F" w:rsidRDefault="004D73D3" w:rsidP="0048716F">
            <w:pPr>
              <w:jc w:val="both"/>
              <w:rPr>
                <w:rFonts w:eastAsia="Times New Roman"/>
                <w:b/>
                <w:bCs/>
                <w:color w:val="000000"/>
                <w:sz w:val="18"/>
                <w:szCs w:val="18"/>
                <w:lang w:val="en-US" w:eastAsia="en-US"/>
              </w:rPr>
            </w:pPr>
          </w:p>
        </w:tc>
        <w:tc>
          <w:tcPr>
            <w:tcW w:w="1260" w:type="dxa"/>
            <w:shd w:val="clear" w:color="000000" w:fill="FDE9D9"/>
            <w:hideMark/>
          </w:tcPr>
          <w:p w14:paraId="2E72BE6D" w14:textId="29A0B8A3" w:rsidR="004D73D3" w:rsidRPr="0048716F" w:rsidRDefault="004D73D3" w:rsidP="0048716F">
            <w:pPr>
              <w:jc w:val="both"/>
              <w:rPr>
                <w:rFonts w:eastAsia="Times New Roman"/>
                <w:b/>
                <w:bCs/>
                <w:color w:val="000000"/>
                <w:sz w:val="18"/>
                <w:szCs w:val="18"/>
                <w:lang w:val="en-US" w:eastAsia="en-US"/>
              </w:rPr>
            </w:pPr>
          </w:p>
        </w:tc>
        <w:tc>
          <w:tcPr>
            <w:tcW w:w="1411" w:type="dxa"/>
            <w:shd w:val="clear" w:color="000000" w:fill="FDE9D9"/>
            <w:vAlign w:val="center"/>
            <w:hideMark/>
          </w:tcPr>
          <w:p w14:paraId="0300316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FDE9D9"/>
            <w:vAlign w:val="center"/>
            <w:hideMark/>
          </w:tcPr>
          <w:p w14:paraId="3973A258"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OSHKSH/ISHP/BASHKITë/QSUT/FSDKSH/Urdherat/UNIVERISITET</w:t>
            </w:r>
          </w:p>
        </w:tc>
        <w:tc>
          <w:tcPr>
            <w:tcW w:w="1110" w:type="dxa"/>
            <w:gridSpan w:val="2"/>
            <w:shd w:val="clear" w:color="000000" w:fill="FDE9D9"/>
            <w:hideMark/>
          </w:tcPr>
          <w:p w14:paraId="2427DBB8" w14:textId="1F712AA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144,232</w:t>
            </w:r>
          </w:p>
        </w:tc>
        <w:tc>
          <w:tcPr>
            <w:tcW w:w="1110" w:type="dxa"/>
            <w:gridSpan w:val="3"/>
            <w:shd w:val="clear" w:color="000000" w:fill="FDE9D9"/>
            <w:hideMark/>
          </w:tcPr>
          <w:p w14:paraId="2824F2D8" w14:textId="2B5A4BB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153,614</w:t>
            </w:r>
          </w:p>
        </w:tc>
        <w:tc>
          <w:tcPr>
            <w:tcW w:w="1110" w:type="dxa"/>
            <w:gridSpan w:val="2"/>
            <w:shd w:val="clear" w:color="000000" w:fill="FDE9D9"/>
            <w:hideMark/>
          </w:tcPr>
          <w:p w14:paraId="2C850982" w14:textId="405942B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148,355</w:t>
            </w:r>
          </w:p>
        </w:tc>
        <w:tc>
          <w:tcPr>
            <w:tcW w:w="1110" w:type="dxa"/>
            <w:shd w:val="clear" w:color="000000" w:fill="FDE9D9"/>
            <w:hideMark/>
          </w:tcPr>
          <w:p w14:paraId="06CA8D2F" w14:textId="24B841B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158,893</w:t>
            </w:r>
          </w:p>
        </w:tc>
        <w:tc>
          <w:tcPr>
            <w:tcW w:w="818" w:type="dxa"/>
            <w:gridSpan w:val="2"/>
            <w:shd w:val="clear" w:color="000000" w:fill="FDE9D9"/>
            <w:hideMark/>
          </w:tcPr>
          <w:p w14:paraId="2396E618" w14:textId="45CAF9E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154,669</w:t>
            </w:r>
          </w:p>
        </w:tc>
      </w:tr>
      <w:tr w:rsidR="004D73D3" w:rsidRPr="0048716F" w14:paraId="15A30C17" w14:textId="77777777" w:rsidTr="00597AD8">
        <w:trPr>
          <w:trHeight w:val="612"/>
        </w:trPr>
        <w:tc>
          <w:tcPr>
            <w:tcW w:w="3885" w:type="dxa"/>
            <w:shd w:val="clear" w:color="000000" w:fill="DCE6F1"/>
            <w:hideMark/>
          </w:tcPr>
          <w:p w14:paraId="513CA30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2.1: Forcimi i shërbimeve të rehabilitimit  të bazuara në komunitet</w:t>
            </w:r>
          </w:p>
        </w:tc>
        <w:tc>
          <w:tcPr>
            <w:tcW w:w="1080" w:type="dxa"/>
            <w:shd w:val="clear" w:color="000000" w:fill="DCE6F1"/>
            <w:hideMark/>
          </w:tcPr>
          <w:p w14:paraId="1E483A1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53EA1ED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57ADC95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4111E107"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OSHKSH/ISHP/BASHKITë//QSUT/FSDKSH/Urdherat/Universitetet</w:t>
            </w:r>
          </w:p>
        </w:tc>
        <w:tc>
          <w:tcPr>
            <w:tcW w:w="1110" w:type="dxa"/>
            <w:gridSpan w:val="2"/>
            <w:shd w:val="clear" w:color="000000" w:fill="DCE6F1"/>
            <w:hideMark/>
          </w:tcPr>
          <w:p w14:paraId="65F29BE3" w14:textId="109619F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131,934</w:t>
            </w:r>
          </w:p>
        </w:tc>
        <w:tc>
          <w:tcPr>
            <w:tcW w:w="1110" w:type="dxa"/>
            <w:gridSpan w:val="3"/>
            <w:shd w:val="clear" w:color="000000" w:fill="DCE6F1"/>
            <w:hideMark/>
          </w:tcPr>
          <w:p w14:paraId="27534535" w14:textId="03428AC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139,796</w:t>
            </w:r>
          </w:p>
        </w:tc>
        <w:tc>
          <w:tcPr>
            <w:tcW w:w="1110" w:type="dxa"/>
            <w:gridSpan w:val="2"/>
            <w:shd w:val="clear" w:color="000000" w:fill="DCE6F1"/>
            <w:hideMark/>
          </w:tcPr>
          <w:p w14:paraId="4092D1C1" w14:textId="63ADBEA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139,796</w:t>
            </w:r>
          </w:p>
        </w:tc>
        <w:tc>
          <w:tcPr>
            <w:tcW w:w="1110" w:type="dxa"/>
            <w:shd w:val="clear" w:color="000000" w:fill="DCE6F1"/>
            <w:hideMark/>
          </w:tcPr>
          <w:p w14:paraId="5B85A83C" w14:textId="61687FA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139,973</w:t>
            </w:r>
          </w:p>
        </w:tc>
        <w:tc>
          <w:tcPr>
            <w:tcW w:w="818" w:type="dxa"/>
            <w:gridSpan w:val="2"/>
            <w:shd w:val="clear" w:color="000000" w:fill="DCE6F1"/>
            <w:hideMark/>
          </w:tcPr>
          <w:p w14:paraId="3193FECF" w14:textId="26B8B4A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142,477</w:t>
            </w:r>
          </w:p>
        </w:tc>
      </w:tr>
      <w:tr w:rsidR="004D73D3" w:rsidRPr="0048716F" w14:paraId="6BCEFF3D" w14:textId="77777777" w:rsidTr="00597AD8">
        <w:trPr>
          <w:trHeight w:val="864"/>
        </w:trPr>
        <w:tc>
          <w:tcPr>
            <w:tcW w:w="3885" w:type="dxa"/>
            <w:noWrap/>
            <w:hideMark/>
          </w:tcPr>
          <w:p w14:paraId="2B138D5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2.1.1 Kryerja e një Vlerësimi Kombëtar të shërbimeve ekzistuese të rehabilitimit , për të identifikuar boshllëqet në kuadrin ligjor, mbulim, cilësi dhe aksesueshmëri.</w:t>
            </w:r>
          </w:p>
        </w:tc>
        <w:tc>
          <w:tcPr>
            <w:tcW w:w="1080" w:type="dxa"/>
            <w:hideMark/>
          </w:tcPr>
          <w:p w14:paraId="2823462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6C46714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2028</w:t>
            </w:r>
          </w:p>
        </w:tc>
        <w:tc>
          <w:tcPr>
            <w:tcW w:w="1411" w:type="dxa"/>
            <w:vAlign w:val="center"/>
            <w:hideMark/>
          </w:tcPr>
          <w:p w14:paraId="65746BFC"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3E5F8F6B"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OSHKSH/ISHP/BASHKITë</w:t>
            </w:r>
          </w:p>
        </w:tc>
        <w:tc>
          <w:tcPr>
            <w:tcW w:w="1110" w:type="dxa"/>
            <w:gridSpan w:val="2"/>
            <w:hideMark/>
          </w:tcPr>
          <w:p w14:paraId="730DD2C9" w14:textId="1038335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3,068</w:t>
            </w:r>
          </w:p>
        </w:tc>
        <w:tc>
          <w:tcPr>
            <w:tcW w:w="1110" w:type="dxa"/>
            <w:gridSpan w:val="3"/>
            <w:hideMark/>
          </w:tcPr>
          <w:p w14:paraId="745C5DD4" w14:textId="73DCB42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3,068</w:t>
            </w:r>
          </w:p>
        </w:tc>
        <w:tc>
          <w:tcPr>
            <w:tcW w:w="1110" w:type="dxa"/>
            <w:gridSpan w:val="2"/>
            <w:hideMark/>
          </w:tcPr>
          <w:p w14:paraId="1688951D" w14:textId="4E4B17A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3,068</w:t>
            </w:r>
          </w:p>
        </w:tc>
        <w:tc>
          <w:tcPr>
            <w:tcW w:w="1110" w:type="dxa"/>
            <w:hideMark/>
          </w:tcPr>
          <w:p w14:paraId="10CD4032" w14:textId="147AE9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2D247CA8" w14:textId="794E61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19F6E12" w14:textId="77777777" w:rsidTr="00597AD8">
        <w:trPr>
          <w:trHeight w:val="864"/>
        </w:trPr>
        <w:tc>
          <w:tcPr>
            <w:tcW w:w="3885" w:type="dxa"/>
            <w:noWrap/>
            <w:hideMark/>
          </w:tcPr>
          <w:p w14:paraId="7F22A89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2.1.2 Hartimi dhe miratimi i Standardeve Kombëtare për shërbimet e rehabilitimit , në përputhje me praktikat më të mira ndërkombëtare dhe qasjen biopsikosociale</w:t>
            </w:r>
          </w:p>
        </w:tc>
        <w:tc>
          <w:tcPr>
            <w:tcW w:w="1080" w:type="dxa"/>
            <w:hideMark/>
          </w:tcPr>
          <w:p w14:paraId="6FA9A19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59A9BCE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5FC0E506"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61F01BB"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OPERATORE/ISHP/QSUT/FSDKSH/Urdherat/Universitetet</w:t>
            </w:r>
          </w:p>
        </w:tc>
        <w:tc>
          <w:tcPr>
            <w:tcW w:w="1110" w:type="dxa"/>
            <w:gridSpan w:val="2"/>
            <w:hideMark/>
          </w:tcPr>
          <w:p w14:paraId="6E9221A5" w14:textId="5912320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2,718</w:t>
            </w:r>
          </w:p>
        </w:tc>
        <w:tc>
          <w:tcPr>
            <w:tcW w:w="1110" w:type="dxa"/>
            <w:gridSpan w:val="3"/>
            <w:hideMark/>
          </w:tcPr>
          <w:p w14:paraId="7721B86A" w14:textId="1EEEC1F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1,548</w:t>
            </w:r>
          </w:p>
        </w:tc>
        <w:tc>
          <w:tcPr>
            <w:tcW w:w="1110" w:type="dxa"/>
            <w:gridSpan w:val="2"/>
            <w:hideMark/>
          </w:tcPr>
          <w:p w14:paraId="63ACB5EA" w14:textId="139B8A9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1,548</w:t>
            </w:r>
          </w:p>
        </w:tc>
        <w:tc>
          <w:tcPr>
            <w:tcW w:w="1110" w:type="dxa"/>
            <w:hideMark/>
          </w:tcPr>
          <w:p w14:paraId="73CBB223" w14:textId="156EA36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1,548</w:t>
            </w:r>
          </w:p>
        </w:tc>
        <w:tc>
          <w:tcPr>
            <w:tcW w:w="818" w:type="dxa"/>
            <w:gridSpan w:val="2"/>
            <w:hideMark/>
          </w:tcPr>
          <w:p w14:paraId="687DEAA3" w14:textId="6648E67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730</w:t>
            </w:r>
          </w:p>
        </w:tc>
      </w:tr>
      <w:tr w:rsidR="004D73D3" w:rsidRPr="0048716F" w14:paraId="62E36180" w14:textId="77777777" w:rsidTr="00597AD8">
        <w:trPr>
          <w:trHeight w:val="1152"/>
        </w:trPr>
        <w:tc>
          <w:tcPr>
            <w:tcW w:w="3885" w:type="dxa"/>
            <w:hideMark/>
          </w:tcPr>
          <w:p w14:paraId="1C4E6FE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2.1.3 Sigurimi i vijueshmërisë së shërbimeve rehabilituese ndërmjet niveleve të kujdesit shëndetësor (parësor, dytësor dhe terciar) dhe shërbimeve sociale, me fokus në koordinimin efektiv të referimit dhe ndjekjes së pacientit.</w:t>
            </w:r>
          </w:p>
        </w:tc>
        <w:tc>
          <w:tcPr>
            <w:tcW w:w="1080" w:type="dxa"/>
            <w:hideMark/>
          </w:tcPr>
          <w:p w14:paraId="082694DB"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hideMark/>
          </w:tcPr>
          <w:p w14:paraId="4B295D0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vAlign w:val="center"/>
            <w:hideMark/>
          </w:tcPr>
          <w:p w14:paraId="0CE32D6A"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w:t>
            </w:r>
          </w:p>
        </w:tc>
        <w:tc>
          <w:tcPr>
            <w:tcW w:w="1521" w:type="dxa"/>
            <w:gridSpan w:val="2"/>
            <w:vAlign w:val="center"/>
            <w:hideMark/>
          </w:tcPr>
          <w:p w14:paraId="0251FAC0"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OSHKSH</w:t>
            </w:r>
          </w:p>
        </w:tc>
        <w:tc>
          <w:tcPr>
            <w:tcW w:w="1110" w:type="dxa"/>
            <w:gridSpan w:val="2"/>
            <w:hideMark/>
          </w:tcPr>
          <w:p w14:paraId="1E0D56EB" w14:textId="6691BC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126,148</w:t>
            </w:r>
          </w:p>
        </w:tc>
        <w:tc>
          <w:tcPr>
            <w:tcW w:w="1110" w:type="dxa"/>
            <w:gridSpan w:val="3"/>
            <w:hideMark/>
          </w:tcPr>
          <w:p w14:paraId="00CC2D93" w14:textId="5A8225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135,180</w:t>
            </w:r>
          </w:p>
        </w:tc>
        <w:tc>
          <w:tcPr>
            <w:tcW w:w="1110" w:type="dxa"/>
            <w:gridSpan w:val="2"/>
            <w:hideMark/>
          </w:tcPr>
          <w:p w14:paraId="33FD0D5C" w14:textId="6AD3A1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135,180</w:t>
            </w:r>
          </w:p>
        </w:tc>
        <w:tc>
          <w:tcPr>
            <w:tcW w:w="1110" w:type="dxa"/>
            <w:hideMark/>
          </w:tcPr>
          <w:p w14:paraId="0DF65BAB" w14:textId="44B20ED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138,424</w:t>
            </w:r>
          </w:p>
        </w:tc>
        <w:tc>
          <w:tcPr>
            <w:tcW w:w="818" w:type="dxa"/>
            <w:gridSpan w:val="2"/>
            <w:hideMark/>
          </w:tcPr>
          <w:p w14:paraId="3F27548C" w14:textId="2E205B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141,747</w:t>
            </w:r>
          </w:p>
        </w:tc>
      </w:tr>
      <w:tr w:rsidR="004D73D3" w:rsidRPr="0048716F" w14:paraId="66229D80" w14:textId="77777777" w:rsidTr="00597AD8">
        <w:trPr>
          <w:trHeight w:val="1440"/>
        </w:trPr>
        <w:tc>
          <w:tcPr>
            <w:tcW w:w="3885" w:type="dxa"/>
            <w:shd w:val="clear" w:color="000000" w:fill="DCE6F1"/>
            <w:hideMark/>
          </w:tcPr>
          <w:p w14:paraId="48205D8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2.2: Forcimi i të drejtave të personave me aftësi të kufizuara psikosociale përmes harmonizimit të kuadrit ligjor me standardet bashkëkohore të aftësisë së kufizuar dhe zhvillimit të shërbimeve të shëndetit mendor me bazë komunitare, gjithëpërfshirëse dhe të orientuara nga të drejtat e njeriu</w:t>
            </w:r>
          </w:p>
        </w:tc>
        <w:tc>
          <w:tcPr>
            <w:tcW w:w="1080" w:type="dxa"/>
            <w:shd w:val="clear" w:color="000000" w:fill="DCE6F1"/>
            <w:hideMark/>
          </w:tcPr>
          <w:p w14:paraId="1CB1628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5C1CD3D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58F8BFC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59E2A7E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DCE6F1"/>
            <w:hideMark/>
          </w:tcPr>
          <w:p w14:paraId="67507553" w14:textId="34A4CE1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7,009</w:t>
            </w:r>
          </w:p>
        </w:tc>
        <w:tc>
          <w:tcPr>
            <w:tcW w:w="1110" w:type="dxa"/>
            <w:gridSpan w:val="3"/>
            <w:shd w:val="clear" w:color="000000" w:fill="DCE6F1"/>
            <w:hideMark/>
          </w:tcPr>
          <w:p w14:paraId="14B1EFA2" w14:textId="633E1F1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8,016</w:t>
            </w:r>
          </w:p>
        </w:tc>
        <w:tc>
          <w:tcPr>
            <w:tcW w:w="1110" w:type="dxa"/>
            <w:gridSpan w:val="2"/>
            <w:shd w:val="clear" w:color="000000" w:fill="DCE6F1"/>
            <w:hideMark/>
          </w:tcPr>
          <w:p w14:paraId="0942E4B5" w14:textId="583BA4A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2,757</w:t>
            </w:r>
          </w:p>
        </w:tc>
        <w:tc>
          <w:tcPr>
            <w:tcW w:w="1110" w:type="dxa"/>
            <w:shd w:val="clear" w:color="000000" w:fill="DCE6F1"/>
            <w:hideMark/>
          </w:tcPr>
          <w:p w14:paraId="664CB8D6" w14:textId="448E53E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11,345</w:t>
            </w:r>
          </w:p>
        </w:tc>
        <w:tc>
          <w:tcPr>
            <w:tcW w:w="818" w:type="dxa"/>
            <w:gridSpan w:val="2"/>
            <w:shd w:val="clear" w:color="000000" w:fill="DCE6F1"/>
            <w:hideMark/>
          </w:tcPr>
          <w:p w14:paraId="285BD5B7" w14:textId="02E9569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4,618</w:t>
            </w:r>
          </w:p>
        </w:tc>
      </w:tr>
      <w:tr w:rsidR="004D73D3" w:rsidRPr="0048716F" w14:paraId="28159BA4" w14:textId="77777777" w:rsidTr="00597AD8">
        <w:trPr>
          <w:trHeight w:val="1440"/>
        </w:trPr>
        <w:tc>
          <w:tcPr>
            <w:tcW w:w="3885" w:type="dxa"/>
            <w:hideMark/>
          </w:tcPr>
          <w:p w14:paraId="5901376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2.2.1Rishikimi i kuadrit ligjor për shëndetin mendor, në përputhje me standardet bashkëkohore të të drejtave të njeriut dhe aftësisë së kufizuar, duke garantuar mekanizma vendimmarrjeje të mbështetur dhe procedura të aksesueshme për pëlqimin e informuar, në funksion të një qasjeje që respekton autonominë, dinjitetin dhe jetesën në komunitet</w:t>
            </w:r>
          </w:p>
        </w:tc>
        <w:tc>
          <w:tcPr>
            <w:tcW w:w="1080" w:type="dxa"/>
            <w:hideMark/>
          </w:tcPr>
          <w:p w14:paraId="1EB7469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81B85A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52E2B14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5DB8D72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1723AB06" w14:textId="49A6D0D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1,750</w:t>
            </w:r>
          </w:p>
        </w:tc>
        <w:tc>
          <w:tcPr>
            <w:tcW w:w="1110" w:type="dxa"/>
            <w:gridSpan w:val="3"/>
            <w:hideMark/>
          </w:tcPr>
          <w:p w14:paraId="4E64B835" w14:textId="4F41E76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2,757</w:t>
            </w:r>
          </w:p>
        </w:tc>
        <w:tc>
          <w:tcPr>
            <w:tcW w:w="1110" w:type="dxa"/>
            <w:gridSpan w:val="2"/>
            <w:hideMark/>
          </w:tcPr>
          <w:p w14:paraId="08FB977C" w14:textId="01DBF05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2,757</w:t>
            </w:r>
          </w:p>
        </w:tc>
        <w:tc>
          <w:tcPr>
            <w:tcW w:w="1110" w:type="dxa"/>
            <w:hideMark/>
          </w:tcPr>
          <w:p w14:paraId="36EF1570" w14:textId="07FE276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0D1635AB" w14:textId="44D99F2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D147449" w14:textId="77777777" w:rsidTr="00597AD8">
        <w:trPr>
          <w:trHeight w:val="1440"/>
        </w:trPr>
        <w:tc>
          <w:tcPr>
            <w:tcW w:w="3885" w:type="dxa"/>
            <w:hideMark/>
          </w:tcPr>
          <w:p w14:paraId="6000B71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2.2.2.Hartimi dhe zbatimi i standardeve të unifikuara të cilësisë për shërbimet e specializuara të shëndetit mendor, si Qendrat Komunitare, Shtëpitë e Mbështetura, shërbimet me shtretër, duke siguruar qasje multidisiplinare, respektim të të drejtave të personit dhe përputhje me standardet më të mira ndërkombëtare.</w:t>
            </w:r>
          </w:p>
        </w:tc>
        <w:tc>
          <w:tcPr>
            <w:tcW w:w="1080" w:type="dxa"/>
            <w:hideMark/>
          </w:tcPr>
          <w:p w14:paraId="167D0FB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56D11DA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2F6B434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410173D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6FC669B4" w14:textId="6D84FE0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5,259</w:t>
            </w:r>
          </w:p>
        </w:tc>
        <w:tc>
          <w:tcPr>
            <w:tcW w:w="1110" w:type="dxa"/>
            <w:gridSpan w:val="3"/>
            <w:hideMark/>
          </w:tcPr>
          <w:p w14:paraId="29D213BB" w14:textId="1F31AAA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5,259</w:t>
            </w:r>
          </w:p>
        </w:tc>
        <w:tc>
          <w:tcPr>
            <w:tcW w:w="1110" w:type="dxa"/>
            <w:gridSpan w:val="2"/>
            <w:hideMark/>
          </w:tcPr>
          <w:p w14:paraId="7B4BB1A4" w14:textId="0ACD43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1EAD013" w14:textId="5CBDA47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483D272B" w14:textId="392A8A8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1A1AAAF" w14:textId="77777777" w:rsidTr="00597AD8">
        <w:trPr>
          <w:trHeight w:val="864"/>
        </w:trPr>
        <w:tc>
          <w:tcPr>
            <w:tcW w:w="3885" w:type="dxa"/>
            <w:hideMark/>
          </w:tcPr>
          <w:p w14:paraId="44BE024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2.2.3. Hartimi dhe zbatimi i Planeve Individuale të Mbështetjes, të integruara me ndërhyrje për rehabilitimin, shërbimet komunitare dhe përfshirjes sociale.</w:t>
            </w:r>
          </w:p>
        </w:tc>
        <w:tc>
          <w:tcPr>
            <w:tcW w:w="1080" w:type="dxa"/>
            <w:hideMark/>
          </w:tcPr>
          <w:p w14:paraId="486AAEC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hideMark/>
          </w:tcPr>
          <w:p w14:paraId="3FBF85E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3180833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2A37042A"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1BA78CA9" w14:textId="0835197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5CBFB3A" w14:textId="62995A4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D718CA6" w14:textId="4654BB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82DBF6F" w14:textId="4D892D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4,518</w:t>
            </w:r>
          </w:p>
        </w:tc>
        <w:tc>
          <w:tcPr>
            <w:tcW w:w="818" w:type="dxa"/>
            <w:gridSpan w:val="2"/>
            <w:hideMark/>
          </w:tcPr>
          <w:p w14:paraId="5E15B3DA" w14:textId="430AF0E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2,918</w:t>
            </w:r>
          </w:p>
        </w:tc>
      </w:tr>
      <w:tr w:rsidR="004D73D3" w:rsidRPr="0048716F" w14:paraId="2A9FA3A4" w14:textId="77777777" w:rsidTr="00597AD8">
        <w:trPr>
          <w:trHeight w:val="864"/>
        </w:trPr>
        <w:tc>
          <w:tcPr>
            <w:tcW w:w="3885" w:type="dxa"/>
            <w:hideMark/>
          </w:tcPr>
          <w:p w14:paraId="321DB20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2.2.4. Mundësimi i përfshirjes aktive të vetë personit me aftësi të kufizuara  në proceset e vendimmarrjes lidhur me trajtimin dhe mbështetjen.</w:t>
            </w:r>
          </w:p>
        </w:tc>
        <w:tc>
          <w:tcPr>
            <w:tcW w:w="1080" w:type="dxa"/>
            <w:hideMark/>
          </w:tcPr>
          <w:p w14:paraId="3844523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260" w:type="dxa"/>
            <w:hideMark/>
          </w:tcPr>
          <w:p w14:paraId="30132E3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6AE0932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447A083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189A5072" w14:textId="732B614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30CE1CE" w14:textId="35EF74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03F851C" w14:textId="2940E28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FE264F4" w14:textId="2854F2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6,827</w:t>
            </w:r>
          </w:p>
        </w:tc>
        <w:tc>
          <w:tcPr>
            <w:tcW w:w="818" w:type="dxa"/>
            <w:gridSpan w:val="2"/>
            <w:hideMark/>
          </w:tcPr>
          <w:p w14:paraId="1B47C00E" w14:textId="42912AD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1,700</w:t>
            </w:r>
          </w:p>
        </w:tc>
      </w:tr>
      <w:tr w:rsidR="004D73D3" w:rsidRPr="0048716F" w14:paraId="5DE2A9E1" w14:textId="77777777" w:rsidTr="00597AD8">
        <w:trPr>
          <w:trHeight w:val="408"/>
        </w:trPr>
        <w:tc>
          <w:tcPr>
            <w:tcW w:w="3885" w:type="dxa"/>
            <w:shd w:val="clear" w:color="000000" w:fill="B8CCE4"/>
            <w:hideMark/>
          </w:tcPr>
          <w:p w14:paraId="49559A2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2.3: Aksesi në teknologji dhe mjete ndihmëse</w:t>
            </w:r>
          </w:p>
        </w:tc>
        <w:tc>
          <w:tcPr>
            <w:tcW w:w="1080" w:type="dxa"/>
            <w:shd w:val="clear" w:color="000000" w:fill="B8CCE4"/>
            <w:noWrap/>
            <w:vAlign w:val="bottom"/>
            <w:hideMark/>
          </w:tcPr>
          <w:p w14:paraId="7407A04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B8CCE4"/>
            <w:noWrap/>
            <w:vAlign w:val="bottom"/>
            <w:hideMark/>
          </w:tcPr>
          <w:p w14:paraId="639BF8D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B8CCE4"/>
            <w:noWrap/>
            <w:vAlign w:val="center"/>
            <w:hideMark/>
          </w:tcPr>
          <w:p w14:paraId="71A71DE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B8CCE4"/>
            <w:vAlign w:val="center"/>
            <w:hideMark/>
          </w:tcPr>
          <w:p w14:paraId="33335581"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MSHMS/FDSKSH/UNIVERISITET</w:t>
            </w:r>
          </w:p>
        </w:tc>
        <w:tc>
          <w:tcPr>
            <w:tcW w:w="1110" w:type="dxa"/>
            <w:gridSpan w:val="2"/>
            <w:shd w:val="clear" w:color="000000" w:fill="B8CCE4"/>
            <w:noWrap/>
            <w:vAlign w:val="bottom"/>
            <w:hideMark/>
          </w:tcPr>
          <w:p w14:paraId="5363F1E1" w14:textId="559E18C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5,289</w:t>
            </w:r>
          </w:p>
        </w:tc>
        <w:tc>
          <w:tcPr>
            <w:tcW w:w="1110" w:type="dxa"/>
            <w:gridSpan w:val="3"/>
            <w:shd w:val="clear" w:color="000000" w:fill="B8CCE4"/>
            <w:noWrap/>
            <w:vAlign w:val="bottom"/>
            <w:hideMark/>
          </w:tcPr>
          <w:p w14:paraId="3C433189" w14:textId="3718EF9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5,802</w:t>
            </w:r>
          </w:p>
        </w:tc>
        <w:tc>
          <w:tcPr>
            <w:tcW w:w="1110" w:type="dxa"/>
            <w:gridSpan w:val="2"/>
            <w:shd w:val="clear" w:color="000000" w:fill="B8CCE4"/>
            <w:noWrap/>
            <w:vAlign w:val="bottom"/>
            <w:hideMark/>
          </w:tcPr>
          <w:p w14:paraId="78D024B7" w14:textId="0F5F61C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5,802</w:t>
            </w:r>
          </w:p>
        </w:tc>
        <w:tc>
          <w:tcPr>
            <w:tcW w:w="1110" w:type="dxa"/>
            <w:shd w:val="clear" w:color="000000" w:fill="B8CCE4"/>
            <w:noWrap/>
            <w:vAlign w:val="bottom"/>
            <w:hideMark/>
          </w:tcPr>
          <w:p w14:paraId="641D796A" w14:textId="4631314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7,575</w:t>
            </w:r>
          </w:p>
        </w:tc>
        <w:tc>
          <w:tcPr>
            <w:tcW w:w="818" w:type="dxa"/>
            <w:gridSpan w:val="2"/>
            <w:shd w:val="clear" w:color="000000" w:fill="B8CCE4"/>
            <w:noWrap/>
            <w:vAlign w:val="bottom"/>
            <w:hideMark/>
          </w:tcPr>
          <w:p w14:paraId="59C7B7CA" w14:textId="60D61B7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7,575</w:t>
            </w:r>
          </w:p>
        </w:tc>
      </w:tr>
      <w:tr w:rsidR="004D73D3" w:rsidRPr="0048716F" w14:paraId="0094F84A" w14:textId="77777777" w:rsidTr="00597AD8">
        <w:trPr>
          <w:trHeight w:val="576"/>
        </w:trPr>
        <w:tc>
          <w:tcPr>
            <w:tcW w:w="3885" w:type="dxa"/>
            <w:hideMark/>
          </w:tcPr>
          <w:p w14:paraId="5B9C135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2.3.1. Kryerja e një vlerësimi kombëtar të nevojave për teknologji dhe mjete ndihmëse për personat me aftësi të kufizuara.</w:t>
            </w:r>
          </w:p>
        </w:tc>
        <w:tc>
          <w:tcPr>
            <w:tcW w:w="1080" w:type="dxa"/>
            <w:hideMark/>
          </w:tcPr>
          <w:p w14:paraId="0D9F2B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2E5F411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411" w:type="dxa"/>
            <w:vAlign w:val="center"/>
            <w:hideMark/>
          </w:tcPr>
          <w:p w14:paraId="1750FA5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18A1373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Operatori/FDSkSH/Universitetet</w:t>
            </w:r>
          </w:p>
        </w:tc>
        <w:tc>
          <w:tcPr>
            <w:tcW w:w="1110" w:type="dxa"/>
            <w:gridSpan w:val="2"/>
            <w:hideMark/>
          </w:tcPr>
          <w:p w14:paraId="7BD04817" w14:textId="3CFAE6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1,798</w:t>
            </w:r>
          </w:p>
        </w:tc>
        <w:tc>
          <w:tcPr>
            <w:tcW w:w="1110" w:type="dxa"/>
            <w:gridSpan w:val="3"/>
            <w:hideMark/>
          </w:tcPr>
          <w:p w14:paraId="006A9804" w14:textId="09D573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2,011</w:t>
            </w:r>
          </w:p>
        </w:tc>
        <w:tc>
          <w:tcPr>
            <w:tcW w:w="1110" w:type="dxa"/>
            <w:gridSpan w:val="2"/>
            <w:hideMark/>
          </w:tcPr>
          <w:p w14:paraId="14567619" w14:textId="70DDE1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2,011</w:t>
            </w:r>
          </w:p>
        </w:tc>
        <w:tc>
          <w:tcPr>
            <w:tcW w:w="1110" w:type="dxa"/>
            <w:hideMark/>
          </w:tcPr>
          <w:p w14:paraId="53FD49BD" w14:textId="188B8D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702C6E4" w14:textId="45E5DC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89B63A6" w14:textId="77777777" w:rsidTr="00597AD8">
        <w:trPr>
          <w:trHeight w:val="864"/>
        </w:trPr>
        <w:tc>
          <w:tcPr>
            <w:tcW w:w="3885" w:type="dxa"/>
            <w:hideMark/>
          </w:tcPr>
          <w:p w14:paraId="6E05F217" w14:textId="1E50422D"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2.3.2. Rishikimi i  gjithë kuadrit ligjor që lidhet me mjetet/teknologjinnë ndihmëse. Rekomandime për përmirësime ligjore dhe shfuqizimi i atyre akteve që nuk janë në përputhje me CRPD</w:t>
            </w:r>
          </w:p>
        </w:tc>
        <w:tc>
          <w:tcPr>
            <w:tcW w:w="1080" w:type="dxa"/>
            <w:hideMark/>
          </w:tcPr>
          <w:p w14:paraId="752559E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34F81BB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2028</w:t>
            </w:r>
          </w:p>
        </w:tc>
        <w:tc>
          <w:tcPr>
            <w:tcW w:w="1411" w:type="dxa"/>
            <w:vAlign w:val="center"/>
            <w:hideMark/>
          </w:tcPr>
          <w:p w14:paraId="2D4AFE2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31045E55" w14:textId="080783F4" w:rsidR="004D73D3" w:rsidRPr="0048716F" w:rsidRDefault="004D73D3" w:rsidP="00597AD8">
            <w:pPr>
              <w:rPr>
                <w:rFonts w:eastAsia="Times New Roman"/>
                <w:color w:val="000000"/>
                <w:sz w:val="18"/>
                <w:szCs w:val="18"/>
                <w:lang w:val="en-US" w:eastAsia="en-US"/>
              </w:rPr>
            </w:pPr>
          </w:p>
        </w:tc>
        <w:tc>
          <w:tcPr>
            <w:tcW w:w="1110" w:type="dxa"/>
            <w:gridSpan w:val="2"/>
            <w:hideMark/>
          </w:tcPr>
          <w:p w14:paraId="0FA39FA6" w14:textId="64412D5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1,798</w:t>
            </w:r>
          </w:p>
        </w:tc>
        <w:tc>
          <w:tcPr>
            <w:tcW w:w="1110" w:type="dxa"/>
            <w:gridSpan w:val="3"/>
            <w:hideMark/>
          </w:tcPr>
          <w:p w14:paraId="133062B2" w14:textId="2CF41FC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1,948</w:t>
            </w:r>
          </w:p>
        </w:tc>
        <w:tc>
          <w:tcPr>
            <w:tcW w:w="1110" w:type="dxa"/>
            <w:gridSpan w:val="2"/>
            <w:hideMark/>
          </w:tcPr>
          <w:p w14:paraId="424713C4" w14:textId="74E0B19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1,948</w:t>
            </w:r>
          </w:p>
        </w:tc>
        <w:tc>
          <w:tcPr>
            <w:tcW w:w="1110" w:type="dxa"/>
            <w:hideMark/>
          </w:tcPr>
          <w:p w14:paraId="3BCE1C85" w14:textId="6BE3A70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6D28FDBE" w14:textId="5BE8A14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028CCF6" w14:textId="77777777" w:rsidTr="00597AD8">
        <w:trPr>
          <w:trHeight w:val="1728"/>
        </w:trPr>
        <w:tc>
          <w:tcPr>
            <w:tcW w:w="3885" w:type="dxa"/>
            <w:hideMark/>
          </w:tcPr>
          <w:p w14:paraId="5C4ABA4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2.3.3. Përgatitja, në bashkëpunim me grupet e interesit e Listës Prioritare të pajisjeve ndihmëse/teknologjike, e cila duhet të përfshijë kategorite; (i) produkte me një përdorim si pampers, kataterë, Stoma Begs etj.; (ii) materiale për përdorim afatgjatë si përshembull dyshekët anti dekubitues, jastëqet për karriget me rrota, mjetet ndihmëse të dëgjimit; (iii) materiale tailor-made si përshembull karriget me rrota.</w:t>
            </w:r>
          </w:p>
        </w:tc>
        <w:tc>
          <w:tcPr>
            <w:tcW w:w="1080" w:type="dxa"/>
            <w:hideMark/>
          </w:tcPr>
          <w:p w14:paraId="39D95A5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626B6A9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4DE4D20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5E5B73EC"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FDSKSH</w:t>
            </w:r>
          </w:p>
        </w:tc>
        <w:tc>
          <w:tcPr>
            <w:tcW w:w="1110" w:type="dxa"/>
            <w:gridSpan w:val="2"/>
            <w:hideMark/>
          </w:tcPr>
          <w:p w14:paraId="757B02D7" w14:textId="1C149C8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1,693</w:t>
            </w:r>
          </w:p>
        </w:tc>
        <w:tc>
          <w:tcPr>
            <w:tcW w:w="1110" w:type="dxa"/>
            <w:gridSpan w:val="3"/>
            <w:hideMark/>
          </w:tcPr>
          <w:p w14:paraId="0B28F7B5" w14:textId="742F62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1,843</w:t>
            </w:r>
          </w:p>
        </w:tc>
        <w:tc>
          <w:tcPr>
            <w:tcW w:w="1110" w:type="dxa"/>
            <w:gridSpan w:val="2"/>
            <w:hideMark/>
          </w:tcPr>
          <w:p w14:paraId="3DB38923" w14:textId="3234F4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1,843</w:t>
            </w:r>
          </w:p>
        </w:tc>
        <w:tc>
          <w:tcPr>
            <w:tcW w:w="1110" w:type="dxa"/>
            <w:hideMark/>
          </w:tcPr>
          <w:p w14:paraId="2BA0C7E7" w14:textId="0E60B40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2,718</w:t>
            </w:r>
          </w:p>
        </w:tc>
        <w:tc>
          <w:tcPr>
            <w:tcW w:w="818" w:type="dxa"/>
            <w:gridSpan w:val="2"/>
            <w:hideMark/>
          </w:tcPr>
          <w:p w14:paraId="5221A7A2" w14:textId="65B0AE8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2,718</w:t>
            </w:r>
          </w:p>
        </w:tc>
      </w:tr>
      <w:tr w:rsidR="004D73D3" w:rsidRPr="0048716F" w14:paraId="2567C9CE" w14:textId="77777777" w:rsidTr="00597AD8">
        <w:trPr>
          <w:trHeight w:val="2016"/>
        </w:trPr>
        <w:tc>
          <w:tcPr>
            <w:tcW w:w="3885" w:type="dxa"/>
            <w:hideMark/>
          </w:tcPr>
          <w:p w14:paraId="684BF4C6" w14:textId="4623E6B4"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2.3.4.Miratimi i Listës Kombëtare të pajisjeve dhe teknologjive ndihmëse, në përputhje me Listën Prioritare të OBSH-së.VKM, e cila përcakton tipologjinë e mjeteve ndihmëse, standartet e tyre (ISO), maksimumin e mbulimit finaciar të rimbursueshëm, dhe pjesëmarrjen financiare (co-payment), nëse përdoruesi kërkon paisje më cilësore dhe më të shtrenjtë. Zhvillimi i mekanizmave të qëndrueshëm të rimbursimit dhe mbulimit financiar për pajisjet ndihmëse, përmes FSDKSH</w:t>
            </w:r>
          </w:p>
        </w:tc>
        <w:tc>
          <w:tcPr>
            <w:tcW w:w="1080" w:type="dxa"/>
            <w:hideMark/>
          </w:tcPr>
          <w:p w14:paraId="44FA301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4D12B16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612B885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5E1B457B"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hideMark/>
          </w:tcPr>
          <w:p w14:paraId="57455686" w14:textId="0E7B2A8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A154087" w14:textId="5D5192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3C593975" w14:textId="324069C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5FE231B" w14:textId="537264D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2,757</w:t>
            </w:r>
          </w:p>
        </w:tc>
        <w:tc>
          <w:tcPr>
            <w:tcW w:w="818" w:type="dxa"/>
            <w:gridSpan w:val="2"/>
            <w:hideMark/>
          </w:tcPr>
          <w:p w14:paraId="4195A856" w14:textId="5D9EAE5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2,757</w:t>
            </w:r>
          </w:p>
        </w:tc>
      </w:tr>
      <w:tr w:rsidR="004D73D3" w:rsidRPr="0048716F" w14:paraId="5FEA515F" w14:textId="77777777" w:rsidTr="00597AD8">
        <w:trPr>
          <w:trHeight w:val="576"/>
        </w:trPr>
        <w:tc>
          <w:tcPr>
            <w:tcW w:w="3885" w:type="dxa"/>
            <w:hideMark/>
          </w:tcPr>
          <w:p w14:paraId="19B5A02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2.3.5. Hartimi i standardeve për përshkrimin, përdorimin, jetëgjatësinë dhe mirëmbajtjen e pajisjeve ndihmëse.</w:t>
            </w:r>
          </w:p>
        </w:tc>
        <w:tc>
          <w:tcPr>
            <w:tcW w:w="1080" w:type="dxa"/>
            <w:hideMark/>
          </w:tcPr>
          <w:p w14:paraId="67CDDA7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5F4339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310CA81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4D994C8D"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FDSKSH</w:t>
            </w:r>
          </w:p>
        </w:tc>
        <w:tc>
          <w:tcPr>
            <w:tcW w:w="1110" w:type="dxa"/>
            <w:gridSpan w:val="2"/>
            <w:hideMark/>
          </w:tcPr>
          <w:p w14:paraId="0D1AA108" w14:textId="28B3451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1A06149" w14:textId="2686C6F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0C0FBE6" w14:textId="007D651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68C59E1" w14:textId="004D83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2,100</w:t>
            </w:r>
          </w:p>
        </w:tc>
        <w:tc>
          <w:tcPr>
            <w:tcW w:w="818" w:type="dxa"/>
            <w:gridSpan w:val="2"/>
            <w:hideMark/>
          </w:tcPr>
          <w:p w14:paraId="6160F6D6" w14:textId="7E5DD72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2,100</w:t>
            </w:r>
          </w:p>
        </w:tc>
      </w:tr>
      <w:tr w:rsidR="004D73D3" w:rsidRPr="0048716F" w14:paraId="6374F51F" w14:textId="77777777" w:rsidTr="00597AD8">
        <w:trPr>
          <w:trHeight w:val="864"/>
        </w:trPr>
        <w:tc>
          <w:tcPr>
            <w:tcW w:w="3885" w:type="dxa"/>
            <w:hideMark/>
          </w:tcPr>
          <w:p w14:paraId="3B409D5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2.3.6. Vijimësia dhe mbulimi financiar i shpenzimeve për orteza, proteza, karrige me rrota dhe mjete të tjera ndihmëse deri në momentin e rregullimit të kuadrit ligjor në pikën 2.3.2.</w:t>
            </w:r>
          </w:p>
        </w:tc>
        <w:tc>
          <w:tcPr>
            <w:tcW w:w="1080" w:type="dxa"/>
            <w:noWrap/>
            <w:vAlign w:val="bottom"/>
            <w:hideMark/>
          </w:tcPr>
          <w:p w14:paraId="38E1587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noWrap/>
            <w:vAlign w:val="bottom"/>
            <w:hideMark/>
          </w:tcPr>
          <w:p w14:paraId="380CA89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noWrap/>
            <w:vAlign w:val="center"/>
            <w:hideMark/>
          </w:tcPr>
          <w:p w14:paraId="58ACD2B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noWrap/>
            <w:vAlign w:val="center"/>
            <w:hideMark/>
          </w:tcPr>
          <w:p w14:paraId="791CAE3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SHSSH</w:t>
            </w:r>
          </w:p>
        </w:tc>
        <w:tc>
          <w:tcPr>
            <w:tcW w:w="1110" w:type="dxa"/>
            <w:gridSpan w:val="2"/>
            <w:hideMark/>
          </w:tcPr>
          <w:p w14:paraId="5C5457DC" w14:textId="51D4F5B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ABB71B5" w14:textId="20FE264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405FDF9" w14:textId="4447FF2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24ED35C4" w14:textId="1AC03EF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3B3460DE" w14:textId="28793B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F7F60AA" w14:textId="77777777" w:rsidTr="00597AD8">
        <w:trPr>
          <w:trHeight w:val="1428"/>
        </w:trPr>
        <w:tc>
          <w:tcPr>
            <w:tcW w:w="3885" w:type="dxa"/>
            <w:shd w:val="clear" w:color="000000" w:fill="FDE9D9"/>
            <w:hideMark/>
          </w:tcPr>
          <w:p w14:paraId="18EC834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3:Përmirësimi i cilësisë së shërbimeve përmes forcimit të burimeve njerëzore, aksesueshmërisë dhe mekanizmave të monitorimit dhe llogaridhënies</w:t>
            </w:r>
          </w:p>
        </w:tc>
        <w:tc>
          <w:tcPr>
            <w:tcW w:w="1080" w:type="dxa"/>
            <w:shd w:val="clear" w:color="000000" w:fill="FDE9D9"/>
            <w:hideMark/>
          </w:tcPr>
          <w:p w14:paraId="4473F1A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2F0BB2B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6ED3349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MSHMS/OSHKSH</w:t>
            </w:r>
          </w:p>
        </w:tc>
        <w:tc>
          <w:tcPr>
            <w:tcW w:w="1521" w:type="dxa"/>
            <w:gridSpan w:val="2"/>
            <w:shd w:val="clear" w:color="000000" w:fill="FDE9D9"/>
            <w:vAlign w:val="center"/>
            <w:hideMark/>
          </w:tcPr>
          <w:p w14:paraId="3796AF6C"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 Instituti i Shëndetit Publik (ISHP)/ASCK Bashkëpunues: Urdhri i Mjekut, Urdhri i Infermierit, Universiteti i Mjekësisë</w:t>
            </w:r>
          </w:p>
        </w:tc>
        <w:tc>
          <w:tcPr>
            <w:tcW w:w="1110" w:type="dxa"/>
            <w:gridSpan w:val="2"/>
            <w:shd w:val="clear" w:color="000000" w:fill="FDE9D9"/>
            <w:hideMark/>
          </w:tcPr>
          <w:p w14:paraId="2AD49F39" w14:textId="7C2CF35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2,400</w:t>
            </w:r>
          </w:p>
        </w:tc>
        <w:tc>
          <w:tcPr>
            <w:tcW w:w="1110" w:type="dxa"/>
            <w:gridSpan w:val="3"/>
            <w:shd w:val="clear" w:color="000000" w:fill="FDE9D9"/>
            <w:hideMark/>
          </w:tcPr>
          <w:p w14:paraId="39ED1125" w14:textId="5A394AB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6,041</w:t>
            </w:r>
          </w:p>
        </w:tc>
        <w:tc>
          <w:tcPr>
            <w:tcW w:w="1110" w:type="dxa"/>
            <w:gridSpan w:val="2"/>
            <w:shd w:val="clear" w:color="000000" w:fill="FDE9D9"/>
            <w:hideMark/>
          </w:tcPr>
          <w:p w14:paraId="56B77E33" w14:textId="53CE667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6,041</w:t>
            </w:r>
          </w:p>
        </w:tc>
        <w:tc>
          <w:tcPr>
            <w:tcW w:w="1110" w:type="dxa"/>
            <w:shd w:val="clear" w:color="000000" w:fill="FDE9D9"/>
            <w:hideMark/>
          </w:tcPr>
          <w:p w14:paraId="5871487C" w14:textId="5B5D56F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10,491</w:t>
            </w:r>
          </w:p>
        </w:tc>
        <w:tc>
          <w:tcPr>
            <w:tcW w:w="818" w:type="dxa"/>
            <w:gridSpan w:val="2"/>
            <w:shd w:val="clear" w:color="000000" w:fill="FDE9D9"/>
            <w:hideMark/>
          </w:tcPr>
          <w:p w14:paraId="0CF6B4B6" w14:textId="57F36AA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10,491</w:t>
            </w:r>
          </w:p>
        </w:tc>
      </w:tr>
      <w:tr w:rsidR="004D73D3" w:rsidRPr="0048716F" w14:paraId="48A50C2C" w14:textId="77777777" w:rsidTr="00597AD8">
        <w:trPr>
          <w:trHeight w:val="2592"/>
        </w:trPr>
        <w:tc>
          <w:tcPr>
            <w:tcW w:w="3885" w:type="dxa"/>
            <w:shd w:val="clear" w:color="000000" w:fill="C5D9F1"/>
            <w:hideMark/>
          </w:tcPr>
          <w:p w14:paraId="04AC3C9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 3.1.Edukimi dhe forcimi i kapaciteteve të personelit shëndetësor</w:t>
            </w:r>
          </w:p>
        </w:tc>
        <w:tc>
          <w:tcPr>
            <w:tcW w:w="1080" w:type="dxa"/>
            <w:shd w:val="clear" w:color="000000" w:fill="C5D9F1"/>
            <w:noWrap/>
            <w:vAlign w:val="center"/>
            <w:hideMark/>
          </w:tcPr>
          <w:p w14:paraId="5E9D36C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vAlign w:val="center"/>
            <w:hideMark/>
          </w:tcPr>
          <w:p w14:paraId="504C87C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vAlign w:val="center"/>
            <w:hideMark/>
          </w:tcPr>
          <w:p w14:paraId="2300C7D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MSHMS/OSHKSH</w:t>
            </w:r>
          </w:p>
        </w:tc>
        <w:tc>
          <w:tcPr>
            <w:tcW w:w="1521" w:type="dxa"/>
            <w:gridSpan w:val="2"/>
            <w:shd w:val="clear" w:color="000000" w:fill="C5D9F1"/>
            <w:vAlign w:val="center"/>
            <w:hideMark/>
          </w:tcPr>
          <w:p w14:paraId="6FFE421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 Instituti i Shëndetit Publik (ISHP)/ASCK Bashkëpunues: Urdhri i Mjekut, Urdhri i Infermierit, Universiteti i Mjekësisë</w:t>
            </w:r>
          </w:p>
        </w:tc>
        <w:tc>
          <w:tcPr>
            <w:tcW w:w="1110" w:type="dxa"/>
            <w:gridSpan w:val="2"/>
            <w:shd w:val="clear" w:color="000000" w:fill="C5D9F1"/>
            <w:noWrap/>
            <w:vAlign w:val="bottom"/>
            <w:hideMark/>
          </w:tcPr>
          <w:p w14:paraId="083A49CB" w14:textId="6C6F75D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2,400</w:t>
            </w:r>
          </w:p>
        </w:tc>
        <w:tc>
          <w:tcPr>
            <w:tcW w:w="1110" w:type="dxa"/>
            <w:gridSpan w:val="3"/>
            <w:shd w:val="clear" w:color="000000" w:fill="C5D9F1"/>
            <w:noWrap/>
            <w:vAlign w:val="bottom"/>
            <w:hideMark/>
          </w:tcPr>
          <w:p w14:paraId="3F2DB7B4" w14:textId="689FFE8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1,541</w:t>
            </w:r>
          </w:p>
        </w:tc>
        <w:tc>
          <w:tcPr>
            <w:tcW w:w="1110" w:type="dxa"/>
            <w:gridSpan w:val="2"/>
            <w:shd w:val="clear" w:color="000000" w:fill="C5D9F1"/>
            <w:noWrap/>
            <w:vAlign w:val="bottom"/>
            <w:hideMark/>
          </w:tcPr>
          <w:p w14:paraId="57ED4EC1" w14:textId="308CC05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1,541</w:t>
            </w:r>
          </w:p>
        </w:tc>
        <w:tc>
          <w:tcPr>
            <w:tcW w:w="1110" w:type="dxa"/>
            <w:shd w:val="clear" w:color="000000" w:fill="C5D9F1"/>
            <w:noWrap/>
            <w:vAlign w:val="bottom"/>
            <w:hideMark/>
          </w:tcPr>
          <w:p w14:paraId="45F31E33" w14:textId="739F2CF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1,541</w:t>
            </w:r>
          </w:p>
        </w:tc>
        <w:tc>
          <w:tcPr>
            <w:tcW w:w="818" w:type="dxa"/>
            <w:gridSpan w:val="2"/>
            <w:shd w:val="clear" w:color="000000" w:fill="C5D9F1"/>
            <w:noWrap/>
            <w:vAlign w:val="bottom"/>
            <w:hideMark/>
          </w:tcPr>
          <w:p w14:paraId="1ADA6D6F" w14:textId="1DC9AD9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1,541</w:t>
            </w:r>
          </w:p>
        </w:tc>
      </w:tr>
      <w:tr w:rsidR="004D73D3" w:rsidRPr="0048716F" w14:paraId="724B2825" w14:textId="77777777" w:rsidTr="00597AD8">
        <w:trPr>
          <w:trHeight w:val="2304"/>
        </w:trPr>
        <w:tc>
          <w:tcPr>
            <w:tcW w:w="3885" w:type="dxa"/>
            <w:hideMark/>
          </w:tcPr>
          <w:p w14:paraId="7ED0CD7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3.1.1 . Zhvillimi dhe zbatimi i programeve të trajnimit të vazhdueshëm për personelin shëndetësor mbi qasjen e bazuar në të drejtat e njeriut, CRPD-në dhe komunikimin e aksesueshëm me personat me aftësi të kufizuara.</w:t>
            </w:r>
          </w:p>
        </w:tc>
        <w:tc>
          <w:tcPr>
            <w:tcW w:w="1080" w:type="dxa"/>
            <w:hideMark/>
          </w:tcPr>
          <w:p w14:paraId="2B6689F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hideMark/>
          </w:tcPr>
          <w:p w14:paraId="17C7DD2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hideMark/>
          </w:tcPr>
          <w:p w14:paraId="697C679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hideMark/>
          </w:tcPr>
          <w:p w14:paraId="649E7201"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Instituti i Shëndetit Publik (ISHP)/</w:t>
            </w:r>
            <w:r w:rsidRPr="0048716F">
              <w:rPr>
                <w:rFonts w:eastAsia="Times New Roman"/>
                <w:color w:val="000000"/>
                <w:sz w:val="18"/>
                <w:szCs w:val="18"/>
                <w:lang w:eastAsia="en-US"/>
              </w:rPr>
              <w:br/>
              <w:t>ASCK</w:t>
            </w:r>
            <w:r w:rsidRPr="0048716F">
              <w:rPr>
                <w:rFonts w:eastAsia="Times New Roman"/>
                <w:color w:val="000000"/>
                <w:sz w:val="18"/>
                <w:szCs w:val="18"/>
                <w:lang w:eastAsia="en-US"/>
              </w:rPr>
              <w:br/>
              <w:t>Bashkëpunues:</w:t>
            </w:r>
            <w:r w:rsidRPr="0048716F">
              <w:rPr>
                <w:rFonts w:eastAsia="Times New Roman"/>
                <w:color w:val="000000"/>
                <w:sz w:val="18"/>
                <w:szCs w:val="18"/>
                <w:lang w:eastAsia="en-US"/>
              </w:rPr>
              <w:br/>
              <w:t>Urdhri i Mjekut</w:t>
            </w:r>
            <w:r w:rsidRPr="0048716F">
              <w:rPr>
                <w:rFonts w:eastAsia="Times New Roman"/>
                <w:color w:val="000000"/>
                <w:sz w:val="18"/>
                <w:szCs w:val="18"/>
                <w:lang w:eastAsia="en-US"/>
              </w:rPr>
              <w:br/>
              <w:t>Urdhri i Infermierit</w:t>
            </w:r>
            <w:r w:rsidRPr="0048716F">
              <w:rPr>
                <w:rFonts w:eastAsia="Times New Roman"/>
                <w:color w:val="000000"/>
                <w:sz w:val="18"/>
                <w:szCs w:val="18"/>
                <w:lang w:eastAsia="en-US"/>
              </w:rPr>
              <w:br/>
              <w:t>Universiteti i Mjekësisë</w:t>
            </w:r>
          </w:p>
        </w:tc>
        <w:tc>
          <w:tcPr>
            <w:tcW w:w="1110" w:type="dxa"/>
            <w:gridSpan w:val="2"/>
            <w:hideMark/>
          </w:tcPr>
          <w:p w14:paraId="2D887704" w14:textId="055287F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2,400</w:t>
            </w:r>
          </w:p>
        </w:tc>
        <w:tc>
          <w:tcPr>
            <w:tcW w:w="1110" w:type="dxa"/>
            <w:gridSpan w:val="3"/>
            <w:hideMark/>
          </w:tcPr>
          <w:p w14:paraId="674AA872" w14:textId="410D6CE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1,541</w:t>
            </w:r>
          </w:p>
        </w:tc>
        <w:tc>
          <w:tcPr>
            <w:tcW w:w="1110" w:type="dxa"/>
            <w:gridSpan w:val="2"/>
            <w:hideMark/>
          </w:tcPr>
          <w:p w14:paraId="362D0F02" w14:textId="275DD2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1,541</w:t>
            </w:r>
          </w:p>
        </w:tc>
        <w:tc>
          <w:tcPr>
            <w:tcW w:w="1110" w:type="dxa"/>
            <w:hideMark/>
          </w:tcPr>
          <w:p w14:paraId="79A58149" w14:textId="255C5FB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1,541</w:t>
            </w:r>
          </w:p>
        </w:tc>
        <w:tc>
          <w:tcPr>
            <w:tcW w:w="818" w:type="dxa"/>
            <w:gridSpan w:val="2"/>
            <w:hideMark/>
          </w:tcPr>
          <w:p w14:paraId="5D5DCB3F" w14:textId="7C32CB1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1,541</w:t>
            </w:r>
          </w:p>
        </w:tc>
      </w:tr>
      <w:tr w:rsidR="004D73D3" w:rsidRPr="0048716F" w14:paraId="12C9B76B" w14:textId="77777777" w:rsidTr="00597AD8">
        <w:trPr>
          <w:trHeight w:val="576"/>
        </w:trPr>
        <w:tc>
          <w:tcPr>
            <w:tcW w:w="3885" w:type="dxa"/>
            <w:shd w:val="clear" w:color="000000" w:fill="C5D9F1"/>
            <w:hideMark/>
          </w:tcPr>
          <w:p w14:paraId="485001B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3.2: Akses i barabartë në mjedise dhe informacion shëndetësor për të gjitha kategoritë e personave me aftësi të kufizuar</w:t>
            </w:r>
          </w:p>
        </w:tc>
        <w:tc>
          <w:tcPr>
            <w:tcW w:w="1080" w:type="dxa"/>
            <w:shd w:val="clear" w:color="000000" w:fill="C5D9F1"/>
            <w:noWrap/>
            <w:vAlign w:val="center"/>
            <w:hideMark/>
          </w:tcPr>
          <w:p w14:paraId="405F718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shd w:val="clear" w:color="000000" w:fill="C5D9F1"/>
            <w:noWrap/>
            <w:vAlign w:val="center"/>
            <w:hideMark/>
          </w:tcPr>
          <w:p w14:paraId="2892EE8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noWrap/>
            <w:vAlign w:val="center"/>
            <w:hideMark/>
          </w:tcPr>
          <w:p w14:paraId="27D6A55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OSHKSH</w:t>
            </w:r>
          </w:p>
        </w:tc>
        <w:tc>
          <w:tcPr>
            <w:tcW w:w="1521" w:type="dxa"/>
            <w:gridSpan w:val="2"/>
            <w:shd w:val="clear" w:color="000000" w:fill="C5D9F1"/>
            <w:noWrap/>
            <w:vAlign w:val="center"/>
            <w:hideMark/>
          </w:tcPr>
          <w:p w14:paraId="7092AA3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110" w:type="dxa"/>
            <w:gridSpan w:val="2"/>
            <w:shd w:val="clear" w:color="000000" w:fill="C5D9F1"/>
            <w:noWrap/>
            <w:vAlign w:val="bottom"/>
            <w:hideMark/>
          </w:tcPr>
          <w:p w14:paraId="4598DA1F" w14:textId="5EBBB39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C5D9F1"/>
            <w:noWrap/>
            <w:vAlign w:val="bottom"/>
            <w:hideMark/>
          </w:tcPr>
          <w:p w14:paraId="13F49E86" w14:textId="3A7714D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4,500</w:t>
            </w:r>
          </w:p>
        </w:tc>
        <w:tc>
          <w:tcPr>
            <w:tcW w:w="1110" w:type="dxa"/>
            <w:gridSpan w:val="2"/>
            <w:shd w:val="clear" w:color="000000" w:fill="C5D9F1"/>
            <w:noWrap/>
            <w:vAlign w:val="bottom"/>
            <w:hideMark/>
          </w:tcPr>
          <w:p w14:paraId="2A722431" w14:textId="40F81C2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4,500</w:t>
            </w:r>
          </w:p>
        </w:tc>
        <w:tc>
          <w:tcPr>
            <w:tcW w:w="1110" w:type="dxa"/>
            <w:shd w:val="clear" w:color="000000" w:fill="C5D9F1"/>
            <w:noWrap/>
            <w:vAlign w:val="bottom"/>
            <w:hideMark/>
          </w:tcPr>
          <w:p w14:paraId="77E33766" w14:textId="2C5E423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8,950</w:t>
            </w:r>
          </w:p>
        </w:tc>
        <w:tc>
          <w:tcPr>
            <w:tcW w:w="818" w:type="dxa"/>
            <w:gridSpan w:val="2"/>
            <w:shd w:val="clear" w:color="000000" w:fill="C5D9F1"/>
            <w:noWrap/>
            <w:vAlign w:val="bottom"/>
            <w:hideMark/>
          </w:tcPr>
          <w:p w14:paraId="62D14ED2" w14:textId="4CB9AD2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8,950</w:t>
            </w:r>
          </w:p>
        </w:tc>
      </w:tr>
      <w:tr w:rsidR="004D73D3" w:rsidRPr="0048716F" w14:paraId="1C2F1000" w14:textId="77777777" w:rsidTr="00597AD8">
        <w:trPr>
          <w:trHeight w:val="1152"/>
        </w:trPr>
        <w:tc>
          <w:tcPr>
            <w:tcW w:w="3885" w:type="dxa"/>
            <w:hideMark/>
          </w:tcPr>
          <w:p w14:paraId="5F8E314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3.2.1 . Përgatitja e programeve të promovimit të shëndetit dhe parandalimit të sëmundjeve,  të aksesueshme dhe të përshtatura për personat me aftësi të kufizuara (informacion në format të aksesueshëm, komunikim alternativ, materiale të lexueshme lehtë, gjuhë e thjeshtuar, gjuhë shenjash).</w:t>
            </w:r>
          </w:p>
        </w:tc>
        <w:tc>
          <w:tcPr>
            <w:tcW w:w="1080" w:type="dxa"/>
            <w:hideMark/>
          </w:tcPr>
          <w:p w14:paraId="6D054D7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7F7A359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0E6777E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OSHKSH</w:t>
            </w:r>
          </w:p>
        </w:tc>
        <w:tc>
          <w:tcPr>
            <w:tcW w:w="1521" w:type="dxa"/>
            <w:gridSpan w:val="2"/>
            <w:vAlign w:val="center"/>
            <w:hideMark/>
          </w:tcPr>
          <w:p w14:paraId="3270288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13D042DA" w14:textId="2231FE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7A15D51" w14:textId="796ED49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485C823" w14:textId="7C65399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5B5BCD24" w14:textId="4A4B2E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2,200</w:t>
            </w:r>
          </w:p>
        </w:tc>
        <w:tc>
          <w:tcPr>
            <w:tcW w:w="818" w:type="dxa"/>
            <w:gridSpan w:val="2"/>
            <w:hideMark/>
          </w:tcPr>
          <w:p w14:paraId="6BD9C387" w14:textId="7F9F488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2,200</w:t>
            </w:r>
          </w:p>
        </w:tc>
      </w:tr>
      <w:tr w:rsidR="004D73D3" w:rsidRPr="0048716F" w14:paraId="2E8984F2" w14:textId="77777777" w:rsidTr="00597AD8">
        <w:trPr>
          <w:trHeight w:val="1440"/>
        </w:trPr>
        <w:tc>
          <w:tcPr>
            <w:tcW w:w="3885" w:type="dxa"/>
            <w:hideMark/>
          </w:tcPr>
          <w:p w14:paraId="5485908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3.2.2 Përshtatja graduale e infrastrukturës fizike të institucioneve shëndetësore në të gjitha nivelet, për të garantuar akses të plotë për personat me aftësi të kufizuara, bazuar në kuadrin ligjor të vendit dhe standartet ndërkombëtare.</w:t>
            </w:r>
          </w:p>
        </w:tc>
        <w:tc>
          <w:tcPr>
            <w:tcW w:w="1080" w:type="dxa"/>
            <w:hideMark/>
          </w:tcPr>
          <w:p w14:paraId="2305DA7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260" w:type="dxa"/>
            <w:hideMark/>
          </w:tcPr>
          <w:p w14:paraId="329BD2A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1EECA04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OSHKSH</w:t>
            </w:r>
          </w:p>
        </w:tc>
        <w:tc>
          <w:tcPr>
            <w:tcW w:w="1521" w:type="dxa"/>
            <w:gridSpan w:val="2"/>
            <w:vAlign w:val="center"/>
            <w:hideMark/>
          </w:tcPr>
          <w:p w14:paraId="76CD1D8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35F1BEAC" w14:textId="064589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62C9A0A" w14:textId="529C620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481E2509" w14:textId="541A50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477F94F9" w14:textId="1B44A20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2,250</w:t>
            </w:r>
          </w:p>
        </w:tc>
        <w:tc>
          <w:tcPr>
            <w:tcW w:w="818" w:type="dxa"/>
            <w:gridSpan w:val="2"/>
            <w:hideMark/>
          </w:tcPr>
          <w:p w14:paraId="0482F1F9" w14:textId="7130E8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2,250</w:t>
            </w:r>
          </w:p>
        </w:tc>
      </w:tr>
      <w:tr w:rsidR="004D73D3" w:rsidRPr="0048716F" w14:paraId="641FA5ED" w14:textId="77777777" w:rsidTr="00597AD8">
        <w:trPr>
          <w:trHeight w:val="1452"/>
        </w:trPr>
        <w:tc>
          <w:tcPr>
            <w:tcW w:w="3885" w:type="dxa"/>
            <w:hideMark/>
          </w:tcPr>
          <w:p w14:paraId="6CBE073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lastRenderedPageBreak/>
              <w:t>3.3.3. Përgatitja e informacionit shëndetësor në formate të aksesueshme për të gjitha kategoritë e aftësisë së kufizuar në të gjithë nivelet e ofrimit të shërbimit shëndetësor, në përputhje me juadrin ligjor vendas dhe standartet ndërkombëtare (audio, video, braille, lehtësisht të lexueshme, gjuha e shenjave)</w:t>
            </w:r>
          </w:p>
        </w:tc>
        <w:tc>
          <w:tcPr>
            <w:tcW w:w="1080" w:type="dxa"/>
            <w:hideMark/>
          </w:tcPr>
          <w:p w14:paraId="51269D0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2027</w:t>
            </w:r>
          </w:p>
        </w:tc>
        <w:tc>
          <w:tcPr>
            <w:tcW w:w="1260" w:type="dxa"/>
            <w:hideMark/>
          </w:tcPr>
          <w:p w14:paraId="5162A7E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vAlign w:val="center"/>
            <w:hideMark/>
          </w:tcPr>
          <w:p w14:paraId="50D00FA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OSHKSH</w:t>
            </w:r>
          </w:p>
        </w:tc>
        <w:tc>
          <w:tcPr>
            <w:tcW w:w="1521" w:type="dxa"/>
            <w:gridSpan w:val="2"/>
            <w:vAlign w:val="center"/>
            <w:hideMark/>
          </w:tcPr>
          <w:p w14:paraId="58F53F2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53839713" w14:textId="259EF2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A4795AE" w14:textId="31310D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4,500</w:t>
            </w:r>
          </w:p>
        </w:tc>
        <w:tc>
          <w:tcPr>
            <w:tcW w:w="1110" w:type="dxa"/>
            <w:gridSpan w:val="2"/>
            <w:hideMark/>
          </w:tcPr>
          <w:p w14:paraId="274635FD" w14:textId="1913B6B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4,500</w:t>
            </w:r>
          </w:p>
        </w:tc>
        <w:tc>
          <w:tcPr>
            <w:tcW w:w="1110" w:type="dxa"/>
            <w:hideMark/>
          </w:tcPr>
          <w:p w14:paraId="4B91F577" w14:textId="0739623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4,500</w:t>
            </w:r>
          </w:p>
        </w:tc>
        <w:tc>
          <w:tcPr>
            <w:tcW w:w="818" w:type="dxa"/>
            <w:gridSpan w:val="2"/>
            <w:hideMark/>
          </w:tcPr>
          <w:p w14:paraId="3982A5CE" w14:textId="5B545E9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4,500</w:t>
            </w:r>
          </w:p>
        </w:tc>
      </w:tr>
      <w:tr w:rsidR="004D73D3" w:rsidRPr="0048716F" w14:paraId="22AFD5DD" w14:textId="77777777" w:rsidTr="00597AD8">
        <w:trPr>
          <w:trHeight w:val="324"/>
        </w:trPr>
        <w:tc>
          <w:tcPr>
            <w:tcW w:w="3885" w:type="dxa"/>
            <w:shd w:val="clear" w:color="000000" w:fill="F276AB"/>
            <w:vAlign w:val="center"/>
            <w:hideMark/>
          </w:tcPr>
          <w:p w14:paraId="2D2D69FD"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VII. PERFSHIRJA NE JETEN PUBLIKE DHE POLITIKE</w:t>
            </w:r>
          </w:p>
        </w:tc>
        <w:tc>
          <w:tcPr>
            <w:tcW w:w="1080" w:type="dxa"/>
            <w:shd w:val="clear" w:color="000000" w:fill="F276AB"/>
            <w:vAlign w:val="center"/>
            <w:hideMark/>
          </w:tcPr>
          <w:p w14:paraId="4247D02C" w14:textId="4EBEE296"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580A09D7" w14:textId="0C0772C1"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14285F7D" w14:textId="14CA1CEC"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6BE404D7" w14:textId="28C4562A"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259AA26B" w14:textId="63FB37DC"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2,077</w:t>
            </w:r>
          </w:p>
        </w:tc>
        <w:tc>
          <w:tcPr>
            <w:tcW w:w="1110" w:type="dxa"/>
            <w:gridSpan w:val="3"/>
            <w:shd w:val="clear" w:color="000000" w:fill="F276AB"/>
            <w:vAlign w:val="center"/>
            <w:hideMark/>
          </w:tcPr>
          <w:p w14:paraId="3855B585" w14:textId="4E2327A9"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6,961</w:t>
            </w:r>
          </w:p>
        </w:tc>
        <w:tc>
          <w:tcPr>
            <w:tcW w:w="1110" w:type="dxa"/>
            <w:gridSpan w:val="2"/>
            <w:shd w:val="clear" w:color="000000" w:fill="F276AB"/>
            <w:vAlign w:val="center"/>
            <w:hideMark/>
          </w:tcPr>
          <w:p w14:paraId="4B217034" w14:textId="07C4D5F5"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4,580</w:t>
            </w:r>
          </w:p>
        </w:tc>
        <w:tc>
          <w:tcPr>
            <w:tcW w:w="1110" w:type="dxa"/>
            <w:shd w:val="clear" w:color="000000" w:fill="F276AB"/>
            <w:vAlign w:val="center"/>
            <w:hideMark/>
          </w:tcPr>
          <w:p w14:paraId="5CDA6044" w14:textId="27B7BE10"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4,288</w:t>
            </w:r>
          </w:p>
        </w:tc>
        <w:tc>
          <w:tcPr>
            <w:tcW w:w="818" w:type="dxa"/>
            <w:gridSpan w:val="2"/>
            <w:shd w:val="clear" w:color="000000" w:fill="F276AB"/>
            <w:vAlign w:val="center"/>
            <w:hideMark/>
          </w:tcPr>
          <w:p w14:paraId="40AC07B1" w14:textId="4B156F08"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3,788</w:t>
            </w:r>
          </w:p>
        </w:tc>
      </w:tr>
      <w:tr w:rsidR="004D73D3" w:rsidRPr="0048716F" w14:paraId="63E40573" w14:textId="77777777" w:rsidTr="00597AD8">
        <w:trPr>
          <w:trHeight w:val="804"/>
        </w:trPr>
        <w:tc>
          <w:tcPr>
            <w:tcW w:w="3885" w:type="dxa"/>
            <w:shd w:val="clear" w:color="000000" w:fill="FDE9D9"/>
            <w:hideMark/>
          </w:tcPr>
          <w:p w14:paraId="4EAC3A7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1. Rritja e numrit të personave me aftësi të kufizuara në procesin e votimit, dhënia e mundësisë për të mbrojtur interesat e tyre dhe për të marrë pjesë në vendimmarrje</w:t>
            </w:r>
          </w:p>
        </w:tc>
        <w:tc>
          <w:tcPr>
            <w:tcW w:w="1080" w:type="dxa"/>
            <w:shd w:val="clear" w:color="000000" w:fill="FDE9D9"/>
            <w:hideMark/>
          </w:tcPr>
          <w:p w14:paraId="404C473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4953F9B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359FD64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MSHMS/KQZ</w:t>
            </w:r>
          </w:p>
        </w:tc>
        <w:tc>
          <w:tcPr>
            <w:tcW w:w="1521" w:type="dxa"/>
            <w:gridSpan w:val="2"/>
            <w:shd w:val="clear" w:color="000000" w:fill="FDE9D9"/>
            <w:vAlign w:val="center"/>
            <w:hideMark/>
          </w:tcPr>
          <w:p w14:paraId="4FECDBE7"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KQZ/ bashkite / OJF</w:t>
            </w:r>
          </w:p>
        </w:tc>
        <w:tc>
          <w:tcPr>
            <w:tcW w:w="1110" w:type="dxa"/>
            <w:gridSpan w:val="2"/>
            <w:shd w:val="clear" w:color="000000" w:fill="FDE9D9"/>
            <w:hideMark/>
          </w:tcPr>
          <w:p w14:paraId="4CBD12E5" w14:textId="1B2F46F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2,077</w:t>
            </w:r>
          </w:p>
        </w:tc>
        <w:tc>
          <w:tcPr>
            <w:tcW w:w="1110" w:type="dxa"/>
            <w:gridSpan w:val="3"/>
            <w:shd w:val="clear" w:color="000000" w:fill="FDE9D9"/>
            <w:hideMark/>
          </w:tcPr>
          <w:p w14:paraId="0C8ABD33" w14:textId="377894B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3,503</w:t>
            </w:r>
          </w:p>
        </w:tc>
        <w:tc>
          <w:tcPr>
            <w:tcW w:w="1110" w:type="dxa"/>
            <w:gridSpan w:val="2"/>
            <w:shd w:val="clear" w:color="000000" w:fill="FDE9D9"/>
            <w:hideMark/>
          </w:tcPr>
          <w:p w14:paraId="4189177B" w14:textId="0381B47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766</w:t>
            </w:r>
          </w:p>
        </w:tc>
        <w:tc>
          <w:tcPr>
            <w:tcW w:w="1110" w:type="dxa"/>
            <w:shd w:val="clear" w:color="000000" w:fill="FDE9D9"/>
            <w:hideMark/>
          </w:tcPr>
          <w:p w14:paraId="4356AE3D" w14:textId="74B85A4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966</w:t>
            </w:r>
          </w:p>
        </w:tc>
        <w:tc>
          <w:tcPr>
            <w:tcW w:w="818" w:type="dxa"/>
            <w:gridSpan w:val="2"/>
            <w:shd w:val="clear" w:color="000000" w:fill="FDE9D9"/>
            <w:hideMark/>
          </w:tcPr>
          <w:p w14:paraId="6F672ADB" w14:textId="76CDDF9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466</w:t>
            </w:r>
          </w:p>
        </w:tc>
      </w:tr>
      <w:tr w:rsidR="004D73D3" w:rsidRPr="0048716F" w14:paraId="79AAB31B" w14:textId="77777777" w:rsidTr="00597AD8">
        <w:trPr>
          <w:trHeight w:val="540"/>
        </w:trPr>
        <w:tc>
          <w:tcPr>
            <w:tcW w:w="3885" w:type="dxa"/>
            <w:shd w:val="clear" w:color="000000" w:fill="DCE6F1"/>
            <w:hideMark/>
          </w:tcPr>
          <w:p w14:paraId="3DB1EA3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1.1.  Përmirësime ligjore për të mundësuar pjesëmarrjen në votime të të gjithë votuesve me aftësi të kufizuara.</w:t>
            </w:r>
          </w:p>
        </w:tc>
        <w:tc>
          <w:tcPr>
            <w:tcW w:w="1080" w:type="dxa"/>
            <w:shd w:val="clear" w:color="000000" w:fill="DCE6F1"/>
            <w:hideMark/>
          </w:tcPr>
          <w:p w14:paraId="6D7306D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70DB1FA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2029</w:t>
            </w:r>
          </w:p>
        </w:tc>
        <w:tc>
          <w:tcPr>
            <w:tcW w:w="1411" w:type="dxa"/>
            <w:shd w:val="clear" w:color="000000" w:fill="DCE6F1"/>
            <w:vAlign w:val="center"/>
            <w:hideMark/>
          </w:tcPr>
          <w:p w14:paraId="215B367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KQZ</w:t>
            </w:r>
          </w:p>
        </w:tc>
        <w:tc>
          <w:tcPr>
            <w:tcW w:w="1521" w:type="dxa"/>
            <w:gridSpan w:val="2"/>
            <w:shd w:val="clear" w:color="000000" w:fill="DCE6F1"/>
            <w:vAlign w:val="center"/>
            <w:hideMark/>
          </w:tcPr>
          <w:p w14:paraId="4346695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 bashkite / OJF</w:t>
            </w:r>
          </w:p>
        </w:tc>
        <w:tc>
          <w:tcPr>
            <w:tcW w:w="1110" w:type="dxa"/>
            <w:gridSpan w:val="2"/>
            <w:shd w:val="clear" w:color="000000" w:fill="DCE6F1"/>
            <w:hideMark/>
          </w:tcPr>
          <w:p w14:paraId="7F44528C" w14:textId="7414708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2,077</w:t>
            </w:r>
          </w:p>
        </w:tc>
        <w:tc>
          <w:tcPr>
            <w:tcW w:w="1110" w:type="dxa"/>
            <w:gridSpan w:val="3"/>
            <w:shd w:val="clear" w:color="000000" w:fill="DCE6F1"/>
            <w:hideMark/>
          </w:tcPr>
          <w:p w14:paraId="7B1FAF2E" w14:textId="276020E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3,036</w:t>
            </w:r>
          </w:p>
        </w:tc>
        <w:tc>
          <w:tcPr>
            <w:tcW w:w="1110" w:type="dxa"/>
            <w:gridSpan w:val="2"/>
            <w:shd w:val="clear" w:color="000000" w:fill="DCE6F1"/>
            <w:hideMark/>
          </w:tcPr>
          <w:p w14:paraId="09906E53" w14:textId="1C16266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300</w:t>
            </w:r>
          </w:p>
        </w:tc>
        <w:tc>
          <w:tcPr>
            <w:tcW w:w="1110" w:type="dxa"/>
            <w:shd w:val="clear" w:color="000000" w:fill="DCE6F1"/>
            <w:hideMark/>
          </w:tcPr>
          <w:p w14:paraId="04E52E50" w14:textId="590C644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500</w:t>
            </w:r>
          </w:p>
        </w:tc>
        <w:tc>
          <w:tcPr>
            <w:tcW w:w="818" w:type="dxa"/>
            <w:gridSpan w:val="2"/>
            <w:shd w:val="clear" w:color="000000" w:fill="DCE6F1"/>
            <w:hideMark/>
          </w:tcPr>
          <w:p w14:paraId="672E6377" w14:textId="22AC164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5694DF84" w14:textId="77777777" w:rsidTr="00597AD8">
        <w:trPr>
          <w:trHeight w:val="800"/>
        </w:trPr>
        <w:tc>
          <w:tcPr>
            <w:tcW w:w="3885" w:type="dxa"/>
            <w:hideMark/>
          </w:tcPr>
          <w:p w14:paraId="24A5FBB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1.1.1 Kryerja e ndryshimeve në legjislacion, me qëllim detyrimin e NJQV-ve për të dërguar në KQZ të dhëna për zgjedhësit me AK dhe nevojat që ata kanë për të marrë pjesë në procesin e votimit dhe përmirësimi i Kodit Elektoral dhe procedurave administrative për të siguruar akses në procesin e votimit për personat me aftësi të kufizuara që nuk mund të largohen nga rezidenca e tyre.</w:t>
            </w:r>
          </w:p>
        </w:tc>
        <w:tc>
          <w:tcPr>
            <w:tcW w:w="1080" w:type="dxa"/>
            <w:hideMark/>
          </w:tcPr>
          <w:p w14:paraId="0EB633F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EF50D3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1A09839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KQZ</w:t>
            </w:r>
          </w:p>
        </w:tc>
        <w:tc>
          <w:tcPr>
            <w:tcW w:w="1521" w:type="dxa"/>
            <w:gridSpan w:val="2"/>
            <w:vAlign w:val="center"/>
            <w:hideMark/>
          </w:tcPr>
          <w:p w14:paraId="7A0A657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 bashkite / OJF</w:t>
            </w:r>
          </w:p>
        </w:tc>
        <w:tc>
          <w:tcPr>
            <w:tcW w:w="1110" w:type="dxa"/>
            <w:gridSpan w:val="2"/>
            <w:hideMark/>
          </w:tcPr>
          <w:p w14:paraId="7BE35ABF" w14:textId="7164F0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2,077</w:t>
            </w:r>
          </w:p>
        </w:tc>
        <w:tc>
          <w:tcPr>
            <w:tcW w:w="1110" w:type="dxa"/>
            <w:gridSpan w:val="3"/>
            <w:hideMark/>
          </w:tcPr>
          <w:p w14:paraId="5C1D4D64" w14:textId="4CCE35A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1,373</w:t>
            </w:r>
          </w:p>
        </w:tc>
        <w:tc>
          <w:tcPr>
            <w:tcW w:w="1110" w:type="dxa"/>
            <w:gridSpan w:val="2"/>
            <w:hideMark/>
          </w:tcPr>
          <w:p w14:paraId="6B2EE6D8" w14:textId="0B566F9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hideMark/>
          </w:tcPr>
          <w:p w14:paraId="015ACD6E" w14:textId="12F6803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8" w:type="dxa"/>
            <w:gridSpan w:val="2"/>
            <w:hideMark/>
          </w:tcPr>
          <w:p w14:paraId="1387AA17" w14:textId="6349FD4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0F79699" w14:textId="77777777" w:rsidTr="00597AD8">
        <w:trPr>
          <w:trHeight w:val="792"/>
        </w:trPr>
        <w:tc>
          <w:tcPr>
            <w:tcW w:w="3885" w:type="dxa"/>
            <w:hideMark/>
          </w:tcPr>
          <w:p w14:paraId="284FA1E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1.1.2 Mundësimi i votimit të personave me probleme të zhvillimit intelektual dhe psiko social për të votuar në mënyrë të pavarur nëpërmjet realizimit të përshtatjes së informacionit të thjeshtuar.</w:t>
            </w:r>
          </w:p>
        </w:tc>
        <w:tc>
          <w:tcPr>
            <w:tcW w:w="1080" w:type="dxa"/>
            <w:hideMark/>
          </w:tcPr>
          <w:p w14:paraId="1203267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1DE6526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411" w:type="dxa"/>
            <w:vAlign w:val="center"/>
            <w:hideMark/>
          </w:tcPr>
          <w:p w14:paraId="27F430B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KQZ</w:t>
            </w:r>
          </w:p>
        </w:tc>
        <w:tc>
          <w:tcPr>
            <w:tcW w:w="1521" w:type="dxa"/>
            <w:gridSpan w:val="2"/>
            <w:vAlign w:val="center"/>
            <w:hideMark/>
          </w:tcPr>
          <w:p w14:paraId="5DFD49D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KQZ/ bashkite / OJF</w:t>
            </w:r>
          </w:p>
        </w:tc>
        <w:tc>
          <w:tcPr>
            <w:tcW w:w="1110" w:type="dxa"/>
            <w:gridSpan w:val="2"/>
            <w:hideMark/>
          </w:tcPr>
          <w:p w14:paraId="5905F4B9" w14:textId="1F3CD1C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48A4B93" w14:textId="10F54CB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1,664</w:t>
            </w:r>
          </w:p>
        </w:tc>
        <w:tc>
          <w:tcPr>
            <w:tcW w:w="1110" w:type="dxa"/>
            <w:gridSpan w:val="2"/>
            <w:hideMark/>
          </w:tcPr>
          <w:p w14:paraId="58823598" w14:textId="36CCC01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300</w:t>
            </w:r>
          </w:p>
        </w:tc>
        <w:tc>
          <w:tcPr>
            <w:tcW w:w="1110" w:type="dxa"/>
            <w:hideMark/>
          </w:tcPr>
          <w:p w14:paraId="164EF757" w14:textId="3E7F44F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500</w:t>
            </w:r>
          </w:p>
        </w:tc>
        <w:tc>
          <w:tcPr>
            <w:tcW w:w="818" w:type="dxa"/>
            <w:gridSpan w:val="2"/>
            <w:hideMark/>
          </w:tcPr>
          <w:p w14:paraId="6E738664" w14:textId="1BB1988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5D06B9E" w14:textId="77777777" w:rsidTr="00597AD8">
        <w:trPr>
          <w:trHeight w:val="552"/>
        </w:trPr>
        <w:tc>
          <w:tcPr>
            <w:tcW w:w="3885" w:type="dxa"/>
            <w:shd w:val="clear" w:color="000000" w:fill="B8CCE4"/>
            <w:hideMark/>
          </w:tcPr>
          <w:p w14:paraId="1559578E"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Masa Prioritare 1.2.  Rritje e ndërgjegjësimit për pjesëmarrjen e personave me aftësi të kufizuara në proceset zgjedhore, jo vetëm si votues.</w:t>
            </w:r>
          </w:p>
        </w:tc>
        <w:tc>
          <w:tcPr>
            <w:tcW w:w="1080" w:type="dxa"/>
            <w:shd w:val="clear" w:color="000000" w:fill="B8CCE4"/>
            <w:hideMark/>
          </w:tcPr>
          <w:p w14:paraId="1F80B29D"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260" w:type="dxa"/>
            <w:shd w:val="clear" w:color="000000" w:fill="B8CCE4"/>
            <w:hideMark/>
          </w:tcPr>
          <w:p w14:paraId="2750E43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2030</w:t>
            </w:r>
          </w:p>
        </w:tc>
        <w:tc>
          <w:tcPr>
            <w:tcW w:w="1411" w:type="dxa"/>
            <w:shd w:val="clear" w:color="000000" w:fill="B8CCE4"/>
            <w:vAlign w:val="center"/>
            <w:hideMark/>
          </w:tcPr>
          <w:p w14:paraId="654FC7C7"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KQZ</w:t>
            </w:r>
          </w:p>
        </w:tc>
        <w:tc>
          <w:tcPr>
            <w:tcW w:w="1521" w:type="dxa"/>
            <w:gridSpan w:val="2"/>
            <w:shd w:val="clear" w:color="000000" w:fill="B8CCE4"/>
            <w:vAlign w:val="center"/>
            <w:hideMark/>
          </w:tcPr>
          <w:p w14:paraId="40B0072B"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Bashkite / OJF</w:t>
            </w:r>
          </w:p>
        </w:tc>
        <w:tc>
          <w:tcPr>
            <w:tcW w:w="1110" w:type="dxa"/>
            <w:gridSpan w:val="2"/>
            <w:shd w:val="clear" w:color="000000" w:fill="B8CCE4"/>
            <w:hideMark/>
          </w:tcPr>
          <w:p w14:paraId="3C0FC959" w14:textId="7C6C861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shd w:val="clear" w:color="000000" w:fill="B8CCE4"/>
            <w:hideMark/>
          </w:tcPr>
          <w:p w14:paraId="44AC352C" w14:textId="050ED6A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c>
          <w:tcPr>
            <w:tcW w:w="1110" w:type="dxa"/>
            <w:gridSpan w:val="2"/>
            <w:shd w:val="clear" w:color="000000" w:fill="B8CCE4"/>
            <w:hideMark/>
          </w:tcPr>
          <w:p w14:paraId="1D80AAA9" w14:textId="09E6B01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c>
          <w:tcPr>
            <w:tcW w:w="1110" w:type="dxa"/>
            <w:shd w:val="clear" w:color="000000" w:fill="B8CCE4"/>
            <w:hideMark/>
          </w:tcPr>
          <w:p w14:paraId="6C1FC86B" w14:textId="483FEC4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c>
          <w:tcPr>
            <w:tcW w:w="818" w:type="dxa"/>
            <w:gridSpan w:val="2"/>
            <w:shd w:val="clear" w:color="000000" w:fill="B8CCE4"/>
            <w:hideMark/>
          </w:tcPr>
          <w:p w14:paraId="1A58A576" w14:textId="10B9052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r>
      <w:tr w:rsidR="0048716F" w:rsidRPr="0048716F" w14:paraId="69CDA93B" w14:textId="77777777" w:rsidTr="00597AD8">
        <w:trPr>
          <w:trHeight w:val="792"/>
        </w:trPr>
        <w:tc>
          <w:tcPr>
            <w:tcW w:w="3885" w:type="dxa"/>
            <w:hideMark/>
          </w:tcPr>
          <w:p w14:paraId="37BD7EB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1.2.1 Organizimi i fushatave në bashkëpunim me organizatat e personave me aftësi të kufizuara për rritjen e ndërgjegjësimit dhe promovimin e pjesëmarrjes së tyre në procesin e votimit.</w:t>
            </w:r>
          </w:p>
        </w:tc>
        <w:tc>
          <w:tcPr>
            <w:tcW w:w="1080" w:type="dxa"/>
            <w:hideMark/>
          </w:tcPr>
          <w:p w14:paraId="7BB3F98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42791E0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40" w:type="dxa"/>
            <w:gridSpan w:val="2"/>
            <w:vAlign w:val="center"/>
            <w:hideMark/>
          </w:tcPr>
          <w:p w14:paraId="3B815519"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KQZ</w:t>
            </w:r>
          </w:p>
        </w:tc>
        <w:tc>
          <w:tcPr>
            <w:tcW w:w="1530" w:type="dxa"/>
            <w:gridSpan w:val="2"/>
            <w:vAlign w:val="center"/>
            <w:hideMark/>
          </w:tcPr>
          <w:p w14:paraId="6BAA6B28" w14:textId="77777777" w:rsidR="004D73D3" w:rsidRPr="0048716F" w:rsidRDefault="004D73D3" w:rsidP="00597AD8">
            <w:pPr>
              <w:rPr>
                <w:rFonts w:eastAsia="Times New Roman"/>
                <w:color w:val="000000"/>
                <w:sz w:val="14"/>
                <w:szCs w:val="14"/>
                <w:lang w:val="en-US" w:eastAsia="en-US"/>
              </w:rPr>
            </w:pPr>
            <w:r w:rsidRPr="0048716F">
              <w:rPr>
                <w:rFonts w:eastAsia="Times New Roman"/>
                <w:color w:val="000000"/>
                <w:sz w:val="14"/>
                <w:szCs w:val="14"/>
                <w:lang w:eastAsia="en-US"/>
              </w:rPr>
              <w:t>Bashkite / OJF</w:t>
            </w:r>
          </w:p>
        </w:tc>
        <w:tc>
          <w:tcPr>
            <w:tcW w:w="1080" w:type="dxa"/>
            <w:gridSpan w:val="2"/>
            <w:hideMark/>
          </w:tcPr>
          <w:p w14:paraId="03DDDDE3" w14:textId="26E172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080" w:type="dxa"/>
            <w:hideMark/>
          </w:tcPr>
          <w:p w14:paraId="719606C8" w14:textId="5E6D3A1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c>
          <w:tcPr>
            <w:tcW w:w="1080" w:type="dxa"/>
            <w:gridSpan w:val="2"/>
            <w:hideMark/>
          </w:tcPr>
          <w:p w14:paraId="238F2523" w14:textId="18BD4E6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c>
          <w:tcPr>
            <w:tcW w:w="1170" w:type="dxa"/>
            <w:gridSpan w:val="3"/>
            <w:hideMark/>
          </w:tcPr>
          <w:p w14:paraId="45907A91" w14:textId="76D6032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c>
          <w:tcPr>
            <w:tcW w:w="810" w:type="dxa"/>
            <w:hideMark/>
          </w:tcPr>
          <w:p w14:paraId="52BAF81F" w14:textId="60784A6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466</w:t>
            </w:r>
          </w:p>
        </w:tc>
      </w:tr>
      <w:tr w:rsidR="0048716F" w:rsidRPr="0048716F" w14:paraId="687E56E3" w14:textId="77777777" w:rsidTr="00597AD8">
        <w:trPr>
          <w:trHeight w:val="528"/>
        </w:trPr>
        <w:tc>
          <w:tcPr>
            <w:tcW w:w="3885" w:type="dxa"/>
            <w:hideMark/>
          </w:tcPr>
          <w:p w14:paraId="11E232D3" w14:textId="01CC4D9C"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1.2.2 Ndërtimi i kapaciteteve për personat me aftësi të kufizuara, të cilët dëshirojnë të angazhohen si vëzhgues gjatë zgjedhjeve, pjesë e një organizate.</w:t>
            </w:r>
          </w:p>
        </w:tc>
        <w:tc>
          <w:tcPr>
            <w:tcW w:w="1080" w:type="dxa"/>
            <w:hideMark/>
          </w:tcPr>
          <w:p w14:paraId="2DC47BD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hideMark/>
          </w:tcPr>
          <w:p w14:paraId="65CF502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440" w:type="dxa"/>
            <w:gridSpan w:val="2"/>
            <w:vAlign w:val="center"/>
            <w:hideMark/>
          </w:tcPr>
          <w:p w14:paraId="5D43B83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KQZ</w:t>
            </w:r>
          </w:p>
        </w:tc>
        <w:tc>
          <w:tcPr>
            <w:tcW w:w="1530" w:type="dxa"/>
            <w:gridSpan w:val="2"/>
            <w:vAlign w:val="center"/>
            <w:hideMark/>
          </w:tcPr>
          <w:p w14:paraId="09FF2F70" w14:textId="77777777" w:rsidR="004D73D3" w:rsidRPr="0048716F" w:rsidRDefault="004D73D3" w:rsidP="00597AD8">
            <w:pPr>
              <w:rPr>
                <w:rFonts w:eastAsia="Times New Roman"/>
                <w:color w:val="000000"/>
                <w:sz w:val="14"/>
                <w:szCs w:val="14"/>
                <w:lang w:val="en-US" w:eastAsia="en-US"/>
              </w:rPr>
            </w:pPr>
            <w:r w:rsidRPr="0048716F">
              <w:rPr>
                <w:rFonts w:eastAsia="Times New Roman"/>
                <w:color w:val="000000"/>
                <w:sz w:val="14"/>
                <w:szCs w:val="14"/>
                <w:lang w:eastAsia="en-US"/>
              </w:rPr>
              <w:t>Bashkite / OJF</w:t>
            </w:r>
          </w:p>
        </w:tc>
        <w:tc>
          <w:tcPr>
            <w:tcW w:w="1080" w:type="dxa"/>
            <w:gridSpan w:val="2"/>
            <w:hideMark/>
          </w:tcPr>
          <w:p w14:paraId="1DCB8F2A" w14:textId="015C140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080" w:type="dxa"/>
            <w:hideMark/>
          </w:tcPr>
          <w:p w14:paraId="25400FEE" w14:textId="66E8A0B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080" w:type="dxa"/>
            <w:gridSpan w:val="2"/>
            <w:hideMark/>
          </w:tcPr>
          <w:p w14:paraId="25AFF6DA" w14:textId="7E6E72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70" w:type="dxa"/>
            <w:gridSpan w:val="3"/>
            <w:hideMark/>
          </w:tcPr>
          <w:p w14:paraId="6A9DD76B" w14:textId="14AB36E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445E15FD" w14:textId="65A797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15F4C54" w14:textId="77777777" w:rsidTr="00597AD8">
        <w:trPr>
          <w:trHeight w:val="1056"/>
        </w:trPr>
        <w:tc>
          <w:tcPr>
            <w:tcW w:w="3885" w:type="dxa"/>
            <w:shd w:val="clear" w:color="000000" w:fill="FDE9D9"/>
            <w:hideMark/>
          </w:tcPr>
          <w:p w14:paraId="51D8235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Objektivi specifik 2: Promovimi i punës së artistëve me aftësi të kufizuara dhe përfshirja e personave me aftësi të kufizuara në jetën artistike , për të marrë pjesë në aktivitete dhe evenimente sportive kombëtare dhe ndërkombëtare</w:t>
            </w:r>
          </w:p>
        </w:tc>
        <w:tc>
          <w:tcPr>
            <w:tcW w:w="1080" w:type="dxa"/>
            <w:shd w:val="clear" w:color="000000" w:fill="FDE9D9"/>
            <w:hideMark/>
          </w:tcPr>
          <w:p w14:paraId="6BD0E1D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hideMark/>
          </w:tcPr>
          <w:p w14:paraId="47753DD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77D22C4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MTKS</w:t>
            </w:r>
          </w:p>
        </w:tc>
        <w:tc>
          <w:tcPr>
            <w:tcW w:w="1521" w:type="dxa"/>
            <w:gridSpan w:val="2"/>
            <w:shd w:val="clear" w:color="000000" w:fill="FDE9D9"/>
            <w:vAlign w:val="center"/>
            <w:hideMark/>
          </w:tcPr>
          <w:p w14:paraId="54F8C0E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KKS/INSTAT / OJF/BASHKI</w:t>
            </w:r>
          </w:p>
        </w:tc>
        <w:tc>
          <w:tcPr>
            <w:tcW w:w="1110" w:type="dxa"/>
            <w:gridSpan w:val="2"/>
            <w:shd w:val="clear" w:color="000000" w:fill="FDE9D9"/>
            <w:hideMark/>
          </w:tcPr>
          <w:p w14:paraId="660E6C4F" w14:textId="2D9E92D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FDE9D9"/>
            <w:hideMark/>
          </w:tcPr>
          <w:p w14:paraId="525E0A95" w14:textId="1684B78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3,458</w:t>
            </w:r>
          </w:p>
        </w:tc>
        <w:tc>
          <w:tcPr>
            <w:tcW w:w="1110" w:type="dxa"/>
            <w:gridSpan w:val="2"/>
            <w:shd w:val="clear" w:color="000000" w:fill="FDE9D9"/>
            <w:hideMark/>
          </w:tcPr>
          <w:p w14:paraId="7CC8E7F1" w14:textId="7FB62F5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3,813</w:t>
            </w:r>
          </w:p>
        </w:tc>
        <w:tc>
          <w:tcPr>
            <w:tcW w:w="1118" w:type="dxa"/>
            <w:gridSpan w:val="2"/>
            <w:shd w:val="clear" w:color="000000" w:fill="FDE9D9"/>
            <w:hideMark/>
          </w:tcPr>
          <w:p w14:paraId="42770562" w14:textId="4ACBFA5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3,322</w:t>
            </w:r>
          </w:p>
        </w:tc>
        <w:tc>
          <w:tcPr>
            <w:tcW w:w="810" w:type="dxa"/>
            <w:shd w:val="clear" w:color="000000" w:fill="FDE9D9"/>
            <w:hideMark/>
          </w:tcPr>
          <w:p w14:paraId="6B164B9A" w14:textId="7AE9152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3,322</w:t>
            </w:r>
          </w:p>
        </w:tc>
      </w:tr>
      <w:tr w:rsidR="004D73D3" w:rsidRPr="0048716F" w14:paraId="51E4A1F8" w14:textId="77777777" w:rsidTr="00597AD8">
        <w:trPr>
          <w:trHeight w:val="528"/>
        </w:trPr>
        <w:tc>
          <w:tcPr>
            <w:tcW w:w="3885" w:type="dxa"/>
            <w:shd w:val="clear" w:color="000000" w:fill="DCE6F1"/>
            <w:hideMark/>
          </w:tcPr>
          <w:p w14:paraId="5000163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2.1: Rritje e aksesit për pjesëmarrje te PAK në aktivitete kulturore dhe sportive</w:t>
            </w:r>
          </w:p>
        </w:tc>
        <w:tc>
          <w:tcPr>
            <w:tcW w:w="1080" w:type="dxa"/>
            <w:shd w:val="clear" w:color="000000" w:fill="DCE6F1"/>
            <w:hideMark/>
          </w:tcPr>
          <w:p w14:paraId="2E623FA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hideMark/>
          </w:tcPr>
          <w:p w14:paraId="0A3108E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162EEC2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MTKS</w:t>
            </w:r>
          </w:p>
        </w:tc>
        <w:tc>
          <w:tcPr>
            <w:tcW w:w="1521" w:type="dxa"/>
            <w:gridSpan w:val="2"/>
            <w:shd w:val="clear" w:color="000000" w:fill="DCE6F1"/>
            <w:vAlign w:val="center"/>
            <w:hideMark/>
          </w:tcPr>
          <w:p w14:paraId="21260EB3"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INSTAT / OJF/BASHKI</w:t>
            </w:r>
          </w:p>
        </w:tc>
        <w:tc>
          <w:tcPr>
            <w:tcW w:w="1110" w:type="dxa"/>
            <w:gridSpan w:val="2"/>
            <w:shd w:val="clear" w:color="000000" w:fill="DCE6F1"/>
            <w:hideMark/>
          </w:tcPr>
          <w:p w14:paraId="4C0EB8E7" w14:textId="5AB9F3F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DCE6F1"/>
            <w:hideMark/>
          </w:tcPr>
          <w:p w14:paraId="6BD84185" w14:textId="33D0EE1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236</w:t>
            </w:r>
          </w:p>
        </w:tc>
        <w:tc>
          <w:tcPr>
            <w:tcW w:w="1110" w:type="dxa"/>
            <w:gridSpan w:val="2"/>
            <w:shd w:val="clear" w:color="000000" w:fill="DCE6F1"/>
            <w:hideMark/>
          </w:tcPr>
          <w:p w14:paraId="62566FB8" w14:textId="512D26E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136</w:t>
            </w:r>
          </w:p>
        </w:tc>
        <w:tc>
          <w:tcPr>
            <w:tcW w:w="1118" w:type="dxa"/>
            <w:gridSpan w:val="2"/>
            <w:shd w:val="clear" w:color="000000" w:fill="DCE6F1"/>
            <w:hideMark/>
          </w:tcPr>
          <w:p w14:paraId="2908CEF8" w14:textId="6650025F"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136</w:t>
            </w:r>
          </w:p>
        </w:tc>
        <w:tc>
          <w:tcPr>
            <w:tcW w:w="810" w:type="dxa"/>
            <w:shd w:val="clear" w:color="000000" w:fill="DCE6F1"/>
            <w:hideMark/>
          </w:tcPr>
          <w:p w14:paraId="51F8D3DD" w14:textId="5F300AF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136</w:t>
            </w:r>
          </w:p>
        </w:tc>
      </w:tr>
      <w:tr w:rsidR="004D73D3" w:rsidRPr="0048716F" w14:paraId="1ECD2EED" w14:textId="77777777" w:rsidTr="00597AD8">
        <w:trPr>
          <w:trHeight w:val="1056"/>
        </w:trPr>
        <w:tc>
          <w:tcPr>
            <w:tcW w:w="3885" w:type="dxa"/>
            <w:noWrap/>
            <w:vAlign w:val="center"/>
            <w:hideMark/>
          </w:tcPr>
          <w:p w14:paraId="4B269B6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2.1.1 Nënshkrimi i një marrëveshje bashkëpunimi me organizatat e personave me aftësi të kufizuara, për promovimin e pjesëmarrjes së artistëve me AK në aktivitetet kulturore/artistike dhe sportive, si dhe i aktiviteteve të organizuara nga vet personat me aftësi të kufizuara.</w:t>
            </w:r>
          </w:p>
        </w:tc>
        <w:tc>
          <w:tcPr>
            <w:tcW w:w="1080" w:type="dxa"/>
            <w:vAlign w:val="center"/>
            <w:hideMark/>
          </w:tcPr>
          <w:p w14:paraId="2323D4D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vAlign w:val="center"/>
            <w:hideMark/>
          </w:tcPr>
          <w:p w14:paraId="30A93EEE" w14:textId="5121A123" w:rsidR="004D73D3" w:rsidRPr="0048716F" w:rsidRDefault="004D73D3" w:rsidP="0048716F">
            <w:pPr>
              <w:jc w:val="both"/>
              <w:rPr>
                <w:rFonts w:eastAsia="Times New Roman"/>
                <w:color w:val="000000"/>
                <w:sz w:val="18"/>
                <w:szCs w:val="18"/>
                <w:lang w:val="en-US" w:eastAsia="en-US"/>
              </w:rPr>
            </w:pPr>
          </w:p>
        </w:tc>
        <w:tc>
          <w:tcPr>
            <w:tcW w:w="1411" w:type="dxa"/>
            <w:vAlign w:val="center"/>
            <w:hideMark/>
          </w:tcPr>
          <w:p w14:paraId="67E00FD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vAlign w:val="center"/>
            <w:hideMark/>
          </w:tcPr>
          <w:p w14:paraId="19CCB41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OJF</w:t>
            </w:r>
          </w:p>
        </w:tc>
        <w:tc>
          <w:tcPr>
            <w:tcW w:w="1110" w:type="dxa"/>
            <w:gridSpan w:val="2"/>
            <w:hideMark/>
          </w:tcPr>
          <w:p w14:paraId="5D25183D" w14:textId="4777CF8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731FC61B" w14:textId="5BBA183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100</w:t>
            </w:r>
          </w:p>
        </w:tc>
        <w:tc>
          <w:tcPr>
            <w:tcW w:w="1110" w:type="dxa"/>
            <w:gridSpan w:val="2"/>
            <w:hideMark/>
          </w:tcPr>
          <w:p w14:paraId="24FFF3DE" w14:textId="52E962B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0A3B6172" w14:textId="621354A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23160511" w14:textId="2603F67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CB85C09" w14:textId="77777777" w:rsidTr="00597AD8">
        <w:trPr>
          <w:trHeight w:val="1056"/>
        </w:trPr>
        <w:tc>
          <w:tcPr>
            <w:tcW w:w="3885" w:type="dxa"/>
            <w:vAlign w:val="center"/>
            <w:hideMark/>
          </w:tcPr>
          <w:p w14:paraId="408DF418" w14:textId="22AD2223"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2.1.2 Përmirësimi i sistemit të mbledhjes së të dhënave të MTKS, me qëllim futjen e statistikave për personat me aftësi të kufizuara.</w:t>
            </w:r>
          </w:p>
        </w:tc>
        <w:tc>
          <w:tcPr>
            <w:tcW w:w="1080" w:type="dxa"/>
            <w:vAlign w:val="center"/>
            <w:hideMark/>
          </w:tcPr>
          <w:p w14:paraId="20DA06D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vAlign w:val="center"/>
            <w:hideMark/>
          </w:tcPr>
          <w:p w14:paraId="674498C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4DA5F91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vAlign w:val="center"/>
            <w:hideMark/>
          </w:tcPr>
          <w:p w14:paraId="735299CF"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INSTAT / OJF</w:t>
            </w:r>
          </w:p>
        </w:tc>
        <w:tc>
          <w:tcPr>
            <w:tcW w:w="1110" w:type="dxa"/>
            <w:gridSpan w:val="2"/>
            <w:hideMark/>
          </w:tcPr>
          <w:p w14:paraId="42E396F4" w14:textId="5BAE383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022F91D" w14:textId="6B6946C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1110" w:type="dxa"/>
            <w:gridSpan w:val="2"/>
            <w:hideMark/>
          </w:tcPr>
          <w:p w14:paraId="48BBABA5" w14:textId="15E3ADF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1118" w:type="dxa"/>
            <w:gridSpan w:val="2"/>
            <w:hideMark/>
          </w:tcPr>
          <w:p w14:paraId="62B4B82C" w14:textId="1FC27C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810" w:type="dxa"/>
            <w:hideMark/>
          </w:tcPr>
          <w:p w14:paraId="4A0A6B04" w14:textId="5F0AE4C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r>
      <w:tr w:rsidR="004D73D3" w:rsidRPr="0048716F" w14:paraId="37E01BE4" w14:textId="77777777" w:rsidTr="00597AD8">
        <w:trPr>
          <w:trHeight w:val="528"/>
        </w:trPr>
        <w:tc>
          <w:tcPr>
            <w:tcW w:w="3885" w:type="dxa"/>
            <w:hideMark/>
          </w:tcPr>
          <w:p w14:paraId="17AF881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2.1.3 Rritja e numrit të qendrave që ofrojnë stërvitjte gjithëpërfshirëse</w:t>
            </w:r>
          </w:p>
        </w:tc>
        <w:tc>
          <w:tcPr>
            <w:tcW w:w="1080" w:type="dxa"/>
            <w:noWrap/>
            <w:vAlign w:val="center"/>
            <w:hideMark/>
          </w:tcPr>
          <w:p w14:paraId="44054E8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vAlign w:val="center"/>
            <w:hideMark/>
          </w:tcPr>
          <w:p w14:paraId="1AA3296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007908E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noWrap/>
            <w:vAlign w:val="center"/>
            <w:hideMark/>
          </w:tcPr>
          <w:p w14:paraId="3E57324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110" w:type="dxa"/>
            <w:gridSpan w:val="2"/>
            <w:hideMark/>
          </w:tcPr>
          <w:p w14:paraId="323095A7" w14:textId="7D756FF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CE9EE07" w14:textId="670FEFF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55D4B87" w14:textId="74FDB3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67272A5F" w14:textId="5803531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64915E6B" w14:textId="49C0116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E284908" w14:textId="77777777" w:rsidTr="00597AD8">
        <w:trPr>
          <w:trHeight w:val="288"/>
        </w:trPr>
        <w:tc>
          <w:tcPr>
            <w:tcW w:w="3885" w:type="dxa"/>
            <w:shd w:val="clear" w:color="000000" w:fill="C5D9F1"/>
            <w:hideMark/>
          </w:tcPr>
          <w:p w14:paraId="2B9ADEAF" w14:textId="68679DC9"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prioritare:2.2 Ngritja dhe fuqizimi i kapaciteteve</w:t>
            </w:r>
          </w:p>
        </w:tc>
        <w:tc>
          <w:tcPr>
            <w:tcW w:w="1080" w:type="dxa"/>
            <w:shd w:val="clear" w:color="000000" w:fill="C5D9F1"/>
            <w:noWrap/>
            <w:hideMark/>
          </w:tcPr>
          <w:p w14:paraId="6F5DA5C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hideMark/>
          </w:tcPr>
          <w:p w14:paraId="76ADCB0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noWrap/>
            <w:vAlign w:val="center"/>
            <w:hideMark/>
          </w:tcPr>
          <w:p w14:paraId="045403C0"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MA/MTKS</w:t>
            </w:r>
          </w:p>
        </w:tc>
        <w:tc>
          <w:tcPr>
            <w:tcW w:w="1521" w:type="dxa"/>
            <w:gridSpan w:val="2"/>
            <w:shd w:val="clear" w:color="000000" w:fill="C5D9F1"/>
            <w:noWrap/>
            <w:vAlign w:val="center"/>
            <w:hideMark/>
          </w:tcPr>
          <w:p w14:paraId="2620959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MSHMS/KKS</w:t>
            </w:r>
          </w:p>
        </w:tc>
        <w:tc>
          <w:tcPr>
            <w:tcW w:w="1110" w:type="dxa"/>
            <w:gridSpan w:val="2"/>
            <w:shd w:val="clear" w:color="000000" w:fill="C5D9F1"/>
            <w:noWrap/>
            <w:vAlign w:val="bottom"/>
            <w:hideMark/>
          </w:tcPr>
          <w:p w14:paraId="4B18C96E" w14:textId="7BC5229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w:t>
            </w:r>
          </w:p>
        </w:tc>
        <w:tc>
          <w:tcPr>
            <w:tcW w:w="1110" w:type="dxa"/>
            <w:gridSpan w:val="3"/>
            <w:shd w:val="clear" w:color="000000" w:fill="C5D9F1"/>
            <w:noWrap/>
            <w:vAlign w:val="bottom"/>
            <w:hideMark/>
          </w:tcPr>
          <w:p w14:paraId="10F4648B" w14:textId="3152EFA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3,222</w:t>
            </w:r>
          </w:p>
        </w:tc>
        <w:tc>
          <w:tcPr>
            <w:tcW w:w="1110" w:type="dxa"/>
            <w:gridSpan w:val="2"/>
            <w:shd w:val="clear" w:color="000000" w:fill="C5D9F1"/>
            <w:noWrap/>
            <w:vAlign w:val="bottom"/>
            <w:hideMark/>
          </w:tcPr>
          <w:p w14:paraId="0AC1EB56" w14:textId="3780205B"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3,677</w:t>
            </w:r>
          </w:p>
        </w:tc>
        <w:tc>
          <w:tcPr>
            <w:tcW w:w="1118" w:type="dxa"/>
            <w:gridSpan w:val="2"/>
            <w:shd w:val="clear" w:color="000000" w:fill="C5D9F1"/>
            <w:noWrap/>
            <w:vAlign w:val="bottom"/>
            <w:hideMark/>
          </w:tcPr>
          <w:p w14:paraId="4C6DF69E" w14:textId="6CBA5D5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3,185</w:t>
            </w:r>
          </w:p>
        </w:tc>
        <w:tc>
          <w:tcPr>
            <w:tcW w:w="810" w:type="dxa"/>
            <w:shd w:val="clear" w:color="000000" w:fill="C5D9F1"/>
            <w:noWrap/>
            <w:vAlign w:val="bottom"/>
            <w:hideMark/>
          </w:tcPr>
          <w:p w14:paraId="319AE3F7" w14:textId="5589BF51"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3,185</w:t>
            </w:r>
          </w:p>
        </w:tc>
      </w:tr>
      <w:tr w:rsidR="004D73D3" w:rsidRPr="0048716F" w14:paraId="6B9C17BF" w14:textId="77777777" w:rsidTr="00597AD8">
        <w:trPr>
          <w:trHeight w:val="528"/>
        </w:trPr>
        <w:tc>
          <w:tcPr>
            <w:tcW w:w="3885" w:type="dxa"/>
            <w:hideMark/>
          </w:tcPr>
          <w:p w14:paraId="0A868AA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2.3.1   Trajnimi dhe specializimi i mësuesve të edukimit fizik për të punuar me fëmijë me aftësi të kufizuara,  plan individual përgatitur nga mesuesit.</w:t>
            </w:r>
          </w:p>
        </w:tc>
        <w:tc>
          <w:tcPr>
            <w:tcW w:w="1080" w:type="dxa"/>
            <w:noWrap/>
            <w:hideMark/>
          </w:tcPr>
          <w:p w14:paraId="66810A5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7F76B33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07C6891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MA</w:t>
            </w:r>
          </w:p>
        </w:tc>
        <w:tc>
          <w:tcPr>
            <w:tcW w:w="1521" w:type="dxa"/>
            <w:gridSpan w:val="2"/>
            <w:noWrap/>
            <w:vAlign w:val="center"/>
            <w:hideMark/>
          </w:tcPr>
          <w:p w14:paraId="668538A6"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1FDB3297" w14:textId="074726D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7308F1E" w14:textId="325FF81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2,136</w:t>
            </w:r>
          </w:p>
        </w:tc>
        <w:tc>
          <w:tcPr>
            <w:tcW w:w="1110" w:type="dxa"/>
            <w:gridSpan w:val="2"/>
            <w:hideMark/>
          </w:tcPr>
          <w:p w14:paraId="5CEF3795" w14:textId="736DAF0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1,236</w:t>
            </w:r>
          </w:p>
        </w:tc>
        <w:tc>
          <w:tcPr>
            <w:tcW w:w="1118" w:type="dxa"/>
            <w:gridSpan w:val="2"/>
            <w:hideMark/>
          </w:tcPr>
          <w:p w14:paraId="6034261E" w14:textId="2EF8EF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1,236</w:t>
            </w:r>
          </w:p>
        </w:tc>
        <w:tc>
          <w:tcPr>
            <w:tcW w:w="810" w:type="dxa"/>
            <w:hideMark/>
          </w:tcPr>
          <w:p w14:paraId="4BA748AE" w14:textId="4C4BD7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1,236</w:t>
            </w:r>
          </w:p>
        </w:tc>
      </w:tr>
      <w:tr w:rsidR="004D73D3" w:rsidRPr="0048716F" w14:paraId="44EDECF3" w14:textId="77777777" w:rsidTr="00597AD8">
        <w:trPr>
          <w:trHeight w:val="528"/>
        </w:trPr>
        <w:tc>
          <w:tcPr>
            <w:tcW w:w="3885" w:type="dxa"/>
            <w:hideMark/>
          </w:tcPr>
          <w:p w14:paraId="5E47E0B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2.3.2 Përfshirja në vijimësi e të paktën një personi me aftësi të kufizuara si anëtar i Komitetit Kombëtar të Sporteve.</w:t>
            </w:r>
          </w:p>
        </w:tc>
        <w:tc>
          <w:tcPr>
            <w:tcW w:w="1080" w:type="dxa"/>
            <w:noWrap/>
            <w:hideMark/>
          </w:tcPr>
          <w:p w14:paraId="0685912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4D1E142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15F8029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vAlign w:val="center"/>
            <w:hideMark/>
          </w:tcPr>
          <w:p w14:paraId="668866A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Komiteti kombetar Sporteve (KKS)</w:t>
            </w:r>
          </w:p>
        </w:tc>
        <w:tc>
          <w:tcPr>
            <w:tcW w:w="1110" w:type="dxa"/>
            <w:gridSpan w:val="2"/>
            <w:hideMark/>
          </w:tcPr>
          <w:p w14:paraId="19D7AC14" w14:textId="755C71C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1F13BB5" w14:textId="651E58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1110" w:type="dxa"/>
            <w:gridSpan w:val="2"/>
            <w:hideMark/>
          </w:tcPr>
          <w:p w14:paraId="1E8C4A53" w14:textId="653C7B8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491</w:t>
            </w:r>
          </w:p>
        </w:tc>
        <w:tc>
          <w:tcPr>
            <w:tcW w:w="1118" w:type="dxa"/>
            <w:gridSpan w:val="2"/>
            <w:hideMark/>
          </w:tcPr>
          <w:p w14:paraId="070C1525" w14:textId="62918E9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7593DF64" w14:textId="79E2E8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504A3C88" w14:textId="77777777" w:rsidTr="00597AD8">
        <w:trPr>
          <w:trHeight w:val="540"/>
        </w:trPr>
        <w:tc>
          <w:tcPr>
            <w:tcW w:w="3885" w:type="dxa"/>
            <w:hideMark/>
          </w:tcPr>
          <w:p w14:paraId="76A7F63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2.3.3 Bashkëpunimi me organizata te specializuara / Olimpiku Special</w:t>
            </w:r>
          </w:p>
        </w:tc>
        <w:tc>
          <w:tcPr>
            <w:tcW w:w="1080" w:type="dxa"/>
            <w:noWrap/>
            <w:hideMark/>
          </w:tcPr>
          <w:p w14:paraId="249DE1A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57E630D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34ED516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MTKS</w:t>
            </w:r>
          </w:p>
        </w:tc>
        <w:tc>
          <w:tcPr>
            <w:tcW w:w="1521" w:type="dxa"/>
            <w:gridSpan w:val="2"/>
            <w:noWrap/>
            <w:vAlign w:val="center"/>
            <w:hideMark/>
          </w:tcPr>
          <w:p w14:paraId="0F596C7C"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KKS</w:t>
            </w:r>
          </w:p>
        </w:tc>
        <w:tc>
          <w:tcPr>
            <w:tcW w:w="1110" w:type="dxa"/>
            <w:gridSpan w:val="2"/>
            <w:hideMark/>
          </w:tcPr>
          <w:p w14:paraId="74A39920" w14:textId="7C112D7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33656C9" w14:textId="1E01033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949</w:t>
            </w:r>
          </w:p>
        </w:tc>
        <w:tc>
          <w:tcPr>
            <w:tcW w:w="1110" w:type="dxa"/>
            <w:gridSpan w:val="2"/>
            <w:hideMark/>
          </w:tcPr>
          <w:p w14:paraId="16AC4818" w14:textId="12B4250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1,949</w:t>
            </w:r>
          </w:p>
        </w:tc>
        <w:tc>
          <w:tcPr>
            <w:tcW w:w="1118" w:type="dxa"/>
            <w:gridSpan w:val="2"/>
            <w:hideMark/>
          </w:tcPr>
          <w:p w14:paraId="6A5689D9" w14:textId="5792D5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1,949</w:t>
            </w:r>
          </w:p>
        </w:tc>
        <w:tc>
          <w:tcPr>
            <w:tcW w:w="810" w:type="dxa"/>
            <w:hideMark/>
          </w:tcPr>
          <w:p w14:paraId="14F32E77" w14:textId="3C9B96B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1,949</w:t>
            </w:r>
          </w:p>
        </w:tc>
      </w:tr>
      <w:tr w:rsidR="004D73D3" w:rsidRPr="0048716F" w14:paraId="7418CF4A" w14:textId="77777777" w:rsidTr="00597AD8">
        <w:trPr>
          <w:trHeight w:val="684"/>
        </w:trPr>
        <w:tc>
          <w:tcPr>
            <w:tcW w:w="3885" w:type="dxa"/>
            <w:shd w:val="clear" w:color="000000" w:fill="F276AB"/>
            <w:vAlign w:val="center"/>
            <w:hideMark/>
          </w:tcPr>
          <w:p w14:paraId="4B011B2D" w14:textId="77777777" w:rsidR="004D73D3" w:rsidRPr="0048716F" w:rsidRDefault="004D73D3" w:rsidP="0048716F">
            <w:pPr>
              <w:jc w:val="both"/>
              <w:rPr>
                <w:rFonts w:eastAsia="Times New Roman"/>
                <w:b/>
                <w:bCs/>
                <w:sz w:val="18"/>
                <w:szCs w:val="18"/>
                <w:lang w:val="en-US" w:eastAsia="en-US"/>
              </w:rPr>
            </w:pPr>
            <w:r w:rsidRPr="0048716F">
              <w:rPr>
                <w:rFonts w:eastAsia="Times New Roman"/>
                <w:b/>
                <w:bCs/>
                <w:sz w:val="18"/>
                <w:szCs w:val="18"/>
                <w:lang w:val="en-US" w:eastAsia="en-US"/>
              </w:rPr>
              <w:t>VIII. BASHKËPUNIMI DHE KOORDINIMI NDËRINSTITUCIONAL</w:t>
            </w:r>
          </w:p>
        </w:tc>
        <w:tc>
          <w:tcPr>
            <w:tcW w:w="1080" w:type="dxa"/>
            <w:shd w:val="clear" w:color="000000" w:fill="F276AB"/>
            <w:vAlign w:val="center"/>
            <w:hideMark/>
          </w:tcPr>
          <w:p w14:paraId="047C6B29" w14:textId="37F0DBD1" w:rsidR="004D73D3" w:rsidRPr="0048716F" w:rsidRDefault="004D73D3" w:rsidP="0048716F">
            <w:pPr>
              <w:jc w:val="both"/>
              <w:rPr>
                <w:rFonts w:eastAsia="Times New Roman"/>
                <w:b/>
                <w:bCs/>
                <w:sz w:val="18"/>
                <w:szCs w:val="18"/>
                <w:lang w:val="en-US" w:eastAsia="en-US"/>
              </w:rPr>
            </w:pPr>
          </w:p>
        </w:tc>
        <w:tc>
          <w:tcPr>
            <w:tcW w:w="1260" w:type="dxa"/>
            <w:shd w:val="clear" w:color="000000" w:fill="F276AB"/>
            <w:vAlign w:val="center"/>
            <w:hideMark/>
          </w:tcPr>
          <w:p w14:paraId="3427C742" w14:textId="2E2DC0C3" w:rsidR="004D73D3" w:rsidRPr="0048716F" w:rsidRDefault="004D73D3" w:rsidP="0048716F">
            <w:pPr>
              <w:jc w:val="both"/>
              <w:rPr>
                <w:rFonts w:eastAsia="Times New Roman"/>
                <w:b/>
                <w:bCs/>
                <w:sz w:val="18"/>
                <w:szCs w:val="18"/>
                <w:lang w:val="en-US" w:eastAsia="en-US"/>
              </w:rPr>
            </w:pPr>
          </w:p>
        </w:tc>
        <w:tc>
          <w:tcPr>
            <w:tcW w:w="1411" w:type="dxa"/>
            <w:shd w:val="clear" w:color="000000" w:fill="F276AB"/>
            <w:vAlign w:val="center"/>
            <w:hideMark/>
          </w:tcPr>
          <w:p w14:paraId="7513EDC3" w14:textId="2C48B888" w:rsidR="004D73D3" w:rsidRPr="0048716F" w:rsidRDefault="004D73D3" w:rsidP="0048716F">
            <w:pPr>
              <w:jc w:val="both"/>
              <w:rPr>
                <w:rFonts w:eastAsia="Times New Roman"/>
                <w:b/>
                <w:bCs/>
                <w:sz w:val="18"/>
                <w:szCs w:val="18"/>
                <w:lang w:val="en-US" w:eastAsia="en-US"/>
              </w:rPr>
            </w:pPr>
          </w:p>
        </w:tc>
        <w:tc>
          <w:tcPr>
            <w:tcW w:w="1521" w:type="dxa"/>
            <w:gridSpan w:val="2"/>
            <w:shd w:val="clear" w:color="000000" w:fill="F276AB"/>
            <w:vAlign w:val="center"/>
            <w:hideMark/>
          </w:tcPr>
          <w:p w14:paraId="18955A49" w14:textId="7CDBFC04" w:rsidR="004D73D3" w:rsidRPr="0048716F" w:rsidRDefault="004D73D3" w:rsidP="00597AD8">
            <w:pPr>
              <w:rPr>
                <w:rFonts w:eastAsia="Times New Roman"/>
                <w:b/>
                <w:bCs/>
                <w:sz w:val="18"/>
                <w:szCs w:val="18"/>
                <w:lang w:val="en-US" w:eastAsia="en-US"/>
              </w:rPr>
            </w:pPr>
          </w:p>
        </w:tc>
        <w:tc>
          <w:tcPr>
            <w:tcW w:w="1110" w:type="dxa"/>
            <w:gridSpan w:val="2"/>
            <w:shd w:val="clear" w:color="000000" w:fill="F276AB"/>
            <w:vAlign w:val="center"/>
            <w:hideMark/>
          </w:tcPr>
          <w:p w14:paraId="34B57385" w14:textId="6691F23B"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9,095</w:t>
            </w:r>
          </w:p>
        </w:tc>
        <w:tc>
          <w:tcPr>
            <w:tcW w:w="1110" w:type="dxa"/>
            <w:gridSpan w:val="3"/>
            <w:shd w:val="clear" w:color="000000" w:fill="F276AB"/>
            <w:vAlign w:val="center"/>
            <w:hideMark/>
          </w:tcPr>
          <w:p w14:paraId="301D765B" w14:textId="045991BF"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13,067</w:t>
            </w:r>
          </w:p>
        </w:tc>
        <w:tc>
          <w:tcPr>
            <w:tcW w:w="1110" w:type="dxa"/>
            <w:gridSpan w:val="2"/>
            <w:shd w:val="clear" w:color="000000" w:fill="F276AB"/>
            <w:vAlign w:val="center"/>
            <w:hideMark/>
          </w:tcPr>
          <w:p w14:paraId="75524E02" w14:textId="558E6984"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7,017</w:t>
            </w:r>
          </w:p>
        </w:tc>
        <w:tc>
          <w:tcPr>
            <w:tcW w:w="1118" w:type="dxa"/>
            <w:gridSpan w:val="2"/>
            <w:shd w:val="clear" w:color="000000" w:fill="F276AB"/>
            <w:vAlign w:val="center"/>
            <w:hideMark/>
          </w:tcPr>
          <w:p w14:paraId="71879178" w14:textId="761BA196"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6,442</w:t>
            </w:r>
          </w:p>
        </w:tc>
        <w:tc>
          <w:tcPr>
            <w:tcW w:w="810" w:type="dxa"/>
            <w:shd w:val="clear" w:color="000000" w:fill="F276AB"/>
            <w:vAlign w:val="center"/>
            <w:hideMark/>
          </w:tcPr>
          <w:p w14:paraId="78E49443" w14:textId="7AB2850C" w:rsidR="004D73D3" w:rsidRPr="0048716F" w:rsidRDefault="004D73D3" w:rsidP="0048716F">
            <w:pPr>
              <w:jc w:val="both"/>
              <w:rPr>
                <w:rFonts w:eastAsia="Times New Roman"/>
                <w:b/>
                <w:bCs/>
                <w:sz w:val="14"/>
                <w:szCs w:val="14"/>
                <w:lang w:val="en-US" w:eastAsia="en-US"/>
              </w:rPr>
            </w:pPr>
            <w:r w:rsidRPr="0048716F">
              <w:rPr>
                <w:rFonts w:eastAsia="Times New Roman"/>
                <w:b/>
                <w:bCs/>
                <w:sz w:val="14"/>
                <w:szCs w:val="14"/>
                <w:lang w:val="en-US" w:eastAsia="en-US"/>
              </w:rPr>
              <w:t>4,942</w:t>
            </w:r>
          </w:p>
        </w:tc>
      </w:tr>
      <w:tr w:rsidR="004D73D3" w:rsidRPr="0048716F" w14:paraId="5F45B3D0" w14:textId="77777777" w:rsidTr="00597AD8">
        <w:trPr>
          <w:trHeight w:val="876"/>
        </w:trPr>
        <w:tc>
          <w:tcPr>
            <w:tcW w:w="3885" w:type="dxa"/>
            <w:shd w:val="clear" w:color="000000" w:fill="FDE9D9"/>
            <w:hideMark/>
          </w:tcPr>
          <w:p w14:paraId="76D53AF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1. Forcimi i bashkëpunimit institucional ndërmjet strukturave qendrore dhe pushtetit vendor dhe ndërveprimi me OPAK në të gjitha nivelet.</w:t>
            </w:r>
          </w:p>
        </w:tc>
        <w:tc>
          <w:tcPr>
            <w:tcW w:w="1080" w:type="dxa"/>
            <w:shd w:val="clear" w:color="000000" w:fill="FDE9D9"/>
            <w:vAlign w:val="center"/>
            <w:hideMark/>
          </w:tcPr>
          <w:p w14:paraId="6D4359D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4BDB482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366CDEE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MSHMS/BASHKI</w:t>
            </w:r>
          </w:p>
        </w:tc>
        <w:tc>
          <w:tcPr>
            <w:tcW w:w="1521" w:type="dxa"/>
            <w:gridSpan w:val="2"/>
            <w:shd w:val="clear" w:color="000000" w:fill="FDE9D9"/>
            <w:vAlign w:val="center"/>
            <w:hideMark/>
          </w:tcPr>
          <w:p w14:paraId="09B04E17"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MSHMS/BASHKI/NJVV / AMVV/ OJF</w:t>
            </w:r>
          </w:p>
        </w:tc>
        <w:tc>
          <w:tcPr>
            <w:tcW w:w="1110" w:type="dxa"/>
            <w:gridSpan w:val="2"/>
            <w:shd w:val="clear" w:color="000000" w:fill="FDE9D9"/>
            <w:hideMark/>
          </w:tcPr>
          <w:p w14:paraId="4BB079BC" w14:textId="7E3759B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7,645</w:t>
            </w:r>
          </w:p>
        </w:tc>
        <w:tc>
          <w:tcPr>
            <w:tcW w:w="1110" w:type="dxa"/>
            <w:gridSpan w:val="3"/>
            <w:shd w:val="clear" w:color="000000" w:fill="FDE9D9"/>
            <w:hideMark/>
          </w:tcPr>
          <w:p w14:paraId="4C3AEFAC" w14:textId="557B4E9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7,645</w:t>
            </w:r>
          </w:p>
        </w:tc>
        <w:tc>
          <w:tcPr>
            <w:tcW w:w="1110" w:type="dxa"/>
            <w:gridSpan w:val="2"/>
            <w:shd w:val="clear" w:color="000000" w:fill="FDE9D9"/>
            <w:hideMark/>
          </w:tcPr>
          <w:p w14:paraId="0C09732D" w14:textId="0980621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c>
          <w:tcPr>
            <w:tcW w:w="1118" w:type="dxa"/>
            <w:gridSpan w:val="2"/>
            <w:shd w:val="clear" w:color="000000" w:fill="FDE9D9"/>
            <w:hideMark/>
          </w:tcPr>
          <w:p w14:paraId="61944915" w14:textId="2CB2D97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c>
          <w:tcPr>
            <w:tcW w:w="810" w:type="dxa"/>
            <w:shd w:val="clear" w:color="000000" w:fill="FDE9D9"/>
            <w:hideMark/>
          </w:tcPr>
          <w:p w14:paraId="10C48C44" w14:textId="167E48B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r>
      <w:tr w:rsidR="004D73D3" w:rsidRPr="0048716F" w14:paraId="2EFD7AA7" w14:textId="77777777" w:rsidTr="00597AD8">
        <w:trPr>
          <w:trHeight w:val="876"/>
        </w:trPr>
        <w:tc>
          <w:tcPr>
            <w:tcW w:w="3885" w:type="dxa"/>
            <w:shd w:val="clear" w:color="000000" w:fill="DCE6F1"/>
            <w:hideMark/>
          </w:tcPr>
          <w:p w14:paraId="10102BBA"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prioritare1.1 Orientimi i bashkive për të fuqizuar bashkëpunimin me MSHMS pjesëmarrjen në votime të të gjithë votuesve me aftësi të kufizuara.</w:t>
            </w:r>
          </w:p>
        </w:tc>
        <w:tc>
          <w:tcPr>
            <w:tcW w:w="1080" w:type="dxa"/>
            <w:shd w:val="clear" w:color="000000" w:fill="DCE6F1"/>
            <w:vAlign w:val="center"/>
            <w:hideMark/>
          </w:tcPr>
          <w:p w14:paraId="576A270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vAlign w:val="center"/>
            <w:hideMark/>
          </w:tcPr>
          <w:p w14:paraId="1E683B0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1FADE65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 MF/BASHKI</w:t>
            </w:r>
          </w:p>
        </w:tc>
        <w:tc>
          <w:tcPr>
            <w:tcW w:w="1521" w:type="dxa"/>
            <w:gridSpan w:val="2"/>
            <w:shd w:val="clear" w:color="000000" w:fill="DCE6F1"/>
            <w:vAlign w:val="center"/>
            <w:hideMark/>
          </w:tcPr>
          <w:p w14:paraId="6D6B8807"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MSHMS/BASHKI</w:t>
            </w:r>
          </w:p>
        </w:tc>
        <w:tc>
          <w:tcPr>
            <w:tcW w:w="1110" w:type="dxa"/>
            <w:gridSpan w:val="2"/>
            <w:shd w:val="clear" w:color="000000" w:fill="DCE6F1"/>
            <w:hideMark/>
          </w:tcPr>
          <w:p w14:paraId="514E5340" w14:textId="28AAEEB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c>
          <w:tcPr>
            <w:tcW w:w="1110" w:type="dxa"/>
            <w:gridSpan w:val="3"/>
            <w:shd w:val="clear" w:color="000000" w:fill="DCE6F1"/>
            <w:hideMark/>
          </w:tcPr>
          <w:p w14:paraId="44DCAEDE" w14:textId="44ADBB0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c>
          <w:tcPr>
            <w:tcW w:w="1110" w:type="dxa"/>
            <w:gridSpan w:val="2"/>
            <w:shd w:val="clear" w:color="000000" w:fill="DCE6F1"/>
            <w:hideMark/>
          </w:tcPr>
          <w:p w14:paraId="612D54B6" w14:textId="29D5D49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c>
          <w:tcPr>
            <w:tcW w:w="1118" w:type="dxa"/>
            <w:gridSpan w:val="2"/>
            <w:shd w:val="clear" w:color="000000" w:fill="DCE6F1"/>
            <w:hideMark/>
          </w:tcPr>
          <w:p w14:paraId="2317B0B2" w14:textId="28C3034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c>
          <w:tcPr>
            <w:tcW w:w="810" w:type="dxa"/>
            <w:shd w:val="clear" w:color="000000" w:fill="DCE6F1"/>
            <w:hideMark/>
          </w:tcPr>
          <w:p w14:paraId="5EE269B0" w14:textId="19CE6F7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2,500</w:t>
            </w:r>
          </w:p>
        </w:tc>
      </w:tr>
      <w:tr w:rsidR="004D73D3" w:rsidRPr="0048716F" w14:paraId="28060833" w14:textId="77777777" w:rsidTr="00597AD8">
        <w:trPr>
          <w:trHeight w:val="876"/>
        </w:trPr>
        <w:tc>
          <w:tcPr>
            <w:tcW w:w="3885" w:type="dxa"/>
            <w:hideMark/>
          </w:tcPr>
          <w:p w14:paraId="4D5719D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1.1.1 Bashkërendim ndërmjet ministrisë përgjegjëse për çështjet e aftësisë së kufizuar (MSHMS) dhe njësive të qeverisjes vendore., nepermjet hartimit te planeve sociale vendore, ne perputhje me planin Kombetar te PAK</w:t>
            </w:r>
          </w:p>
        </w:tc>
        <w:tc>
          <w:tcPr>
            <w:tcW w:w="1080" w:type="dxa"/>
            <w:hideMark/>
          </w:tcPr>
          <w:p w14:paraId="2187C17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701518E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7469B56D"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521" w:type="dxa"/>
            <w:gridSpan w:val="2"/>
            <w:vAlign w:val="center"/>
            <w:hideMark/>
          </w:tcPr>
          <w:p w14:paraId="1662108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110" w:type="dxa"/>
            <w:gridSpan w:val="2"/>
            <w:hideMark/>
          </w:tcPr>
          <w:p w14:paraId="4B201315" w14:textId="5715CC6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gridSpan w:val="3"/>
            <w:hideMark/>
          </w:tcPr>
          <w:p w14:paraId="2888EDE3" w14:textId="6F2CA14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0" w:type="dxa"/>
            <w:gridSpan w:val="2"/>
            <w:hideMark/>
          </w:tcPr>
          <w:p w14:paraId="281AEE77" w14:textId="3840042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1118" w:type="dxa"/>
            <w:gridSpan w:val="2"/>
            <w:hideMark/>
          </w:tcPr>
          <w:p w14:paraId="2C3B0C45" w14:textId="7765259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c>
          <w:tcPr>
            <w:tcW w:w="810" w:type="dxa"/>
            <w:hideMark/>
          </w:tcPr>
          <w:p w14:paraId="70528004" w14:textId="526333B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2,500</w:t>
            </w:r>
          </w:p>
        </w:tc>
      </w:tr>
      <w:tr w:rsidR="004D73D3" w:rsidRPr="0048716F" w14:paraId="7CF8EDE1" w14:textId="77777777" w:rsidTr="00597AD8">
        <w:trPr>
          <w:trHeight w:val="588"/>
        </w:trPr>
        <w:tc>
          <w:tcPr>
            <w:tcW w:w="3885" w:type="dxa"/>
            <w:hideMark/>
          </w:tcPr>
          <w:p w14:paraId="0A7551D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1.1.2 Rritje progressive e mbështetjes financiare për pushtetin vendor për shtimin e numrit dhe tipologjise së shërbimeve për PAK.</w:t>
            </w:r>
          </w:p>
        </w:tc>
        <w:tc>
          <w:tcPr>
            <w:tcW w:w="1080" w:type="dxa"/>
            <w:hideMark/>
          </w:tcPr>
          <w:p w14:paraId="51D1594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6759FCA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23DD3E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MF</w:t>
            </w:r>
          </w:p>
        </w:tc>
        <w:tc>
          <w:tcPr>
            <w:tcW w:w="1521" w:type="dxa"/>
            <w:gridSpan w:val="2"/>
            <w:vAlign w:val="center"/>
            <w:hideMark/>
          </w:tcPr>
          <w:p w14:paraId="18F6305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110" w:type="dxa"/>
            <w:gridSpan w:val="2"/>
            <w:hideMark/>
          </w:tcPr>
          <w:p w14:paraId="37A925AB" w14:textId="6FA5320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F16D41B" w14:textId="1C49A4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9D3F87B" w14:textId="7FAD30E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33F07D72" w14:textId="1046D80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2C09546F" w14:textId="591F7C5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C270C01" w14:textId="77777777" w:rsidTr="00597AD8">
        <w:trPr>
          <w:trHeight w:val="588"/>
        </w:trPr>
        <w:tc>
          <w:tcPr>
            <w:tcW w:w="3885" w:type="dxa"/>
            <w:shd w:val="clear" w:color="000000" w:fill="B8CCE4"/>
            <w:hideMark/>
          </w:tcPr>
          <w:p w14:paraId="74CABC7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1.2 Fuqizimi i rolit të bashkive dhe promovimi i tyre në njohjen dhe përmbushjen e nevojave të PAK në territorin e tyre.</w:t>
            </w:r>
          </w:p>
        </w:tc>
        <w:tc>
          <w:tcPr>
            <w:tcW w:w="1080" w:type="dxa"/>
            <w:shd w:val="clear" w:color="000000" w:fill="B8CCE4"/>
            <w:vAlign w:val="center"/>
            <w:hideMark/>
          </w:tcPr>
          <w:p w14:paraId="20ADC288"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2026</w:t>
            </w:r>
          </w:p>
        </w:tc>
        <w:tc>
          <w:tcPr>
            <w:tcW w:w="1260" w:type="dxa"/>
            <w:shd w:val="clear" w:color="000000" w:fill="B8CCE4"/>
            <w:vAlign w:val="center"/>
            <w:hideMark/>
          </w:tcPr>
          <w:p w14:paraId="450C9B05"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val="en-US" w:eastAsia="en-US"/>
              </w:rPr>
              <w:t>2027</w:t>
            </w:r>
          </w:p>
        </w:tc>
        <w:tc>
          <w:tcPr>
            <w:tcW w:w="1411" w:type="dxa"/>
            <w:shd w:val="clear" w:color="000000" w:fill="B8CCE4"/>
            <w:vAlign w:val="center"/>
            <w:hideMark/>
          </w:tcPr>
          <w:p w14:paraId="0FA3F0D3" w14:textId="77777777" w:rsidR="004D73D3" w:rsidRPr="0048716F" w:rsidRDefault="004D73D3" w:rsidP="0048716F">
            <w:pPr>
              <w:jc w:val="both"/>
              <w:rPr>
                <w:rFonts w:eastAsia="Times New Roman"/>
                <w:b/>
                <w:bCs/>
                <w:i/>
                <w:iCs/>
                <w:color w:val="000000"/>
                <w:sz w:val="18"/>
                <w:szCs w:val="18"/>
                <w:lang w:val="en-US" w:eastAsia="en-US"/>
              </w:rPr>
            </w:pPr>
            <w:r w:rsidRPr="0048716F">
              <w:rPr>
                <w:rFonts w:eastAsia="Times New Roman"/>
                <w:b/>
                <w:bCs/>
                <w:i/>
                <w:iCs/>
                <w:color w:val="000000"/>
                <w:sz w:val="18"/>
                <w:szCs w:val="18"/>
                <w:lang w:eastAsia="en-US"/>
              </w:rPr>
              <w:t>MSHMS/BASHKI</w:t>
            </w:r>
          </w:p>
        </w:tc>
        <w:tc>
          <w:tcPr>
            <w:tcW w:w="1521" w:type="dxa"/>
            <w:gridSpan w:val="2"/>
            <w:shd w:val="clear" w:color="000000" w:fill="B8CCE4"/>
            <w:vAlign w:val="center"/>
            <w:hideMark/>
          </w:tcPr>
          <w:p w14:paraId="1F5A989C" w14:textId="77777777" w:rsidR="004D73D3" w:rsidRPr="0048716F" w:rsidRDefault="004D73D3" w:rsidP="00597AD8">
            <w:pPr>
              <w:rPr>
                <w:rFonts w:eastAsia="Times New Roman"/>
                <w:b/>
                <w:bCs/>
                <w:i/>
                <w:iCs/>
                <w:color w:val="000000"/>
                <w:sz w:val="18"/>
                <w:szCs w:val="18"/>
                <w:lang w:val="en-US" w:eastAsia="en-US"/>
              </w:rPr>
            </w:pPr>
            <w:r w:rsidRPr="0048716F">
              <w:rPr>
                <w:rFonts w:eastAsia="Times New Roman"/>
                <w:b/>
                <w:bCs/>
                <w:i/>
                <w:iCs/>
                <w:color w:val="000000"/>
                <w:sz w:val="18"/>
                <w:szCs w:val="18"/>
                <w:lang w:eastAsia="en-US"/>
              </w:rPr>
              <w:t>NJVV / AMVV/ OJF/BASHKI</w:t>
            </w:r>
          </w:p>
        </w:tc>
        <w:tc>
          <w:tcPr>
            <w:tcW w:w="1110" w:type="dxa"/>
            <w:gridSpan w:val="2"/>
            <w:shd w:val="clear" w:color="000000" w:fill="B8CCE4"/>
            <w:hideMark/>
          </w:tcPr>
          <w:p w14:paraId="719D56DC" w14:textId="76C95A6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5,145</w:t>
            </w:r>
          </w:p>
        </w:tc>
        <w:tc>
          <w:tcPr>
            <w:tcW w:w="1110" w:type="dxa"/>
            <w:gridSpan w:val="3"/>
            <w:shd w:val="clear" w:color="000000" w:fill="B8CCE4"/>
            <w:hideMark/>
          </w:tcPr>
          <w:p w14:paraId="3C1A2CFC" w14:textId="2BA81B5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5,145</w:t>
            </w:r>
          </w:p>
        </w:tc>
        <w:tc>
          <w:tcPr>
            <w:tcW w:w="1110" w:type="dxa"/>
            <w:gridSpan w:val="2"/>
            <w:shd w:val="clear" w:color="000000" w:fill="B8CCE4"/>
            <w:hideMark/>
          </w:tcPr>
          <w:p w14:paraId="533C8B26" w14:textId="2BABB7A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shd w:val="clear" w:color="000000" w:fill="B8CCE4"/>
            <w:hideMark/>
          </w:tcPr>
          <w:p w14:paraId="54B31535" w14:textId="44A26EF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shd w:val="clear" w:color="000000" w:fill="B8CCE4"/>
            <w:hideMark/>
          </w:tcPr>
          <w:p w14:paraId="75417B60" w14:textId="5065889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61FF7E17" w14:textId="77777777" w:rsidTr="00597AD8">
        <w:trPr>
          <w:trHeight w:val="864"/>
        </w:trPr>
        <w:tc>
          <w:tcPr>
            <w:tcW w:w="3885" w:type="dxa"/>
            <w:noWrap/>
            <w:hideMark/>
          </w:tcPr>
          <w:p w14:paraId="3104856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1.2.1      Hartimi i një guide metodologjike për të ndihmuar bashkitë në kryerjen e një vlerësimi të nevojave të përfshirjes së personave me aftësi të kufizuara që jetojnë në territorin e tyre.</w:t>
            </w:r>
          </w:p>
        </w:tc>
        <w:tc>
          <w:tcPr>
            <w:tcW w:w="1080" w:type="dxa"/>
            <w:hideMark/>
          </w:tcPr>
          <w:p w14:paraId="157F018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4469B57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2662620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2757864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NJVV / AMVV/ OJF</w:t>
            </w:r>
          </w:p>
        </w:tc>
        <w:tc>
          <w:tcPr>
            <w:tcW w:w="1110" w:type="dxa"/>
            <w:gridSpan w:val="2"/>
            <w:hideMark/>
          </w:tcPr>
          <w:p w14:paraId="63C8170E" w14:textId="61EBF0F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3,436</w:t>
            </w:r>
          </w:p>
        </w:tc>
        <w:tc>
          <w:tcPr>
            <w:tcW w:w="1110" w:type="dxa"/>
            <w:gridSpan w:val="3"/>
            <w:hideMark/>
          </w:tcPr>
          <w:p w14:paraId="0E29612F" w14:textId="77E7483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3,436</w:t>
            </w:r>
          </w:p>
        </w:tc>
        <w:tc>
          <w:tcPr>
            <w:tcW w:w="1110" w:type="dxa"/>
            <w:gridSpan w:val="2"/>
            <w:hideMark/>
          </w:tcPr>
          <w:p w14:paraId="64820D88" w14:textId="13127A2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6C4E02DB" w14:textId="0274CA2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07D06D58" w14:textId="7D1F2B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CCC7A2E" w14:textId="77777777" w:rsidTr="00597AD8">
        <w:trPr>
          <w:trHeight w:val="576"/>
        </w:trPr>
        <w:tc>
          <w:tcPr>
            <w:tcW w:w="3885" w:type="dxa"/>
            <w:noWrap/>
            <w:hideMark/>
          </w:tcPr>
          <w:p w14:paraId="2195303E" w14:textId="2FC1872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1.2.2     Marrëveshje bashkëpunimi ndërmjet bashkive dhe organizatave të PAK duke organizuar  takime periodike për njohjen e problematikave.</w:t>
            </w:r>
          </w:p>
        </w:tc>
        <w:tc>
          <w:tcPr>
            <w:tcW w:w="1080" w:type="dxa"/>
            <w:hideMark/>
          </w:tcPr>
          <w:p w14:paraId="736885F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0BE89E4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760D47E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Bashkite</w:t>
            </w:r>
          </w:p>
        </w:tc>
        <w:tc>
          <w:tcPr>
            <w:tcW w:w="1521" w:type="dxa"/>
            <w:gridSpan w:val="2"/>
            <w:vAlign w:val="center"/>
            <w:hideMark/>
          </w:tcPr>
          <w:p w14:paraId="768BA27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OJF</w:t>
            </w:r>
          </w:p>
        </w:tc>
        <w:tc>
          <w:tcPr>
            <w:tcW w:w="1110" w:type="dxa"/>
            <w:gridSpan w:val="2"/>
            <w:hideMark/>
          </w:tcPr>
          <w:p w14:paraId="65E552C6" w14:textId="4CE529C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w:t>
            </w:r>
          </w:p>
        </w:tc>
        <w:tc>
          <w:tcPr>
            <w:tcW w:w="1110" w:type="dxa"/>
            <w:gridSpan w:val="3"/>
            <w:hideMark/>
          </w:tcPr>
          <w:p w14:paraId="29A56D24" w14:textId="154726B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1,200</w:t>
            </w:r>
          </w:p>
        </w:tc>
        <w:tc>
          <w:tcPr>
            <w:tcW w:w="1110" w:type="dxa"/>
            <w:gridSpan w:val="2"/>
            <w:hideMark/>
          </w:tcPr>
          <w:p w14:paraId="4A58D78B" w14:textId="7814E2B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4D51C4B0" w14:textId="6DBB9F1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54F381EE" w14:textId="36EFC21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3677D289" w14:textId="77777777" w:rsidTr="00597AD8">
        <w:trPr>
          <w:trHeight w:val="864"/>
        </w:trPr>
        <w:tc>
          <w:tcPr>
            <w:tcW w:w="3885" w:type="dxa"/>
            <w:noWrap/>
            <w:hideMark/>
          </w:tcPr>
          <w:p w14:paraId="6B77EDB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1.2.3      Organizimi i aktivitete promovuese të iniciativave të mira duke shpallur bashkitë më të mira të vitit, lidhur me realizimin e të drejtave të personave me aftësi të kufizuara .</w:t>
            </w:r>
          </w:p>
        </w:tc>
        <w:tc>
          <w:tcPr>
            <w:tcW w:w="1080" w:type="dxa"/>
            <w:hideMark/>
          </w:tcPr>
          <w:p w14:paraId="72E71F0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279E4D8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7F0FE80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2044A3F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 /Bashkite / OJF</w:t>
            </w:r>
          </w:p>
        </w:tc>
        <w:tc>
          <w:tcPr>
            <w:tcW w:w="1110" w:type="dxa"/>
            <w:gridSpan w:val="2"/>
            <w:hideMark/>
          </w:tcPr>
          <w:p w14:paraId="04540624" w14:textId="34EB039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509</w:t>
            </w:r>
          </w:p>
        </w:tc>
        <w:tc>
          <w:tcPr>
            <w:tcW w:w="1110" w:type="dxa"/>
            <w:gridSpan w:val="3"/>
            <w:hideMark/>
          </w:tcPr>
          <w:p w14:paraId="267C55C4" w14:textId="2B6C9B0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509</w:t>
            </w:r>
          </w:p>
        </w:tc>
        <w:tc>
          <w:tcPr>
            <w:tcW w:w="1110" w:type="dxa"/>
            <w:gridSpan w:val="2"/>
            <w:hideMark/>
          </w:tcPr>
          <w:p w14:paraId="0AF30D02" w14:textId="420D79E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2946C02C" w14:textId="3E124E7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1A47258A" w14:textId="18D37A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1DE8696" w14:textId="77777777" w:rsidTr="00597AD8">
        <w:trPr>
          <w:trHeight w:val="864"/>
        </w:trPr>
        <w:tc>
          <w:tcPr>
            <w:tcW w:w="3885" w:type="dxa"/>
            <w:shd w:val="clear" w:color="000000" w:fill="FDE9D9"/>
            <w:hideMark/>
          </w:tcPr>
          <w:p w14:paraId="2DD49C79"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2.  Përmirësimi i funksionimit të KKAK lidhur me koordinimin e politikave publike në nivel horizontal dhe vertikal, të dedikuara për personat me aftësi të kufizuara</w:t>
            </w:r>
          </w:p>
        </w:tc>
        <w:tc>
          <w:tcPr>
            <w:tcW w:w="1080" w:type="dxa"/>
            <w:shd w:val="clear" w:color="000000" w:fill="FDE9D9"/>
            <w:vAlign w:val="center"/>
            <w:hideMark/>
          </w:tcPr>
          <w:p w14:paraId="5083AB7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6655E87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08C32CB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MSHMS/PARLAMENTI</w:t>
            </w:r>
          </w:p>
        </w:tc>
        <w:tc>
          <w:tcPr>
            <w:tcW w:w="1521" w:type="dxa"/>
            <w:gridSpan w:val="2"/>
            <w:shd w:val="clear" w:color="000000" w:fill="FDE9D9"/>
            <w:vAlign w:val="center"/>
            <w:hideMark/>
          </w:tcPr>
          <w:p w14:paraId="42963C85"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Sekretariati KKAK/Te gjitha inst. OJF</w:t>
            </w:r>
          </w:p>
        </w:tc>
        <w:tc>
          <w:tcPr>
            <w:tcW w:w="1110" w:type="dxa"/>
            <w:gridSpan w:val="2"/>
            <w:shd w:val="clear" w:color="000000" w:fill="FDE9D9"/>
            <w:hideMark/>
          </w:tcPr>
          <w:p w14:paraId="189C9954" w14:textId="3612095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545</w:t>
            </w:r>
          </w:p>
        </w:tc>
        <w:tc>
          <w:tcPr>
            <w:tcW w:w="1110" w:type="dxa"/>
            <w:gridSpan w:val="3"/>
            <w:shd w:val="clear" w:color="000000" w:fill="FDE9D9"/>
            <w:hideMark/>
          </w:tcPr>
          <w:p w14:paraId="4AB2EB47" w14:textId="4C35735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2,617</w:t>
            </w:r>
          </w:p>
        </w:tc>
        <w:tc>
          <w:tcPr>
            <w:tcW w:w="1110" w:type="dxa"/>
            <w:gridSpan w:val="2"/>
            <w:shd w:val="clear" w:color="000000" w:fill="FDE9D9"/>
            <w:hideMark/>
          </w:tcPr>
          <w:p w14:paraId="4CF8F2BC" w14:textId="6066D381"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2,617</w:t>
            </w:r>
          </w:p>
        </w:tc>
        <w:tc>
          <w:tcPr>
            <w:tcW w:w="1118" w:type="dxa"/>
            <w:gridSpan w:val="2"/>
            <w:shd w:val="clear" w:color="000000" w:fill="FDE9D9"/>
            <w:hideMark/>
          </w:tcPr>
          <w:p w14:paraId="0584FE60" w14:textId="4576DD52"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2,442</w:t>
            </w:r>
          </w:p>
        </w:tc>
        <w:tc>
          <w:tcPr>
            <w:tcW w:w="810" w:type="dxa"/>
            <w:shd w:val="clear" w:color="000000" w:fill="FDE9D9"/>
            <w:hideMark/>
          </w:tcPr>
          <w:p w14:paraId="5A1F67D0" w14:textId="5B79BF3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2,442</w:t>
            </w:r>
          </w:p>
        </w:tc>
      </w:tr>
      <w:tr w:rsidR="004D73D3" w:rsidRPr="0048716F" w14:paraId="2927E115" w14:textId="77777777" w:rsidTr="00597AD8">
        <w:trPr>
          <w:trHeight w:val="576"/>
        </w:trPr>
        <w:tc>
          <w:tcPr>
            <w:tcW w:w="3885" w:type="dxa"/>
            <w:shd w:val="clear" w:color="000000" w:fill="DCE6F1"/>
            <w:hideMark/>
          </w:tcPr>
          <w:p w14:paraId="50DDCAC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2.1: Rritje e aksesit për pjesëmarrje te PAK në aktivitete kulturore</w:t>
            </w:r>
          </w:p>
        </w:tc>
        <w:tc>
          <w:tcPr>
            <w:tcW w:w="1080" w:type="dxa"/>
            <w:shd w:val="clear" w:color="000000" w:fill="DCE6F1"/>
            <w:vAlign w:val="center"/>
            <w:hideMark/>
          </w:tcPr>
          <w:p w14:paraId="67BA486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vAlign w:val="center"/>
            <w:hideMark/>
          </w:tcPr>
          <w:p w14:paraId="7077B8A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3BF3014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MSHMS/PARLAMENTI</w:t>
            </w:r>
          </w:p>
        </w:tc>
        <w:tc>
          <w:tcPr>
            <w:tcW w:w="1521" w:type="dxa"/>
            <w:gridSpan w:val="2"/>
            <w:shd w:val="clear" w:color="000000" w:fill="DCE6F1"/>
            <w:vAlign w:val="center"/>
            <w:hideMark/>
          </w:tcPr>
          <w:p w14:paraId="7486011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Te gjitha Institucionet/OJF</w:t>
            </w:r>
          </w:p>
        </w:tc>
        <w:tc>
          <w:tcPr>
            <w:tcW w:w="1110" w:type="dxa"/>
            <w:gridSpan w:val="2"/>
            <w:shd w:val="clear" w:color="000000" w:fill="DCE6F1"/>
            <w:hideMark/>
          </w:tcPr>
          <w:p w14:paraId="53E50E46" w14:textId="60CFC7F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409</w:t>
            </w:r>
          </w:p>
        </w:tc>
        <w:tc>
          <w:tcPr>
            <w:tcW w:w="1110" w:type="dxa"/>
            <w:gridSpan w:val="3"/>
            <w:shd w:val="clear" w:color="000000" w:fill="DCE6F1"/>
            <w:hideMark/>
          </w:tcPr>
          <w:p w14:paraId="15616661" w14:textId="5AAB426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409</w:t>
            </w:r>
          </w:p>
        </w:tc>
        <w:tc>
          <w:tcPr>
            <w:tcW w:w="1110" w:type="dxa"/>
            <w:gridSpan w:val="2"/>
            <w:shd w:val="clear" w:color="000000" w:fill="DCE6F1"/>
            <w:hideMark/>
          </w:tcPr>
          <w:p w14:paraId="54A14DA3" w14:textId="09A29BC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409</w:t>
            </w:r>
          </w:p>
        </w:tc>
        <w:tc>
          <w:tcPr>
            <w:tcW w:w="1118" w:type="dxa"/>
            <w:gridSpan w:val="2"/>
            <w:shd w:val="clear" w:color="000000" w:fill="DCE6F1"/>
            <w:hideMark/>
          </w:tcPr>
          <w:p w14:paraId="4B2C3B1C" w14:textId="7C69888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409</w:t>
            </w:r>
          </w:p>
        </w:tc>
        <w:tc>
          <w:tcPr>
            <w:tcW w:w="810" w:type="dxa"/>
            <w:shd w:val="clear" w:color="000000" w:fill="DCE6F1"/>
            <w:hideMark/>
          </w:tcPr>
          <w:p w14:paraId="7AE4734A" w14:textId="7A8C7BD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409</w:t>
            </w:r>
          </w:p>
        </w:tc>
      </w:tr>
      <w:tr w:rsidR="004D73D3" w:rsidRPr="0048716F" w14:paraId="0E05E93B" w14:textId="77777777" w:rsidTr="00597AD8">
        <w:trPr>
          <w:trHeight w:val="576"/>
        </w:trPr>
        <w:tc>
          <w:tcPr>
            <w:tcW w:w="3885" w:type="dxa"/>
            <w:noWrap/>
            <w:vAlign w:val="center"/>
            <w:hideMark/>
          </w:tcPr>
          <w:p w14:paraId="79F2BE9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2.1.1    Sigurimi i informacionit nga ministritë e linjës adresuar KKAK, në lidhje me iniciativa për ndryshime ligjore në ligjet sektoriale të institucionit.</w:t>
            </w:r>
          </w:p>
        </w:tc>
        <w:tc>
          <w:tcPr>
            <w:tcW w:w="1080" w:type="dxa"/>
            <w:hideMark/>
          </w:tcPr>
          <w:p w14:paraId="708595A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4FCAB40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2E696FB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vAlign w:val="center"/>
            <w:hideMark/>
          </w:tcPr>
          <w:p w14:paraId="1DEEE2DF"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Te gjitha inst.</w:t>
            </w:r>
          </w:p>
        </w:tc>
        <w:tc>
          <w:tcPr>
            <w:tcW w:w="1110" w:type="dxa"/>
            <w:gridSpan w:val="2"/>
            <w:hideMark/>
          </w:tcPr>
          <w:p w14:paraId="70824B5E" w14:textId="3BB0AE9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1110" w:type="dxa"/>
            <w:gridSpan w:val="3"/>
            <w:hideMark/>
          </w:tcPr>
          <w:p w14:paraId="5192447E" w14:textId="5A69B8F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1110" w:type="dxa"/>
            <w:gridSpan w:val="2"/>
            <w:hideMark/>
          </w:tcPr>
          <w:p w14:paraId="735A6C76" w14:textId="113E0E7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1118" w:type="dxa"/>
            <w:gridSpan w:val="2"/>
            <w:hideMark/>
          </w:tcPr>
          <w:p w14:paraId="6EFFF123" w14:textId="392AD3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c>
          <w:tcPr>
            <w:tcW w:w="810" w:type="dxa"/>
            <w:hideMark/>
          </w:tcPr>
          <w:p w14:paraId="6BD2B8BC" w14:textId="719E36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409</w:t>
            </w:r>
          </w:p>
        </w:tc>
      </w:tr>
      <w:tr w:rsidR="004D73D3" w:rsidRPr="0048716F" w14:paraId="558FB35F" w14:textId="77777777" w:rsidTr="00597AD8">
        <w:trPr>
          <w:trHeight w:val="576"/>
        </w:trPr>
        <w:tc>
          <w:tcPr>
            <w:tcW w:w="3885" w:type="dxa"/>
            <w:noWrap/>
            <w:hideMark/>
          </w:tcPr>
          <w:p w14:paraId="13D1235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2.1.2 Pjesemarrje  te OJQ ne mbledhjet e Komisioneve parlamentare dhe takime me Grupin e Deputeteve Miq te Aftesise se Kufizuar</w:t>
            </w:r>
          </w:p>
        </w:tc>
        <w:tc>
          <w:tcPr>
            <w:tcW w:w="1080" w:type="dxa"/>
            <w:hideMark/>
          </w:tcPr>
          <w:p w14:paraId="5944E50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hideMark/>
          </w:tcPr>
          <w:p w14:paraId="4313B22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65A7911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Parlamenti</w:t>
            </w:r>
          </w:p>
        </w:tc>
        <w:tc>
          <w:tcPr>
            <w:tcW w:w="1521" w:type="dxa"/>
            <w:gridSpan w:val="2"/>
            <w:vAlign w:val="center"/>
            <w:hideMark/>
          </w:tcPr>
          <w:p w14:paraId="6875D4ED"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OJF</w:t>
            </w:r>
          </w:p>
        </w:tc>
        <w:tc>
          <w:tcPr>
            <w:tcW w:w="1110" w:type="dxa"/>
            <w:gridSpan w:val="2"/>
            <w:hideMark/>
          </w:tcPr>
          <w:p w14:paraId="0B76836F" w14:textId="70AACCA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C9CEC0D" w14:textId="043650F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0B188771" w14:textId="67B4C72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4710AFED" w14:textId="383E475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6639E193" w14:textId="00E598F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18BE9AD" w14:textId="77777777" w:rsidTr="00597AD8">
        <w:trPr>
          <w:trHeight w:val="576"/>
        </w:trPr>
        <w:tc>
          <w:tcPr>
            <w:tcW w:w="3885" w:type="dxa"/>
            <w:shd w:val="clear" w:color="000000" w:fill="DCE6F1"/>
            <w:hideMark/>
          </w:tcPr>
          <w:p w14:paraId="04E11DBB"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lastRenderedPageBreak/>
              <w:t>Masa prioritare 2.2 Ndërtimi i një plani vjetor aktivitetesh të KKAK</w:t>
            </w:r>
          </w:p>
        </w:tc>
        <w:tc>
          <w:tcPr>
            <w:tcW w:w="1080" w:type="dxa"/>
            <w:shd w:val="clear" w:color="000000" w:fill="C5D9F1"/>
            <w:noWrap/>
            <w:vAlign w:val="center"/>
            <w:hideMark/>
          </w:tcPr>
          <w:p w14:paraId="4B3E36B8"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C5D9F1"/>
            <w:noWrap/>
            <w:vAlign w:val="center"/>
            <w:hideMark/>
          </w:tcPr>
          <w:p w14:paraId="2CC61BF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C5D9F1"/>
            <w:noWrap/>
            <w:vAlign w:val="center"/>
            <w:hideMark/>
          </w:tcPr>
          <w:p w14:paraId="472CAF5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C5D9F1"/>
            <w:vAlign w:val="center"/>
            <w:hideMark/>
          </w:tcPr>
          <w:p w14:paraId="1850B006"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Sekretariati KKAK/Te gjitha inst. OJF</w:t>
            </w:r>
          </w:p>
        </w:tc>
        <w:tc>
          <w:tcPr>
            <w:tcW w:w="1110" w:type="dxa"/>
            <w:gridSpan w:val="2"/>
            <w:shd w:val="clear" w:color="000000" w:fill="C5D9F1"/>
            <w:noWrap/>
            <w:vAlign w:val="bottom"/>
            <w:hideMark/>
          </w:tcPr>
          <w:p w14:paraId="6A7D87DB" w14:textId="5A266DE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136</w:t>
            </w:r>
          </w:p>
        </w:tc>
        <w:tc>
          <w:tcPr>
            <w:tcW w:w="1110" w:type="dxa"/>
            <w:gridSpan w:val="3"/>
            <w:shd w:val="clear" w:color="000000" w:fill="C5D9F1"/>
            <w:noWrap/>
            <w:vAlign w:val="bottom"/>
            <w:hideMark/>
          </w:tcPr>
          <w:p w14:paraId="6CD1C6CE" w14:textId="5BB5B760"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2,208</w:t>
            </w:r>
          </w:p>
        </w:tc>
        <w:tc>
          <w:tcPr>
            <w:tcW w:w="1110" w:type="dxa"/>
            <w:gridSpan w:val="2"/>
            <w:shd w:val="clear" w:color="000000" w:fill="C5D9F1"/>
            <w:noWrap/>
            <w:vAlign w:val="bottom"/>
            <w:hideMark/>
          </w:tcPr>
          <w:p w14:paraId="46C4BC67" w14:textId="3399E3AF"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2,208</w:t>
            </w:r>
          </w:p>
        </w:tc>
        <w:tc>
          <w:tcPr>
            <w:tcW w:w="1118" w:type="dxa"/>
            <w:gridSpan w:val="2"/>
            <w:shd w:val="clear" w:color="000000" w:fill="C5D9F1"/>
            <w:noWrap/>
            <w:vAlign w:val="bottom"/>
            <w:hideMark/>
          </w:tcPr>
          <w:p w14:paraId="047CA718" w14:textId="4370CBD5"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2,033</w:t>
            </w:r>
          </w:p>
        </w:tc>
        <w:tc>
          <w:tcPr>
            <w:tcW w:w="810" w:type="dxa"/>
            <w:shd w:val="clear" w:color="000000" w:fill="C5D9F1"/>
            <w:noWrap/>
            <w:vAlign w:val="bottom"/>
            <w:hideMark/>
          </w:tcPr>
          <w:p w14:paraId="3D22F7DF" w14:textId="5049CFE4" w:rsidR="004D73D3" w:rsidRPr="0048716F" w:rsidRDefault="004D73D3" w:rsidP="0048716F">
            <w:pPr>
              <w:jc w:val="both"/>
              <w:rPr>
                <w:rFonts w:eastAsia="Times New Roman"/>
                <w:color w:val="000000"/>
                <w:sz w:val="14"/>
                <w:szCs w:val="14"/>
                <w:lang w:val="en-US" w:eastAsia="en-US"/>
              </w:rPr>
            </w:pPr>
            <w:r w:rsidRPr="0048716F">
              <w:rPr>
                <w:rFonts w:eastAsia="Times New Roman"/>
                <w:color w:val="000000"/>
                <w:sz w:val="14"/>
                <w:szCs w:val="14"/>
                <w:lang w:val="en-US" w:eastAsia="en-US"/>
              </w:rPr>
              <w:t>2,033</w:t>
            </w:r>
          </w:p>
        </w:tc>
      </w:tr>
      <w:tr w:rsidR="004D73D3" w:rsidRPr="0048716F" w14:paraId="4DA28CE3" w14:textId="77777777" w:rsidTr="00597AD8">
        <w:trPr>
          <w:trHeight w:val="576"/>
        </w:trPr>
        <w:tc>
          <w:tcPr>
            <w:tcW w:w="3885" w:type="dxa"/>
            <w:noWrap/>
            <w:hideMark/>
          </w:tcPr>
          <w:p w14:paraId="6F90462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2.2.1 Kryesimi dhe ofrimi i inputeve të takimeve të Këshillit Kombëtar të Aftësisë së Kufizuar.</w:t>
            </w:r>
          </w:p>
        </w:tc>
        <w:tc>
          <w:tcPr>
            <w:tcW w:w="1080" w:type="dxa"/>
            <w:noWrap/>
            <w:hideMark/>
          </w:tcPr>
          <w:p w14:paraId="0CDFF16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063CDA4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678FACA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0DDFD6CB"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Sekretariati KKAK</w:t>
            </w:r>
          </w:p>
        </w:tc>
        <w:tc>
          <w:tcPr>
            <w:tcW w:w="1110" w:type="dxa"/>
            <w:gridSpan w:val="2"/>
            <w:hideMark/>
          </w:tcPr>
          <w:p w14:paraId="5F3FE5D6" w14:textId="7042D9A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1613682" w14:textId="7D58480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974E50D" w14:textId="4A552A5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14841D09" w14:textId="7780536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2B5A98BE" w14:textId="415C01B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7F5560D4" w14:textId="77777777" w:rsidTr="00597AD8">
        <w:trPr>
          <w:trHeight w:val="1152"/>
        </w:trPr>
        <w:tc>
          <w:tcPr>
            <w:tcW w:w="3885" w:type="dxa"/>
            <w:hideMark/>
          </w:tcPr>
          <w:p w14:paraId="7003AE76" w14:textId="01B992CF"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2.2.2 Dy takime ne vit me të gjitha ministritë e linjës përgjegjëse për zbatimin e Planit të Veprimit për të diskutuar veprimet prioritare dhe bashkëpunimin e mundshëm me aktorët e tjerë, përfshirë edhe organizata të PAK, që nuk janë anëtare të KKAK.</w:t>
            </w:r>
          </w:p>
        </w:tc>
        <w:tc>
          <w:tcPr>
            <w:tcW w:w="1080" w:type="dxa"/>
            <w:noWrap/>
            <w:hideMark/>
          </w:tcPr>
          <w:p w14:paraId="5848E87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000A0F6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1CFD4F1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3CCFDE14"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 OJF</w:t>
            </w:r>
          </w:p>
        </w:tc>
        <w:tc>
          <w:tcPr>
            <w:tcW w:w="1110" w:type="dxa"/>
            <w:gridSpan w:val="2"/>
            <w:hideMark/>
          </w:tcPr>
          <w:p w14:paraId="0D8779A3" w14:textId="41C1EDE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15229EC" w14:textId="3D0859E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96</w:t>
            </w:r>
          </w:p>
        </w:tc>
        <w:tc>
          <w:tcPr>
            <w:tcW w:w="1110" w:type="dxa"/>
            <w:gridSpan w:val="2"/>
            <w:hideMark/>
          </w:tcPr>
          <w:p w14:paraId="681F160D" w14:textId="040FD7B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96</w:t>
            </w:r>
          </w:p>
        </w:tc>
        <w:tc>
          <w:tcPr>
            <w:tcW w:w="1118" w:type="dxa"/>
            <w:gridSpan w:val="2"/>
            <w:hideMark/>
          </w:tcPr>
          <w:p w14:paraId="0B9DF054" w14:textId="66902891"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96</w:t>
            </w:r>
          </w:p>
        </w:tc>
        <w:tc>
          <w:tcPr>
            <w:tcW w:w="810" w:type="dxa"/>
            <w:hideMark/>
          </w:tcPr>
          <w:p w14:paraId="451986CE" w14:textId="6936D96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96</w:t>
            </w:r>
          </w:p>
        </w:tc>
      </w:tr>
      <w:tr w:rsidR="004D73D3" w:rsidRPr="0048716F" w14:paraId="6DCE6A9B" w14:textId="77777777" w:rsidTr="00597AD8">
        <w:trPr>
          <w:trHeight w:val="864"/>
        </w:trPr>
        <w:tc>
          <w:tcPr>
            <w:tcW w:w="3885" w:type="dxa"/>
            <w:hideMark/>
          </w:tcPr>
          <w:p w14:paraId="0970969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2.2.3 Kryerja e vizitave në NJQV të ndryshme për të mbledhur të dhëna për zbatimin e Planit të Veprimit dhe për të identifikuar cështje për t’i diskutuar ato në takimet e KKAK.</w:t>
            </w:r>
          </w:p>
        </w:tc>
        <w:tc>
          <w:tcPr>
            <w:tcW w:w="1080" w:type="dxa"/>
            <w:noWrap/>
            <w:hideMark/>
          </w:tcPr>
          <w:p w14:paraId="3F4EA03C"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4665F52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507B1E2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noWrap/>
            <w:vAlign w:val="center"/>
            <w:hideMark/>
          </w:tcPr>
          <w:p w14:paraId="1E40AC7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NJQV /KKAK</w:t>
            </w:r>
          </w:p>
        </w:tc>
        <w:tc>
          <w:tcPr>
            <w:tcW w:w="1110" w:type="dxa"/>
            <w:gridSpan w:val="2"/>
            <w:hideMark/>
          </w:tcPr>
          <w:p w14:paraId="32251318" w14:textId="1E690F8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535A4C98" w14:textId="7C59AD3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1,800</w:t>
            </w:r>
          </w:p>
        </w:tc>
        <w:tc>
          <w:tcPr>
            <w:tcW w:w="1110" w:type="dxa"/>
            <w:gridSpan w:val="2"/>
            <w:hideMark/>
          </w:tcPr>
          <w:p w14:paraId="4A394AFE" w14:textId="76F5440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1,800</w:t>
            </w:r>
          </w:p>
        </w:tc>
        <w:tc>
          <w:tcPr>
            <w:tcW w:w="1118" w:type="dxa"/>
            <w:gridSpan w:val="2"/>
            <w:hideMark/>
          </w:tcPr>
          <w:p w14:paraId="12FEE212" w14:textId="1BDD359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1,800</w:t>
            </w:r>
          </w:p>
        </w:tc>
        <w:tc>
          <w:tcPr>
            <w:tcW w:w="810" w:type="dxa"/>
            <w:hideMark/>
          </w:tcPr>
          <w:p w14:paraId="57338050" w14:textId="1492784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1,800</w:t>
            </w:r>
          </w:p>
        </w:tc>
      </w:tr>
      <w:tr w:rsidR="004D73D3" w:rsidRPr="0048716F" w14:paraId="068379E7" w14:textId="77777777" w:rsidTr="00597AD8">
        <w:trPr>
          <w:trHeight w:val="1152"/>
        </w:trPr>
        <w:tc>
          <w:tcPr>
            <w:tcW w:w="3885" w:type="dxa"/>
            <w:hideMark/>
          </w:tcPr>
          <w:p w14:paraId="22DCAB94" w14:textId="0AC78104"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2.2.4 Përgatitja e raporteve vjetore me aktivitetet dhe rezultatet e vitit të KKAK.</w:t>
            </w:r>
          </w:p>
        </w:tc>
        <w:tc>
          <w:tcPr>
            <w:tcW w:w="1080" w:type="dxa"/>
            <w:noWrap/>
            <w:hideMark/>
          </w:tcPr>
          <w:p w14:paraId="06AF1C9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06E7AB50"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0A3DE3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Sekretariati</w:t>
            </w:r>
          </w:p>
        </w:tc>
        <w:tc>
          <w:tcPr>
            <w:tcW w:w="1521" w:type="dxa"/>
            <w:gridSpan w:val="2"/>
            <w:noWrap/>
            <w:vAlign w:val="center"/>
            <w:hideMark/>
          </w:tcPr>
          <w:p w14:paraId="29911975" w14:textId="521E174F" w:rsidR="004D73D3" w:rsidRPr="0048716F" w:rsidRDefault="004D73D3" w:rsidP="00597AD8">
            <w:pPr>
              <w:rPr>
                <w:rFonts w:eastAsia="Times New Roman"/>
                <w:color w:val="000000"/>
                <w:sz w:val="18"/>
                <w:szCs w:val="18"/>
                <w:lang w:val="en-US" w:eastAsia="en-US"/>
              </w:rPr>
            </w:pPr>
          </w:p>
        </w:tc>
        <w:tc>
          <w:tcPr>
            <w:tcW w:w="1110" w:type="dxa"/>
            <w:gridSpan w:val="2"/>
            <w:hideMark/>
          </w:tcPr>
          <w:p w14:paraId="3E8A74CC" w14:textId="7969A10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1110" w:type="dxa"/>
            <w:gridSpan w:val="3"/>
            <w:hideMark/>
          </w:tcPr>
          <w:p w14:paraId="60AF8C8A" w14:textId="1DB4540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1110" w:type="dxa"/>
            <w:gridSpan w:val="2"/>
            <w:hideMark/>
          </w:tcPr>
          <w:p w14:paraId="49AF64DF" w14:textId="016F82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1118" w:type="dxa"/>
            <w:gridSpan w:val="2"/>
            <w:hideMark/>
          </w:tcPr>
          <w:p w14:paraId="68BD9793" w14:textId="0E7BE96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c>
          <w:tcPr>
            <w:tcW w:w="810" w:type="dxa"/>
            <w:hideMark/>
          </w:tcPr>
          <w:p w14:paraId="4C6CD711" w14:textId="63E098B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136</w:t>
            </w:r>
          </w:p>
        </w:tc>
      </w:tr>
      <w:tr w:rsidR="004D73D3" w:rsidRPr="0048716F" w14:paraId="61BC4165" w14:textId="77777777" w:rsidTr="00597AD8">
        <w:trPr>
          <w:trHeight w:val="576"/>
        </w:trPr>
        <w:tc>
          <w:tcPr>
            <w:tcW w:w="3885" w:type="dxa"/>
            <w:hideMark/>
          </w:tcPr>
          <w:p w14:paraId="7CE83468" w14:textId="3A4F270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2.2.5 Pergatitja e raportit te rradhes të progresit për zbatimin e Konventës së Kombeve të Bashkuara</w:t>
            </w:r>
          </w:p>
        </w:tc>
        <w:tc>
          <w:tcPr>
            <w:tcW w:w="1080" w:type="dxa"/>
            <w:noWrap/>
            <w:hideMark/>
          </w:tcPr>
          <w:p w14:paraId="732F8166"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00841D6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noWrap/>
            <w:vAlign w:val="center"/>
            <w:hideMark/>
          </w:tcPr>
          <w:p w14:paraId="676952F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4EA16178"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20250852" w14:textId="513F62A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47BCEF74" w14:textId="305954C4"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w:t>
            </w:r>
          </w:p>
        </w:tc>
        <w:tc>
          <w:tcPr>
            <w:tcW w:w="1110" w:type="dxa"/>
            <w:gridSpan w:val="2"/>
            <w:hideMark/>
          </w:tcPr>
          <w:p w14:paraId="363B21CA" w14:textId="4F648A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175</w:t>
            </w:r>
          </w:p>
        </w:tc>
        <w:tc>
          <w:tcPr>
            <w:tcW w:w="1118" w:type="dxa"/>
            <w:gridSpan w:val="2"/>
            <w:hideMark/>
          </w:tcPr>
          <w:p w14:paraId="158C0466" w14:textId="265EA38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37917181" w14:textId="7629E45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C6674A3" w14:textId="77777777" w:rsidTr="00597AD8">
        <w:trPr>
          <w:trHeight w:val="864"/>
        </w:trPr>
        <w:tc>
          <w:tcPr>
            <w:tcW w:w="3885" w:type="dxa"/>
            <w:shd w:val="clear" w:color="000000" w:fill="FDE9D9"/>
            <w:hideMark/>
          </w:tcPr>
          <w:p w14:paraId="0E25B03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3.  Përmirësimi i funksionimit të KKAK lidhur me koordinimin e politikave publike në nivel horizontal dhe vertikal, të dedikuara për personat me aftësi të kufizuara</w:t>
            </w:r>
          </w:p>
        </w:tc>
        <w:tc>
          <w:tcPr>
            <w:tcW w:w="1080" w:type="dxa"/>
            <w:shd w:val="clear" w:color="000000" w:fill="FDE9D9"/>
            <w:vAlign w:val="center"/>
            <w:hideMark/>
          </w:tcPr>
          <w:p w14:paraId="56E6C0E4"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6D82D58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4F4668B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 / INSTAT</w:t>
            </w:r>
          </w:p>
        </w:tc>
        <w:tc>
          <w:tcPr>
            <w:tcW w:w="1521" w:type="dxa"/>
            <w:gridSpan w:val="2"/>
            <w:shd w:val="clear" w:color="000000" w:fill="FDE9D9"/>
            <w:vAlign w:val="center"/>
            <w:hideMark/>
          </w:tcPr>
          <w:p w14:paraId="5B2B479C"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Te gjitha institucionet</w:t>
            </w:r>
          </w:p>
        </w:tc>
        <w:tc>
          <w:tcPr>
            <w:tcW w:w="1110" w:type="dxa"/>
            <w:gridSpan w:val="2"/>
            <w:shd w:val="clear" w:color="000000" w:fill="FDE9D9"/>
            <w:hideMark/>
          </w:tcPr>
          <w:p w14:paraId="2667086F" w14:textId="75D7932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905</w:t>
            </w:r>
          </w:p>
        </w:tc>
        <w:tc>
          <w:tcPr>
            <w:tcW w:w="1110" w:type="dxa"/>
            <w:gridSpan w:val="3"/>
            <w:shd w:val="clear" w:color="000000" w:fill="FDE9D9"/>
            <w:hideMark/>
          </w:tcPr>
          <w:p w14:paraId="59BB5F37" w14:textId="058263D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1,305</w:t>
            </w:r>
          </w:p>
        </w:tc>
        <w:tc>
          <w:tcPr>
            <w:tcW w:w="1110" w:type="dxa"/>
            <w:gridSpan w:val="2"/>
            <w:shd w:val="clear" w:color="000000" w:fill="FDE9D9"/>
            <w:hideMark/>
          </w:tcPr>
          <w:p w14:paraId="0440B978" w14:textId="356C562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400</w:t>
            </w:r>
          </w:p>
        </w:tc>
        <w:tc>
          <w:tcPr>
            <w:tcW w:w="1118" w:type="dxa"/>
            <w:gridSpan w:val="2"/>
            <w:shd w:val="clear" w:color="000000" w:fill="FDE9D9"/>
            <w:hideMark/>
          </w:tcPr>
          <w:p w14:paraId="4217E711" w14:textId="4A0E853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810" w:type="dxa"/>
            <w:shd w:val="clear" w:color="000000" w:fill="FDE9D9"/>
            <w:hideMark/>
          </w:tcPr>
          <w:p w14:paraId="2A08530A" w14:textId="45E9A5AB"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05903012" w14:textId="77777777" w:rsidTr="00597AD8">
        <w:trPr>
          <w:trHeight w:val="288"/>
        </w:trPr>
        <w:tc>
          <w:tcPr>
            <w:tcW w:w="3885" w:type="dxa"/>
            <w:shd w:val="clear" w:color="000000" w:fill="DCE6F1"/>
            <w:hideMark/>
          </w:tcPr>
          <w:p w14:paraId="21954811"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3.1 Përmirësim i akteve ligjore e nënligjore</w:t>
            </w:r>
          </w:p>
        </w:tc>
        <w:tc>
          <w:tcPr>
            <w:tcW w:w="1080" w:type="dxa"/>
            <w:shd w:val="clear" w:color="000000" w:fill="DCE6F1"/>
            <w:vAlign w:val="center"/>
            <w:hideMark/>
          </w:tcPr>
          <w:p w14:paraId="76FA6626"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vAlign w:val="center"/>
            <w:hideMark/>
          </w:tcPr>
          <w:p w14:paraId="7F2DC5EC"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1A0EF42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 / INSTAT</w:t>
            </w:r>
          </w:p>
        </w:tc>
        <w:tc>
          <w:tcPr>
            <w:tcW w:w="1521" w:type="dxa"/>
            <w:gridSpan w:val="2"/>
            <w:shd w:val="clear" w:color="000000" w:fill="DCE6F1"/>
            <w:vAlign w:val="center"/>
            <w:hideMark/>
          </w:tcPr>
          <w:p w14:paraId="4ABA75E2"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Te gjitha institucionet</w:t>
            </w:r>
          </w:p>
        </w:tc>
        <w:tc>
          <w:tcPr>
            <w:tcW w:w="1110" w:type="dxa"/>
            <w:gridSpan w:val="2"/>
            <w:shd w:val="clear" w:color="000000" w:fill="DCE6F1"/>
            <w:hideMark/>
          </w:tcPr>
          <w:p w14:paraId="6E492B87" w14:textId="29D5CE87"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905</w:t>
            </w:r>
          </w:p>
        </w:tc>
        <w:tc>
          <w:tcPr>
            <w:tcW w:w="1110" w:type="dxa"/>
            <w:gridSpan w:val="3"/>
            <w:shd w:val="clear" w:color="000000" w:fill="DCE6F1"/>
            <w:hideMark/>
          </w:tcPr>
          <w:p w14:paraId="0817BE60" w14:textId="4023142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1,305</w:t>
            </w:r>
          </w:p>
        </w:tc>
        <w:tc>
          <w:tcPr>
            <w:tcW w:w="1110" w:type="dxa"/>
            <w:gridSpan w:val="2"/>
            <w:shd w:val="clear" w:color="000000" w:fill="DCE6F1"/>
            <w:hideMark/>
          </w:tcPr>
          <w:p w14:paraId="11EF24BF" w14:textId="048D0C15"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400</w:t>
            </w:r>
          </w:p>
        </w:tc>
        <w:tc>
          <w:tcPr>
            <w:tcW w:w="1118" w:type="dxa"/>
            <w:gridSpan w:val="2"/>
            <w:shd w:val="clear" w:color="000000" w:fill="DCE6F1"/>
            <w:hideMark/>
          </w:tcPr>
          <w:p w14:paraId="1E616BE3" w14:textId="72EDDB1D"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810" w:type="dxa"/>
            <w:shd w:val="clear" w:color="000000" w:fill="DCE6F1"/>
            <w:hideMark/>
          </w:tcPr>
          <w:p w14:paraId="1A74954B" w14:textId="41158279"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7264AFC4" w14:textId="77777777" w:rsidTr="00597AD8">
        <w:trPr>
          <w:trHeight w:val="864"/>
        </w:trPr>
        <w:tc>
          <w:tcPr>
            <w:tcW w:w="3885" w:type="dxa"/>
            <w:noWrap/>
            <w:vAlign w:val="center"/>
            <w:hideMark/>
          </w:tcPr>
          <w:p w14:paraId="0790E38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3.1.1      Rishikimi i VKM-së për mbledhjen e statistikave, në bashkëpunim me INSTAT, me qëllim përmirësimin e monitorimit të indikatorëve të Planit dhe dergimin ne KKAK të informacionit vjetor.</w:t>
            </w:r>
          </w:p>
        </w:tc>
        <w:tc>
          <w:tcPr>
            <w:tcW w:w="1080" w:type="dxa"/>
            <w:noWrap/>
            <w:hideMark/>
          </w:tcPr>
          <w:p w14:paraId="5C7491D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7F0BFE5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411" w:type="dxa"/>
            <w:vAlign w:val="center"/>
            <w:hideMark/>
          </w:tcPr>
          <w:p w14:paraId="0A28EE2E"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 INSTAT</w:t>
            </w:r>
          </w:p>
        </w:tc>
        <w:tc>
          <w:tcPr>
            <w:tcW w:w="1521" w:type="dxa"/>
            <w:gridSpan w:val="2"/>
            <w:vAlign w:val="center"/>
            <w:hideMark/>
          </w:tcPr>
          <w:p w14:paraId="5F46126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1E3C11DF" w14:textId="0A01287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905</w:t>
            </w:r>
          </w:p>
        </w:tc>
        <w:tc>
          <w:tcPr>
            <w:tcW w:w="1110" w:type="dxa"/>
            <w:gridSpan w:val="3"/>
            <w:hideMark/>
          </w:tcPr>
          <w:p w14:paraId="01864A71" w14:textId="07CC24D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905</w:t>
            </w:r>
          </w:p>
        </w:tc>
        <w:tc>
          <w:tcPr>
            <w:tcW w:w="1110" w:type="dxa"/>
            <w:gridSpan w:val="2"/>
            <w:hideMark/>
          </w:tcPr>
          <w:p w14:paraId="17E28DE5" w14:textId="7C1E1F9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696A508C" w14:textId="7A34BC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2EA105B5" w14:textId="1B1ABC3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9B52409" w14:textId="77777777" w:rsidTr="00597AD8">
        <w:trPr>
          <w:trHeight w:val="576"/>
        </w:trPr>
        <w:tc>
          <w:tcPr>
            <w:tcW w:w="3885" w:type="dxa"/>
            <w:noWrap/>
            <w:vAlign w:val="center"/>
            <w:hideMark/>
          </w:tcPr>
          <w:p w14:paraId="1BB7E93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3.1.2      Trajnimi për pikat fokale te ministrive për cështjet e AK, lidhur me mbledhjen e statistikave për aftësinë e kufizuar.</w:t>
            </w:r>
          </w:p>
        </w:tc>
        <w:tc>
          <w:tcPr>
            <w:tcW w:w="1080" w:type="dxa"/>
            <w:noWrap/>
            <w:hideMark/>
          </w:tcPr>
          <w:p w14:paraId="7979C15B"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4EFBC7F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411" w:type="dxa"/>
            <w:vAlign w:val="center"/>
            <w:hideMark/>
          </w:tcPr>
          <w:p w14:paraId="2C33AEB1"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 INSTAT</w:t>
            </w:r>
          </w:p>
        </w:tc>
        <w:tc>
          <w:tcPr>
            <w:tcW w:w="1521" w:type="dxa"/>
            <w:gridSpan w:val="2"/>
            <w:vAlign w:val="center"/>
            <w:hideMark/>
          </w:tcPr>
          <w:p w14:paraId="55C1933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7E3999CA" w14:textId="5A8AF229"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02CDE168" w14:textId="7E1D73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w:t>
            </w:r>
          </w:p>
        </w:tc>
        <w:tc>
          <w:tcPr>
            <w:tcW w:w="1110" w:type="dxa"/>
            <w:gridSpan w:val="2"/>
            <w:hideMark/>
          </w:tcPr>
          <w:p w14:paraId="2F4D1266" w14:textId="60A5242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400</w:t>
            </w:r>
          </w:p>
        </w:tc>
        <w:tc>
          <w:tcPr>
            <w:tcW w:w="1118" w:type="dxa"/>
            <w:gridSpan w:val="2"/>
            <w:hideMark/>
          </w:tcPr>
          <w:p w14:paraId="3AC78EB3" w14:textId="4DFD01A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14BA49FD" w14:textId="62000B4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0E63952D" w14:textId="77777777" w:rsidTr="00597AD8">
        <w:trPr>
          <w:trHeight w:val="864"/>
        </w:trPr>
        <w:tc>
          <w:tcPr>
            <w:tcW w:w="3885" w:type="dxa"/>
            <w:vAlign w:val="bottom"/>
            <w:hideMark/>
          </w:tcPr>
          <w:p w14:paraId="45343ECB" w14:textId="36BD7CEF"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3.1.3 Të shtohen të dhënat për aftësnë e kufizuar në Anketën e të Ardhurave dhe Nivelit të Jetesës (AANJ), në Anketën e Buxhetit të Familjes (ABF), Anketën e Forcave të Punës (AFP), etj.</w:t>
            </w:r>
          </w:p>
        </w:tc>
        <w:tc>
          <w:tcPr>
            <w:tcW w:w="1080" w:type="dxa"/>
            <w:noWrap/>
            <w:hideMark/>
          </w:tcPr>
          <w:p w14:paraId="0059BD3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0DBC23FF"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vAlign w:val="center"/>
            <w:hideMark/>
          </w:tcPr>
          <w:p w14:paraId="05BDB8A5"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 INSTAT</w:t>
            </w:r>
          </w:p>
        </w:tc>
        <w:tc>
          <w:tcPr>
            <w:tcW w:w="1521" w:type="dxa"/>
            <w:gridSpan w:val="2"/>
            <w:vAlign w:val="center"/>
            <w:hideMark/>
          </w:tcPr>
          <w:p w14:paraId="5A614CF7"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61D28683" w14:textId="1596A9A2"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647F3963" w14:textId="3DEF9A6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7FC97715" w14:textId="3E14D4A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6EEA64F3" w14:textId="10246D80"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312FB5F0" w14:textId="18A6934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4DCCDAB0" w14:textId="77777777" w:rsidTr="00597AD8">
        <w:trPr>
          <w:trHeight w:val="2592"/>
        </w:trPr>
        <w:tc>
          <w:tcPr>
            <w:tcW w:w="3885" w:type="dxa"/>
            <w:noWrap/>
            <w:hideMark/>
          </w:tcPr>
          <w:p w14:paraId="1D5EA2C9" w14:textId="77777777" w:rsidR="004D73D3" w:rsidRPr="0048716F" w:rsidRDefault="009A09D9" w:rsidP="0048716F">
            <w:pPr>
              <w:jc w:val="both"/>
              <w:rPr>
                <w:rFonts w:eastAsia="Times New Roman"/>
                <w:sz w:val="18"/>
                <w:szCs w:val="18"/>
                <w:lang w:val="en-US" w:eastAsia="en-US"/>
              </w:rPr>
            </w:pPr>
            <w:hyperlink r:id="rId23" w:anchor="RANGE!_edn1" w:history="1">
              <w:r w:rsidR="004D73D3" w:rsidRPr="0048716F">
                <w:rPr>
                  <w:rFonts w:eastAsia="Times New Roman"/>
                  <w:sz w:val="18"/>
                  <w:szCs w:val="18"/>
                  <w:lang w:val="en-US" w:eastAsia="en-US"/>
                </w:rPr>
                <w:t xml:space="preserve">3.1.4     Ngritja e Grupit Ndërinstitucional të Statistikave të Përfshirjes Sociale (GNSPS), i bashkëkryesuar nga Ministria e Shëndetësisë dhe Mirëqënies Sociale dhe INSTAT, që do të funksionojë me pjesëmarrjen e zyrtarëve të nivelit të lartë nga ministritë e linjës, INSTAT dhe institucionet kryesore qeveritare përgjegjëse për mbrojtjen sociale, punësimin, shëndetin, arsimin, strehimin, aksesin në drejtësi dhe të drejtat e njeriut si dhe të përfaqësuesve nga qarqet akademike dhe institutet kërkimore që do të mundësojë garantimin e mbledhjes dhe analizës së të dhënave administrative për gjininë, grupmoshën, përkatësinë etnike, orientimin seksual dhe aftësinë e kufizuar. </w:t>
              </w:r>
            </w:hyperlink>
          </w:p>
        </w:tc>
        <w:tc>
          <w:tcPr>
            <w:tcW w:w="1080" w:type="dxa"/>
            <w:noWrap/>
            <w:hideMark/>
          </w:tcPr>
          <w:p w14:paraId="5297BEC7"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2028</w:t>
            </w:r>
          </w:p>
        </w:tc>
        <w:tc>
          <w:tcPr>
            <w:tcW w:w="1260" w:type="dxa"/>
            <w:noWrap/>
            <w:hideMark/>
          </w:tcPr>
          <w:p w14:paraId="227EB641" w14:textId="496E0209" w:rsidR="004D73D3" w:rsidRPr="0048716F" w:rsidRDefault="004D73D3" w:rsidP="0048716F">
            <w:pPr>
              <w:jc w:val="both"/>
              <w:rPr>
                <w:rFonts w:eastAsia="Times New Roman"/>
                <w:color w:val="000000"/>
                <w:sz w:val="18"/>
                <w:szCs w:val="18"/>
                <w:lang w:val="en-US" w:eastAsia="en-US"/>
              </w:rPr>
            </w:pPr>
          </w:p>
        </w:tc>
        <w:tc>
          <w:tcPr>
            <w:tcW w:w="1411" w:type="dxa"/>
            <w:vAlign w:val="center"/>
            <w:hideMark/>
          </w:tcPr>
          <w:p w14:paraId="7222ACE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 / INSTAT</w:t>
            </w:r>
          </w:p>
        </w:tc>
        <w:tc>
          <w:tcPr>
            <w:tcW w:w="1521" w:type="dxa"/>
            <w:gridSpan w:val="2"/>
            <w:vAlign w:val="center"/>
            <w:hideMark/>
          </w:tcPr>
          <w:p w14:paraId="3750438E"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1D3C816B" w14:textId="65AB339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353DAFC0" w14:textId="169C9977"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1A8C3657" w14:textId="0122086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100D5610" w14:textId="14F8623E"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6AAB6EF7" w14:textId="2A3B63D3"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18F9B764" w14:textId="77777777" w:rsidTr="00597AD8">
        <w:trPr>
          <w:trHeight w:val="576"/>
        </w:trPr>
        <w:tc>
          <w:tcPr>
            <w:tcW w:w="3885" w:type="dxa"/>
            <w:shd w:val="clear" w:color="000000" w:fill="FDE9D9"/>
            <w:hideMark/>
          </w:tcPr>
          <w:p w14:paraId="46EE6D6D"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Objektivi specifik 4 . Objektivi specifik 4: Nxitja e bashkëpunimit rajonal për zbatimin e KDPAK</w:t>
            </w:r>
          </w:p>
        </w:tc>
        <w:tc>
          <w:tcPr>
            <w:tcW w:w="1080" w:type="dxa"/>
            <w:shd w:val="clear" w:color="000000" w:fill="FDE9D9"/>
            <w:vAlign w:val="center"/>
            <w:hideMark/>
          </w:tcPr>
          <w:p w14:paraId="43E8C01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FDE9D9"/>
            <w:vAlign w:val="center"/>
            <w:hideMark/>
          </w:tcPr>
          <w:p w14:paraId="531F30B7"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FDE9D9"/>
            <w:vAlign w:val="center"/>
            <w:hideMark/>
          </w:tcPr>
          <w:p w14:paraId="6E9CB2F2"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FDE9D9"/>
            <w:vAlign w:val="center"/>
            <w:hideMark/>
          </w:tcPr>
          <w:p w14:paraId="0C89DF49"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Te gjitha institucionet</w:t>
            </w:r>
          </w:p>
        </w:tc>
        <w:tc>
          <w:tcPr>
            <w:tcW w:w="1110" w:type="dxa"/>
            <w:gridSpan w:val="2"/>
            <w:shd w:val="clear" w:color="000000" w:fill="FDE9D9"/>
            <w:hideMark/>
          </w:tcPr>
          <w:p w14:paraId="2047A041" w14:textId="715A9BA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FDE9D9"/>
            <w:hideMark/>
          </w:tcPr>
          <w:p w14:paraId="76DBA1F2" w14:textId="4DC798D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1,500</w:t>
            </w:r>
          </w:p>
        </w:tc>
        <w:tc>
          <w:tcPr>
            <w:tcW w:w="1110" w:type="dxa"/>
            <w:gridSpan w:val="2"/>
            <w:shd w:val="clear" w:color="000000" w:fill="FDE9D9"/>
            <w:hideMark/>
          </w:tcPr>
          <w:p w14:paraId="62E0B3ED" w14:textId="1CA3B0F0"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1,500</w:t>
            </w:r>
          </w:p>
        </w:tc>
        <w:tc>
          <w:tcPr>
            <w:tcW w:w="1118" w:type="dxa"/>
            <w:gridSpan w:val="2"/>
            <w:shd w:val="clear" w:color="000000" w:fill="FDE9D9"/>
            <w:hideMark/>
          </w:tcPr>
          <w:p w14:paraId="61638468" w14:textId="5B82320C"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1,500</w:t>
            </w:r>
          </w:p>
        </w:tc>
        <w:tc>
          <w:tcPr>
            <w:tcW w:w="810" w:type="dxa"/>
            <w:shd w:val="clear" w:color="000000" w:fill="FDE9D9"/>
            <w:hideMark/>
          </w:tcPr>
          <w:p w14:paraId="41DB668B" w14:textId="6541A2C3"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4F7496D7" w14:textId="77777777" w:rsidTr="00597AD8">
        <w:trPr>
          <w:trHeight w:val="576"/>
        </w:trPr>
        <w:tc>
          <w:tcPr>
            <w:tcW w:w="3885" w:type="dxa"/>
            <w:shd w:val="clear" w:color="000000" w:fill="DCE6F1"/>
            <w:hideMark/>
          </w:tcPr>
          <w:p w14:paraId="3EFD4973"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Masa prioritare 4.1 Organizim dhe pjesëmarrje në aktivitete ndërkombëtare</w:t>
            </w:r>
          </w:p>
        </w:tc>
        <w:tc>
          <w:tcPr>
            <w:tcW w:w="1080" w:type="dxa"/>
            <w:shd w:val="clear" w:color="000000" w:fill="DCE6F1"/>
            <w:vAlign w:val="center"/>
            <w:hideMark/>
          </w:tcPr>
          <w:p w14:paraId="15F79D9E"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2026</w:t>
            </w:r>
          </w:p>
        </w:tc>
        <w:tc>
          <w:tcPr>
            <w:tcW w:w="1260" w:type="dxa"/>
            <w:shd w:val="clear" w:color="000000" w:fill="DCE6F1"/>
            <w:vAlign w:val="center"/>
            <w:hideMark/>
          </w:tcPr>
          <w:p w14:paraId="57666BE5"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val="en-US" w:eastAsia="en-US"/>
              </w:rPr>
              <w:t>2030</w:t>
            </w:r>
          </w:p>
        </w:tc>
        <w:tc>
          <w:tcPr>
            <w:tcW w:w="1411" w:type="dxa"/>
            <w:shd w:val="clear" w:color="000000" w:fill="DCE6F1"/>
            <w:vAlign w:val="center"/>
            <w:hideMark/>
          </w:tcPr>
          <w:p w14:paraId="0F46248F" w14:textId="77777777" w:rsidR="004D73D3" w:rsidRPr="0048716F" w:rsidRDefault="004D73D3" w:rsidP="0048716F">
            <w:pPr>
              <w:jc w:val="both"/>
              <w:rPr>
                <w:rFonts w:eastAsia="Times New Roman"/>
                <w:b/>
                <w:bCs/>
                <w:color w:val="000000"/>
                <w:sz w:val="18"/>
                <w:szCs w:val="18"/>
                <w:lang w:val="en-US" w:eastAsia="en-US"/>
              </w:rPr>
            </w:pPr>
            <w:r w:rsidRPr="0048716F">
              <w:rPr>
                <w:rFonts w:eastAsia="Times New Roman"/>
                <w:b/>
                <w:bCs/>
                <w:color w:val="000000"/>
                <w:sz w:val="18"/>
                <w:szCs w:val="18"/>
                <w:lang w:eastAsia="en-US"/>
              </w:rPr>
              <w:t>MSHMS</w:t>
            </w:r>
          </w:p>
        </w:tc>
        <w:tc>
          <w:tcPr>
            <w:tcW w:w="1521" w:type="dxa"/>
            <w:gridSpan w:val="2"/>
            <w:shd w:val="clear" w:color="000000" w:fill="DCE6F1"/>
            <w:vAlign w:val="center"/>
            <w:hideMark/>
          </w:tcPr>
          <w:p w14:paraId="10F538CD" w14:textId="77777777" w:rsidR="004D73D3" w:rsidRPr="0048716F" w:rsidRDefault="004D73D3" w:rsidP="00597AD8">
            <w:pPr>
              <w:rPr>
                <w:rFonts w:eastAsia="Times New Roman"/>
                <w:b/>
                <w:bCs/>
                <w:color w:val="000000"/>
                <w:sz w:val="18"/>
                <w:szCs w:val="18"/>
                <w:lang w:val="en-US" w:eastAsia="en-US"/>
              </w:rPr>
            </w:pPr>
            <w:r w:rsidRPr="0048716F">
              <w:rPr>
                <w:rFonts w:eastAsia="Times New Roman"/>
                <w:b/>
                <w:bCs/>
                <w:color w:val="000000"/>
                <w:sz w:val="18"/>
                <w:szCs w:val="18"/>
                <w:lang w:eastAsia="en-US"/>
              </w:rPr>
              <w:t>Te gjitha institucionet</w:t>
            </w:r>
          </w:p>
        </w:tc>
        <w:tc>
          <w:tcPr>
            <w:tcW w:w="1110" w:type="dxa"/>
            <w:gridSpan w:val="2"/>
            <w:shd w:val="clear" w:color="000000" w:fill="DCE6F1"/>
            <w:hideMark/>
          </w:tcPr>
          <w:p w14:paraId="2A90C274" w14:textId="0E6DFC28"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c>
          <w:tcPr>
            <w:tcW w:w="1110" w:type="dxa"/>
            <w:gridSpan w:val="3"/>
            <w:shd w:val="clear" w:color="000000" w:fill="DCE6F1"/>
            <w:hideMark/>
          </w:tcPr>
          <w:p w14:paraId="0E80958A" w14:textId="456DC496"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1,500</w:t>
            </w:r>
          </w:p>
        </w:tc>
        <w:tc>
          <w:tcPr>
            <w:tcW w:w="1110" w:type="dxa"/>
            <w:gridSpan w:val="2"/>
            <w:shd w:val="clear" w:color="000000" w:fill="DCE6F1"/>
            <w:hideMark/>
          </w:tcPr>
          <w:p w14:paraId="75F587DA" w14:textId="7BC61384"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1,500</w:t>
            </w:r>
          </w:p>
        </w:tc>
        <w:tc>
          <w:tcPr>
            <w:tcW w:w="1118" w:type="dxa"/>
            <w:gridSpan w:val="2"/>
            <w:shd w:val="clear" w:color="000000" w:fill="DCE6F1"/>
            <w:hideMark/>
          </w:tcPr>
          <w:p w14:paraId="6769A34A" w14:textId="6B821FEA"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1,500</w:t>
            </w:r>
          </w:p>
        </w:tc>
        <w:tc>
          <w:tcPr>
            <w:tcW w:w="810" w:type="dxa"/>
            <w:shd w:val="clear" w:color="000000" w:fill="DCE6F1"/>
            <w:hideMark/>
          </w:tcPr>
          <w:p w14:paraId="5AAA39B4" w14:textId="358C567E" w:rsidR="004D73D3" w:rsidRPr="0048716F" w:rsidRDefault="004D73D3" w:rsidP="0048716F">
            <w:pPr>
              <w:jc w:val="both"/>
              <w:rPr>
                <w:rFonts w:eastAsia="Times New Roman"/>
                <w:b/>
                <w:bCs/>
                <w:color w:val="000000"/>
                <w:sz w:val="14"/>
                <w:szCs w:val="14"/>
                <w:lang w:val="en-US" w:eastAsia="en-US"/>
              </w:rPr>
            </w:pPr>
            <w:r w:rsidRPr="0048716F">
              <w:rPr>
                <w:rFonts w:eastAsia="Times New Roman"/>
                <w:b/>
                <w:bCs/>
                <w:color w:val="000000"/>
                <w:sz w:val="14"/>
                <w:szCs w:val="14"/>
                <w:lang w:val="en-US" w:eastAsia="en-US"/>
              </w:rPr>
              <w:t>-</w:t>
            </w:r>
          </w:p>
        </w:tc>
      </w:tr>
      <w:tr w:rsidR="004D73D3" w:rsidRPr="0048716F" w14:paraId="50B6E5BF" w14:textId="77777777" w:rsidTr="00597AD8">
        <w:trPr>
          <w:trHeight w:val="1152"/>
        </w:trPr>
        <w:tc>
          <w:tcPr>
            <w:tcW w:w="3885" w:type="dxa"/>
            <w:noWrap/>
            <w:hideMark/>
          </w:tcPr>
          <w:p w14:paraId="46CB97E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4.1.1      Organizimi  i 1 konferencave rajonale për shkëmbimin e praktikave pozitive në trajtimin e fushave të reformave (d.m.th. vendimmarrja e mbështetur, përgatitja e shërbimeve komunitare, nxitja e sipërmarrjes sociale).</w:t>
            </w:r>
          </w:p>
        </w:tc>
        <w:tc>
          <w:tcPr>
            <w:tcW w:w="1080" w:type="dxa"/>
            <w:noWrap/>
            <w:hideMark/>
          </w:tcPr>
          <w:p w14:paraId="0B8EBAE2"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2027</w:t>
            </w:r>
          </w:p>
        </w:tc>
        <w:tc>
          <w:tcPr>
            <w:tcW w:w="1260" w:type="dxa"/>
            <w:noWrap/>
            <w:hideMark/>
          </w:tcPr>
          <w:p w14:paraId="7DA4144A"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2029</w:t>
            </w:r>
          </w:p>
        </w:tc>
        <w:tc>
          <w:tcPr>
            <w:tcW w:w="1411" w:type="dxa"/>
            <w:noWrap/>
            <w:vAlign w:val="center"/>
            <w:hideMark/>
          </w:tcPr>
          <w:p w14:paraId="1AAB50D3"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39485E62"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2859A421" w14:textId="7843B9EF"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11FA4741" w14:textId="2CFE9E66"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0" w:type="dxa"/>
            <w:gridSpan w:val="2"/>
            <w:hideMark/>
          </w:tcPr>
          <w:p w14:paraId="498C441B" w14:textId="4D775F3D"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1118" w:type="dxa"/>
            <w:gridSpan w:val="2"/>
            <w:hideMark/>
          </w:tcPr>
          <w:p w14:paraId="251DA231" w14:textId="0D71EDF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1,500</w:t>
            </w:r>
          </w:p>
        </w:tc>
        <w:tc>
          <w:tcPr>
            <w:tcW w:w="810" w:type="dxa"/>
            <w:hideMark/>
          </w:tcPr>
          <w:p w14:paraId="7CE3F83B" w14:textId="4E26E3C5"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r w:rsidR="004D73D3" w:rsidRPr="0048716F" w14:paraId="2504CA0A" w14:textId="77777777" w:rsidTr="00597AD8">
        <w:trPr>
          <w:trHeight w:val="576"/>
        </w:trPr>
        <w:tc>
          <w:tcPr>
            <w:tcW w:w="3885" w:type="dxa"/>
            <w:noWrap/>
            <w:hideMark/>
          </w:tcPr>
          <w:p w14:paraId="1398A30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4.1.2     Pjesëmarrje në konferenca rajonale në BE dhe rajonin e Ballkanit për grumbullimin e mësimeve të nxjerra dhe informacionit për praktika pozitive.</w:t>
            </w:r>
          </w:p>
        </w:tc>
        <w:tc>
          <w:tcPr>
            <w:tcW w:w="1080" w:type="dxa"/>
            <w:noWrap/>
            <w:hideMark/>
          </w:tcPr>
          <w:p w14:paraId="61B35128"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2026</w:t>
            </w:r>
          </w:p>
        </w:tc>
        <w:tc>
          <w:tcPr>
            <w:tcW w:w="1260" w:type="dxa"/>
            <w:noWrap/>
            <w:hideMark/>
          </w:tcPr>
          <w:p w14:paraId="373D50E9"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val="en-US" w:eastAsia="en-US"/>
              </w:rPr>
              <w:t>2030</w:t>
            </w:r>
          </w:p>
        </w:tc>
        <w:tc>
          <w:tcPr>
            <w:tcW w:w="1411" w:type="dxa"/>
            <w:noWrap/>
            <w:vAlign w:val="center"/>
            <w:hideMark/>
          </w:tcPr>
          <w:p w14:paraId="4655CB44" w14:textId="77777777" w:rsidR="004D73D3" w:rsidRPr="0048716F" w:rsidRDefault="004D73D3" w:rsidP="0048716F">
            <w:pPr>
              <w:jc w:val="both"/>
              <w:rPr>
                <w:rFonts w:eastAsia="Times New Roman"/>
                <w:color w:val="000000"/>
                <w:sz w:val="18"/>
                <w:szCs w:val="18"/>
                <w:lang w:val="en-US" w:eastAsia="en-US"/>
              </w:rPr>
            </w:pPr>
            <w:r w:rsidRPr="0048716F">
              <w:rPr>
                <w:rFonts w:eastAsia="Times New Roman"/>
                <w:color w:val="000000"/>
                <w:sz w:val="18"/>
                <w:szCs w:val="18"/>
                <w:lang w:eastAsia="en-US"/>
              </w:rPr>
              <w:t>MSHMS</w:t>
            </w:r>
          </w:p>
        </w:tc>
        <w:tc>
          <w:tcPr>
            <w:tcW w:w="1521" w:type="dxa"/>
            <w:gridSpan w:val="2"/>
            <w:vAlign w:val="center"/>
            <w:hideMark/>
          </w:tcPr>
          <w:p w14:paraId="6463DAA0" w14:textId="77777777" w:rsidR="004D73D3" w:rsidRPr="0048716F" w:rsidRDefault="004D73D3" w:rsidP="00597AD8">
            <w:pPr>
              <w:rPr>
                <w:rFonts w:eastAsia="Times New Roman"/>
                <w:color w:val="000000"/>
                <w:sz w:val="18"/>
                <w:szCs w:val="18"/>
                <w:lang w:val="en-US" w:eastAsia="en-US"/>
              </w:rPr>
            </w:pPr>
            <w:r w:rsidRPr="0048716F">
              <w:rPr>
                <w:rFonts w:eastAsia="Times New Roman"/>
                <w:color w:val="000000"/>
                <w:sz w:val="18"/>
                <w:szCs w:val="18"/>
                <w:lang w:eastAsia="en-US"/>
              </w:rPr>
              <w:t>Te gjitha institucionet</w:t>
            </w:r>
          </w:p>
        </w:tc>
        <w:tc>
          <w:tcPr>
            <w:tcW w:w="1110" w:type="dxa"/>
            <w:gridSpan w:val="2"/>
            <w:hideMark/>
          </w:tcPr>
          <w:p w14:paraId="65C70DAE" w14:textId="3474D18A"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3"/>
            <w:hideMark/>
          </w:tcPr>
          <w:p w14:paraId="2064B916" w14:textId="4A3EEADB"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0" w:type="dxa"/>
            <w:gridSpan w:val="2"/>
            <w:hideMark/>
          </w:tcPr>
          <w:p w14:paraId="531D318B" w14:textId="19171E5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1118" w:type="dxa"/>
            <w:gridSpan w:val="2"/>
            <w:hideMark/>
          </w:tcPr>
          <w:p w14:paraId="22029650" w14:textId="745E0B3C"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c>
          <w:tcPr>
            <w:tcW w:w="810" w:type="dxa"/>
            <w:hideMark/>
          </w:tcPr>
          <w:p w14:paraId="584D355B" w14:textId="34FECE68" w:rsidR="004D73D3" w:rsidRPr="0048716F" w:rsidRDefault="004D73D3" w:rsidP="0048716F">
            <w:pPr>
              <w:jc w:val="both"/>
              <w:rPr>
                <w:rFonts w:eastAsia="Times New Roman"/>
                <w:i/>
                <w:iCs/>
                <w:color w:val="000000"/>
                <w:sz w:val="14"/>
                <w:szCs w:val="14"/>
                <w:lang w:val="en-US" w:eastAsia="en-US"/>
              </w:rPr>
            </w:pPr>
            <w:r w:rsidRPr="0048716F">
              <w:rPr>
                <w:rFonts w:eastAsia="Times New Roman"/>
                <w:i/>
                <w:iCs/>
                <w:color w:val="000000"/>
                <w:sz w:val="14"/>
                <w:szCs w:val="14"/>
                <w:lang w:val="en-US" w:eastAsia="en-US"/>
              </w:rPr>
              <w:t>-</w:t>
            </w:r>
          </w:p>
        </w:tc>
      </w:tr>
    </w:tbl>
    <w:p w14:paraId="4AAB4CDB" w14:textId="77777777" w:rsidR="00461450" w:rsidRPr="00CB13F7" w:rsidRDefault="00461450" w:rsidP="0048716F">
      <w:pPr>
        <w:pStyle w:val="NoSpacing"/>
        <w:spacing w:before="120" w:after="120" w:line="276" w:lineRule="auto"/>
        <w:jc w:val="both"/>
      </w:pPr>
    </w:p>
    <w:sectPr w:rsidR="00461450" w:rsidRPr="00CB13F7" w:rsidSect="0046145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90A9" w14:textId="77777777" w:rsidR="009A09D9" w:rsidRDefault="009A09D9" w:rsidP="00435B05">
      <w:r>
        <w:separator/>
      </w:r>
    </w:p>
  </w:endnote>
  <w:endnote w:type="continuationSeparator" w:id="0">
    <w:p w14:paraId="2B05B617" w14:textId="77777777" w:rsidR="009A09D9" w:rsidRDefault="009A09D9" w:rsidP="0043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C95D" w14:textId="2F4111C6" w:rsidR="00817FC2" w:rsidRPr="00682777" w:rsidRDefault="00817FC2" w:rsidP="00682777">
    <w:pPr>
      <w:pStyle w:val="Footer"/>
      <w:jc w:val="right"/>
    </w:pPr>
    <w:r w:rsidRPr="00682777">
      <w:fldChar w:fldCharType="begin"/>
    </w:r>
    <w:r w:rsidRPr="00682777">
      <w:instrText xml:space="preserve"> PAGE   \* MERGEFORMAT </w:instrText>
    </w:r>
    <w:r w:rsidRPr="00682777">
      <w:fldChar w:fldCharType="separate"/>
    </w:r>
    <w:r w:rsidR="00D3224E">
      <w:rPr>
        <w:noProof/>
      </w:rPr>
      <w:t>2</w:t>
    </w:r>
    <w:r w:rsidRPr="00682777">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D888" w14:textId="77777777" w:rsidR="00817FC2" w:rsidRDefault="00817F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C4D9" w14:textId="064F61C3" w:rsidR="00817FC2" w:rsidRDefault="00817FC2">
    <w:pPr>
      <w:pStyle w:val="Footer"/>
      <w:jc w:val="right"/>
    </w:pPr>
    <w:r>
      <w:fldChar w:fldCharType="begin"/>
    </w:r>
    <w:r>
      <w:instrText xml:space="preserve"> PAGE   \* MERGEFORMAT </w:instrText>
    </w:r>
    <w:r>
      <w:fldChar w:fldCharType="separate"/>
    </w:r>
    <w:r w:rsidR="00D3224E">
      <w:rPr>
        <w:noProof/>
      </w:rPr>
      <w:t>185</w:t>
    </w:r>
    <w:r>
      <w:fldChar w:fldCharType="end"/>
    </w:r>
  </w:p>
  <w:p w14:paraId="1CEA8569" w14:textId="77777777" w:rsidR="00817FC2" w:rsidRDefault="00817FC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58CE" w14:textId="77777777" w:rsidR="00817FC2" w:rsidRDefault="00817F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F72D3" w14:textId="77777777" w:rsidR="009A09D9" w:rsidRDefault="009A09D9" w:rsidP="00435B05">
      <w:r>
        <w:separator/>
      </w:r>
    </w:p>
  </w:footnote>
  <w:footnote w:type="continuationSeparator" w:id="0">
    <w:p w14:paraId="140346E9" w14:textId="77777777" w:rsidR="009A09D9" w:rsidRDefault="009A09D9" w:rsidP="00435B05">
      <w:r>
        <w:continuationSeparator/>
      </w:r>
    </w:p>
  </w:footnote>
  <w:footnote w:id="1">
    <w:p w14:paraId="189ABA21"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Organizata e Kombeve të Bashkuara. (2006). Konventa për të Drejtat e Personave me Aftësi të Kufizuara.</w:t>
      </w:r>
    </w:p>
  </w:footnote>
  <w:footnote w:id="2">
    <w:p w14:paraId="02E34062"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Organizata e Kombeve të Bashkuara. (2015). Transformimi i botës sonë: Agjenda 2030 për Zhvillimin e Qëndrueshëm. OKB.</w:t>
      </w:r>
    </w:p>
  </w:footnote>
  <w:footnote w:id="3">
    <w:p w14:paraId="6329B283"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Komisioni Evropian. (2021). Bashkimi i Barazisë: Strategjia për të Drejtat e Personave me Aftësi të Kufizuara 2021-2030. Komisioni Evropian.</w:t>
      </w:r>
    </w:p>
  </w:footnote>
  <w:footnote w:id="4">
    <w:p w14:paraId="51B22D4C"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Bashkimi Evropian. (2019). Direktiva (BE) 2019/882 për kërkesat e aksesueshmërisë për produktet dhe shërbimet (Akti Evropian i Aksesueshmërisë). Gazeta Zyrtare e Bashkimit Evropian.</w:t>
      </w:r>
    </w:p>
  </w:footnote>
  <w:footnote w:id="5">
    <w:p w14:paraId="3B80A80F"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Komisioni Evropian. (2022). </w:t>
      </w:r>
      <w:r w:rsidRPr="00EF69D7">
        <w:rPr>
          <w:rStyle w:val="Emphasis"/>
          <w:rFonts w:ascii="Times New Roman" w:hAnsi="Times New Roman"/>
          <w:sz w:val="18"/>
          <w:szCs w:val="18"/>
          <w:lang w:val="sq-AL"/>
        </w:rPr>
        <w:t>Udhëzues për jetesën e pavarur dhe përfshirjen në komunitet për personat me aftësi të kufizuara</w:t>
      </w:r>
      <w:r w:rsidRPr="00EF69D7">
        <w:rPr>
          <w:rFonts w:ascii="Times New Roman" w:hAnsi="Times New Roman"/>
          <w:sz w:val="18"/>
          <w:szCs w:val="18"/>
          <w:lang w:val="sq-AL"/>
        </w:rPr>
        <w:t>. Komisioni Evropian</w:t>
      </w:r>
    </w:p>
  </w:footnote>
  <w:footnote w:id="6">
    <w:p w14:paraId="51BC0D0F" w14:textId="77777777" w:rsidR="00817FC2" w:rsidRPr="00682777" w:rsidRDefault="00817FC2" w:rsidP="00521728">
      <w:pPr>
        <w:pStyle w:val="NoSpacing"/>
        <w:tabs>
          <w:tab w:val="left" w:pos="180"/>
        </w:tabs>
        <w:adjustRightInd w:val="0"/>
        <w:snapToGrid w:val="0"/>
        <w:ind w:left="180" w:hanging="180"/>
        <w:jc w:val="both"/>
        <w:rPr>
          <w:rFonts w:ascii="Times New Roman" w:hAnsi="Times New Roman"/>
          <w:sz w:val="20"/>
          <w:szCs w:val="20"/>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Këshilli i Ministrave i Republikës së Shqipërisë. (2022). </w:t>
      </w:r>
      <w:r w:rsidRPr="00EF69D7">
        <w:rPr>
          <w:rFonts w:ascii="Times New Roman" w:hAnsi="Times New Roman"/>
          <w:i/>
          <w:iCs/>
          <w:sz w:val="18"/>
          <w:szCs w:val="18"/>
          <w:lang w:val="sq-AL"/>
        </w:rPr>
        <w:t>Strategjia Kombëtare për Zhvillim dhe Integrim Evropian (SKZHIE)</w:t>
      </w:r>
      <w:r w:rsidRPr="00EF69D7">
        <w:rPr>
          <w:rFonts w:ascii="Times New Roman" w:hAnsi="Times New Roman"/>
          <w:sz w:val="18"/>
          <w:szCs w:val="18"/>
          <w:lang w:val="sq-AL"/>
        </w:rPr>
        <w:t>. Këshilli i Ministrave.</w:t>
      </w:r>
    </w:p>
  </w:footnote>
  <w:footnote w:id="7">
    <w:p w14:paraId="364DC879"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Këshilli i Ministrave i Republikës së Shqipërisë. (2024). </w:t>
      </w:r>
      <w:r w:rsidRPr="00EF69D7">
        <w:rPr>
          <w:rFonts w:ascii="Times New Roman" w:hAnsi="Times New Roman"/>
          <w:i/>
          <w:iCs/>
          <w:sz w:val="18"/>
          <w:szCs w:val="18"/>
          <w:lang w:val="sq-AL"/>
        </w:rPr>
        <w:t>Strategjia Ndërsektoriale e Drejtësisë 2024-2030</w:t>
      </w:r>
      <w:r w:rsidRPr="00EF69D7">
        <w:rPr>
          <w:rFonts w:ascii="Times New Roman" w:hAnsi="Times New Roman"/>
          <w:sz w:val="18"/>
          <w:szCs w:val="18"/>
          <w:lang w:val="sq-AL"/>
        </w:rPr>
        <w:t>. Miratuar me VKM nr. 787, datë 18.12.2024.</w:t>
      </w:r>
    </w:p>
  </w:footnote>
  <w:footnote w:id="8">
    <w:p w14:paraId="6110A37F"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Këshilli i Ministrave i Republikës së Shqipërisë. (2023). </w:t>
      </w:r>
      <w:r w:rsidRPr="00EF69D7">
        <w:rPr>
          <w:rFonts w:ascii="Times New Roman" w:hAnsi="Times New Roman"/>
          <w:i/>
          <w:iCs/>
          <w:sz w:val="18"/>
          <w:szCs w:val="18"/>
          <w:lang w:val="sq-AL"/>
        </w:rPr>
        <w:t>Strategjia Ndërsektoriale për Mbrojtjen e Viktimave të Krimit 2024-2030</w:t>
      </w:r>
      <w:r w:rsidRPr="00EF69D7">
        <w:rPr>
          <w:rFonts w:ascii="Times New Roman" w:hAnsi="Times New Roman"/>
          <w:sz w:val="18"/>
          <w:szCs w:val="18"/>
          <w:lang w:val="sq-AL"/>
        </w:rPr>
        <w:t>. Miratuar me VKM nr. 729, datë 13.12.2023.</w:t>
      </w:r>
    </w:p>
  </w:footnote>
  <w:footnote w:id="9">
    <w:p w14:paraId="565D1B4C"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Këshilli i Ministrave i Republikës së Shqipërisë. (2022). </w:t>
      </w:r>
      <w:r w:rsidRPr="00EF69D7">
        <w:rPr>
          <w:rFonts w:ascii="Times New Roman" w:hAnsi="Times New Roman"/>
          <w:i/>
          <w:iCs/>
          <w:sz w:val="18"/>
          <w:szCs w:val="18"/>
          <w:lang w:val="sq-AL"/>
        </w:rPr>
        <w:t>Strategjia Ndërsektoriale e Drejtësisë për të Mitur 2022-2026</w:t>
      </w:r>
      <w:r w:rsidRPr="00EF69D7">
        <w:rPr>
          <w:rFonts w:ascii="Times New Roman" w:hAnsi="Times New Roman"/>
          <w:sz w:val="18"/>
          <w:szCs w:val="18"/>
          <w:lang w:val="sq-AL"/>
        </w:rPr>
        <w:t>. Miratuar me VKM nr. 892, datë 27.12.2022.</w:t>
      </w:r>
    </w:p>
  </w:footnote>
  <w:footnote w:id="10">
    <w:p w14:paraId="4CED1C7C"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Ministria e Financave dhe Ekonomisë. (2022). </w:t>
      </w:r>
      <w:r w:rsidRPr="00EF69D7">
        <w:rPr>
          <w:rFonts w:ascii="Times New Roman" w:hAnsi="Times New Roman"/>
          <w:i/>
          <w:iCs/>
          <w:sz w:val="18"/>
          <w:szCs w:val="18"/>
          <w:lang w:val="sq-AL"/>
        </w:rPr>
        <w:t>Strategjia Kombëtare për Punësim dhe Aftësi 2023-2030</w:t>
      </w:r>
      <w:r w:rsidRPr="00EF69D7">
        <w:rPr>
          <w:rFonts w:ascii="Times New Roman" w:hAnsi="Times New Roman"/>
          <w:sz w:val="18"/>
          <w:szCs w:val="18"/>
          <w:lang w:val="sq-AL"/>
        </w:rPr>
        <w:t>. Qeveria e Republikës së Shqipërisë.</w:t>
      </w:r>
    </w:p>
  </w:footnote>
  <w:footnote w:id="11">
    <w:p w14:paraId="3F6A8DC6"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Këshilli i Ministrave i Republikës së Shqipërisë. (2021). </w:t>
      </w:r>
      <w:r w:rsidRPr="00EF69D7">
        <w:rPr>
          <w:rFonts w:ascii="Times New Roman" w:hAnsi="Times New Roman"/>
          <w:i/>
          <w:iCs/>
          <w:sz w:val="18"/>
          <w:szCs w:val="18"/>
          <w:lang w:val="sq-AL"/>
        </w:rPr>
        <w:t>Strategjia Kombëtare për Arsimin 2021-2026</w:t>
      </w:r>
      <w:r w:rsidRPr="00EF69D7">
        <w:rPr>
          <w:rFonts w:ascii="Times New Roman" w:hAnsi="Times New Roman"/>
          <w:sz w:val="18"/>
          <w:szCs w:val="18"/>
          <w:lang w:val="sq-AL"/>
        </w:rPr>
        <w:t>. Miratuar me VKM nr. 621, datë 22.10.2021.</w:t>
      </w:r>
    </w:p>
  </w:footnote>
  <w:footnote w:id="12">
    <w:p w14:paraId="75CDBEC4"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Ministria e Shëndetësisë dhe Mbrojtjes Sociale. (2024). </w:t>
      </w:r>
      <w:r w:rsidRPr="00EF69D7">
        <w:rPr>
          <w:rFonts w:ascii="Times New Roman" w:hAnsi="Times New Roman"/>
          <w:i/>
          <w:iCs/>
          <w:sz w:val="18"/>
          <w:szCs w:val="18"/>
          <w:lang w:val="sq-AL"/>
        </w:rPr>
        <w:t>Strategjia Kombëtare për Mbrojtjen Sociale 2024-2030 dhe plani i veprimit</w:t>
      </w:r>
      <w:r w:rsidRPr="00EF69D7">
        <w:rPr>
          <w:rFonts w:ascii="Times New Roman" w:hAnsi="Times New Roman"/>
          <w:sz w:val="18"/>
          <w:szCs w:val="18"/>
          <w:lang w:val="sq-AL"/>
        </w:rPr>
        <w:t>. Qeveria e Republikës së Shqipërisë.</w:t>
      </w:r>
    </w:p>
    <w:p w14:paraId="711C5D3C"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Fonts w:ascii="Times New Roman" w:hAnsi="Times New Roman"/>
          <w:sz w:val="18"/>
          <w:szCs w:val="18"/>
          <w:lang w:val="sq-AL"/>
        </w:rPr>
        <w:t xml:space="preserve"> Ministria e Shëndetësisë dhe Mbrojtjes Sociale. (2024). </w:t>
      </w:r>
      <w:r w:rsidRPr="00EF69D7">
        <w:rPr>
          <w:rFonts w:ascii="Times New Roman" w:hAnsi="Times New Roman"/>
          <w:i/>
          <w:iCs/>
          <w:sz w:val="18"/>
          <w:szCs w:val="18"/>
          <w:lang w:val="sq-AL"/>
        </w:rPr>
        <w:t>Dokumenti i Politikave të Përfshirjes Sociale 2024-2028</w:t>
      </w:r>
      <w:r w:rsidRPr="00EF69D7">
        <w:rPr>
          <w:rFonts w:ascii="Times New Roman" w:hAnsi="Times New Roman"/>
          <w:sz w:val="18"/>
          <w:szCs w:val="18"/>
          <w:lang w:val="sq-AL"/>
        </w:rPr>
        <w:t>. Qeveria e Republikës së Shqipërisë.</w:t>
      </w:r>
    </w:p>
  </w:footnote>
  <w:footnote w:id="13">
    <w:p w14:paraId="6831C68C"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Ministria e Shëndetësisë dhe Mbrojtjes Sociale. (2021). </w:t>
      </w:r>
      <w:r w:rsidRPr="00EF69D7">
        <w:rPr>
          <w:rFonts w:ascii="Times New Roman" w:hAnsi="Times New Roman"/>
          <w:i/>
          <w:iCs/>
          <w:sz w:val="18"/>
          <w:szCs w:val="18"/>
          <w:lang w:val="sq-AL"/>
        </w:rPr>
        <w:t>Strategjia Kombëtare e Shëndetësisë 2021-2030</w:t>
      </w:r>
      <w:r w:rsidRPr="00EF69D7">
        <w:rPr>
          <w:rFonts w:ascii="Times New Roman" w:hAnsi="Times New Roman"/>
          <w:sz w:val="18"/>
          <w:szCs w:val="18"/>
          <w:lang w:val="sq-AL"/>
        </w:rPr>
        <w:t>. Qeveria e Republikës së Shqipërisë.</w:t>
      </w:r>
    </w:p>
  </w:footnote>
  <w:footnote w:id="14">
    <w:p w14:paraId="589ADD86" w14:textId="77777777" w:rsidR="00817FC2" w:rsidRPr="00EF69D7"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Këshilli i Ministrave i Republikës së Shqipërisë. (2020). </w:t>
      </w:r>
      <w:r w:rsidRPr="00EF69D7">
        <w:rPr>
          <w:rFonts w:ascii="Times New Roman" w:hAnsi="Times New Roman"/>
          <w:i/>
          <w:iCs/>
          <w:sz w:val="18"/>
          <w:szCs w:val="18"/>
          <w:lang w:val="sq-AL"/>
        </w:rPr>
        <w:t>Strategjia e Zhvillimit të Shërbimeve të Kujdesit Shëndetësor Parësor në Shqipëri 2020-2025</w:t>
      </w:r>
      <w:r w:rsidRPr="00EF69D7">
        <w:rPr>
          <w:rFonts w:ascii="Times New Roman" w:hAnsi="Times New Roman"/>
          <w:sz w:val="18"/>
          <w:szCs w:val="18"/>
          <w:lang w:val="sq-AL"/>
        </w:rPr>
        <w:t>. Miratuar me VKM nr. 405, datë 20.05.2020</w:t>
      </w:r>
    </w:p>
  </w:footnote>
  <w:footnote w:id="15">
    <w:p w14:paraId="48313066" w14:textId="77777777" w:rsidR="00817FC2" w:rsidRPr="00EF69D7" w:rsidRDefault="00817FC2" w:rsidP="00521728">
      <w:pPr>
        <w:pStyle w:val="NoSpacing"/>
        <w:tabs>
          <w:tab w:val="left" w:pos="180"/>
        </w:tabs>
        <w:adjustRightInd w:val="0"/>
        <w:snapToGrid w:val="0"/>
        <w:ind w:left="180" w:hanging="180"/>
        <w:jc w:val="both"/>
        <w:rPr>
          <w:rFonts w:ascii="Times New Roman" w:eastAsia="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w:t>
      </w:r>
      <w:r w:rsidRPr="00EF69D7">
        <w:rPr>
          <w:rFonts w:ascii="Times New Roman" w:eastAsia="Times New Roman" w:hAnsi="Times New Roman"/>
          <w:sz w:val="18"/>
          <w:szCs w:val="18"/>
          <w:lang w:val="sq-AL"/>
        </w:rPr>
        <w:t xml:space="preserve">Ministria e Kulturës, Rinisë dhe Sportit. (2019). </w:t>
      </w:r>
      <w:r w:rsidRPr="00EF69D7">
        <w:rPr>
          <w:rFonts w:ascii="Times New Roman" w:eastAsia="Times New Roman" w:hAnsi="Times New Roman"/>
          <w:i/>
          <w:iCs/>
          <w:sz w:val="18"/>
          <w:szCs w:val="18"/>
          <w:lang w:val="sq-AL"/>
        </w:rPr>
        <w:t>Strategjia Kombëtare për Kulturën 2019-2025</w:t>
      </w:r>
      <w:r w:rsidRPr="00EF69D7">
        <w:rPr>
          <w:rFonts w:ascii="Times New Roman" w:eastAsia="Times New Roman" w:hAnsi="Times New Roman"/>
          <w:sz w:val="18"/>
          <w:szCs w:val="18"/>
          <w:lang w:val="sq-AL"/>
        </w:rPr>
        <w:t>. Miratuar me VKM nr. 903, datë 24.12.2019.</w:t>
      </w:r>
    </w:p>
  </w:footnote>
  <w:footnote w:id="16">
    <w:p w14:paraId="221AA747" w14:textId="77777777" w:rsidR="00817FC2" w:rsidRPr="00EF69D7" w:rsidRDefault="00817FC2" w:rsidP="00521728">
      <w:pPr>
        <w:pStyle w:val="NoSpacing"/>
        <w:tabs>
          <w:tab w:val="left" w:pos="180"/>
        </w:tabs>
        <w:adjustRightInd w:val="0"/>
        <w:snapToGrid w:val="0"/>
        <w:ind w:left="180" w:hanging="180"/>
        <w:jc w:val="both"/>
        <w:rPr>
          <w:rFonts w:ascii="Times New Roman" w:eastAsia="Times New Roman" w:hAnsi="Times New Roman"/>
          <w:sz w:val="18"/>
          <w:szCs w:val="18"/>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w:t>
      </w:r>
      <w:r w:rsidRPr="00EF69D7">
        <w:rPr>
          <w:rFonts w:ascii="Times New Roman" w:eastAsia="Times New Roman" w:hAnsi="Times New Roman"/>
          <w:sz w:val="18"/>
          <w:szCs w:val="18"/>
          <w:lang w:val="sq-AL"/>
        </w:rPr>
        <w:t xml:space="preserve">Këshilli i Ministrave i Republikës së Shqipërisë. (2025). </w:t>
      </w:r>
      <w:r w:rsidRPr="00EF69D7">
        <w:rPr>
          <w:rFonts w:ascii="Times New Roman" w:eastAsia="Times New Roman" w:hAnsi="Times New Roman"/>
          <w:i/>
          <w:iCs/>
          <w:sz w:val="18"/>
          <w:szCs w:val="18"/>
          <w:lang w:val="sq-AL"/>
        </w:rPr>
        <w:t>Strategjia Kombëtare e Turizmit 2024-2030</w:t>
      </w:r>
      <w:r w:rsidRPr="00EF69D7">
        <w:rPr>
          <w:rFonts w:ascii="Times New Roman" w:eastAsia="Times New Roman" w:hAnsi="Times New Roman"/>
          <w:sz w:val="18"/>
          <w:szCs w:val="18"/>
          <w:lang w:val="sq-AL"/>
        </w:rPr>
        <w:t>. Qeveria e Republikës së Shqipërisë.</w:t>
      </w:r>
    </w:p>
  </w:footnote>
  <w:footnote w:id="17">
    <w:p w14:paraId="739009AF" w14:textId="77777777" w:rsidR="00817FC2" w:rsidRPr="00682777" w:rsidRDefault="00817FC2" w:rsidP="00521728">
      <w:pPr>
        <w:pStyle w:val="NoSpacing"/>
        <w:tabs>
          <w:tab w:val="left" w:pos="180"/>
        </w:tabs>
        <w:adjustRightInd w:val="0"/>
        <w:snapToGrid w:val="0"/>
        <w:ind w:left="180" w:hanging="180"/>
        <w:jc w:val="both"/>
        <w:rPr>
          <w:rFonts w:ascii="Times New Roman" w:eastAsia="Times New Roman" w:hAnsi="Times New Roman"/>
          <w:sz w:val="20"/>
          <w:szCs w:val="20"/>
          <w:lang w:val="sq-AL"/>
        </w:rPr>
      </w:pPr>
      <w:r w:rsidRPr="00EF69D7">
        <w:rPr>
          <w:rStyle w:val="FootnoteReference"/>
          <w:rFonts w:ascii="Times New Roman" w:hAnsi="Times New Roman"/>
          <w:sz w:val="18"/>
          <w:szCs w:val="18"/>
          <w:lang w:val="sq-AL"/>
        </w:rPr>
        <w:footnoteRef/>
      </w:r>
      <w:r w:rsidRPr="00EF69D7">
        <w:rPr>
          <w:rFonts w:ascii="Times New Roman" w:hAnsi="Times New Roman"/>
          <w:sz w:val="18"/>
          <w:szCs w:val="18"/>
          <w:lang w:val="sq-AL"/>
        </w:rPr>
        <w:t xml:space="preserve"> </w:t>
      </w:r>
      <w:r w:rsidRPr="00EF69D7">
        <w:rPr>
          <w:rFonts w:ascii="Times New Roman" w:eastAsia="Times New Roman" w:hAnsi="Times New Roman"/>
          <w:sz w:val="18"/>
          <w:szCs w:val="18"/>
          <w:lang w:val="sq-AL"/>
        </w:rPr>
        <w:t xml:space="preserve">Ministria përgjegjëse për sportin, Republika e Shqipërisë. (2025). </w:t>
      </w:r>
      <w:r w:rsidRPr="00EF69D7">
        <w:rPr>
          <w:rFonts w:ascii="Times New Roman" w:eastAsia="Times New Roman" w:hAnsi="Times New Roman"/>
          <w:i/>
          <w:iCs/>
          <w:sz w:val="18"/>
          <w:szCs w:val="18"/>
          <w:lang w:val="sq-AL"/>
        </w:rPr>
        <w:t>Strategjia Kombëtare për Sportin 2025-2030</w:t>
      </w:r>
      <w:r w:rsidRPr="00EF69D7">
        <w:rPr>
          <w:rFonts w:ascii="Times New Roman" w:eastAsia="Times New Roman" w:hAnsi="Times New Roman"/>
          <w:sz w:val="18"/>
          <w:szCs w:val="18"/>
          <w:lang w:val="sq-AL"/>
        </w:rPr>
        <w:t>. Qeveria e Republikës së Shqipërisë.</w:t>
      </w:r>
    </w:p>
  </w:footnote>
  <w:footnote w:id="18">
    <w:p w14:paraId="77D075EF" w14:textId="77777777" w:rsidR="00817FC2" w:rsidRPr="00EF69D7" w:rsidRDefault="00817FC2" w:rsidP="00521728">
      <w:pPr>
        <w:pStyle w:val="FootnoteText"/>
        <w:tabs>
          <w:tab w:val="left" w:pos="180"/>
        </w:tabs>
        <w:adjustRightInd w:val="0"/>
        <w:snapToGrid w:val="0"/>
        <w:ind w:left="180" w:hanging="180"/>
        <w:jc w:val="both"/>
        <w:rPr>
          <w:rFonts w:ascii="Times New Roman" w:hAnsi="Times New Roman"/>
          <w:sz w:val="18"/>
          <w:szCs w:val="18"/>
        </w:rPr>
      </w:pPr>
      <w:r w:rsidRPr="00EF69D7">
        <w:rPr>
          <w:rStyle w:val="FootnoteReference"/>
          <w:rFonts w:ascii="Times New Roman" w:hAnsi="Times New Roman"/>
          <w:sz w:val="18"/>
          <w:szCs w:val="18"/>
        </w:rPr>
        <w:footnoteRef/>
      </w:r>
      <w:r w:rsidRPr="00EF69D7">
        <w:rPr>
          <w:rFonts w:ascii="Times New Roman" w:hAnsi="Times New Roman"/>
          <w:sz w:val="18"/>
          <w:szCs w:val="18"/>
        </w:rPr>
        <w:t xml:space="preserve"> Komisioni Evropian. (2020). </w:t>
      </w:r>
      <w:r w:rsidRPr="00EF69D7">
        <w:rPr>
          <w:rStyle w:val="Emphasis"/>
          <w:rFonts w:ascii="Times New Roman" w:hAnsi="Times New Roman"/>
          <w:sz w:val="18"/>
          <w:szCs w:val="18"/>
        </w:rPr>
        <w:t>Metodologjia e zgjerimit: Përmirësimi i procesit të anëtarësimit</w:t>
      </w:r>
      <w:r w:rsidRPr="00EF69D7">
        <w:rPr>
          <w:rFonts w:ascii="Times New Roman" w:hAnsi="Times New Roman"/>
          <w:sz w:val="18"/>
          <w:szCs w:val="18"/>
        </w:rPr>
        <w:t>. Komisioni Evropian.</w:t>
      </w:r>
    </w:p>
  </w:footnote>
  <w:footnote w:id="19">
    <w:p w14:paraId="1349394E" w14:textId="77777777" w:rsidR="00817FC2" w:rsidRPr="00132C9A" w:rsidRDefault="00817FC2" w:rsidP="00521728">
      <w:pPr>
        <w:pStyle w:val="FootnoteText"/>
        <w:tabs>
          <w:tab w:val="left" w:pos="180"/>
        </w:tabs>
        <w:adjustRightInd w:val="0"/>
        <w:snapToGrid w:val="0"/>
        <w:ind w:left="180" w:hanging="180"/>
        <w:jc w:val="both"/>
        <w:rPr>
          <w:rFonts w:ascii="Times New Roman" w:hAnsi="Times New Roman"/>
          <w:sz w:val="18"/>
          <w:szCs w:val="18"/>
        </w:rPr>
      </w:pPr>
      <w:r w:rsidRPr="00132C9A">
        <w:rPr>
          <w:rStyle w:val="FootnoteReference"/>
          <w:rFonts w:ascii="Times New Roman" w:hAnsi="Times New Roman"/>
          <w:sz w:val="18"/>
          <w:szCs w:val="18"/>
        </w:rPr>
        <w:footnoteRef/>
      </w:r>
      <w:r w:rsidRPr="00132C9A">
        <w:rPr>
          <w:rFonts w:ascii="Times New Roman" w:hAnsi="Times New Roman"/>
          <w:sz w:val="18"/>
          <w:szCs w:val="18"/>
        </w:rPr>
        <w:t>"Për përfshirjen dhe aksesueshmërinë e personave me aftësi të kufizuara”</w:t>
      </w:r>
    </w:p>
  </w:footnote>
  <w:footnote w:id="20">
    <w:p w14:paraId="7B2812F7"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132C9A">
        <w:rPr>
          <w:rStyle w:val="FootnoteReference"/>
          <w:rFonts w:ascii="Times New Roman" w:hAnsi="Times New Roman"/>
          <w:sz w:val="18"/>
          <w:szCs w:val="18"/>
        </w:rPr>
        <w:footnoteRef/>
      </w:r>
      <w:r w:rsidRPr="00132C9A">
        <w:rPr>
          <w:rFonts w:ascii="Times New Roman" w:hAnsi="Times New Roman"/>
          <w:sz w:val="18"/>
          <w:szCs w:val="18"/>
        </w:rPr>
        <w:t xml:space="preserve"> “Për përcaktimin e masave për mënjanimin e pengesave në komunikim dhe infrastrukturë në ofrimin e shërbimeve publike për personat me aftësi të kufizuara”.</w:t>
      </w:r>
    </w:p>
  </w:footnote>
  <w:footnote w:id="21">
    <w:p w14:paraId="33DA2104" w14:textId="77777777" w:rsidR="00817FC2" w:rsidRPr="00682777" w:rsidRDefault="00817FC2" w:rsidP="00A5641F">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Raporti </w:t>
      </w:r>
      <w:r>
        <w:rPr>
          <w:rFonts w:ascii="Times New Roman" w:hAnsi="Times New Roman"/>
        </w:rPr>
        <w:t>i</w:t>
      </w:r>
      <w:r w:rsidRPr="00682777">
        <w:rPr>
          <w:rFonts w:ascii="Times New Roman" w:hAnsi="Times New Roman"/>
        </w:rPr>
        <w:t xml:space="preserve"> Monitorimit të Zbatimit të PKVPAK, 2021-2025. MSHMS. 2026.</w:t>
      </w:r>
    </w:p>
  </w:footnote>
  <w:footnote w:id="22">
    <w:p w14:paraId="13B4C87B" w14:textId="77777777" w:rsidR="00817FC2" w:rsidRPr="00587BB1" w:rsidRDefault="00817FC2" w:rsidP="00B50124">
      <w:pPr>
        <w:pStyle w:val="NoSpacing"/>
        <w:tabs>
          <w:tab w:val="left" w:pos="180"/>
        </w:tabs>
        <w:adjustRightInd w:val="0"/>
        <w:snapToGrid w:val="0"/>
        <w:ind w:left="180" w:hanging="180"/>
        <w:jc w:val="both"/>
        <w:rPr>
          <w:rFonts w:ascii="Times New Roman" w:hAnsi="Times New Roman"/>
          <w:sz w:val="18"/>
          <w:szCs w:val="18"/>
          <w:lang w:val="sq-AL"/>
        </w:rPr>
      </w:pPr>
      <w:r w:rsidRPr="00587BB1">
        <w:rPr>
          <w:rStyle w:val="FootnoteReference"/>
          <w:rFonts w:ascii="Times New Roman" w:hAnsi="Times New Roman"/>
          <w:sz w:val="18"/>
          <w:szCs w:val="18"/>
          <w:lang w:val="sq-AL"/>
        </w:rPr>
        <w:footnoteRef/>
      </w:r>
      <w:r w:rsidRPr="00587BB1">
        <w:rPr>
          <w:rFonts w:ascii="Times New Roman" w:hAnsi="Times New Roman"/>
          <w:sz w:val="18"/>
          <w:szCs w:val="18"/>
          <w:lang w:val="sq-AL"/>
        </w:rPr>
        <w:t xml:space="preserve"> Ligji nr. 108/2012 datë 15.11.2012 “Për ratifikimin e Konventës së OKB-së “Për të drejtat e personave me aftësi të kufizuara”</w:t>
      </w:r>
    </w:p>
  </w:footnote>
  <w:footnote w:id="23">
    <w:p w14:paraId="38EBB9EC" w14:textId="77777777" w:rsidR="00817FC2" w:rsidRPr="00587BB1" w:rsidRDefault="00817FC2" w:rsidP="00B50124">
      <w:pPr>
        <w:pStyle w:val="NoSpacing"/>
        <w:tabs>
          <w:tab w:val="left" w:pos="180"/>
        </w:tabs>
        <w:adjustRightInd w:val="0"/>
        <w:snapToGrid w:val="0"/>
        <w:ind w:left="180" w:hanging="180"/>
        <w:jc w:val="both"/>
        <w:rPr>
          <w:rFonts w:ascii="Times New Roman" w:hAnsi="Times New Roman"/>
          <w:sz w:val="18"/>
          <w:szCs w:val="18"/>
          <w:lang w:val="sq-AL"/>
        </w:rPr>
      </w:pPr>
      <w:r w:rsidRPr="00587BB1">
        <w:rPr>
          <w:rStyle w:val="FootnoteReference"/>
          <w:rFonts w:ascii="Times New Roman" w:hAnsi="Times New Roman"/>
          <w:sz w:val="18"/>
          <w:szCs w:val="18"/>
          <w:lang w:val="sq-AL"/>
        </w:rPr>
        <w:footnoteRef/>
      </w:r>
      <w:r w:rsidRPr="00587BB1">
        <w:rPr>
          <w:rFonts w:ascii="Times New Roman" w:hAnsi="Times New Roman"/>
          <w:sz w:val="18"/>
          <w:szCs w:val="18"/>
          <w:lang w:val="sq-AL"/>
        </w:rPr>
        <w:t xml:space="preserve">  EU Disability Strategy 2021-2030</w:t>
      </w:r>
    </w:p>
  </w:footnote>
  <w:footnote w:id="24">
    <w:p w14:paraId="4B0AA1BA" w14:textId="77777777" w:rsidR="00817FC2" w:rsidRPr="00587BB1"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587BB1">
        <w:rPr>
          <w:rStyle w:val="FootnoteReference"/>
          <w:rFonts w:ascii="Times New Roman" w:hAnsi="Times New Roman"/>
          <w:sz w:val="18"/>
          <w:szCs w:val="18"/>
          <w:lang w:val="sq-AL"/>
        </w:rPr>
        <w:footnoteRef/>
      </w:r>
      <w:r w:rsidRPr="00587BB1">
        <w:rPr>
          <w:rFonts w:ascii="Times New Roman" w:hAnsi="Times New Roman"/>
          <w:sz w:val="18"/>
          <w:szCs w:val="18"/>
          <w:lang w:val="sq-AL"/>
        </w:rPr>
        <w:t xml:space="preserve"> </w:t>
      </w:r>
      <w:r w:rsidRPr="00587BB1">
        <w:rPr>
          <w:rStyle w:val="Strong"/>
          <w:rFonts w:ascii="Times New Roman" w:hAnsi="Times New Roman"/>
          <w:b w:val="0"/>
          <w:bCs w:val="0"/>
          <w:sz w:val="18"/>
          <w:szCs w:val="18"/>
          <w:lang w:val="sq-AL"/>
        </w:rPr>
        <w:t>Directive (EU) 2019/882 of the European Parliament and of the Council on accessibility requirements for products and services.</w:t>
      </w:r>
    </w:p>
  </w:footnote>
  <w:footnote w:id="25">
    <w:p w14:paraId="71EB4ADD" w14:textId="77777777" w:rsidR="00817FC2" w:rsidRPr="00587BB1" w:rsidRDefault="00817FC2" w:rsidP="00521728">
      <w:pPr>
        <w:tabs>
          <w:tab w:val="left" w:pos="180"/>
        </w:tabs>
        <w:adjustRightInd w:val="0"/>
        <w:snapToGrid w:val="0"/>
        <w:ind w:left="180" w:hanging="180"/>
        <w:jc w:val="both"/>
        <w:rPr>
          <w:sz w:val="18"/>
          <w:szCs w:val="18"/>
        </w:rPr>
      </w:pPr>
      <w:r w:rsidRPr="00587BB1">
        <w:rPr>
          <w:sz w:val="18"/>
          <w:szCs w:val="18"/>
        </w:rPr>
        <w:tab/>
        <w:t>Ligji nr. 93/2014, datë 24.7.2014 “Për përfshirjen dhe aksesueshmërinë e personave me aftësi të kufizuara”</w:t>
      </w:r>
    </w:p>
    <w:p w14:paraId="6AA3E882" w14:textId="77777777" w:rsidR="00817FC2" w:rsidRPr="00682777" w:rsidRDefault="00817FC2" w:rsidP="00521728">
      <w:pPr>
        <w:pStyle w:val="NoSpacing"/>
        <w:tabs>
          <w:tab w:val="left" w:pos="180"/>
        </w:tabs>
        <w:adjustRightInd w:val="0"/>
        <w:snapToGrid w:val="0"/>
        <w:ind w:left="180" w:hanging="180"/>
        <w:jc w:val="both"/>
        <w:rPr>
          <w:rFonts w:ascii="Times New Roman" w:hAnsi="Times New Roman"/>
          <w:sz w:val="20"/>
          <w:szCs w:val="20"/>
          <w:lang w:val="sq-AL"/>
        </w:rPr>
      </w:pPr>
      <w:r w:rsidRPr="00587BB1">
        <w:rPr>
          <w:rFonts w:ascii="Times New Roman" w:eastAsia="Times New Roman" w:hAnsi="Times New Roman"/>
          <w:sz w:val="18"/>
          <w:szCs w:val="18"/>
          <w:lang w:val="sq-AL"/>
        </w:rPr>
        <w:tab/>
        <w:t>Direktiva (BE) 2016/2102 për aksesueshmërinë e faqeve të internetit dhe aplikacioneve mobile të institucioneve publike.</w:t>
      </w:r>
    </w:p>
  </w:footnote>
  <w:footnote w:id="26">
    <w:p w14:paraId="2D1BB68B" w14:textId="77777777" w:rsidR="00817FC2" w:rsidRPr="00587BB1" w:rsidRDefault="00817FC2" w:rsidP="00521728">
      <w:pPr>
        <w:pStyle w:val="NoSpacing"/>
        <w:tabs>
          <w:tab w:val="left" w:pos="180"/>
        </w:tabs>
        <w:adjustRightInd w:val="0"/>
        <w:snapToGrid w:val="0"/>
        <w:ind w:left="180" w:hanging="180"/>
        <w:jc w:val="both"/>
        <w:rPr>
          <w:rFonts w:ascii="Times New Roman" w:hAnsi="Times New Roman"/>
          <w:sz w:val="18"/>
          <w:szCs w:val="18"/>
          <w:lang w:val="sq-AL"/>
        </w:rPr>
      </w:pPr>
      <w:r w:rsidRPr="00587BB1">
        <w:rPr>
          <w:rStyle w:val="FootnoteReference"/>
          <w:rFonts w:ascii="Times New Roman" w:hAnsi="Times New Roman"/>
          <w:sz w:val="18"/>
          <w:szCs w:val="18"/>
          <w:lang w:val="sq-AL"/>
        </w:rPr>
        <w:footnoteRef/>
      </w:r>
      <w:r w:rsidRPr="00587BB1">
        <w:rPr>
          <w:rFonts w:ascii="Times New Roman" w:hAnsi="Times New Roman"/>
          <w:sz w:val="18"/>
          <w:szCs w:val="18"/>
          <w:lang w:val="sq-AL"/>
        </w:rPr>
        <w:t xml:space="preserve"> Strategjia e Mbrojtjes Sociale/Strategjia e Punësimit, Strategjia e Arsimit</w:t>
      </w:r>
    </w:p>
  </w:footnote>
  <w:footnote w:id="27">
    <w:p w14:paraId="1B36BAE1" w14:textId="222F3BDB" w:rsidR="00817FC2" w:rsidRPr="00587BB1" w:rsidRDefault="00817FC2" w:rsidP="00521728">
      <w:pPr>
        <w:tabs>
          <w:tab w:val="left" w:pos="180"/>
        </w:tabs>
        <w:adjustRightInd w:val="0"/>
        <w:snapToGrid w:val="0"/>
        <w:ind w:left="180" w:hanging="180"/>
        <w:jc w:val="both"/>
        <w:rPr>
          <w:sz w:val="18"/>
          <w:szCs w:val="18"/>
        </w:rPr>
      </w:pPr>
      <w:r w:rsidRPr="00587BB1">
        <w:rPr>
          <w:rStyle w:val="FootnoteReference"/>
          <w:sz w:val="18"/>
          <w:szCs w:val="18"/>
        </w:rPr>
        <w:footnoteRef/>
      </w:r>
      <w:r w:rsidRPr="00587BB1">
        <w:rPr>
          <w:sz w:val="18"/>
          <w:szCs w:val="18"/>
        </w:rPr>
        <w:t xml:space="preserve"> Ligjin nr. 27/2018 “Për Trashëgiminë Kulturore dhe Muzetë”.</w:t>
      </w:r>
    </w:p>
    <w:p w14:paraId="1DAC0F0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p>
  </w:footnote>
  <w:footnote w:id="28">
    <w:p w14:paraId="6CCA19DF" w14:textId="77777777" w:rsidR="00817FC2" w:rsidRPr="007345E8" w:rsidRDefault="00817FC2" w:rsidP="00521728">
      <w:pPr>
        <w:pStyle w:val="FootnoteText"/>
        <w:tabs>
          <w:tab w:val="left" w:pos="180"/>
        </w:tabs>
        <w:adjustRightInd w:val="0"/>
        <w:snapToGrid w:val="0"/>
        <w:ind w:left="180" w:hanging="180"/>
        <w:jc w:val="both"/>
        <w:rPr>
          <w:rFonts w:ascii="Times New Roman" w:hAnsi="Times New Roman"/>
          <w:sz w:val="18"/>
          <w:szCs w:val="18"/>
        </w:rPr>
      </w:pPr>
      <w:r w:rsidRPr="007345E8">
        <w:rPr>
          <w:rStyle w:val="FootnoteReference"/>
          <w:rFonts w:ascii="Times New Roman" w:hAnsi="Times New Roman"/>
          <w:sz w:val="18"/>
          <w:szCs w:val="18"/>
        </w:rPr>
        <w:footnoteRef/>
      </w:r>
      <w:r w:rsidRPr="007345E8">
        <w:rPr>
          <w:rFonts w:ascii="Times New Roman" w:hAnsi="Times New Roman"/>
          <w:sz w:val="18"/>
          <w:szCs w:val="18"/>
        </w:rPr>
        <w:t xml:space="preserve"> European Union standards on the rights of passengers with disabilities</w:t>
      </w:r>
    </w:p>
  </w:footnote>
  <w:footnote w:id="29">
    <w:p w14:paraId="204F6A0A" w14:textId="77777777" w:rsidR="00817FC2" w:rsidRPr="007345E8" w:rsidRDefault="00817FC2" w:rsidP="661F9D2E">
      <w:pPr>
        <w:pStyle w:val="NormalWeb"/>
        <w:tabs>
          <w:tab w:val="left" w:pos="180"/>
        </w:tabs>
        <w:adjustRightInd w:val="0"/>
        <w:snapToGrid w:val="0"/>
        <w:spacing w:before="0" w:beforeAutospacing="0" w:after="0" w:afterAutospacing="0"/>
        <w:ind w:left="180" w:hanging="180"/>
        <w:jc w:val="both"/>
        <w:rPr>
          <w:sz w:val="16"/>
          <w:szCs w:val="16"/>
          <w:lang w:val="sq-AL"/>
        </w:rPr>
      </w:pPr>
      <w:r w:rsidRPr="007345E8">
        <w:rPr>
          <w:rStyle w:val="FootnoteReference"/>
          <w:sz w:val="16"/>
          <w:szCs w:val="16"/>
          <w:lang w:val="sq-AL"/>
        </w:rPr>
        <w:footnoteRef/>
      </w:r>
      <w:r w:rsidRPr="007345E8">
        <w:rPr>
          <w:sz w:val="16"/>
          <w:szCs w:val="16"/>
          <w:lang w:val="sq-AL"/>
        </w:rPr>
        <w:t xml:space="preserve"> </w:t>
      </w:r>
      <w:r w:rsidRPr="007345E8">
        <w:rPr>
          <w:rStyle w:val="Strong"/>
          <w:b w:val="0"/>
          <w:bCs w:val="0"/>
          <w:sz w:val="16"/>
          <w:szCs w:val="16"/>
          <w:lang w:val="sq-AL"/>
        </w:rPr>
        <w:t>International standards for web accessibility /</w:t>
      </w:r>
      <w:r w:rsidRPr="007345E8">
        <w:rPr>
          <w:sz w:val="16"/>
          <w:szCs w:val="16"/>
          <w:lang w:val="sq-AL"/>
        </w:rPr>
        <w:t xml:space="preserve"> </w:t>
      </w:r>
      <w:r w:rsidRPr="007345E8">
        <w:rPr>
          <w:rStyle w:val="Strong"/>
          <w:b w:val="0"/>
          <w:bCs w:val="0"/>
          <w:sz w:val="16"/>
          <w:szCs w:val="16"/>
          <w:lang w:val="sq-AL"/>
        </w:rPr>
        <w:t>WCAG (Web Content Accessibility Guidelines)</w:t>
      </w:r>
      <w:r w:rsidRPr="007345E8">
        <w:rPr>
          <w:sz w:val="16"/>
          <w:szCs w:val="16"/>
          <w:lang w:val="sq-AL"/>
        </w:rPr>
        <w:t xml:space="preserve"> </w:t>
      </w:r>
    </w:p>
    <w:p w14:paraId="21A3B603"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p>
  </w:footnote>
  <w:footnote w:id="30">
    <w:p w14:paraId="208A434B" w14:textId="77777777" w:rsidR="00817FC2" w:rsidRPr="007345E8" w:rsidRDefault="00817FC2" w:rsidP="00521728">
      <w:pPr>
        <w:pStyle w:val="FootnoteText"/>
        <w:tabs>
          <w:tab w:val="left" w:pos="180"/>
        </w:tabs>
        <w:adjustRightInd w:val="0"/>
        <w:snapToGrid w:val="0"/>
        <w:ind w:left="180" w:hanging="180"/>
        <w:jc w:val="both"/>
        <w:rPr>
          <w:rFonts w:ascii="Times New Roman" w:hAnsi="Times New Roman"/>
          <w:sz w:val="18"/>
          <w:szCs w:val="18"/>
        </w:rPr>
      </w:pPr>
      <w:r w:rsidRPr="007345E8">
        <w:rPr>
          <w:rStyle w:val="FootnoteReference"/>
          <w:rFonts w:ascii="Times New Roman" w:hAnsi="Times New Roman"/>
          <w:sz w:val="18"/>
          <w:szCs w:val="18"/>
        </w:rPr>
        <w:footnoteRef/>
      </w:r>
      <w:r w:rsidRPr="007345E8">
        <w:rPr>
          <w:rFonts w:ascii="Times New Roman" w:hAnsi="Times New Roman"/>
          <w:sz w:val="18"/>
          <w:szCs w:val="18"/>
        </w:rPr>
        <w:t xml:space="preserve"> </w:t>
      </w:r>
      <w:r w:rsidRPr="007345E8">
        <w:rPr>
          <w:rStyle w:val="Strong"/>
          <w:rFonts w:ascii="Times New Roman" w:hAnsi="Times New Roman"/>
          <w:b w:val="0"/>
          <w:bCs w:val="0"/>
          <w:sz w:val="18"/>
          <w:szCs w:val="18"/>
        </w:rPr>
        <w:t>Ligji nr. 108/2012</w:t>
      </w:r>
      <w:r w:rsidRPr="007345E8">
        <w:rPr>
          <w:rFonts w:ascii="Times New Roman" w:hAnsi="Times New Roman"/>
          <w:sz w:val="18"/>
          <w:szCs w:val="18"/>
        </w:rPr>
        <w:t>, datë 15.11.2012 “Për ratifikimin e Konventës së Kombeve të Bashkuara për të Drejtat e Personave me Aftësi të Kufizuara”</w:t>
      </w:r>
    </w:p>
  </w:footnote>
  <w:footnote w:id="31">
    <w:p w14:paraId="7344628B"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7345E8">
        <w:rPr>
          <w:rStyle w:val="FootnoteReference"/>
          <w:rFonts w:ascii="Times New Roman" w:hAnsi="Times New Roman"/>
          <w:sz w:val="18"/>
          <w:szCs w:val="18"/>
        </w:rPr>
        <w:footnoteRef/>
      </w:r>
      <w:r w:rsidRPr="007345E8">
        <w:rPr>
          <w:rFonts w:ascii="Times New Roman" w:hAnsi="Times New Roman"/>
          <w:sz w:val="18"/>
          <w:szCs w:val="18"/>
        </w:rPr>
        <w:t xml:space="preserve"> </w:t>
      </w:r>
      <w:r w:rsidRPr="007345E8">
        <w:rPr>
          <w:rFonts w:ascii="Times New Roman" w:hAnsi="Times New Roman"/>
          <w:sz w:val="18"/>
          <w:szCs w:val="18"/>
          <w:shd w:val="clear" w:color="auto" w:fill="FFFFFF"/>
        </w:rPr>
        <w:t>Initial report submitted by Albania under article 35 of the Convention, due in 2014</w:t>
      </w:r>
    </w:p>
  </w:footnote>
  <w:footnote w:id="32">
    <w:p w14:paraId="21856795"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 Strategy for the Rights of Persons with Disabilities 2021-2030</w:t>
      </w:r>
    </w:p>
  </w:footnote>
  <w:footnote w:id="33">
    <w:p w14:paraId="15E386F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The </w:t>
      </w:r>
      <w:r w:rsidRPr="00682777">
        <w:rPr>
          <w:rStyle w:val="Strong"/>
          <w:rFonts w:ascii="Times New Roman" w:hAnsi="Times New Roman"/>
          <w:b w:val="0"/>
          <w:bCs w:val="0"/>
        </w:rPr>
        <w:t>European Pillar of Social Rights (EPSR)</w:t>
      </w:r>
      <w:r w:rsidRPr="00682777">
        <w:rPr>
          <w:rFonts w:ascii="Times New Roman" w:hAnsi="Times New Roman"/>
        </w:rPr>
        <w:t xml:space="preserve"> </w:t>
      </w:r>
    </w:p>
  </w:footnote>
  <w:footnote w:id="34">
    <w:p w14:paraId="54BE52CE" w14:textId="5408311F"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t>5</w:t>
      </w:r>
      <w:r w:rsidRPr="00682777">
        <w:rPr>
          <w:rFonts w:ascii="Times New Roman" w:hAnsi="Times New Roman"/>
        </w:rPr>
        <w:t xml:space="preserve"> </w:t>
      </w:r>
      <w:r w:rsidRPr="00682777">
        <w:rPr>
          <w:rStyle w:val="Strong"/>
          <w:rFonts w:ascii="Times New Roman" w:hAnsi="Times New Roman"/>
          <w:b w:val="0"/>
          <w:bCs w:val="0"/>
        </w:rPr>
        <w:t>VKM nr</w:t>
      </w:r>
      <w:r w:rsidRPr="00682777">
        <w:rPr>
          <w:rStyle w:val="Strong"/>
          <w:rFonts w:ascii="Times New Roman" w:hAnsi="Times New Roman"/>
          <w:b w:val="0"/>
          <w:bCs w:val="0"/>
          <w:shd w:val="clear" w:color="auto" w:fill="FFFFFF"/>
        </w:rPr>
        <w:t>. 88/2023, datë 22.02.2023</w:t>
      </w:r>
      <w:r w:rsidRPr="00682777">
        <w:rPr>
          <w:rStyle w:val="Strong"/>
          <w:rFonts w:ascii="Times New Roman" w:hAnsi="Times New Roman"/>
          <w:b w:val="0"/>
          <w:bCs w:val="0"/>
        </w:rPr>
        <w:t xml:space="preserve"> </w:t>
      </w:r>
      <w:r w:rsidRPr="00682777">
        <w:rPr>
          <w:rFonts w:ascii="Times New Roman" w:hAnsi="Times New Roman"/>
        </w:rPr>
        <w:t xml:space="preserve">“Për miratimin e Strategjisë Kombëtare për Zhvillim dhe Integrim 2022-2030” </w:t>
      </w:r>
      <w:hyperlink r:id="rId1" w:history="1">
        <w:r w:rsidRPr="00351DD6">
          <w:rPr>
            <w:rStyle w:val="Hyperlink"/>
            <w:rFonts w:ascii="Times New Roman" w:hAnsi="Times New Roman"/>
            <w:shd w:val="clear" w:color="auto" w:fill="FFFFFF"/>
          </w:rPr>
          <w:t>https://www.kryeministria.al/strategjia-kombetare-per-zhvillim-dhe-integrim-evropian-skzhie/</w:t>
        </w:r>
      </w:hyperlink>
      <w:r w:rsidRPr="00682777">
        <w:rPr>
          <w:rFonts w:ascii="Times New Roman" w:hAnsi="Times New Roman"/>
        </w:rPr>
        <w:t xml:space="preserve"> </w:t>
      </w:r>
    </w:p>
  </w:footnote>
  <w:footnote w:id="35">
    <w:p w14:paraId="247B79D6" w14:textId="19CEC9AD"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VKM nr. 823, datë 24.12.2021,</w:t>
      </w:r>
      <w:r w:rsidRPr="00682777">
        <w:rPr>
          <w:rFonts w:ascii="Times New Roman" w:hAnsi="Times New Roman"/>
        </w:rPr>
        <w:t xml:space="preserve"> “Për miratimin e Strategjisë Ndërsektoriale të Drejtësisë 2024-2030 dhe Planit të Veprimit për zbatimin e saj” </w:t>
      </w:r>
      <w:hyperlink r:id="rId2">
        <w:r w:rsidRPr="661F9D2E">
          <w:rPr>
            <w:rStyle w:val="Hyperlink"/>
            <w:rFonts w:ascii="Times New Roman" w:hAnsi="Times New Roman"/>
            <w:color w:val="auto"/>
            <w:u w:val="none"/>
          </w:rPr>
          <w:t>https://www.drejtesia.gov.al/plani-i-veprimit-te-strategjise-ndersektoriale-te-drejtesise</w:t>
        </w:r>
      </w:hyperlink>
      <w:r>
        <w:rPr>
          <w:rStyle w:val="Hyperlink"/>
          <w:rFonts w:ascii="Times New Roman" w:hAnsi="Times New Roman"/>
          <w:color w:val="auto"/>
          <w:u w:val="none"/>
        </w:rPr>
        <w:t xml:space="preserve">/  </w:t>
      </w:r>
      <w:r w:rsidRPr="00682777">
        <w:rPr>
          <w:rStyle w:val="Strong"/>
          <w:rFonts w:ascii="Times New Roman" w:hAnsi="Times New Roman"/>
          <w:b w:val="0"/>
          <w:bCs w:val="0"/>
        </w:rPr>
        <w:t xml:space="preserve"> </w:t>
      </w:r>
    </w:p>
  </w:footnote>
  <w:footnote w:id="36">
    <w:p w14:paraId="2FFDC7C8"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hyperlink r:id="rId3">
        <w:r w:rsidRPr="661F9D2E">
          <w:rPr>
            <w:rStyle w:val="Hyperlink"/>
            <w:rFonts w:ascii="Times New Roman" w:hAnsi="Times New Roman"/>
            <w:color w:val="auto"/>
            <w:u w:val="none"/>
          </w:rPr>
          <w:t>https://medialook.al/wp-content/uploads/2024/01/Plani-i-Veprimit-per-Shendetin-Mendor-2023-2026.pdf</w:t>
        </w:r>
      </w:hyperlink>
      <w:r w:rsidRPr="00682777">
        <w:rPr>
          <w:rFonts w:ascii="Times New Roman" w:hAnsi="Times New Roman"/>
        </w:rPr>
        <w:t xml:space="preserve"> </w:t>
      </w:r>
    </w:p>
    <w:p w14:paraId="35E6109C"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p>
  </w:footnote>
  <w:footnote w:id="37">
    <w:p w14:paraId="5617F90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Ligji nr. 108/2012</w:t>
      </w:r>
      <w:r w:rsidRPr="00682777">
        <w:rPr>
          <w:rFonts w:ascii="Times New Roman" w:hAnsi="Times New Roman"/>
        </w:rPr>
        <w:t>, datë 15.11.2012 “Për ratifikimin e Konventës së Kombeve të Bashkuara për të Drejtat e Personave me Aftësi të Kufizuara”</w:t>
      </w:r>
    </w:p>
  </w:footnote>
  <w:footnote w:id="38">
    <w:p w14:paraId="70BA5364"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 Strategy for the Rights of Persons with Disabilities 2021-2030</w:t>
      </w:r>
    </w:p>
  </w:footnote>
  <w:footnote w:id="39">
    <w:p w14:paraId="371E2435"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The </w:t>
      </w:r>
      <w:r w:rsidRPr="00682777">
        <w:rPr>
          <w:rStyle w:val="Strong"/>
          <w:rFonts w:ascii="Times New Roman" w:hAnsi="Times New Roman"/>
          <w:b w:val="0"/>
          <w:bCs w:val="0"/>
        </w:rPr>
        <w:t>European Pillar of Social Rights (EPSR)</w:t>
      </w:r>
    </w:p>
  </w:footnote>
  <w:footnote w:id="40">
    <w:p w14:paraId="1A5FC8EB"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 </w:t>
      </w:r>
      <w:r w:rsidRPr="00682777">
        <w:rPr>
          <w:rFonts w:ascii="Times New Roman" w:eastAsia="Times New Roman" w:hAnsi="Times New Roman"/>
        </w:rPr>
        <w:t>Disability Employment Package</w:t>
      </w:r>
    </w:p>
  </w:footnote>
  <w:footnote w:id="41">
    <w:p w14:paraId="67AB93AB" w14:textId="2EE54348"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The </w:t>
      </w:r>
      <w:r w:rsidRPr="00682777">
        <w:rPr>
          <w:rStyle w:val="Strong"/>
          <w:rFonts w:ascii="Times New Roman" w:hAnsi="Times New Roman"/>
          <w:b w:val="0"/>
          <w:bCs w:val="0"/>
        </w:rPr>
        <w:t>Sustainable Development Goals (OZHQs)</w:t>
      </w:r>
    </w:p>
  </w:footnote>
  <w:footnote w:id="42">
    <w:p w14:paraId="3C4CFF15"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eastAsia="Times New Roman" w:hAnsi="Times New Roman"/>
        </w:rPr>
        <w:t>Strategjinë Kombëtare të Punësimit dhe Aftësive 2023-2030</w:t>
      </w:r>
    </w:p>
  </w:footnote>
  <w:footnote w:id="43">
    <w:p w14:paraId="70E29B0C"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eastAsia="Times New Roman" w:hAnsi="Times New Roman"/>
        </w:rPr>
        <w:t>Strategjinë Kombëtare për Mbrojtjen Sociale 2024-2030</w:t>
      </w:r>
    </w:p>
  </w:footnote>
  <w:footnote w:id="44">
    <w:p w14:paraId="4063141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eastAsia="Times New Roman" w:hAnsi="Times New Roman"/>
        </w:rPr>
        <w:t xml:space="preserve">Plani i Zbatimit të Garancisë Rinore, </w:t>
      </w:r>
      <w:r w:rsidRPr="00682777">
        <w:rPr>
          <w:rFonts w:ascii="Times New Roman" w:hAnsi="Times New Roman"/>
        </w:rPr>
        <w:t>VKM nr. 201, datë 3.4.2019</w:t>
      </w:r>
    </w:p>
  </w:footnote>
  <w:footnote w:id="45">
    <w:p w14:paraId="3405C1FE"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eastAsia="Times New Roman" w:hAnsi="Times New Roman"/>
        </w:rPr>
        <w:t>Strategjia Kombëtare për Zhvillim dhe Integrim 2022-2030</w:t>
      </w:r>
    </w:p>
  </w:footnote>
  <w:footnote w:id="46">
    <w:p w14:paraId="5BF003B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Ligji nr. 108/2012</w:t>
      </w:r>
      <w:r w:rsidRPr="00682777">
        <w:rPr>
          <w:rFonts w:ascii="Times New Roman" w:hAnsi="Times New Roman"/>
        </w:rPr>
        <w:t>, datë 15.11.2012 “Për ratifikimin e Konventës së Kombeve të Bashkuara për të Drejtat e Personave me Aftësi të Kufizuara”</w:t>
      </w:r>
    </w:p>
  </w:footnote>
  <w:footnote w:id="47">
    <w:p w14:paraId="21CC5B07"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hAnsi="Times New Roman"/>
          <w:shd w:val="clear" w:color="auto" w:fill="FFFFFF"/>
        </w:rPr>
        <w:t>Initial report submitted by Albania under article 35 of the Convention, due in 2014</w:t>
      </w:r>
    </w:p>
  </w:footnote>
  <w:footnote w:id="48">
    <w:p w14:paraId="37CCEE90"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 Strategy for the Rights of Persons with Disabilities 2021-2030</w:t>
      </w:r>
    </w:p>
  </w:footnote>
  <w:footnote w:id="49">
    <w:p w14:paraId="4BE8EE0B"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 xml:space="preserve">VKM nr. 1037, datë 23.12.2020 </w:t>
      </w:r>
      <w:r w:rsidRPr="00682777">
        <w:rPr>
          <w:rFonts w:ascii="Times New Roman" w:hAnsi="Times New Roman"/>
        </w:rPr>
        <w:t>“Për miratimin e Strategjisë Kombëtare për Arsimin 2021-2030 dhe Planin e Veprimit për zbatimin e saj”.</w:t>
      </w:r>
    </w:p>
  </w:footnote>
  <w:footnote w:id="50">
    <w:p w14:paraId="4200ECC5"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eastAsia="Times New Roman" w:hAnsi="Times New Roman"/>
        </w:rPr>
        <w:t>Strategjia Kombëtare për Zhvillim dhe Integrim 2022-2030</w:t>
      </w:r>
    </w:p>
  </w:footnote>
  <w:footnote w:id="51">
    <w:p w14:paraId="38881410"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Reforms Agenda 2024-2027 within the Framework of Reforms and Growth Facilitation for the Western Balkans</w:t>
      </w:r>
    </w:p>
  </w:footnote>
  <w:footnote w:id="52">
    <w:p w14:paraId="57768320"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European Accessibility Act (Directive (EU) 2019/882)</w:t>
      </w:r>
    </w:p>
  </w:footnote>
  <w:footnote w:id="53">
    <w:p w14:paraId="7891503E"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Style w:val="Strong"/>
          <w:rFonts w:ascii="Times New Roman" w:hAnsi="Times New Roman"/>
          <w:b w:val="0"/>
          <w:bCs w:val="0"/>
        </w:rPr>
        <w:t xml:space="preserve"> VKM nr. 765, datë 16.10.2019 </w:t>
      </w:r>
      <w:r w:rsidRPr="00682777">
        <w:rPr>
          <w:rFonts w:ascii="Times New Roman" w:hAnsi="Times New Roman"/>
        </w:rPr>
        <w:t>“Për miratimin e Kornizës Kombëtare të Zhvillimit Profesional të Mësuesve dhe Stafit Arsimor në arsimin parauniversitar”</w:t>
      </w:r>
    </w:p>
  </w:footnote>
  <w:footnote w:id="54">
    <w:p w14:paraId="79C050C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Style w:val="Strong"/>
          <w:rFonts w:ascii="Times New Roman" w:hAnsi="Times New Roman"/>
          <w:b w:val="0"/>
          <w:bCs w:val="0"/>
        </w:rPr>
        <w:t xml:space="preserve"> Ligji nr. 108/2012</w:t>
      </w:r>
      <w:r w:rsidRPr="00682777">
        <w:rPr>
          <w:rFonts w:ascii="Times New Roman" w:hAnsi="Times New Roman"/>
        </w:rPr>
        <w:t>, datë 15.11.2012 “Për ratifikimin e Konventës së Kombeve të Bashkuara për të Drejtat e Personave me Aftësi të Kufizuara”</w:t>
      </w:r>
    </w:p>
  </w:footnote>
  <w:footnote w:id="55">
    <w:p w14:paraId="61E71471"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CRPD Committee</w:t>
      </w:r>
      <w:r w:rsidRPr="00682777">
        <w:rPr>
          <w:rFonts w:ascii="Times New Roman" w:hAnsi="Times New Roman"/>
        </w:rPr>
        <w:t xml:space="preserve">, </w:t>
      </w:r>
      <w:r w:rsidRPr="00682777">
        <w:rPr>
          <w:rStyle w:val="Emphasis"/>
          <w:rFonts w:ascii="Times New Roman" w:hAnsi="Times New Roman"/>
        </w:rPr>
        <w:t>General Comment No. 5 (2017) on Article 19 - Living independently and being included in the community</w:t>
      </w:r>
      <w:r w:rsidRPr="00682777">
        <w:rPr>
          <w:rFonts w:ascii="Times New Roman" w:hAnsi="Times New Roman"/>
        </w:rPr>
        <w:t xml:space="preserve">, CRPD/C/GC/5, 27 October 2017, paras. 16-23, 28, 30-32. </w:t>
      </w:r>
    </w:p>
    <w:p w14:paraId="79081787"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Strong"/>
          <w:rFonts w:ascii="Times New Roman" w:hAnsi="Times New Roman"/>
          <w:b w:val="0"/>
          <w:bCs w:val="0"/>
        </w:rPr>
        <w:tab/>
        <w:t>CRPD Committee</w:t>
      </w:r>
      <w:r w:rsidRPr="00682777">
        <w:rPr>
          <w:rFonts w:ascii="Times New Roman" w:hAnsi="Times New Roman"/>
        </w:rPr>
        <w:t xml:space="preserve">, </w:t>
      </w:r>
      <w:r w:rsidRPr="00682777">
        <w:rPr>
          <w:rStyle w:val="Emphasis"/>
          <w:rFonts w:ascii="Times New Roman" w:hAnsi="Times New Roman"/>
        </w:rPr>
        <w:t>General Comment No. 1 (2014) on Article 12 - Equal recognition before the la</w:t>
      </w:r>
      <w:r w:rsidRPr="00682777">
        <w:rPr>
          <w:rFonts w:ascii="Times New Roman" w:hAnsi="Times New Roman"/>
        </w:rPr>
        <w:t>, CRPD/C/GC/1, 19 May 2014, paras. 26-29, 40</w:t>
      </w:r>
    </w:p>
  </w:footnote>
  <w:footnote w:id="56">
    <w:p w14:paraId="467B8623"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European Commission</w:t>
      </w:r>
      <w:r w:rsidRPr="00682777">
        <w:rPr>
          <w:rFonts w:ascii="Times New Roman" w:hAnsi="Times New Roman"/>
        </w:rPr>
        <w:t xml:space="preserve">, </w:t>
      </w:r>
      <w:r w:rsidRPr="00682777">
        <w:rPr>
          <w:rStyle w:val="Emphasis"/>
          <w:rFonts w:ascii="Times New Roman" w:hAnsi="Times New Roman"/>
        </w:rPr>
        <w:t>Union of Equality: Strategy for the Rights of Persons with Disabilities 2021-2030</w:t>
      </w:r>
      <w:r w:rsidRPr="00682777">
        <w:rPr>
          <w:rFonts w:ascii="Times New Roman" w:hAnsi="Times New Roman"/>
        </w:rPr>
        <w:t>, COM(2021) 101 final, Brussels, 3 March 2021, pp. 5-9, 13-16.</w:t>
      </w:r>
    </w:p>
  </w:footnote>
  <w:footnote w:id="57">
    <w:p w14:paraId="0BD5BC5E"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European Pillar of Social Rights</w:t>
      </w:r>
      <w:r w:rsidRPr="00682777">
        <w:rPr>
          <w:rFonts w:ascii="Times New Roman" w:hAnsi="Times New Roman"/>
        </w:rPr>
        <w:t>, Proclamation by the European Parliament, the Council and the European Commission, Gothenburg, 17 November 2017, Principle 17 (Inclusion of persons with disabilities) and Principle 18 (Long-term care).</w:t>
      </w:r>
    </w:p>
  </w:footnote>
  <w:footnote w:id="58">
    <w:p w14:paraId="21A818D9"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European Expert Group on the Transition from Institutional to Community-based Care (EEG)</w:t>
      </w:r>
      <w:r w:rsidRPr="00682777">
        <w:rPr>
          <w:rFonts w:ascii="Times New Roman" w:hAnsi="Times New Roman"/>
        </w:rPr>
        <w:t xml:space="preserve">, </w:t>
      </w:r>
      <w:r w:rsidRPr="00682777">
        <w:rPr>
          <w:rStyle w:val="Emphasis"/>
          <w:rFonts w:ascii="Times New Roman" w:hAnsi="Times New Roman"/>
        </w:rPr>
        <w:t>Common European Guidelines on the Transition from Institutional to Community-based Care</w:t>
      </w:r>
      <w:r w:rsidRPr="00682777">
        <w:rPr>
          <w:rFonts w:ascii="Times New Roman" w:hAnsi="Times New Roman"/>
        </w:rPr>
        <w:t xml:space="preserve">, Brussels, 2012. </w:t>
      </w:r>
    </w:p>
    <w:p w14:paraId="48CE073C"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Strong"/>
          <w:rFonts w:ascii="Times New Roman" w:hAnsi="Times New Roman"/>
          <w:b w:val="0"/>
          <w:bCs w:val="0"/>
        </w:rPr>
        <w:tab/>
        <w:t>European Commission</w:t>
      </w:r>
      <w:r w:rsidRPr="00682777">
        <w:rPr>
          <w:rFonts w:ascii="Times New Roman" w:hAnsi="Times New Roman"/>
        </w:rPr>
        <w:t xml:space="preserve">, </w:t>
      </w:r>
      <w:r w:rsidRPr="00682777">
        <w:rPr>
          <w:rStyle w:val="Emphasis"/>
          <w:rFonts w:ascii="Times New Roman" w:hAnsi="Times New Roman"/>
        </w:rPr>
        <w:t>Guidance on the use of European Structural and Investment Funds in the transition from institutional to community-based care</w:t>
      </w:r>
      <w:r w:rsidRPr="00682777">
        <w:rPr>
          <w:rFonts w:ascii="Times New Roman" w:hAnsi="Times New Roman"/>
        </w:rPr>
        <w:t>, Brussels, 2014.</w:t>
      </w:r>
    </w:p>
  </w:footnote>
  <w:footnote w:id="59">
    <w:p w14:paraId="22F870C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United Nations</w:t>
      </w:r>
      <w:r w:rsidRPr="00682777">
        <w:rPr>
          <w:rFonts w:ascii="Times New Roman" w:hAnsi="Times New Roman"/>
        </w:rPr>
        <w:t xml:space="preserve">, </w:t>
      </w:r>
      <w:r w:rsidRPr="00682777">
        <w:rPr>
          <w:rStyle w:val="Emphasis"/>
          <w:rFonts w:ascii="Times New Roman" w:hAnsi="Times New Roman"/>
        </w:rPr>
        <w:t>Convention on the Elimination of All Forms of Discrimination against Women (CEDAW)</w:t>
      </w:r>
      <w:r w:rsidRPr="00682777">
        <w:rPr>
          <w:rFonts w:ascii="Times New Roman" w:hAnsi="Times New Roman"/>
        </w:rPr>
        <w:t xml:space="preserve">, 18 December 1979, Articles 2, 12 and 14. </w:t>
      </w:r>
    </w:p>
    <w:p w14:paraId="300C207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Strong"/>
          <w:rFonts w:ascii="Times New Roman" w:hAnsi="Times New Roman"/>
          <w:b w:val="0"/>
          <w:bCs w:val="0"/>
        </w:rPr>
        <w:tab/>
        <w:t>CEDAW Committee</w:t>
      </w:r>
      <w:r w:rsidRPr="00682777">
        <w:rPr>
          <w:rFonts w:ascii="Times New Roman" w:hAnsi="Times New Roman"/>
        </w:rPr>
        <w:t xml:space="preserve">, </w:t>
      </w:r>
      <w:r w:rsidRPr="00682777">
        <w:rPr>
          <w:rStyle w:val="Emphasis"/>
          <w:rFonts w:ascii="Times New Roman" w:hAnsi="Times New Roman"/>
        </w:rPr>
        <w:t>General Recommendation No. 18: Disabled Women</w:t>
      </w:r>
      <w:r w:rsidRPr="00682777">
        <w:rPr>
          <w:rFonts w:ascii="Times New Roman" w:hAnsi="Times New Roman"/>
        </w:rPr>
        <w:t>, 1991;</w:t>
      </w:r>
    </w:p>
  </w:footnote>
  <w:footnote w:id="60">
    <w:p w14:paraId="5C458330"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United Nations</w:t>
      </w:r>
      <w:r w:rsidRPr="00682777">
        <w:rPr>
          <w:rFonts w:ascii="Times New Roman" w:hAnsi="Times New Roman"/>
        </w:rPr>
        <w:t xml:space="preserve">, </w:t>
      </w:r>
      <w:r w:rsidRPr="00682777">
        <w:rPr>
          <w:rStyle w:val="Emphasis"/>
          <w:rFonts w:ascii="Times New Roman" w:hAnsi="Times New Roman"/>
        </w:rPr>
        <w:t>Convention on the Rights of the Child</w:t>
      </w:r>
      <w:r w:rsidRPr="00682777">
        <w:rPr>
          <w:rFonts w:ascii="Times New Roman" w:hAnsi="Times New Roman"/>
        </w:rPr>
        <w:t xml:space="preserve">, 20 November 1989, Articles 2, 19 and 23. </w:t>
      </w:r>
    </w:p>
    <w:p w14:paraId="71C6B71B"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Fonts w:ascii="Times New Roman" w:hAnsi="Times New Roman"/>
        </w:rPr>
        <w:tab/>
        <w:t>C</w:t>
      </w:r>
      <w:r w:rsidRPr="00682777">
        <w:rPr>
          <w:rStyle w:val="Strong"/>
          <w:rFonts w:ascii="Times New Roman" w:hAnsi="Times New Roman"/>
          <w:b w:val="0"/>
          <w:bCs w:val="0"/>
        </w:rPr>
        <w:t>ommittee on the Rights of the Child</w:t>
      </w:r>
      <w:r w:rsidRPr="00682777">
        <w:rPr>
          <w:rFonts w:ascii="Times New Roman" w:hAnsi="Times New Roman"/>
        </w:rPr>
        <w:t xml:space="preserve">, </w:t>
      </w:r>
      <w:r w:rsidRPr="00682777">
        <w:rPr>
          <w:rStyle w:val="Emphasis"/>
          <w:rFonts w:ascii="Times New Roman" w:hAnsi="Times New Roman"/>
        </w:rPr>
        <w:t>General Comment No. 9 (2006): The rights of children with disabilities</w:t>
      </w:r>
      <w:r w:rsidRPr="00682777">
        <w:rPr>
          <w:rFonts w:ascii="Times New Roman" w:hAnsi="Times New Roman"/>
        </w:rPr>
        <w:t>, CRC/C/GC/9, 27 February 2007, paras. 8, 13, 39-42, 66.</w:t>
      </w:r>
    </w:p>
  </w:footnote>
  <w:footnote w:id="61">
    <w:p w14:paraId="6F6B6B8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Council of Europe</w:t>
      </w:r>
      <w:r w:rsidRPr="00682777">
        <w:rPr>
          <w:rFonts w:ascii="Times New Roman" w:hAnsi="Times New Roman"/>
        </w:rPr>
        <w:t xml:space="preserve">, </w:t>
      </w:r>
      <w:r w:rsidRPr="00682777">
        <w:rPr>
          <w:rStyle w:val="Emphasis"/>
          <w:rFonts w:ascii="Times New Roman" w:hAnsi="Times New Roman"/>
        </w:rPr>
        <w:t>Convention on Preventing and Combating Violence against Women and Domestic Violence (Istanbul Convention)</w:t>
      </w:r>
      <w:r w:rsidRPr="00682777">
        <w:rPr>
          <w:rFonts w:ascii="Times New Roman" w:hAnsi="Times New Roman"/>
        </w:rPr>
        <w:t>, CETS No. 210, Istanbul, 11 May 2011, Articles 18(3), 20, 22, 23 and 25.</w:t>
      </w:r>
    </w:p>
  </w:footnote>
  <w:footnote w:id="62">
    <w:p w14:paraId="07085F3A"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United Nations General Assembly</w:t>
      </w:r>
      <w:r w:rsidRPr="00682777">
        <w:rPr>
          <w:rFonts w:ascii="Times New Roman" w:hAnsi="Times New Roman"/>
        </w:rPr>
        <w:t xml:space="preserve">, </w:t>
      </w:r>
      <w:r w:rsidRPr="00682777">
        <w:rPr>
          <w:rStyle w:val="Emphasis"/>
          <w:rFonts w:ascii="Times New Roman" w:hAnsi="Times New Roman"/>
        </w:rPr>
        <w:t>Guidelines for the Alternative Care of Children</w:t>
      </w:r>
      <w:r w:rsidRPr="00682777">
        <w:rPr>
          <w:rFonts w:ascii="Times New Roman" w:hAnsi="Times New Roman"/>
        </w:rPr>
        <w:t>, A/RES/64/142, 24 February 2010.</w:t>
      </w:r>
    </w:p>
  </w:footnote>
  <w:footnote w:id="63">
    <w:p w14:paraId="6739F76E"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Committee on the Rights of the Child</w:t>
      </w:r>
      <w:r w:rsidRPr="00682777">
        <w:rPr>
          <w:rFonts w:ascii="Times New Roman" w:hAnsi="Times New Roman"/>
        </w:rPr>
        <w:t xml:space="preserve">, </w:t>
      </w:r>
      <w:r w:rsidRPr="00682777">
        <w:rPr>
          <w:rStyle w:val="Emphasis"/>
          <w:rFonts w:ascii="Times New Roman" w:hAnsi="Times New Roman"/>
        </w:rPr>
        <w:t>General Comment No. 9 (2006): The rights of children with disabilities</w:t>
      </w:r>
      <w:r w:rsidRPr="00682777">
        <w:rPr>
          <w:rFonts w:ascii="Times New Roman" w:hAnsi="Times New Roman"/>
        </w:rPr>
        <w:t xml:space="preserve">, CRC/C/GC/9, 27 February 2007. </w:t>
      </w:r>
    </w:p>
    <w:p w14:paraId="35D61C1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Strong"/>
          <w:rFonts w:ascii="Times New Roman" w:hAnsi="Times New Roman"/>
          <w:b w:val="0"/>
          <w:bCs w:val="0"/>
        </w:rPr>
        <w:tab/>
        <w:t>European Commission Recommendation (EU) 2021/1004</w:t>
      </w:r>
      <w:r w:rsidRPr="00682777">
        <w:rPr>
          <w:rFonts w:ascii="Times New Roman" w:hAnsi="Times New Roman"/>
        </w:rPr>
        <w:t xml:space="preserve">, </w:t>
      </w:r>
      <w:r w:rsidRPr="00682777">
        <w:rPr>
          <w:rStyle w:val="Emphasis"/>
          <w:rFonts w:ascii="Times New Roman" w:hAnsi="Times New Roman"/>
        </w:rPr>
        <w:t>Establishing a European Child Guarantee</w:t>
      </w:r>
      <w:r w:rsidRPr="00682777">
        <w:rPr>
          <w:rFonts w:ascii="Times New Roman" w:hAnsi="Times New Roman"/>
        </w:rPr>
        <w:t>, 14 June 2021</w:t>
      </w:r>
    </w:p>
  </w:footnote>
  <w:footnote w:id="64">
    <w:p w14:paraId="7201669D"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United Nations Office for Disaster Risk Reduction. (2015). </w:t>
      </w:r>
      <w:r w:rsidRPr="00682777">
        <w:rPr>
          <w:rStyle w:val="Emphasis"/>
          <w:rFonts w:ascii="Times New Roman" w:hAnsi="Times New Roman"/>
        </w:rPr>
        <w:t>Sendai Framework for Disaster Risk Reduction 2015-2030</w:t>
      </w:r>
      <w:r w:rsidRPr="00682777">
        <w:rPr>
          <w:rFonts w:ascii="Times New Roman" w:hAnsi="Times New Roman"/>
        </w:rPr>
        <w:t>. United Nations</w:t>
      </w:r>
    </w:p>
  </w:footnote>
  <w:footnote w:id="65">
    <w:p w14:paraId="3ACA8C5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Vendimi nr. 152, datë 13.03.2024, </w:t>
      </w:r>
      <w:r w:rsidRPr="00682777">
        <w:rPr>
          <w:rStyle w:val="Emphasis"/>
          <w:rFonts w:ascii="Times New Roman" w:hAnsi="Times New Roman"/>
        </w:rPr>
        <w:t>Për miratimin e Strategjisë Kombëtare të Mbrojtjes Sociale 2024-2030 dhe të planit të veprimit në zbatim të saj</w:t>
      </w:r>
      <w:r w:rsidRPr="00682777">
        <w:rPr>
          <w:rFonts w:ascii="Times New Roman" w:hAnsi="Times New Roman"/>
        </w:rPr>
        <w:t>, Këshilli i Ministrave, Fletore Zyrtare.</w:t>
      </w:r>
    </w:p>
  </w:footnote>
  <w:footnote w:id="66">
    <w:p w14:paraId="0776063A"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Strategjia Kombëtare për Zhvillim dhe Integrim Evropian 2022-2030</w:t>
      </w:r>
      <w:r w:rsidRPr="00682777">
        <w:rPr>
          <w:rFonts w:ascii="Times New Roman" w:hAnsi="Times New Roman"/>
        </w:rPr>
        <w:t xml:space="preserve">, e miratuar me </w:t>
      </w:r>
      <w:r w:rsidRPr="00682777">
        <w:rPr>
          <w:rStyle w:val="Strong"/>
          <w:rFonts w:ascii="Times New Roman" w:hAnsi="Times New Roman"/>
          <w:b w:val="0"/>
          <w:bCs w:val="0"/>
        </w:rPr>
        <w:t>Vendimin e Këshillit të Ministrave Nr. 88, datë 22 shkurt 2023</w:t>
      </w:r>
      <w:r w:rsidRPr="00682777">
        <w:rPr>
          <w:rFonts w:ascii="Times New Roman" w:hAnsi="Times New Roman"/>
        </w:rPr>
        <w:t xml:space="preserve">, botuar në </w:t>
      </w:r>
      <w:r w:rsidRPr="00682777">
        <w:rPr>
          <w:rStyle w:val="Emphasis"/>
          <w:rFonts w:ascii="Times New Roman" w:hAnsi="Times New Roman"/>
        </w:rPr>
        <w:t>Fletoren Zyrtare nr. 31</w:t>
      </w:r>
    </w:p>
  </w:footnote>
  <w:footnote w:id="67">
    <w:p w14:paraId="55D989C7"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Strategjia Kombëtare për Barazinë Gjinore 2021-2030</w:t>
      </w:r>
      <w:r w:rsidRPr="00682777">
        <w:rPr>
          <w:rFonts w:ascii="Times New Roman" w:hAnsi="Times New Roman"/>
        </w:rPr>
        <w:t xml:space="preserve">, miratuar me </w:t>
      </w:r>
      <w:r w:rsidRPr="00682777">
        <w:rPr>
          <w:rStyle w:val="Strong"/>
          <w:rFonts w:ascii="Times New Roman" w:hAnsi="Times New Roman"/>
          <w:b w:val="0"/>
          <w:bCs w:val="0"/>
        </w:rPr>
        <w:t>Vendimin e Këshillit të Ministrave nr. 400, datë 30 qershor 2021</w:t>
      </w:r>
      <w:r w:rsidRPr="00682777">
        <w:rPr>
          <w:rFonts w:ascii="Times New Roman" w:hAnsi="Times New Roman"/>
        </w:rPr>
        <w:t>,</w:t>
      </w:r>
    </w:p>
  </w:footnote>
  <w:footnote w:id="68">
    <w:p w14:paraId="158785AA"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Ministria e Shëndetësisë dhe Mbrojtjes Sociale. (2021). </w:t>
      </w:r>
      <w:r w:rsidRPr="00682777">
        <w:rPr>
          <w:rStyle w:val="Emphasis"/>
          <w:rFonts w:ascii="Times New Roman" w:hAnsi="Times New Roman"/>
        </w:rPr>
        <w:t>Agjenda kombëtare për të drejtat e fëmijëve 2021-2026</w:t>
      </w:r>
      <w:r w:rsidRPr="00682777">
        <w:rPr>
          <w:rFonts w:ascii="Times New Roman" w:hAnsi="Times New Roman"/>
        </w:rPr>
        <w:t>. Qeveria e Republikës së Shqipërisë.</w:t>
      </w:r>
    </w:p>
  </w:footnote>
  <w:footnote w:id="69">
    <w:p w14:paraId="0B1F9397"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Ministria e Mbrojtjes. (2023). </w:t>
      </w:r>
      <w:r w:rsidRPr="00682777">
        <w:rPr>
          <w:rStyle w:val="Emphasis"/>
          <w:rFonts w:ascii="Times New Roman" w:hAnsi="Times New Roman"/>
        </w:rPr>
        <w:t>Strategjia kombëtare për zvogëlimin e riskut nga fatkeqësitë 2023-2030 dhe plani i veprimit</w:t>
      </w:r>
      <w:r w:rsidRPr="00682777">
        <w:rPr>
          <w:rFonts w:ascii="Times New Roman" w:hAnsi="Times New Roman"/>
        </w:rPr>
        <w:t>. Qeveria e Republikës së Shqipërisë.</w:t>
      </w:r>
    </w:p>
  </w:footnote>
  <w:footnote w:id="70">
    <w:p w14:paraId="556DD09C"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whitespace-normal"/>
          <w:rFonts w:ascii="Times New Roman" w:hAnsi="Times New Roman"/>
        </w:rPr>
        <w:t>European Commission</w:t>
      </w:r>
      <w:r w:rsidRPr="00682777">
        <w:rPr>
          <w:rFonts w:ascii="Times New Roman" w:hAnsi="Times New Roman"/>
        </w:rPr>
        <w:t xml:space="preserve">. (2023). </w:t>
      </w:r>
      <w:r w:rsidRPr="00682777">
        <w:rPr>
          <w:rStyle w:val="Emphasis"/>
          <w:rFonts w:ascii="Times New Roman" w:hAnsi="Times New Roman"/>
        </w:rPr>
        <w:t>Albania 2023 report</w:t>
      </w:r>
      <w:r w:rsidRPr="00682777">
        <w:rPr>
          <w:rFonts w:ascii="Times New Roman" w:hAnsi="Times New Roman"/>
        </w:rPr>
        <w:t>. European Union.</w:t>
      </w:r>
    </w:p>
    <w:p w14:paraId="70E8D8D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whitespace-normal"/>
          <w:rFonts w:ascii="Times New Roman" w:hAnsi="Times New Roman"/>
        </w:rPr>
        <w:tab/>
        <w:t>European Union</w:t>
      </w:r>
      <w:r w:rsidRPr="00682777">
        <w:rPr>
          <w:rFonts w:ascii="Times New Roman" w:hAnsi="Times New Roman"/>
        </w:rPr>
        <w:t xml:space="preserve">. (2016). </w:t>
      </w:r>
      <w:r w:rsidRPr="00682777">
        <w:rPr>
          <w:rStyle w:val="Emphasis"/>
          <w:rFonts w:ascii="Times New Roman" w:hAnsi="Times New Roman"/>
        </w:rPr>
        <w:t>EU acquis and negotiation chapters</w:t>
      </w:r>
      <w:r w:rsidRPr="00682777">
        <w:rPr>
          <w:rFonts w:ascii="Times New Roman" w:hAnsi="Times New Roman"/>
        </w:rPr>
        <w:t>. Publications Office of the European Union.</w:t>
      </w:r>
    </w:p>
  </w:footnote>
  <w:footnote w:id="71">
    <w:p w14:paraId="2FD2DC90" w14:textId="600A8BBC" w:rsidR="00817FC2" w:rsidRPr="00682777" w:rsidRDefault="00817FC2" w:rsidP="00CB13F7">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United Nations, Convention on the Rights of Persons with Disabilities (CRPD), United Nations Treaty Series, 2515, 3 (2006), https://www.un.org/development/desa/disabilities/convention-on-the-rights-of-persons-</w:t>
      </w:r>
      <w:r>
        <w:rPr>
          <w:rFonts w:ascii="Times New Roman" w:hAnsi="Times New Roman"/>
        </w:rPr>
        <w:t>w</w:t>
      </w:r>
      <w:r w:rsidRPr="00682777">
        <w:rPr>
          <w:rFonts w:ascii="Times New Roman" w:hAnsi="Times New Roman"/>
        </w:rPr>
        <w:t>ith-disabilities.html</w:t>
      </w:r>
    </w:p>
  </w:footnote>
  <w:footnote w:id="72">
    <w:p w14:paraId="476445EC" w14:textId="77777777" w:rsidR="00817FC2" w:rsidRPr="00682777" w:rsidRDefault="00817FC2" w:rsidP="00C11581">
      <w:pPr>
        <w:pStyle w:val="FootnoteText"/>
        <w:tabs>
          <w:tab w:val="left" w:pos="180"/>
        </w:tabs>
        <w:adjustRightInd w:val="0"/>
        <w:snapToGrid w:val="0"/>
        <w:ind w:left="180" w:hanging="180"/>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United Nations Committee on the Rights of Persons with Disabilities, </w:t>
      </w:r>
      <w:r w:rsidRPr="00682777">
        <w:rPr>
          <w:rStyle w:val="Emphasis"/>
          <w:rFonts w:ascii="Times New Roman" w:hAnsi="Times New Roman"/>
        </w:rPr>
        <w:t>Concluding observations on the initial report of Albania</w:t>
      </w:r>
      <w:r w:rsidRPr="00682777">
        <w:rPr>
          <w:rFonts w:ascii="Times New Roman" w:hAnsi="Times New Roman"/>
        </w:rPr>
        <w:t xml:space="preserve"> (CRPD/C/ALB/1) (2018), https://tbinternet.ohchr.org/_layouts/15/treatybodyexternal/Doënload.aspx?symbolno=CRPD/C/ALB/CO/1&amp;Lang=En</w:t>
      </w:r>
    </w:p>
  </w:footnote>
  <w:footnote w:id="73">
    <w:p w14:paraId="6CDB3EC1"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European Commission, </w:t>
      </w:r>
      <w:r w:rsidRPr="00682777">
        <w:rPr>
          <w:rStyle w:val="Emphasis"/>
          <w:rFonts w:ascii="Times New Roman" w:hAnsi="Times New Roman"/>
        </w:rPr>
        <w:t>EU strategy for the rights of persons with disabilities 2021-2030</w:t>
      </w:r>
      <w:r w:rsidRPr="00682777">
        <w:rPr>
          <w:rFonts w:ascii="Times New Roman" w:hAnsi="Times New Roman"/>
        </w:rPr>
        <w:t xml:space="preserve"> (Publications Office of the European Union, 2021), https://commission.europa.eu/publications/eu-strategy-rights-persons-disabilities-2021-2030_en</w:t>
      </w:r>
    </w:p>
  </w:footnote>
  <w:footnote w:id="74">
    <w:p w14:paraId="32037204" w14:textId="6474A866" w:rsidR="00817FC2" w:rsidRPr="00682777" w:rsidRDefault="00817FC2" w:rsidP="00F0185D">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United Nations, </w:t>
      </w:r>
      <w:r w:rsidRPr="661F9D2E">
        <w:rPr>
          <w:rFonts w:ascii="Times New Roman" w:hAnsi="Times New Roman"/>
          <w:i/>
          <w:iCs/>
        </w:rPr>
        <w:t>Transforming our world: The 2030 agenda for sustainable development</w:t>
      </w:r>
      <w:r w:rsidRPr="00682777">
        <w:rPr>
          <w:rFonts w:ascii="Times New Roman" w:hAnsi="Times New Roman"/>
        </w:rPr>
        <w:t xml:space="preserve"> (2015), OZHQ 3 &amp; OZHQ 10, </w:t>
      </w:r>
      <w:hyperlink r:id="rId4" w:history="1">
        <w:r w:rsidRPr="661F9D2E">
          <w:rPr>
            <w:rFonts w:ascii="Times New Roman" w:hAnsi="Times New Roman"/>
          </w:rPr>
          <w:t>https://OZHQs.un.org/2030agenda</w:t>
        </w:r>
      </w:hyperlink>
      <w:r w:rsidRPr="00682777">
        <w:rPr>
          <w:rFonts w:ascii="Times New Roman" w:hAnsi="Times New Roman"/>
        </w:rPr>
        <w:t>.</w:t>
      </w:r>
    </w:p>
  </w:footnote>
  <w:footnote w:id="75">
    <w:p w14:paraId="4939DFB1"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Republika e Shqipërisë. (2022). </w:t>
      </w:r>
      <w:r w:rsidRPr="00682777">
        <w:rPr>
          <w:rStyle w:val="Emphasis"/>
          <w:rFonts w:ascii="Times New Roman" w:hAnsi="Times New Roman"/>
        </w:rPr>
        <w:t>Strategjia Kombëtare për Zhvillim dhe Integrim 2022-2030</w:t>
      </w:r>
      <w:r w:rsidRPr="00682777">
        <w:rPr>
          <w:rFonts w:ascii="Times New Roman" w:hAnsi="Times New Roman"/>
        </w:rPr>
        <w:t>. Qeveria e Republikës së Shqipërisë.</w:t>
      </w:r>
    </w:p>
  </w:footnote>
  <w:footnote w:id="76">
    <w:p w14:paraId="4C4753C7"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Republika e Shqipërisë, Ministria e Shëndetësisë dhe Mbrojtjes Sociale. (2021). </w:t>
      </w:r>
      <w:r w:rsidRPr="00682777">
        <w:rPr>
          <w:rStyle w:val="Emphasis"/>
          <w:rFonts w:ascii="Times New Roman" w:hAnsi="Times New Roman"/>
        </w:rPr>
        <w:t>Strategjia Kombëtare e Shëndetësisë 2021-2030</w:t>
      </w:r>
      <w:r w:rsidRPr="00682777">
        <w:rPr>
          <w:rFonts w:ascii="Times New Roman" w:hAnsi="Times New Roman"/>
        </w:rPr>
        <w:t>. Qeveria e Republikës së Shqipërisë.</w:t>
      </w:r>
    </w:p>
  </w:footnote>
  <w:footnote w:id="77">
    <w:p w14:paraId="6765E84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Republika e Shqipërisë, Ministria e Shëndetësisë dhe Mbrojtjes Sociale. (2021). </w:t>
      </w:r>
      <w:r w:rsidRPr="00682777">
        <w:rPr>
          <w:rStyle w:val="Emphasis"/>
          <w:rFonts w:ascii="Times New Roman" w:hAnsi="Times New Roman"/>
        </w:rPr>
        <w:t>Strategjia Kombëtare e Shëndetësisë 2021-2030</w:t>
      </w:r>
      <w:r w:rsidRPr="00682777">
        <w:rPr>
          <w:rFonts w:ascii="Times New Roman" w:hAnsi="Times New Roman"/>
        </w:rPr>
        <w:t>. Qeveria e Republikës së Shqipërisë.</w:t>
      </w:r>
    </w:p>
  </w:footnote>
  <w:footnote w:id="78">
    <w:p w14:paraId="4B8C2C8E"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Ligji nr. 108/2012</w:t>
      </w:r>
      <w:r w:rsidRPr="00682777">
        <w:rPr>
          <w:rFonts w:ascii="Times New Roman" w:hAnsi="Times New Roman"/>
        </w:rPr>
        <w:t>, datë 15.11.2012 “Për ratifikimin e Konventës së Kombeve të Bashkuara për të Drejtat e Personave me Aftësi të Kufizuara”</w:t>
      </w:r>
    </w:p>
  </w:footnote>
  <w:footnote w:id="79">
    <w:p w14:paraId="5B9611BC"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 Strategy for the Rights of Persons with Disabilities 2021-2030</w:t>
      </w:r>
    </w:p>
  </w:footnote>
  <w:footnote w:id="80">
    <w:p w14:paraId="2733447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 xml:space="preserve">VKM nr. 107, datë 17.2.2021 </w:t>
      </w:r>
      <w:r w:rsidRPr="00682777">
        <w:rPr>
          <w:rFonts w:ascii="Times New Roman" w:hAnsi="Times New Roman"/>
        </w:rPr>
        <w:t>“Për miratimin e Strategjisë Kombëtare për Kulturën 2021-2025 dhe Planit të Veprimit për zbatimin e saj”</w:t>
      </w:r>
    </w:p>
  </w:footnote>
  <w:footnote w:id="81">
    <w:p w14:paraId="74D5998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 xml:space="preserve">VKM nr. 448, datë 26.7.2018 </w:t>
      </w:r>
      <w:r w:rsidRPr="00682777">
        <w:rPr>
          <w:rFonts w:ascii="Times New Roman" w:hAnsi="Times New Roman"/>
        </w:rPr>
        <w:t>“Për miratimin e Planit Kombëtar për Trashëgiminë Kulturore dhe Arsimin Artistik”</w:t>
      </w:r>
    </w:p>
  </w:footnote>
  <w:footnote w:id="82">
    <w:p w14:paraId="416F1719"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Style w:val="Strong"/>
          <w:rFonts w:ascii="Times New Roman" w:hAnsi="Times New Roman"/>
          <w:b w:val="0"/>
          <w:bCs w:val="0"/>
        </w:rPr>
        <w:t xml:space="preserve">VKM nr. 715, datë 24.11.2021 </w:t>
      </w:r>
      <w:r w:rsidRPr="00682777">
        <w:rPr>
          <w:rFonts w:ascii="Times New Roman" w:hAnsi="Times New Roman"/>
        </w:rPr>
        <w:t>“Për miratimin e Strategjisë Kombëtare të Sportit 2021-2025 dhe Planit të Veprimit për zbatimin e saj”</w:t>
      </w:r>
    </w:p>
  </w:footnote>
  <w:footnote w:id="83">
    <w:p w14:paraId="5DD5F21F" w14:textId="77777777" w:rsidR="00817FC2" w:rsidRPr="00682777" w:rsidRDefault="00817FC2" w:rsidP="00521728">
      <w:pPr>
        <w:tabs>
          <w:tab w:val="left" w:pos="180"/>
        </w:tabs>
        <w:adjustRightInd w:val="0"/>
        <w:snapToGrid w:val="0"/>
        <w:ind w:left="180" w:hanging="180"/>
        <w:jc w:val="both"/>
        <w:rPr>
          <w:sz w:val="20"/>
          <w:szCs w:val="20"/>
        </w:rPr>
      </w:pPr>
      <w:r w:rsidRPr="00682777">
        <w:rPr>
          <w:rStyle w:val="FootnoteReference"/>
          <w:sz w:val="20"/>
          <w:szCs w:val="20"/>
        </w:rPr>
        <w:footnoteRef/>
      </w:r>
      <w:r w:rsidRPr="00682777">
        <w:rPr>
          <w:sz w:val="20"/>
          <w:szCs w:val="20"/>
        </w:rPr>
        <w:t xml:space="preserve"> Ligji nr. 108/2012 datë 15.11.2012 “Për ratifikimin e Konventës së OKB-së “Për të drejtat e personave me aftësi të kufizuara”</w:t>
      </w:r>
    </w:p>
  </w:footnote>
  <w:footnote w:id="84">
    <w:p w14:paraId="73B6798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EU Strategy for the Rights of Persons with Disabilities 2021-2030</w:t>
      </w:r>
    </w:p>
  </w:footnote>
  <w:footnote w:id="85">
    <w:p w14:paraId="3A605FCC" w14:textId="77777777" w:rsidR="00817FC2" w:rsidRPr="00682777" w:rsidRDefault="00817FC2" w:rsidP="00521728">
      <w:pPr>
        <w:pStyle w:val="FootnoteText"/>
        <w:tabs>
          <w:tab w:val="left" w:pos="180"/>
        </w:tabs>
        <w:adjustRightInd w:val="0"/>
        <w:snapToGrid w:val="0"/>
        <w:ind w:left="180" w:hanging="180"/>
        <w:jc w:val="both"/>
        <w:rPr>
          <w:rStyle w:val="Strong"/>
          <w:rFonts w:ascii="Times New Roman" w:hAnsi="Times New Roman"/>
          <w:b w:val="0"/>
          <w:bCs w:val="0"/>
        </w:rPr>
      </w:pPr>
      <w:r w:rsidRPr="00682777">
        <w:rPr>
          <w:rFonts w:ascii="Times New Roman" w:hAnsi="Times New Roman"/>
        </w:rPr>
        <w:t xml:space="preserve">4 The </w:t>
      </w:r>
      <w:r w:rsidRPr="00682777">
        <w:rPr>
          <w:rStyle w:val="Strong"/>
          <w:rFonts w:ascii="Times New Roman" w:hAnsi="Times New Roman"/>
          <w:b w:val="0"/>
          <w:bCs w:val="0"/>
        </w:rPr>
        <w:t>European Pillar of Social Rights (EPSR)</w:t>
      </w:r>
    </w:p>
    <w:p w14:paraId="1E47DA6C" w14:textId="561412AB"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661F9D2E">
        <w:rPr>
          <w:rFonts w:ascii="Times New Roman" w:hAnsi="Times New Roman"/>
        </w:rPr>
        <w:t xml:space="preserve">5The </w:t>
      </w:r>
      <w:r w:rsidRPr="661F9D2E">
        <w:rPr>
          <w:rStyle w:val="Strong"/>
          <w:rFonts w:ascii="Times New Roman" w:hAnsi="Times New Roman"/>
          <w:b w:val="0"/>
          <w:bCs w:val="0"/>
        </w:rPr>
        <w:t>Sustainable Development Goals (OZHQs)</w:t>
      </w:r>
    </w:p>
  </w:footnote>
  <w:footnote w:id="86">
    <w:p w14:paraId="45931562"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w:t>
      </w:r>
      <w:r w:rsidRPr="00682777">
        <w:rPr>
          <w:rFonts w:ascii="Times New Roman" w:eastAsia="Times New Roman" w:hAnsi="Times New Roman"/>
        </w:rPr>
        <w:t>Strategjia Kombëtare për Zhvillim dhe Integrim 2022-2030</w:t>
      </w:r>
    </w:p>
  </w:footnote>
  <w:footnote w:id="87">
    <w:p w14:paraId="36A83AA0"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r w:rsidRPr="00682777">
        <w:rPr>
          <w:rStyle w:val="FootnoteReference"/>
          <w:rFonts w:ascii="Times New Roman" w:hAnsi="Times New Roman"/>
        </w:rPr>
        <w:footnoteRef/>
      </w:r>
      <w:r w:rsidRPr="00682777">
        <w:rPr>
          <w:rFonts w:ascii="Times New Roman" w:hAnsi="Times New Roman"/>
        </w:rPr>
        <w:t xml:space="preserve"> Dokumenti Politik për Përfshirjen Sociale 2016-2020, VKM</w:t>
      </w:r>
    </w:p>
  </w:footnote>
  <w:footnote w:id="88">
    <w:p w14:paraId="6EDDE6C9" w14:textId="77777777" w:rsidR="00817FC2" w:rsidRPr="00682777" w:rsidRDefault="00817FC2" w:rsidP="00521728">
      <w:pPr>
        <w:tabs>
          <w:tab w:val="left" w:pos="180"/>
        </w:tabs>
        <w:adjustRightInd w:val="0"/>
        <w:snapToGrid w:val="0"/>
        <w:ind w:left="180" w:hanging="180"/>
        <w:jc w:val="both"/>
        <w:rPr>
          <w:sz w:val="20"/>
          <w:szCs w:val="20"/>
        </w:rPr>
      </w:pPr>
      <w:r w:rsidRPr="00682777">
        <w:rPr>
          <w:rStyle w:val="FootnoteReference"/>
          <w:sz w:val="20"/>
          <w:szCs w:val="20"/>
        </w:rPr>
        <w:footnoteRef/>
      </w:r>
      <w:r w:rsidRPr="00682777">
        <w:rPr>
          <w:sz w:val="20"/>
          <w:szCs w:val="20"/>
        </w:rPr>
        <w:t xml:space="preserve"> VKM nr. 48, datë 21.1.2015, të Këshillit të Ministrave, “Për miratimin e rregullores për funksionimin e këshillit kombëtar për aftësinë e kufizuar”</w:t>
      </w:r>
    </w:p>
  </w:footnote>
  <w:footnote w:id="89">
    <w:p w14:paraId="51EBA4FB" w14:textId="77777777" w:rsidR="00817FC2" w:rsidRPr="00682777" w:rsidRDefault="00817FC2" w:rsidP="00521728">
      <w:pPr>
        <w:pStyle w:val="NoSpacing"/>
        <w:tabs>
          <w:tab w:val="left" w:pos="180"/>
        </w:tabs>
        <w:adjustRightInd w:val="0"/>
        <w:snapToGrid w:val="0"/>
        <w:ind w:left="180" w:hanging="180"/>
        <w:jc w:val="both"/>
        <w:rPr>
          <w:rFonts w:ascii="Times New Roman" w:hAnsi="Times New Roman"/>
          <w:sz w:val="20"/>
          <w:szCs w:val="20"/>
          <w:lang w:val="sq-AL"/>
        </w:rPr>
      </w:pPr>
      <w:r w:rsidRPr="00682777">
        <w:rPr>
          <w:rStyle w:val="FootnoteReference"/>
          <w:rFonts w:ascii="Times New Roman" w:hAnsi="Times New Roman"/>
          <w:sz w:val="20"/>
          <w:szCs w:val="20"/>
          <w:lang w:val="sq-AL"/>
        </w:rPr>
        <w:footnoteRef/>
      </w:r>
      <w:r w:rsidRPr="00682777">
        <w:rPr>
          <w:rFonts w:ascii="Times New Roman" w:hAnsi="Times New Roman"/>
          <w:sz w:val="20"/>
          <w:szCs w:val="20"/>
          <w:lang w:val="sq-AL"/>
        </w:rPr>
        <w:t xml:space="preserve"> </w:t>
      </w:r>
      <w:r w:rsidRPr="00682777">
        <w:rPr>
          <w:rFonts w:ascii="Times New Roman" w:eastAsia="Times New Roman" w:hAnsi="Times New Roman"/>
          <w:sz w:val="20"/>
          <w:szCs w:val="20"/>
          <w:lang w:val="sq-AL"/>
        </w:rPr>
        <w:t>Direktiva (BE) 2016/2102 për aksesueshmërinë e faqeve të internetit dhe aplikacioneve mobile të institucioneve publike.</w:t>
      </w:r>
    </w:p>
    <w:p w14:paraId="582503AE" w14:textId="77777777" w:rsidR="00817FC2" w:rsidRPr="00682777" w:rsidRDefault="00817FC2" w:rsidP="00521728">
      <w:pPr>
        <w:pStyle w:val="FootnoteText"/>
        <w:tabs>
          <w:tab w:val="left" w:pos="180"/>
        </w:tabs>
        <w:adjustRightInd w:val="0"/>
        <w:snapToGrid w:val="0"/>
        <w:ind w:left="180" w:hanging="180"/>
        <w:jc w:val="both"/>
        <w:rPr>
          <w:rFonts w:ascii="Times New Roman" w:hAnsi="Times New Roman"/>
        </w:rPr>
      </w:pPr>
    </w:p>
  </w:footnote>
  <w:footnote w:id="90">
    <w:p w14:paraId="1F0B0387" w14:textId="77777777" w:rsidR="00817FC2" w:rsidRPr="00682777" w:rsidRDefault="00817FC2" w:rsidP="00682777">
      <w:pPr>
        <w:tabs>
          <w:tab w:val="left" w:pos="180"/>
        </w:tabs>
        <w:adjustRightInd w:val="0"/>
        <w:snapToGrid w:val="0"/>
        <w:ind w:left="180" w:hanging="180"/>
        <w:jc w:val="both"/>
        <w:rPr>
          <w:sz w:val="20"/>
          <w:szCs w:val="20"/>
        </w:rPr>
      </w:pPr>
      <w:r w:rsidRPr="00682777">
        <w:rPr>
          <w:rStyle w:val="FootnoteReference"/>
          <w:sz w:val="20"/>
          <w:szCs w:val="20"/>
        </w:rPr>
        <w:footnoteRef/>
      </w:r>
      <w:r w:rsidRPr="00682777">
        <w:rPr>
          <w:sz w:val="20"/>
          <w:szCs w:val="20"/>
        </w:rPr>
        <w:t xml:space="preserve"> </w:t>
      </w:r>
      <w:hyperlink r:id="rId5" w:history="1">
        <w:r w:rsidRPr="00682777">
          <w:rPr>
            <w:rStyle w:val="Hyperlink"/>
            <w:color w:val="auto"/>
            <w:sz w:val="20"/>
            <w:szCs w:val="20"/>
            <w:u w:val="none"/>
          </w:rPr>
          <w:t>Ligji nr. 17/2018 për Statistikat Zyrtare</w:t>
        </w:r>
      </w:hyperlink>
    </w:p>
  </w:footnote>
  <w:footnote w:id="91">
    <w:p w14:paraId="6500FFE2" w14:textId="382C4567" w:rsidR="005B77E1" w:rsidRPr="005B77E1" w:rsidRDefault="005B77E1">
      <w:pPr>
        <w:pStyle w:val="FootnoteText"/>
        <w:rPr>
          <w:lang w:val="en-US"/>
        </w:rPr>
      </w:pPr>
      <w:r>
        <w:rPr>
          <w:rStyle w:val="FootnoteReference"/>
        </w:rPr>
        <w:footnoteRef/>
      </w:r>
      <w:r>
        <w:t xml:space="preserve"> </w:t>
      </w:r>
      <w:r w:rsidRPr="005B77E1">
        <w:rPr>
          <w:rFonts w:ascii="Times New Roman" w:hAnsi="Times New Roman"/>
          <w:sz w:val="18"/>
          <w:szCs w:val="18"/>
          <w:lang w:val="en-US"/>
        </w:rPr>
        <w:t>Shumë nga aktivitet e kesaj fushe janë të kostuara tek Staregjia e mbrojtjes Sociale 2024-2030 ( si psh ndërhyrjet që lidhen me pagesat e NE dhe të Fondit social etj, shiko detajet ne Anekset ne exell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9BA5" w14:textId="77777777" w:rsidR="00817FC2" w:rsidRDefault="00817F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0B08B" w14:textId="77777777" w:rsidR="00817FC2" w:rsidRDefault="00817F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7B46" w14:textId="77777777" w:rsidR="00817FC2" w:rsidRDefault="00817F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8F7"/>
    <w:multiLevelType w:val="hybridMultilevel"/>
    <w:tmpl w:val="280245C8"/>
    <w:lvl w:ilvl="0" w:tplc="456A71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D0E2E"/>
    <w:multiLevelType w:val="multilevel"/>
    <w:tmpl w:val="43BA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36AF2"/>
    <w:multiLevelType w:val="hybridMultilevel"/>
    <w:tmpl w:val="CF80189A"/>
    <w:lvl w:ilvl="0" w:tplc="FFFFFFFF">
      <w:start w:val="1"/>
      <w:numFmt w:val="decimal"/>
      <w:lvlText w:val="1.%1"/>
      <w:lvlJc w:val="left"/>
      <w:pPr>
        <w:ind w:left="720" w:hanging="360"/>
      </w:pPr>
      <w:rPr>
        <w:rFonts w:hint="default"/>
      </w:rPr>
    </w:lvl>
    <w:lvl w:ilvl="1" w:tplc="0670340A">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15337"/>
    <w:multiLevelType w:val="multilevel"/>
    <w:tmpl w:val="7B2CC6A8"/>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D8144C0"/>
    <w:multiLevelType w:val="hybridMultilevel"/>
    <w:tmpl w:val="605637C8"/>
    <w:lvl w:ilvl="0" w:tplc="FEA001B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3610D"/>
    <w:multiLevelType w:val="hybridMultilevel"/>
    <w:tmpl w:val="2D1ACA58"/>
    <w:lvl w:ilvl="0" w:tplc="FFFFFFFF">
      <w:start w:val="1"/>
      <w:numFmt w:val="decimal"/>
      <w:lvlText w:val="1.%1"/>
      <w:lvlJc w:val="left"/>
      <w:pPr>
        <w:ind w:left="720" w:hanging="360"/>
      </w:pPr>
      <w:rPr>
        <w:rFonts w:hint="default"/>
      </w:rPr>
    </w:lvl>
    <w:lvl w:ilvl="1" w:tplc="0670340A">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B7CC0"/>
    <w:multiLevelType w:val="hybridMultilevel"/>
    <w:tmpl w:val="56987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04187"/>
    <w:multiLevelType w:val="hybridMultilevel"/>
    <w:tmpl w:val="5E9C2400"/>
    <w:lvl w:ilvl="0" w:tplc="FEA001B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67FAA"/>
    <w:multiLevelType w:val="hybridMultilevel"/>
    <w:tmpl w:val="1B9A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46ED3"/>
    <w:multiLevelType w:val="hybridMultilevel"/>
    <w:tmpl w:val="C4B0433A"/>
    <w:lvl w:ilvl="0" w:tplc="1658B4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6339B"/>
    <w:multiLevelType w:val="hybridMultilevel"/>
    <w:tmpl w:val="1668D73E"/>
    <w:lvl w:ilvl="0" w:tplc="456A71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C58DB"/>
    <w:multiLevelType w:val="hybridMultilevel"/>
    <w:tmpl w:val="458EE80A"/>
    <w:lvl w:ilvl="0" w:tplc="0670340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10762"/>
    <w:multiLevelType w:val="multilevel"/>
    <w:tmpl w:val="D9F879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302ACB"/>
    <w:multiLevelType w:val="hybridMultilevel"/>
    <w:tmpl w:val="43D240EE"/>
    <w:lvl w:ilvl="0" w:tplc="FFFFFFFF">
      <w:start w:val="1"/>
      <w:numFmt w:val="decimal"/>
      <w:lvlText w:val="1.%1"/>
      <w:lvlJc w:val="left"/>
      <w:pPr>
        <w:ind w:left="720" w:hanging="360"/>
      </w:pPr>
      <w:rPr>
        <w:rFonts w:hint="default"/>
      </w:rPr>
    </w:lvl>
    <w:lvl w:ilvl="1" w:tplc="0670340A">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C33FE1"/>
    <w:multiLevelType w:val="multilevel"/>
    <w:tmpl w:val="B78863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5E7690"/>
    <w:multiLevelType w:val="hybridMultilevel"/>
    <w:tmpl w:val="45040CCE"/>
    <w:lvl w:ilvl="0" w:tplc="FFFFFFFF">
      <w:start w:val="1"/>
      <w:numFmt w:val="decimal"/>
      <w:lvlText w:val="3.%1"/>
      <w:lvlJc w:val="left"/>
      <w:pPr>
        <w:ind w:left="720" w:hanging="360"/>
      </w:pPr>
      <w:rPr>
        <w:rFonts w:hint="default"/>
      </w:rPr>
    </w:lvl>
    <w:lvl w:ilvl="1" w:tplc="FEA001B0">
      <w:start w:val="1"/>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F807A3"/>
    <w:multiLevelType w:val="hybridMultilevel"/>
    <w:tmpl w:val="504ABF2C"/>
    <w:lvl w:ilvl="0" w:tplc="456A71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93353"/>
    <w:multiLevelType w:val="hybridMultilevel"/>
    <w:tmpl w:val="C2301F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174812"/>
    <w:multiLevelType w:val="hybridMultilevel"/>
    <w:tmpl w:val="3DB2587E"/>
    <w:lvl w:ilvl="0" w:tplc="FEA001B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210F5"/>
    <w:multiLevelType w:val="hybridMultilevel"/>
    <w:tmpl w:val="64E4EF5E"/>
    <w:lvl w:ilvl="0" w:tplc="1658B4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C3472"/>
    <w:multiLevelType w:val="hybridMultilevel"/>
    <w:tmpl w:val="61509FB2"/>
    <w:lvl w:ilvl="0" w:tplc="0670340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A206E"/>
    <w:multiLevelType w:val="multilevel"/>
    <w:tmpl w:val="8C3A049A"/>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337AA5"/>
    <w:multiLevelType w:val="hybridMultilevel"/>
    <w:tmpl w:val="9866FD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4A6D24"/>
    <w:multiLevelType w:val="multilevel"/>
    <w:tmpl w:val="9214AC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C82494"/>
    <w:multiLevelType w:val="multilevel"/>
    <w:tmpl w:val="DB18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C3E5F"/>
    <w:multiLevelType w:val="hybridMultilevel"/>
    <w:tmpl w:val="C98A47E2"/>
    <w:lvl w:ilvl="0" w:tplc="FFFFFFFF">
      <w:start w:val="1"/>
      <w:numFmt w:val="decimal"/>
      <w:lvlText w:val="3.%1"/>
      <w:lvlJc w:val="left"/>
      <w:pPr>
        <w:ind w:left="720" w:hanging="360"/>
      </w:pPr>
      <w:rPr>
        <w:rFonts w:hint="default"/>
      </w:rPr>
    </w:lvl>
    <w:lvl w:ilvl="1" w:tplc="FEA001B0">
      <w:start w:val="1"/>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D5CA7"/>
    <w:multiLevelType w:val="hybridMultilevel"/>
    <w:tmpl w:val="9B129352"/>
    <w:lvl w:ilvl="0" w:tplc="FFFFFFFF">
      <w:start w:val="1"/>
      <w:numFmt w:val="decimal"/>
      <w:lvlText w:val="1.%1"/>
      <w:lvlJc w:val="left"/>
      <w:pPr>
        <w:ind w:left="720" w:hanging="360"/>
      </w:pPr>
      <w:rPr>
        <w:rFonts w:hint="default"/>
      </w:rPr>
    </w:lvl>
    <w:lvl w:ilvl="1" w:tplc="42D0A79A">
      <w:start w:val="1"/>
      <w:numFmt w:val="decimal"/>
      <w:lvlText w:val="1.%2"/>
      <w:lvlJc w:val="left"/>
      <w:pPr>
        <w:ind w:left="1440" w:hanging="360"/>
      </w:pPr>
      <w:rPr>
        <w:rFonts w:hint="default"/>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136915"/>
    <w:multiLevelType w:val="multilevel"/>
    <w:tmpl w:val="289C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B40E7"/>
    <w:multiLevelType w:val="hybridMultilevel"/>
    <w:tmpl w:val="8E6A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E0049"/>
    <w:multiLevelType w:val="hybridMultilevel"/>
    <w:tmpl w:val="09AA1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11A49"/>
    <w:multiLevelType w:val="hybridMultilevel"/>
    <w:tmpl w:val="46688A68"/>
    <w:lvl w:ilvl="0" w:tplc="0670340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E6F78"/>
    <w:multiLevelType w:val="multilevel"/>
    <w:tmpl w:val="5FA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55F38"/>
    <w:multiLevelType w:val="multilevel"/>
    <w:tmpl w:val="64BA8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32599C"/>
    <w:multiLevelType w:val="hybridMultilevel"/>
    <w:tmpl w:val="B3F0A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8A1538"/>
    <w:multiLevelType w:val="hybridMultilevel"/>
    <w:tmpl w:val="855A65B4"/>
    <w:lvl w:ilvl="0" w:tplc="FEA001B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52803"/>
    <w:multiLevelType w:val="hybridMultilevel"/>
    <w:tmpl w:val="278682F8"/>
    <w:lvl w:ilvl="0" w:tplc="FFFFFFFF">
      <w:start w:val="1"/>
      <w:numFmt w:val="decimal"/>
      <w:lvlText w:val="1.%1"/>
      <w:lvlJc w:val="left"/>
      <w:pPr>
        <w:ind w:left="720" w:hanging="360"/>
      </w:pPr>
      <w:rPr>
        <w:rFonts w:hint="default"/>
      </w:rPr>
    </w:lvl>
    <w:lvl w:ilvl="1" w:tplc="0670340A">
      <w:start w:val="1"/>
      <w:numFmt w:val="decimal"/>
      <w:lvlText w:val="1.%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BA0397"/>
    <w:multiLevelType w:val="hybridMultilevel"/>
    <w:tmpl w:val="D6007AB2"/>
    <w:lvl w:ilvl="0" w:tplc="0670340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7312D"/>
    <w:multiLevelType w:val="hybridMultilevel"/>
    <w:tmpl w:val="F97CAB76"/>
    <w:lvl w:ilvl="0" w:tplc="7CC4D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A059C0"/>
    <w:multiLevelType w:val="multilevel"/>
    <w:tmpl w:val="BF98CE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1E19BA"/>
    <w:multiLevelType w:val="hybridMultilevel"/>
    <w:tmpl w:val="4A7CE9FE"/>
    <w:lvl w:ilvl="0" w:tplc="0670340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E420A2"/>
    <w:multiLevelType w:val="multilevel"/>
    <w:tmpl w:val="3C3A03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4EC7BFB"/>
    <w:multiLevelType w:val="hybridMultilevel"/>
    <w:tmpl w:val="0798BF4E"/>
    <w:lvl w:ilvl="0" w:tplc="6ABC1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0A0903"/>
    <w:multiLevelType w:val="hybridMultilevel"/>
    <w:tmpl w:val="AEA8D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475B9"/>
    <w:multiLevelType w:val="hybridMultilevel"/>
    <w:tmpl w:val="C76C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0755CE"/>
    <w:multiLevelType w:val="hybridMultilevel"/>
    <w:tmpl w:val="08480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963678"/>
    <w:multiLevelType w:val="multilevel"/>
    <w:tmpl w:val="AB928CF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084402"/>
    <w:multiLevelType w:val="hybridMultilevel"/>
    <w:tmpl w:val="60CE3BFC"/>
    <w:lvl w:ilvl="0" w:tplc="84A0905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81ABC"/>
    <w:multiLevelType w:val="multilevel"/>
    <w:tmpl w:val="AF4C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E06983"/>
    <w:multiLevelType w:val="multilevel"/>
    <w:tmpl w:val="00A8AE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F321528"/>
    <w:multiLevelType w:val="hybridMultilevel"/>
    <w:tmpl w:val="8566440E"/>
    <w:lvl w:ilvl="0" w:tplc="456A71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750B3E"/>
    <w:multiLevelType w:val="multilevel"/>
    <w:tmpl w:val="EE7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3D7705"/>
    <w:multiLevelType w:val="multilevel"/>
    <w:tmpl w:val="9E3E4E8A"/>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D91FFB"/>
    <w:multiLevelType w:val="hybridMultilevel"/>
    <w:tmpl w:val="443C201A"/>
    <w:lvl w:ilvl="0" w:tplc="1658B4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8A1CE5"/>
    <w:multiLevelType w:val="hybridMultilevel"/>
    <w:tmpl w:val="51FA6A1C"/>
    <w:lvl w:ilvl="0" w:tplc="8F4CDE02">
      <w:start w:val="1"/>
      <w:numFmt w:val="decimal"/>
      <w:lvlText w:val="5.%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7F14701B"/>
    <w:multiLevelType w:val="hybridMultilevel"/>
    <w:tmpl w:val="22FC76D8"/>
    <w:lvl w:ilvl="0" w:tplc="0670340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B52011"/>
    <w:multiLevelType w:val="hybridMultilevel"/>
    <w:tmpl w:val="CAACC43E"/>
    <w:lvl w:ilvl="0" w:tplc="456A71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8"/>
  </w:num>
  <w:num w:numId="3">
    <w:abstractNumId w:val="40"/>
  </w:num>
  <w:num w:numId="4">
    <w:abstractNumId w:val="37"/>
  </w:num>
  <w:num w:numId="5">
    <w:abstractNumId w:val="1"/>
  </w:num>
  <w:num w:numId="6">
    <w:abstractNumId w:val="31"/>
  </w:num>
  <w:num w:numId="7">
    <w:abstractNumId w:val="33"/>
  </w:num>
  <w:num w:numId="8">
    <w:abstractNumId w:val="48"/>
  </w:num>
  <w:num w:numId="9">
    <w:abstractNumId w:val="21"/>
  </w:num>
  <w:num w:numId="10">
    <w:abstractNumId w:val="27"/>
  </w:num>
  <w:num w:numId="11">
    <w:abstractNumId w:val="32"/>
  </w:num>
  <w:num w:numId="12">
    <w:abstractNumId w:val="3"/>
  </w:num>
  <w:num w:numId="13">
    <w:abstractNumId w:val="8"/>
  </w:num>
  <w:num w:numId="14">
    <w:abstractNumId w:val="44"/>
  </w:num>
  <w:num w:numId="15">
    <w:abstractNumId w:val="50"/>
  </w:num>
  <w:num w:numId="16">
    <w:abstractNumId w:val="42"/>
  </w:num>
  <w:num w:numId="17">
    <w:abstractNumId w:val="6"/>
  </w:num>
  <w:num w:numId="18">
    <w:abstractNumId w:val="24"/>
  </w:num>
  <w:num w:numId="19">
    <w:abstractNumId w:val="17"/>
  </w:num>
  <w:num w:numId="20">
    <w:abstractNumId w:val="47"/>
  </w:num>
  <w:num w:numId="21">
    <w:abstractNumId w:val="22"/>
  </w:num>
  <w:num w:numId="22">
    <w:abstractNumId w:val="29"/>
  </w:num>
  <w:num w:numId="23">
    <w:abstractNumId w:val="41"/>
  </w:num>
  <w:num w:numId="24">
    <w:abstractNumId w:val="54"/>
  </w:num>
  <w:num w:numId="25">
    <w:abstractNumId w:val="12"/>
  </w:num>
  <w:num w:numId="26">
    <w:abstractNumId w:val="5"/>
  </w:num>
  <w:num w:numId="27">
    <w:abstractNumId w:val="49"/>
  </w:num>
  <w:num w:numId="28">
    <w:abstractNumId w:val="11"/>
  </w:num>
  <w:num w:numId="29">
    <w:abstractNumId w:val="14"/>
  </w:num>
  <w:num w:numId="30">
    <w:abstractNumId w:val="2"/>
  </w:num>
  <w:num w:numId="31">
    <w:abstractNumId w:val="10"/>
  </w:num>
  <w:num w:numId="32">
    <w:abstractNumId w:val="18"/>
  </w:num>
  <w:num w:numId="33">
    <w:abstractNumId w:val="25"/>
  </w:num>
  <w:num w:numId="34">
    <w:abstractNumId w:val="52"/>
  </w:num>
  <w:num w:numId="35">
    <w:abstractNumId w:val="20"/>
  </w:num>
  <w:num w:numId="36">
    <w:abstractNumId w:val="45"/>
  </w:num>
  <w:num w:numId="37">
    <w:abstractNumId w:val="26"/>
  </w:num>
  <w:num w:numId="38">
    <w:abstractNumId w:val="55"/>
  </w:num>
  <w:num w:numId="39">
    <w:abstractNumId w:val="4"/>
  </w:num>
  <w:num w:numId="40">
    <w:abstractNumId w:val="15"/>
  </w:num>
  <w:num w:numId="41">
    <w:abstractNumId w:val="9"/>
  </w:num>
  <w:num w:numId="42">
    <w:abstractNumId w:val="53"/>
  </w:num>
  <w:num w:numId="43">
    <w:abstractNumId w:val="46"/>
  </w:num>
  <w:num w:numId="44">
    <w:abstractNumId w:val="38"/>
  </w:num>
  <w:num w:numId="45">
    <w:abstractNumId w:val="16"/>
  </w:num>
  <w:num w:numId="46">
    <w:abstractNumId w:val="34"/>
  </w:num>
  <w:num w:numId="47">
    <w:abstractNumId w:val="30"/>
  </w:num>
  <w:num w:numId="48">
    <w:abstractNumId w:val="23"/>
  </w:num>
  <w:num w:numId="49">
    <w:abstractNumId w:val="13"/>
  </w:num>
  <w:num w:numId="50">
    <w:abstractNumId w:val="36"/>
  </w:num>
  <w:num w:numId="51">
    <w:abstractNumId w:val="39"/>
  </w:num>
  <w:num w:numId="52">
    <w:abstractNumId w:val="51"/>
  </w:num>
  <w:num w:numId="53">
    <w:abstractNumId w:val="35"/>
  </w:num>
  <w:num w:numId="54">
    <w:abstractNumId w:val="0"/>
  </w:num>
  <w:num w:numId="55">
    <w:abstractNumId w:val="7"/>
  </w:num>
  <w:num w:numId="56">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DB"/>
    <w:rsid w:val="000036D4"/>
    <w:rsid w:val="00003727"/>
    <w:rsid w:val="00013955"/>
    <w:rsid w:val="00013ABD"/>
    <w:rsid w:val="00017BF3"/>
    <w:rsid w:val="00020504"/>
    <w:rsid w:val="00020B9F"/>
    <w:rsid w:val="00023579"/>
    <w:rsid w:val="00025BBB"/>
    <w:rsid w:val="00026CE4"/>
    <w:rsid w:val="00045869"/>
    <w:rsid w:val="0004614F"/>
    <w:rsid w:val="00050AF8"/>
    <w:rsid w:val="00054849"/>
    <w:rsid w:val="000626E8"/>
    <w:rsid w:val="00065C73"/>
    <w:rsid w:val="000717B9"/>
    <w:rsid w:val="00080000"/>
    <w:rsid w:val="00083AE1"/>
    <w:rsid w:val="000866C5"/>
    <w:rsid w:val="00086892"/>
    <w:rsid w:val="000913A3"/>
    <w:rsid w:val="00095144"/>
    <w:rsid w:val="00095673"/>
    <w:rsid w:val="000A7DC8"/>
    <w:rsid w:val="000B403A"/>
    <w:rsid w:val="000B5FB1"/>
    <w:rsid w:val="000D3458"/>
    <w:rsid w:val="000D7236"/>
    <w:rsid w:val="000E1775"/>
    <w:rsid w:val="000E1C9F"/>
    <w:rsid w:val="000E405C"/>
    <w:rsid w:val="000E56EB"/>
    <w:rsid w:val="000E6121"/>
    <w:rsid w:val="000F0583"/>
    <w:rsid w:val="000F30A4"/>
    <w:rsid w:val="000F73AA"/>
    <w:rsid w:val="001003EF"/>
    <w:rsid w:val="00102372"/>
    <w:rsid w:val="00105102"/>
    <w:rsid w:val="001058CD"/>
    <w:rsid w:val="00117BF5"/>
    <w:rsid w:val="0012096D"/>
    <w:rsid w:val="001214CB"/>
    <w:rsid w:val="00126489"/>
    <w:rsid w:val="00130A81"/>
    <w:rsid w:val="00130C0A"/>
    <w:rsid w:val="00131027"/>
    <w:rsid w:val="00132253"/>
    <w:rsid w:val="00132C9A"/>
    <w:rsid w:val="00141BEE"/>
    <w:rsid w:val="0014426B"/>
    <w:rsid w:val="00147213"/>
    <w:rsid w:val="00152BC8"/>
    <w:rsid w:val="00154F34"/>
    <w:rsid w:val="0016192E"/>
    <w:rsid w:val="001673BE"/>
    <w:rsid w:val="001771D3"/>
    <w:rsid w:val="00180CD5"/>
    <w:rsid w:val="00182D1A"/>
    <w:rsid w:val="00183A53"/>
    <w:rsid w:val="00184AFC"/>
    <w:rsid w:val="00187549"/>
    <w:rsid w:val="00187560"/>
    <w:rsid w:val="001900C5"/>
    <w:rsid w:val="001A705C"/>
    <w:rsid w:val="001B1899"/>
    <w:rsid w:val="001B7748"/>
    <w:rsid w:val="001C2582"/>
    <w:rsid w:val="001F3300"/>
    <w:rsid w:val="0020345A"/>
    <w:rsid w:val="0020771A"/>
    <w:rsid w:val="00225ABC"/>
    <w:rsid w:val="00234FBC"/>
    <w:rsid w:val="00241049"/>
    <w:rsid w:val="002410FE"/>
    <w:rsid w:val="002459D7"/>
    <w:rsid w:val="0025581C"/>
    <w:rsid w:val="00257A05"/>
    <w:rsid w:val="00263F75"/>
    <w:rsid w:val="00273A97"/>
    <w:rsid w:val="002768CE"/>
    <w:rsid w:val="00291631"/>
    <w:rsid w:val="002A2A2E"/>
    <w:rsid w:val="002B3406"/>
    <w:rsid w:val="002C160E"/>
    <w:rsid w:val="002D2DE0"/>
    <w:rsid w:val="002D4649"/>
    <w:rsid w:val="002D5F33"/>
    <w:rsid w:val="002E0B04"/>
    <w:rsid w:val="002E1CAF"/>
    <w:rsid w:val="002E4C88"/>
    <w:rsid w:val="002F0C3F"/>
    <w:rsid w:val="002F5CCC"/>
    <w:rsid w:val="00301203"/>
    <w:rsid w:val="00306C24"/>
    <w:rsid w:val="00307609"/>
    <w:rsid w:val="00323457"/>
    <w:rsid w:val="0032466F"/>
    <w:rsid w:val="00325568"/>
    <w:rsid w:val="0032587C"/>
    <w:rsid w:val="003267CF"/>
    <w:rsid w:val="00332042"/>
    <w:rsid w:val="00333E2A"/>
    <w:rsid w:val="0034379A"/>
    <w:rsid w:val="003443E2"/>
    <w:rsid w:val="00353986"/>
    <w:rsid w:val="00356930"/>
    <w:rsid w:val="00356E65"/>
    <w:rsid w:val="00357384"/>
    <w:rsid w:val="003631E6"/>
    <w:rsid w:val="00370AA6"/>
    <w:rsid w:val="00381415"/>
    <w:rsid w:val="0038204A"/>
    <w:rsid w:val="00385385"/>
    <w:rsid w:val="00385503"/>
    <w:rsid w:val="00395681"/>
    <w:rsid w:val="00397C0E"/>
    <w:rsid w:val="003A3087"/>
    <w:rsid w:val="003A67E5"/>
    <w:rsid w:val="003B2972"/>
    <w:rsid w:val="003B43D4"/>
    <w:rsid w:val="003B7F6C"/>
    <w:rsid w:val="003C1F35"/>
    <w:rsid w:val="003C6608"/>
    <w:rsid w:val="003D08F5"/>
    <w:rsid w:val="003D2B7A"/>
    <w:rsid w:val="003E161C"/>
    <w:rsid w:val="003E4CA9"/>
    <w:rsid w:val="003F4045"/>
    <w:rsid w:val="003F582F"/>
    <w:rsid w:val="00401571"/>
    <w:rsid w:val="004056FF"/>
    <w:rsid w:val="00406FBB"/>
    <w:rsid w:val="00407F9E"/>
    <w:rsid w:val="004127A6"/>
    <w:rsid w:val="0041401A"/>
    <w:rsid w:val="00416E45"/>
    <w:rsid w:val="00422907"/>
    <w:rsid w:val="00422FC4"/>
    <w:rsid w:val="00425781"/>
    <w:rsid w:val="00435B05"/>
    <w:rsid w:val="00436127"/>
    <w:rsid w:val="00436B22"/>
    <w:rsid w:val="0044449E"/>
    <w:rsid w:val="00453803"/>
    <w:rsid w:val="004602D5"/>
    <w:rsid w:val="004606F8"/>
    <w:rsid w:val="00461450"/>
    <w:rsid w:val="00466028"/>
    <w:rsid w:val="004668EE"/>
    <w:rsid w:val="00467799"/>
    <w:rsid w:val="0048716F"/>
    <w:rsid w:val="00487E3E"/>
    <w:rsid w:val="00491BA0"/>
    <w:rsid w:val="004928DD"/>
    <w:rsid w:val="004A279B"/>
    <w:rsid w:val="004A3881"/>
    <w:rsid w:val="004B03EF"/>
    <w:rsid w:val="004B31D6"/>
    <w:rsid w:val="004B3A18"/>
    <w:rsid w:val="004B7F63"/>
    <w:rsid w:val="004D0677"/>
    <w:rsid w:val="004D0AF9"/>
    <w:rsid w:val="004D2C7F"/>
    <w:rsid w:val="004D36F3"/>
    <w:rsid w:val="004D73D3"/>
    <w:rsid w:val="004E4604"/>
    <w:rsid w:val="005006E5"/>
    <w:rsid w:val="0050221F"/>
    <w:rsid w:val="00513644"/>
    <w:rsid w:val="00521728"/>
    <w:rsid w:val="005306F3"/>
    <w:rsid w:val="00533D9C"/>
    <w:rsid w:val="005411F8"/>
    <w:rsid w:val="005435F6"/>
    <w:rsid w:val="00545810"/>
    <w:rsid w:val="005506AF"/>
    <w:rsid w:val="00560456"/>
    <w:rsid w:val="00562245"/>
    <w:rsid w:val="00566494"/>
    <w:rsid w:val="00570186"/>
    <w:rsid w:val="00570B8F"/>
    <w:rsid w:val="00572542"/>
    <w:rsid w:val="00577ACC"/>
    <w:rsid w:val="0058284A"/>
    <w:rsid w:val="00582B12"/>
    <w:rsid w:val="0058320F"/>
    <w:rsid w:val="00586085"/>
    <w:rsid w:val="00587780"/>
    <w:rsid w:val="00587BB1"/>
    <w:rsid w:val="00592A13"/>
    <w:rsid w:val="00597AD8"/>
    <w:rsid w:val="005A4334"/>
    <w:rsid w:val="005A7093"/>
    <w:rsid w:val="005B77E1"/>
    <w:rsid w:val="005C30FC"/>
    <w:rsid w:val="005C345B"/>
    <w:rsid w:val="005C5445"/>
    <w:rsid w:val="005D191A"/>
    <w:rsid w:val="005D38AD"/>
    <w:rsid w:val="005E0AE6"/>
    <w:rsid w:val="005E1AF7"/>
    <w:rsid w:val="005E4EAE"/>
    <w:rsid w:val="005F4DB7"/>
    <w:rsid w:val="005F69EE"/>
    <w:rsid w:val="00601932"/>
    <w:rsid w:val="00602449"/>
    <w:rsid w:val="006031EE"/>
    <w:rsid w:val="0060677F"/>
    <w:rsid w:val="00610EB4"/>
    <w:rsid w:val="006157B1"/>
    <w:rsid w:val="00617482"/>
    <w:rsid w:val="006217A3"/>
    <w:rsid w:val="00622172"/>
    <w:rsid w:val="006233F4"/>
    <w:rsid w:val="00626215"/>
    <w:rsid w:val="00630349"/>
    <w:rsid w:val="00631904"/>
    <w:rsid w:val="00633D6B"/>
    <w:rsid w:val="006348B1"/>
    <w:rsid w:val="0063FC54"/>
    <w:rsid w:val="00647079"/>
    <w:rsid w:val="00647586"/>
    <w:rsid w:val="0066282F"/>
    <w:rsid w:val="00662ECD"/>
    <w:rsid w:val="006637B6"/>
    <w:rsid w:val="00682777"/>
    <w:rsid w:val="0068377D"/>
    <w:rsid w:val="0069655D"/>
    <w:rsid w:val="006A4794"/>
    <w:rsid w:val="006A61F4"/>
    <w:rsid w:val="006B03F5"/>
    <w:rsid w:val="006B056A"/>
    <w:rsid w:val="006B2585"/>
    <w:rsid w:val="006B46C0"/>
    <w:rsid w:val="006B62FF"/>
    <w:rsid w:val="006C3BD6"/>
    <w:rsid w:val="006C59B3"/>
    <w:rsid w:val="006D05FD"/>
    <w:rsid w:val="006D19E4"/>
    <w:rsid w:val="006D216B"/>
    <w:rsid w:val="006D3832"/>
    <w:rsid w:val="006D6A21"/>
    <w:rsid w:val="006F40E9"/>
    <w:rsid w:val="006F5202"/>
    <w:rsid w:val="0070598F"/>
    <w:rsid w:val="00714B41"/>
    <w:rsid w:val="0072289D"/>
    <w:rsid w:val="00724EFC"/>
    <w:rsid w:val="00730C06"/>
    <w:rsid w:val="00732B97"/>
    <w:rsid w:val="007345E8"/>
    <w:rsid w:val="00734682"/>
    <w:rsid w:val="00736097"/>
    <w:rsid w:val="00753C46"/>
    <w:rsid w:val="00753F52"/>
    <w:rsid w:val="0076236F"/>
    <w:rsid w:val="00764F0D"/>
    <w:rsid w:val="00766587"/>
    <w:rsid w:val="00772D75"/>
    <w:rsid w:val="007773C6"/>
    <w:rsid w:val="00777868"/>
    <w:rsid w:val="00781AF5"/>
    <w:rsid w:val="00782644"/>
    <w:rsid w:val="00791F88"/>
    <w:rsid w:val="00794191"/>
    <w:rsid w:val="00796B2A"/>
    <w:rsid w:val="007A0295"/>
    <w:rsid w:val="007A4FBD"/>
    <w:rsid w:val="007A5656"/>
    <w:rsid w:val="007A6DF8"/>
    <w:rsid w:val="007B3320"/>
    <w:rsid w:val="007B6E97"/>
    <w:rsid w:val="007C142F"/>
    <w:rsid w:val="007C28D2"/>
    <w:rsid w:val="007C3CF2"/>
    <w:rsid w:val="007D3DDD"/>
    <w:rsid w:val="007D728E"/>
    <w:rsid w:val="007E76F4"/>
    <w:rsid w:val="007F5351"/>
    <w:rsid w:val="00802B8E"/>
    <w:rsid w:val="0080739E"/>
    <w:rsid w:val="008078E9"/>
    <w:rsid w:val="00807F1C"/>
    <w:rsid w:val="0080D2BD"/>
    <w:rsid w:val="00813CB9"/>
    <w:rsid w:val="00814337"/>
    <w:rsid w:val="00817FC2"/>
    <w:rsid w:val="00820C60"/>
    <w:rsid w:val="00823A45"/>
    <w:rsid w:val="0082725B"/>
    <w:rsid w:val="00830E31"/>
    <w:rsid w:val="008408A7"/>
    <w:rsid w:val="008514FC"/>
    <w:rsid w:val="00860EDE"/>
    <w:rsid w:val="00867C0E"/>
    <w:rsid w:val="00871FC0"/>
    <w:rsid w:val="00874C2A"/>
    <w:rsid w:val="008776DC"/>
    <w:rsid w:val="00880138"/>
    <w:rsid w:val="00884F52"/>
    <w:rsid w:val="0089320C"/>
    <w:rsid w:val="00893456"/>
    <w:rsid w:val="0089502A"/>
    <w:rsid w:val="00896D86"/>
    <w:rsid w:val="008A0694"/>
    <w:rsid w:val="008A14FC"/>
    <w:rsid w:val="008A4968"/>
    <w:rsid w:val="008A7985"/>
    <w:rsid w:val="008B0681"/>
    <w:rsid w:val="008B6112"/>
    <w:rsid w:val="008B64F5"/>
    <w:rsid w:val="008C69CC"/>
    <w:rsid w:val="008D2A3F"/>
    <w:rsid w:val="008F4C1A"/>
    <w:rsid w:val="008F5958"/>
    <w:rsid w:val="008F761F"/>
    <w:rsid w:val="008F7CFE"/>
    <w:rsid w:val="00906A9E"/>
    <w:rsid w:val="00916690"/>
    <w:rsid w:val="00920D39"/>
    <w:rsid w:val="00923C0E"/>
    <w:rsid w:val="00924331"/>
    <w:rsid w:val="00930B6C"/>
    <w:rsid w:val="00937F20"/>
    <w:rsid w:val="00944636"/>
    <w:rsid w:val="009524D7"/>
    <w:rsid w:val="00973AA1"/>
    <w:rsid w:val="00974638"/>
    <w:rsid w:val="00974727"/>
    <w:rsid w:val="009810CC"/>
    <w:rsid w:val="009826D5"/>
    <w:rsid w:val="00987DE9"/>
    <w:rsid w:val="009902A3"/>
    <w:rsid w:val="00995623"/>
    <w:rsid w:val="00996B80"/>
    <w:rsid w:val="009973E4"/>
    <w:rsid w:val="009A09D9"/>
    <w:rsid w:val="009A2119"/>
    <w:rsid w:val="009B3EC8"/>
    <w:rsid w:val="009B4544"/>
    <w:rsid w:val="009B4C74"/>
    <w:rsid w:val="009B7032"/>
    <w:rsid w:val="009C0458"/>
    <w:rsid w:val="009C0D60"/>
    <w:rsid w:val="009D7004"/>
    <w:rsid w:val="00A02853"/>
    <w:rsid w:val="00A03364"/>
    <w:rsid w:val="00A142C3"/>
    <w:rsid w:val="00A22FE3"/>
    <w:rsid w:val="00A25F94"/>
    <w:rsid w:val="00A316C6"/>
    <w:rsid w:val="00A3504B"/>
    <w:rsid w:val="00A469DB"/>
    <w:rsid w:val="00A503ED"/>
    <w:rsid w:val="00A510C7"/>
    <w:rsid w:val="00A523E3"/>
    <w:rsid w:val="00A52D6D"/>
    <w:rsid w:val="00A55896"/>
    <w:rsid w:val="00A5641F"/>
    <w:rsid w:val="00A5796E"/>
    <w:rsid w:val="00A73FBD"/>
    <w:rsid w:val="00A853D5"/>
    <w:rsid w:val="00A91197"/>
    <w:rsid w:val="00A9182C"/>
    <w:rsid w:val="00AA5183"/>
    <w:rsid w:val="00AA53AC"/>
    <w:rsid w:val="00AA67DB"/>
    <w:rsid w:val="00AA74DA"/>
    <w:rsid w:val="00AB071B"/>
    <w:rsid w:val="00AB2E31"/>
    <w:rsid w:val="00AB3FD5"/>
    <w:rsid w:val="00AB5084"/>
    <w:rsid w:val="00AB6E45"/>
    <w:rsid w:val="00AC028D"/>
    <w:rsid w:val="00AC04D6"/>
    <w:rsid w:val="00AC0E2D"/>
    <w:rsid w:val="00AC32A3"/>
    <w:rsid w:val="00AD26A3"/>
    <w:rsid w:val="00AD55F0"/>
    <w:rsid w:val="00AD5EEB"/>
    <w:rsid w:val="00AD63D0"/>
    <w:rsid w:val="00AE3ED6"/>
    <w:rsid w:val="00AF029A"/>
    <w:rsid w:val="00AF1B00"/>
    <w:rsid w:val="00AF3EB5"/>
    <w:rsid w:val="00B06476"/>
    <w:rsid w:val="00B07AA6"/>
    <w:rsid w:val="00B10925"/>
    <w:rsid w:val="00B11F91"/>
    <w:rsid w:val="00B1341D"/>
    <w:rsid w:val="00B204E0"/>
    <w:rsid w:val="00B216D2"/>
    <w:rsid w:val="00B21A2E"/>
    <w:rsid w:val="00B42316"/>
    <w:rsid w:val="00B42F92"/>
    <w:rsid w:val="00B50124"/>
    <w:rsid w:val="00B50CC0"/>
    <w:rsid w:val="00B5213C"/>
    <w:rsid w:val="00B535B6"/>
    <w:rsid w:val="00B53D41"/>
    <w:rsid w:val="00B5788D"/>
    <w:rsid w:val="00B64235"/>
    <w:rsid w:val="00B71EFF"/>
    <w:rsid w:val="00B823FC"/>
    <w:rsid w:val="00B866CA"/>
    <w:rsid w:val="00B86C7D"/>
    <w:rsid w:val="00B87DB0"/>
    <w:rsid w:val="00B90620"/>
    <w:rsid w:val="00BA2B1D"/>
    <w:rsid w:val="00BC2B69"/>
    <w:rsid w:val="00BE3AD4"/>
    <w:rsid w:val="00BE7474"/>
    <w:rsid w:val="00BF043F"/>
    <w:rsid w:val="00BF5BDD"/>
    <w:rsid w:val="00C04535"/>
    <w:rsid w:val="00C11581"/>
    <w:rsid w:val="00C140EA"/>
    <w:rsid w:val="00C167E8"/>
    <w:rsid w:val="00C16801"/>
    <w:rsid w:val="00C200FF"/>
    <w:rsid w:val="00C32361"/>
    <w:rsid w:val="00C33027"/>
    <w:rsid w:val="00C35DED"/>
    <w:rsid w:val="00C36864"/>
    <w:rsid w:val="00C36DF9"/>
    <w:rsid w:val="00C37922"/>
    <w:rsid w:val="00C44CFF"/>
    <w:rsid w:val="00C46FE6"/>
    <w:rsid w:val="00C61248"/>
    <w:rsid w:val="00C7473E"/>
    <w:rsid w:val="00C759E0"/>
    <w:rsid w:val="00C94250"/>
    <w:rsid w:val="00CA1164"/>
    <w:rsid w:val="00CA2005"/>
    <w:rsid w:val="00CA38F6"/>
    <w:rsid w:val="00CA4F34"/>
    <w:rsid w:val="00CA57DB"/>
    <w:rsid w:val="00CAB750"/>
    <w:rsid w:val="00CB13F7"/>
    <w:rsid w:val="00CB17C2"/>
    <w:rsid w:val="00CD7884"/>
    <w:rsid w:val="00CE0A90"/>
    <w:rsid w:val="00CE3EAE"/>
    <w:rsid w:val="00CE506F"/>
    <w:rsid w:val="00CE6B66"/>
    <w:rsid w:val="00CF2CCF"/>
    <w:rsid w:val="00CF4D15"/>
    <w:rsid w:val="00CF5828"/>
    <w:rsid w:val="00D02CF3"/>
    <w:rsid w:val="00D03694"/>
    <w:rsid w:val="00D1402C"/>
    <w:rsid w:val="00D16083"/>
    <w:rsid w:val="00D16779"/>
    <w:rsid w:val="00D27E69"/>
    <w:rsid w:val="00D3224E"/>
    <w:rsid w:val="00D33C97"/>
    <w:rsid w:val="00D43656"/>
    <w:rsid w:val="00D45BF7"/>
    <w:rsid w:val="00D46725"/>
    <w:rsid w:val="00D479A5"/>
    <w:rsid w:val="00D506B9"/>
    <w:rsid w:val="00D5368A"/>
    <w:rsid w:val="00D53CDC"/>
    <w:rsid w:val="00D60394"/>
    <w:rsid w:val="00D62E93"/>
    <w:rsid w:val="00D6588F"/>
    <w:rsid w:val="00D677EF"/>
    <w:rsid w:val="00D90D80"/>
    <w:rsid w:val="00DA18BD"/>
    <w:rsid w:val="00DA295E"/>
    <w:rsid w:val="00DB0A27"/>
    <w:rsid w:val="00DB530C"/>
    <w:rsid w:val="00DC01C0"/>
    <w:rsid w:val="00DD0457"/>
    <w:rsid w:val="00DD0C1A"/>
    <w:rsid w:val="00DD14C0"/>
    <w:rsid w:val="00DD1ABD"/>
    <w:rsid w:val="00DE5620"/>
    <w:rsid w:val="00DE62E7"/>
    <w:rsid w:val="00DE67AE"/>
    <w:rsid w:val="00DE6AA0"/>
    <w:rsid w:val="00DF78A4"/>
    <w:rsid w:val="00E03913"/>
    <w:rsid w:val="00E04065"/>
    <w:rsid w:val="00E061A3"/>
    <w:rsid w:val="00E3592F"/>
    <w:rsid w:val="00E4350C"/>
    <w:rsid w:val="00E46505"/>
    <w:rsid w:val="00E503FB"/>
    <w:rsid w:val="00E54DF3"/>
    <w:rsid w:val="00E60B2A"/>
    <w:rsid w:val="00E66747"/>
    <w:rsid w:val="00E7506F"/>
    <w:rsid w:val="00E77046"/>
    <w:rsid w:val="00E81CB8"/>
    <w:rsid w:val="00E87FBC"/>
    <w:rsid w:val="00E90A3B"/>
    <w:rsid w:val="00E97066"/>
    <w:rsid w:val="00EC0960"/>
    <w:rsid w:val="00EC22E7"/>
    <w:rsid w:val="00EC3CDE"/>
    <w:rsid w:val="00EC6D6E"/>
    <w:rsid w:val="00ED34FC"/>
    <w:rsid w:val="00ED646A"/>
    <w:rsid w:val="00ED742E"/>
    <w:rsid w:val="00EE2753"/>
    <w:rsid w:val="00EE65F4"/>
    <w:rsid w:val="00EF2105"/>
    <w:rsid w:val="00EF4F94"/>
    <w:rsid w:val="00EF69D7"/>
    <w:rsid w:val="00F006C3"/>
    <w:rsid w:val="00F00D71"/>
    <w:rsid w:val="00F0150E"/>
    <w:rsid w:val="00F0185D"/>
    <w:rsid w:val="00F20C18"/>
    <w:rsid w:val="00F233B1"/>
    <w:rsid w:val="00F411E1"/>
    <w:rsid w:val="00F427D5"/>
    <w:rsid w:val="00F536EA"/>
    <w:rsid w:val="00F5590F"/>
    <w:rsid w:val="00F60FE2"/>
    <w:rsid w:val="00F6420A"/>
    <w:rsid w:val="00F646B4"/>
    <w:rsid w:val="00F71DC7"/>
    <w:rsid w:val="00F726C0"/>
    <w:rsid w:val="00F75D8A"/>
    <w:rsid w:val="00F75FCF"/>
    <w:rsid w:val="00F81346"/>
    <w:rsid w:val="00F83486"/>
    <w:rsid w:val="00F841B7"/>
    <w:rsid w:val="00F91DBD"/>
    <w:rsid w:val="00F95DB9"/>
    <w:rsid w:val="00FA0A5E"/>
    <w:rsid w:val="00FA475B"/>
    <w:rsid w:val="00FA5183"/>
    <w:rsid w:val="00FA7794"/>
    <w:rsid w:val="00FB599E"/>
    <w:rsid w:val="00FB5F21"/>
    <w:rsid w:val="00FB735A"/>
    <w:rsid w:val="00FC45C7"/>
    <w:rsid w:val="00FC5E18"/>
    <w:rsid w:val="00FD6ED2"/>
    <w:rsid w:val="00FE05F4"/>
    <w:rsid w:val="00FE0EBF"/>
    <w:rsid w:val="00FE56A2"/>
    <w:rsid w:val="00FE6A3E"/>
    <w:rsid w:val="012435E8"/>
    <w:rsid w:val="012B6E81"/>
    <w:rsid w:val="012E034A"/>
    <w:rsid w:val="0146F117"/>
    <w:rsid w:val="0149A118"/>
    <w:rsid w:val="0176644F"/>
    <w:rsid w:val="0192888F"/>
    <w:rsid w:val="01E0E703"/>
    <w:rsid w:val="01E2061A"/>
    <w:rsid w:val="01E3934F"/>
    <w:rsid w:val="02664492"/>
    <w:rsid w:val="0273864D"/>
    <w:rsid w:val="029FBA20"/>
    <w:rsid w:val="02D60D26"/>
    <w:rsid w:val="02DA3ED9"/>
    <w:rsid w:val="02E476B6"/>
    <w:rsid w:val="02F7DC8F"/>
    <w:rsid w:val="0354E2E3"/>
    <w:rsid w:val="036560A6"/>
    <w:rsid w:val="03C424BA"/>
    <w:rsid w:val="03CDB2B0"/>
    <w:rsid w:val="03EED094"/>
    <w:rsid w:val="03FF50EA"/>
    <w:rsid w:val="0411F8C3"/>
    <w:rsid w:val="041726E3"/>
    <w:rsid w:val="041ABD8F"/>
    <w:rsid w:val="0437DBB1"/>
    <w:rsid w:val="04451EE7"/>
    <w:rsid w:val="047D9ADE"/>
    <w:rsid w:val="04FAB924"/>
    <w:rsid w:val="0517D664"/>
    <w:rsid w:val="052A70F4"/>
    <w:rsid w:val="056E0E8B"/>
    <w:rsid w:val="05813C8D"/>
    <w:rsid w:val="059149E4"/>
    <w:rsid w:val="05BE2C12"/>
    <w:rsid w:val="064893B9"/>
    <w:rsid w:val="065FB9A2"/>
    <w:rsid w:val="0665BE49"/>
    <w:rsid w:val="06A85250"/>
    <w:rsid w:val="06B71BD6"/>
    <w:rsid w:val="0705DBC7"/>
    <w:rsid w:val="0706894F"/>
    <w:rsid w:val="071FFB00"/>
    <w:rsid w:val="073EB361"/>
    <w:rsid w:val="0790561E"/>
    <w:rsid w:val="07F8E45F"/>
    <w:rsid w:val="081AA1A9"/>
    <w:rsid w:val="0837BB8B"/>
    <w:rsid w:val="0849B9B3"/>
    <w:rsid w:val="0851743E"/>
    <w:rsid w:val="085877CE"/>
    <w:rsid w:val="086BE428"/>
    <w:rsid w:val="086D80DD"/>
    <w:rsid w:val="087EECD9"/>
    <w:rsid w:val="088CA9CE"/>
    <w:rsid w:val="08FE9C09"/>
    <w:rsid w:val="0938FF3F"/>
    <w:rsid w:val="09424B1A"/>
    <w:rsid w:val="094CF2DF"/>
    <w:rsid w:val="0983D012"/>
    <w:rsid w:val="09957C21"/>
    <w:rsid w:val="09D2A26E"/>
    <w:rsid w:val="0A0CC94E"/>
    <w:rsid w:val="0A6EC681"/>
    <w:rsid w:val="0A80B225"/>
    <w:rsid w:val="0AD90E06"/>
    <w:rsid w:val="0B0B9203"/>
    <w:rsid w:val="0B2FA6B0"/>
    <w:rsid w:val="0B77264D"/>
    <w:rsid w:val="0B9A0556"/>
    <w:rsid w:val="0BA2C06C"/>
    <w:rsid w:val="0BA8D1FD"/>
    <w:rsid w:val="0BD558E0"/>
    <w:rsid w:val="0C21F46E"/>
    <w:rsid w:val="0C2741DF"/>
    <w:rsid w:val="0C5A0A07"/>
    <w:rsid w:val="0C5B1CB2"/>
    <w:rsid w:val="0C603B5F"/>
    <w:rsid w:val="0C9CE39A"/>
    <w:rsid w:val="0CA6DBF8"/>
    <w:rsid w:val="0CA99CFA"/>
    <w:rsid w:val="0CC36E97"/>
    <w:rsid w:val="0CD71A1D"/>
    <w:rsid w:val="0D855615"/>
    <w:rsid w:val="0DA6941C"/>
    <w:rsid w:val="0DE07885"/>
    <w:rsid w:val="0DF3BCE4"/>
    <w:rsid w:val="0E1653C3"/>
    <w:rsid w:val="0E1A7F80"/>
    <w:rsid w:val="0E746ADF"/>
    <w:rsid w:val="0EF866DC"/>
    <w:rsid w:val="0F54EE07"/>
    <w:rsid w:val="0F8C7F42"/>
    <w:rsid w:val="0F8D6098"/>
    <w:rsid w:val="0F9C4D04"/>
    <w:rsid w:val="0FAB6290"/>
    <w:rsid w:val="0FEE0275"/>
    <w:rsid w:val="10561E7E"/>
    <w:rsid w:val="10865C82"/>
    <w:rsid w:val="109D0D4D"/>
    <w:rsid w:val="10A7D79D"/>
    <w:rsid w:val="10ADCB00"/>
    <w:rsid w:val="10B663C5"/>
    <w:rsid w:val="10B7893B"/>
    <w:rsid w:val="10C35FFB"/>
    <w:rsid w:val="10C3E3DB"/>
    <w:rsid w:val="10C789E5"/>
    <w:rsid w:val="10CB0DB1"/>
    <w:rsid w:val="10DE238F"/>
    <w:rsid w:val="10E6A880"/>
    <w:rsid w:val="1174F5EA"/>
    <w:rsid w:val="119637E4"/>
    <w:rsid w:val="11A3BF4C"/>
    <w:rsid w:val="11EAD69A"/>
    <w:rsid w:val="11F349D2"/>
    <w:rsid w:val="11FBD8A5"/>
    <w:rsid w:val="120EA36A"/>
    <w:rsid w:val="12197BFD"/>
    <w:rsid w:val="1242C73E"/>
    <w:rsid w:val="1286142E"/>
    <w:rsid w:val="12B5686B"/>
    <w:rsid w:val="12D28AA1"/>
    <w:rsid w:val="12DCC32B"/>
    <w:rsid w:val="135B29AD"/>
    <w:rsid w:val="13750138"/>
    <w:rsid w:val="137E4838"/>
    <w:rsid w:val="13994720"/>
    <w:rsid w:val="13A0C73A"/>
    <w:rsid w:val="13ABF7A6"/>
    <w:rsid w:val="13E8AC26"/>
    <w:rsid w:val="1420E9A4"/>
    <w:rsid w:val="142201BD"/>
    <w:rsid w:val="14374FE9"/>
    <w:rsid w:val="143799FA"/>
    <w:rsid w:val="144785FA"/>
    <w:rsid w:val="1489F15D"/>
    <w:rsid w:val="1492676C"/>
    <w:rsid w:val="14C30C1C"/>
    <w:rsid w:val="1504A77B"/>
    <w:rsid w:val="15153C57"/>
    <w:rsid w:val="1527C479"/>
    <w:rsid w:val="157C6DB5"/>
    <w:rsid w:val="15DBA70A"/>
    <w:rsid w:val="15E9BD77"/>
    <w:rsid w:val="15F2583D"/>
    <w:rsid w:val="1633E8CE"/>
    <w:rsid w:val="1640D472"/>
    <w:rsid w:val="16601603"/>
    <w:rsid w:val="16CF28C5"/>
    <w:rsid w:val="170B7FCD"/>
    <w:rsid w:val="1710B10D"/>
    <w:rsid w:val="17894CA7"/>
    <w:rsid w:val="17A406B2"/>
    <w:rsid w:val="17B05CF2"/>
    <w:rsid w:val="17BBD1FC"/>
    <w:rsid w:val="17D66604"/>
    <w:rsid w:val="182E60D5"/>
    <w:rsid w:val="18477418"/>
    <w:rsid w:val="1865F7BB"/>
    <w:rsid w:val="1870895B"/>
    <w:rsid w:val="18B70206"/>
    <w:rsid w:val="18C8C66F"/>
    <w:rsid w:val="18ECC8B6"/>
    <w:rsid w:val="190D9969"/>
    <w:rsid w:val="192C6794"/>
    <w:rsid w:val="1943C7BB"/>
    <w:rsid w:val="194BE4DB"/>
    <w:rsid w:val="194F02BD"/>
    <w:rsid w:val="196B2674"/>
    <w:rsid w:val="19A5B4DA"/>
    <w:rsid w:val="19A9AE3A"/>
    <w:rsid w:val="1A08CEAF"/>
    <w:rsid w:val="1A12EF8F"/>
    <w:rsid w:val="1A183857"/>
    <w:rsid w:val="1A484BAB"/>
    <w:rsid w:val="1A535977"/>
    <w:rsid w:val="1A69AA12"/>
    <w:rsid w:val="1A94D3D6"/>
    <w:rsid w:val="1AF73A73"/>
    <w:rsid w:val="1AFA2652"/>
    <w:rsid w:val="1B0CF487"/>
    <w:rsid w:val="1B400FCB"/>
    <w:rsid w:val="1B433244"/>
    <w:rsid w:val="1B5F1554"/>
    <w:rsid w:val="1B7CEF69"/>
    <w:rsid w:val="1B83678E"/>
    <w:rsid w:val="1BA68EDD"/>
    <w:rsid w:val="1BF6A313"/>
    <w:rsid w:val="1C0B03FB"/>
    <w:rsid w:val="1CA82D62"/>
    <w:rsid w:val="1CDC34DC"/>
    <w:rsid w:val="1CF06E58"/>
    <w:rsid w:val="1D2A148C"/>
    <w:rsid w:val="1D9C28A1"/>
    <w:rsid w:val="1DC29346"/>
    <w:rsid w:val="1E1EDECF"/>
    <w:rsid w:val="1E26360C"/>
    <w:rsid w:val="1E48F6B4"/>
    <w:rsid w:val="1E537B63"/>
    <w:rsid w:val="1E9AF249"/>
    <w:rsid w:val="1EACA7ED"/>
    <w:rsid w:val="1EBECFEC"/>
    <w:rsid w:val="1F05FBAF"/>
    <w:rsid w:val="1F1149CC"/>
    <w:rsid w:val="1F4E7E9D"/>
    <w:rsid w:val="1F5100A0"/>
    <w:rsid w:val="1F7166CB"/>
    <w:rsid w:val="1F984772"/>
    <w:rsid w:val="1FA65D21"/>
    <w:rsid w:val="1FB1ACA5"/>
    <w:rsid w:val="1FE10807"/>
    <w:rsid w:val="202205BC"/>
    <w:rsid w:val="202686CD"/>
    <w:rsid w:val="204CD269"/>
    <w:rsid w:val="206093A9"/>
    <w:rsid w:val="207C8566"/>
    <w:rsid w:val="2089634D"/>
    <w:rsid w:val="208A3F37"/>
    <w:rsid w:val="20FC2482"/>
    <w:rsid w:val="21149180"/>
    <w:rsid w:val="212FD086"/>
    <w:rsid w:val="2135DA1C"/>
    <w:rsid w:val="215B49D6"/>
    <w:rsid w:val="2166EA25"/>
    <w:rsid w:val="216FD4E5"/>
    <w:rsid w:val="2172812B"/>
    <w:rsid w:val="21844ECD"/>
    <w:rsid w:val="21CCE54D"/>
    <w:rsid w:val="21FD10CC"/>
    <w:rsid w:val="221BECC0"/>
    <w:rsid w:val="2232F65B"/>
    <w:rsid w:val="224C2A02"/>
    <w:rsid w:val="2290922E"/>
    <w:rsid w:val="22BD8D1E"/>
    <w:rsid w:val="22F879D2"/>
    <w:rsid w:val="22FE088A"/>
    <w:rsid w:val="231B2EDC"/>
    <w:rsid w:val="23250A1F"/>
    <w:rsid w:val="2340D8AA"/>
    <w:rsid w:val="23441098"/>
    <w:rsid w:val="23650801"/>
    <w:rsid w:val="23A39FDF"/>
    <w:rsid w:val="23CA0F4F"/>
    <w:rsid w:val="23EB66DB"/>
    <w:rsid w:val="2405D548"/>
    <w:rsid w:val="24099E9D"/>
    <w:rsid w:val="2409FB41"/>
    <w:rsid w:val="241C8222"/>
    <w:rsid w:val="2444A647"/>
    <w:rsid w:val="2444DE99"/>
    <w:rsid w:val="246BFFBD"/>
    <w:rsid w:val="2519F8C0"/>
    <w:rsid w:val="252A662A"/>
    <w:rsid w:val="253E5C63"/>
    <w:rsid w:val="254F7B69"/>
    <w:rsid w:val="25870322"/>
    <w:rsid w:val="2593B9D3"/>
    <w:rsid w:val="2596FE37"/>
    <w:rsid w:val="25A76CA0"/>
    <w:rsid w:val="25B173E4"/>
    <w:rsid w:val="25D0E37A"/>
    <w:rsid w:val="25DBD638"/>
    <w:rsid w:val="25DFF55D"/>
    <w:rsid w:val="25E6AF11"/>
    <w:rsid w:val="25FB0126"/>
    <w:rsid w:val="26A2AE4C"/>
    <w:rsid w:val="26AFC2CF"/>
    <w:rsid w:val="26CE5262"/>
    <w:rsid w:val="26D9F8C9"/>
    <w:rsid w:val="26E9E988"/>
    <w:rsid w:val="26F31970"/>
    <w:rsid w:val="26F5E114"/>
    <w:rsid w:val="271C6891"/>
    <w:rsid w:val="272CB598"/>
    <w:rsid w:val="27376958"/>
    <w:rsid w:val="27B97477"/>
    <w:rsid w:val="27B9AFE7"/>
    <w:rsid w:val="27BAE0A0"/>
    <w:rsid w:val="27DB49C1"/>
    <w:rsid w:val="280024DB"/>
    <w:rsid w:val="2823EE04"/>
    <w:rsid w:val="2955BD79"/>
    <w:rsid w:val="2981B85A"/>
    <w:rsid w:val="299B544B"/>
    <w:rsid w:val="29CF27AD"/>
    <w:rsid w:val="29E09329"/>
    <w:rsid w:val="2A3072CB"/>
    <w:rsid w:val="2ABAD135"/>
    <w:rsid w:val="2AC221C2"/>
    <w:rsid w:val="2AE41273"/>
    <w:rsid w:val="2B4F010C"/>
    <w:rsid w:val="2B4FC900"/>
    <w:rsid w:val="2B6D448E"/>
    <w:rsid w:val="2B79EAAA"/>
    <w:rsid w:val="2BA65F22"/>
    <w:rsid w:val="2BC79F20"/>
    <w:rsid w:val="2BEEA0D9"/>
    <w:rsid w:val="2C058215"/>
    <w:rsid w:val="2C1AD599"/>
    <w:rsid w:val="2C2ABC20"/>
    <w:rsid w:val="2C71A79F"/>
    <w:rsid w:val="2C75ED10"/>
    <w:rsid w:val="2C99C3FD"/>
    <w:rsid w:val="2CC72745"/>
    <w:rsid w:val="2CDFD0ED"/>
    <w:rsid w:val="2CEDA48E"/>
    <w:rsid w:val="2D26E1CD"/>
    <w:rsid w:val="2D30FC95"/>
    <w:rsid w:val="2D358E72"/>
    <w:rsid w:val="2D3955F2"/>
    <w:rsid w:val="2D541307"/>
    <w:rsid w:val="2DA040C3"/>
    <w:rsid w:val="2DE587A8"/>
    <w:rsid w:val="2E0BD6C4"/>
    <w:rsid w:val="2E20D2F0"/>
    <w:rsid w:val="2E39BF56"/>
    <w:rsid w:val="2E58006B"/>
    <w:rsid w:val="2E69F057"/>
    <w:rsid w:val="2E8ED997"/>
    <w:rsid w:val="2EA76F28"/>
    <w:rsid w:val="2EB5F3CB"/>
    <w:rsid w:val="2EB71654"/>
    <w:rsid w:val="2EC9F035"/>
    <w:rsid w:val="2ECD4469"/>
    <w:rsid w:val="2EF1FE12"/>
    <w:rsid w:val="2F38DDEE"/>
    <w:rsid w:val="2FA03900"/>
    <w:rsid w:val="2FABEEB7"/>
    <w:rsid w:val="2FD4E99A"/>
    <w:rsid w:val="303AF31A"/>
    <w:rsid w:val="303E752E"/>
    <w:rsid w:val="30614443"/>
    <w:rsid w:val="306BE565"/>
    <w:rsid w:val="308CB808"/>
    <w:rsid w:val="30BE6E2A"/>
    <w:rsid w:val="30CA66E1"/>
    <w:rsid w:val="31015E0B"/>
    <w:rsid w:val="31243174"/>
    <w:rsid w:val="3175B2B4"/>
    <w:rsid w:val="323031F5"/>
    <w:rsid w:val="323BD689"/>
    <w:rsid w:val="326938AB"/>
    <w:rsid w:val="327F2C91"/>
    <w:rsid w:val="32802F32"/>
    <w:rsid w:val="32C57BF2"/>
    <w:rsid w:val="3349CFC2"/>
    <w:rsid w:val="33ADA2A6"/>
    <w:rsid w:val="33CBAD6D"/>
    <w:rsid w:val="33D10A16"/>
    <w:rsid w:val="34799D02"/>
    <w:rsid w:val="34D97E9F"/>
    <w:rsid w:val="35047E28"/>
    <w:rsid w:val="3523467B"/>
    <w:rsid w:val="3523B46A"/>
    <w:rsid w:val="355F4EA1"/>
    <w:rsid w:val="3562A970"/>
    <w:rsid w:val="358AF195"/>
    <w:rsid w:val="35BE74DB"/>
    <w:rsid w:val="35C7201E"/>
    <w:rsid w:val="35DEB257"/>
    <w:rsid w:val="3643C739"/>
    <w:rsid w:val="3644967F"/>
    <w:rsid w:val="36AE6472"/>
    <w:rsid w:val="36BC2BD0"/>
    <w:rsid w:val="36EFDFA7"/>
    <w:rsid w:val="3764CEEE"/>
    <w:rsid w:val="379B40C5"/>
    <w:rsid w:val="37AC91CA"/>
    <w:rsid w:val="37C11E08"/>
    <w:rsid w:val="37E2F78A"/>
    <w:rsid w:val="37E4E3A3"/>
    <w:rsid w:val="37F74927"/>
    <w:rsid w:val="3802ECB9"/>
    <w:rsid w:val="380E4863"/>
    <w:rsid w:val="3810B7E6"/>
    <w:rsid w:val="3844CF0A"/>
    <w:rsid w:val="38A8C823"/>
    <w:rsid w:val="38CFDF09"/>
    <w:rsid w:val="38F19195"/>
    <w:rsid w:val="38FDF46E"/>
    <w:rsid w:val="39595035"/>
    <w:rsid w:val="395E2205"/>
    <w:rsid w:val="39819314"/>
    <w:rsid w:val="3981A52A"/>
    <w:rsid w:val="39A91730"/>
    <w:rsid w:val="39DBB6FB"/>
    <w:rsid w:val="3A016281"/>
    <w:rsid w:val="3A22FFA3"/>
    <w:rsid w:val="3A502A7D"/>
    <w:rsid w:val="3A581716"/>
    <w:rsid w:val="3AC57D8D"/>
    <w:rsid w:val="3ADD2F41"/>
    <w:rsid w:val="3B1267E5"/>
    <w:rsid w:val="3B35BA23"/>
    <w:rsid w:val="3B46762D"/>
    <w:rsid w:val="3B8E401B"/>
    <w:rsid w:val="3BA37A63"/>
    <w:rsid w:val="3BE6FF25"/>
    <w:rsid w:val="3BEBD59D"/>
    <w:rsid w:val="3BFA26C7"/>
    <w:rsid w:val="3C019A7E"/>
    <w:rsid w:val="3C26DB63"/>
    <w:rsid w:val="3C39F555"/>
    <w:rsid w:val="3C510650"/>
    <w:rsid w:val="3C881808"/>
    <w:rsid w:val="3CAF5978"/>
    <w:rsid w:val="3CF362D9"/>
    <w:rsid w:val="3CF83F52"/>
    <w:rsid w:val="3D034F48"/>
    <w:rsid w:val="3D136F1F"/>
    <w:rsid w:val="3D20B83A"/>
    <w:rsid w:val="3D35C013"/>
    <w:rsid w:val="3D7303DB"/>
    <w:rsid w:val="3D96C8A0"/>
    <w:rsid w:val="3DD41B1E"/>
    <w:rsid w:val="3DF268A2"/>
    <w:rsid w:val="3E0C5FE8"/>
    <w:rsid w:val="3E35CA40"/>
    <w:rsid w:val="3E89CA38"/>
    <w:rsid w:val="3EC43AB8"/>
    <w:rsid w:val="3ED999D3"/>
    <w:rsid w:val="3EEBC077"/>
    <w:rsid w:val="3F09EB32"/>
    <w:rsid w:val="3F241FCC"/>
    <w:rsid w:val="3F2ABB71"/>
    <w:rsid w:val="3F481F9D"/>
    <w:rsid w:val="3F5981AF"/>
    <w:rsid w:val="3F70D8BE"/>
    <w:rsid w:val="3F90D090"/>
    <w:rsid w:val="3FB6A13A"/>
    <w:rsid w:val="3FC4D3D6"/>
    <w:rsid w:val="401D4A85"/>
    <w:rsid w:val="4081B3B0"/>
    <w:rsid w:val="408EBA1A"/>
    <w:rsid w:val="4091E461"/>
    <w:rsid w:val="40BD5013"/>
    <w:rsid w:val="410C0B80"/>
    <w:rsid w:val="4113F38A"/>
    <w:rsid w:val="411D56C2"/>
    <w:rsid w:val="414838F3"/>
    <w:rsid w:val="415A78EE"/>
    <w:rsid w:val="415D55A3"/>
    <w:rsid w:val="4167552C"/>
    <w:rsid w:val="41794640"/>
    <w:rsid w:val="41A16669"/>
    <w:rsid w:val="41BAA45C"/>
    <w:rsid w:val="422A5141"/>
    <w:rsid w:val="4230C7D8"/>
    <w:rsid w:val="42364DCE"/>
    <w:rsid w:val="423FA45A"/>
    <w:rsid w:val="4247BFFC"/>
    <w:rsid w:val="424EA4FE"/>
    <w:rsid w:val="42619B15"/>
    <w:rsid w:val="426D8ECD"/>
    <w:rsid w:val="42844211"/>
    <w:rsid w:val="42BD63F0"/>
    <w:rsid w:val="4323F436"/>
    <w:rsid w:val="435ECB47"/>
    <w:rsid w:val="43BC6691"/>
    <w:rsid w:val="43CB6DC9"/>
    <w:rsid w:val="44037F9A"/>
    <w:rsid w:val="4413EADF"/>
    <w:rsid w:val="444CE3B5"/>
    <w:rsid w:val="445D0D23"/>
    <w:rsid w:val="448E3453"/>
    <w:rsid w:val="4492F2F6"/>
    <w:rsid w:val="44ACD0DB"/>
    <w:rsid w:val="44D9778D"/>
    <w:rsid w:val="450BA103"/>
    <w:rsid w:val="451C2BEF"/>
    <w:rsid w:val="452F6C30"/>
    <w:rsid w:val="4532457B"/>
    <w:rsid w:val="45331BDC"/>
    <w:rsid w:val="454E3393"/>
    <w:rsid w:val="4588310E"/>
    <w:rsid w:val="45C6350D"/>
    <w:rsid w:val="45CF7B68"/>
    <w:rsid w:val="46555217"/>
    <w:rsid w:val="46AE674A"/>
    <w:rsid w:val="46D58382"/>
    <w:rsid w:val="470A5D83"/>
    <w:rsid w:val="4710DB53"/>
    <w:rsid w:val="471607DF"/>
    <w:rsid w:val="47298870"/>
    <w:rsid w:val="47396AED"/>
    <w:rsid w:val="4762BED7"/>
    <w:rsid w:val="4768D9C6"/>
    <w:rsid w:val="47699028"/>
    <w:rsid w:val="476DC7B1"/>
    <w:rsid w:val="4794F7C1"/>
    <w:rsid w:val="47BC562C"/>
    <w:rsid w:val="481B8606"/>
    <w:rsid w:val="48579F7C"/>
    <w:rsid w:val="486347B7"/>
    <w:rsid w:val="48A00EEC"/>
    <w:rsid w:val="48A1BFD1"/>
    <w:rsid w:val="48C92F91"/>
    <w:rsid w:val="48F97B38"/>
    <w:rsid w:val="49071F59"/>
    <w:rsid w:val="492D6B23"/>
    <w:rsid w:val="49434A40"/>
    <w:rsid w:val="495DB676"/>
    <w:rsid w:val="49B7FBB1"/>
    <w:rsid w:val="49E8C521"/>
    <w:rsid w:val="4A55BA95"/>
    <w:rsid w:val="4A7FB643"/>
    <w:rsid w:val="4A82FA33"/>
    <w:rsid w:val="4AB90071"/>
    <w:rsid w:val="4AB9899B"/>
    <w:rsid w:val="4B13A49D"/>
    <w:rsid w:val="4B2A50D5"/>
    <w:rsid w:val="4B551346"/>
    <w:rsid w:val="4B5D45B3"/>
    <w:rsid w:val="4B88C2C7"/>
    <w:rsid w:val="4BBCF39E"/>
    <w:rsid w:val="4BFDBE6B"/>
    <w:rsid w:val="4BFFCF71"/>
    <w:rsid w:val="4C03538A"/>
    <w:rsid w:val="4C4476FD"/>
    <w:rsid w:val="4C460F7F"/>
    <w:rsid w:val="4C488AB3"/>
    <w:rsid w:val="4C96CE05"/>
    <w:rsid w:val="4CB5F2DC"/>
    <w:rsid w:val="4CE802F6"/>
    <w:rsid w:val="4CFF8395"/>
    <w:rsid w:val="4D0AA30E"/>
    <w:rsid w:val="4D199B06"/>
    <w:rsid w:val="4DB34087"/>
    <w:rsid w:val="4DC5039E"/>
    <w:rsid w:val="4DC69883"/>
    <w:rsid w:val="4DD22141"/>
    <w:rsid w:val="4DD72F38"/>
    <w:rsid w:val="4DE0F936"/>
    <w:rsid w:val="4DE3D6A2"/>
    <w:rsid w:val="4DFC6C01"/>
    <w:rsid w:val="4E1681D3"/>
    <w:rsid w:val="4E4607AC"/>
    <w:rsid w:val="4E7036E6"/>
    <w:rsid w:val="4EB74438"/>
    <w:rsid w:val="4EFF80D6"/>
    <w:rsid w:val="4F215966"/>
    <w:rsid w:val="4F63E7E6"/>
    <w:rsid w:val="4FA7991F"/>
    <w:rsid w:val="503439E6"/>
    <w:rsid w:val="5038870D"/>
    <w:rsid w:val="50973E43"/>
    <w:rsid w:val="50B58D10"/>
    <w:rsid w:val="50C69756"/>
    <w:rsid w:val="50F304E2"/>
    <w:rsid w:val="5151E14A"/>
    <w:rsid w:val="517833FA"/>
    <w:rsid w:val="519DDE49"/>
    <w:rsid w:val="51D6712F"/>
    <w:rsid w:val="5239C86B"/>
    <w:rsid w:val="5250BB85"/>
    <w:rsid w:val="528A67C2"/>
    <w:rsid w:val="532A2E31"/>
    <w:rsid w:val="5397478F"/>
    <w:rsid w:val="53C27F6F"/>
    <w:rsid w:val="541F1797"/>
    <w:rsid w:val="546762A5"/>
    <w:rsid w:val="54B7F8F6"/>
    <w:rsid w:val="54E5EA1B"/>
    <w:rsid w:val="54F39196"/>
    <w:rsid w:val="552316D2"/>
    <w:rsid w:val="55326D2C"/>
    <w:rsid w:val="55CDF3BD"/>
    <w:rsid w:val="55EF95EF"/>
    <w:rsid w:val="564F0E3A"/>
    <w:rsid w:val="5688524C"/>
    <w:rsid w:val="569477F1"/>
    <w:rsid w:val="56D6DF7E"/>
    <w:rsid w:val="573EA4A0"/>
    <w:rsid w:val="576D296C"/>
    <w:rsid w:val="57734818"/>
    <w:rsid w:val="578BBB27"/>
    <w:rsid w:val="578F1429"/>
    <w:rsid w:val="579ACF3D"/>
    <w:rsid w:val="57A7502A"/>
    <w:rsid w:val="57F70E2A"/>
    <w:rsid w:val="582810F5"/>
    <w:rsid w:val="5889FDF6"/>
    <w:rsid w:val="58A02879"/>
    <w:rsid w:val="58BC1756"/>
    <w:rsid w:val="58D138B0"/>
    <w:rsid w:val="593950AA"/>
    <w:rsid w:val="59878142"/>
    <w:rsid w:val="59BBE8C0"/>
    <w:rsid w:val="59CCB77A"/>
    <w:rsid w:val="5A004770"/>
    <w:rsid w:val="5A08D2FD"/>
    <w:rsid w:val="5A271DE3"/>
    <w:rsid w:val="5A43E27F"/>
    <w:rsid w:val="5A691BB5"/>
    <w:rsid w:val="5A6A09F0"/>
    <w:rsid w:val="5AB32E56"/>
    <w:rsid w:val="5AB4B069"/>
    <w:rsid w:val="5AC1B997"/>
    <w:rsid w:val="5AD2CD06"/>
    <w:rsid w:val="5AFBE737"/>
    <w:rsid w:val="5B6FA348"/>
    <w:rsid w:val="5B8E7E84"/>
    <w:rsid w:val="5C0CFE4D"/>
    <w:rsid w:val="5C1EC4C2"/>
    <w:rsid w:val="5C25802A"/>
    <w:rsid w:val="5C40B34C"/>
    <w:rsid w:val="5C4F223E"/>
    <w:rsid w:val="5C930B3C"/>
    <w:rsid w:val="5C98C0B9"/>
    <w:rsid w:val="5CA4A76B"/>
    <w:rsid w:val="5CCC2E1A"/>
    <w:rsid w:val="5D690CF5"/>
    <w:rsid w:val="5DB38C78"/>
    <w:rsid w:val="5DBE91DD"/>
    <w:rsid w:val="5DBEC2AC"/>
    <w:rsid w:val="5DEE1288"/>
    <w:rsid w:val="5DF53915"/>
    <w:rsid w:val="5E0654CB"/>
    <w:rsid w:val="5E32DE78"/>
    <w:rsid w:val="5E56D18F"/>
    <w:rsid w:val="5E810514"/>
    <w:rsid w:val="5E81973B"/>
    <w:rsid w:val="5EA34E1A"/>
    <w:rsid w:val="5F3511A5"/>
    <w:rsid w:val="5F4D292E"/>
    <w:rsid w:val="5F824F52"/>
    <w:rsid w:val="5F86F525"/>
    <w:rsid w:val="5F97E7C7"/>
    <w:rsid w:val="5FC3DB3C"/>
    <w:rsid w:val="5FC9F8B4"/>
    <w:rsid w:val="5FF29EAA"/>
    <w:rsid w:val="5FF73FE3"/>
    <w:rsid w:val="600DD975"/>
    <w:rsid w:val="602CC2FA"/>
    <w:rsid w:val="604296EC"/>
    <w:rsid w:val="60585C55"/>
    <w:rsid w:val="607F1041"/>
    <w:rsid w:val="6087DBB7"/>
    <w:rsid w:val="60948EC9"/>
    <w:rsid w:val="60B34A86"/>
    <w:rsid w:val="614368E8"/>
    <w:rsid w:val="615846DE"/>
    <w:rsid w:val="617A3FC0"/>
    <w:rsid w:val="618220DA"/>
    <w:rsid w:val="619DB8D8"/>
    <w:rsid w:val="61A74635"/>
    <w:rsid w:val="61B217EF"/>
    <w:rsid w:val="61D0777C"/>
    <w:rsid w:val="61DB5600"/>
    <w:rsid w:val="61F3DC6C"/>
    <w:rsid w:val="623CB71B"/>
    <w:rsid w:val="62497C7F"/>
    <w:rsid w:val="625834B2"/>
    <w:rsid w:val="62995E31"/>
    <w:rsid w:val="62AE78CC"/>
    <w:rsid w:val="62CBE6F5"/>
    <w:rsid w:val="62D9AECD"/>
    <w:rsid w:val="62FC261B"/>
    <w:rsid w:val="62FC8DF5"/>
    <w:rsid w:val="6309BE2C"/>
    <w:rsid w:val="63539A58"/>
    <w:rsid w:val="63BA7821"/>
    <w:rsid w:val="63E53D6B"/>
    <w:rsid w:val="6410A5AA"/>
    <w:rsid w:val="6462A3B4"/>
    <w:rsid w:val="6483167A"/>
    <w:rsid w:val="6489C031"/>
    <w:rsid w:val="64BC8D6D"/>
    <w:rsid w:val="64C82FE7"/>
    <w:rsid w:val="64E5CB3D"/>
    <w:rsid w:val="654FECFB"/>
    <w:rsid w:val="657E5211"/>
    <w:rsid w:val="65921173"/>
    <w:rsid w:val="6593EB23"/>
    <w:rsid w:val="65BEBBE0"/>
    <w:rsid w:val="65EA602B"/>
    <w:rsid w:val="660DEC68"/>
    <w:rsid w:val="660E248B"/>
    <w:rsid w:val="661F9D2E"/>
    <w:rsid w:val="66813DCF"/>
    <w:rsid w:val="671A7723"/>
    <w:rsid w:val="675F5815"/>
    <w:rsid w:val="677B011A"/>
    <w:rsid w:val="67B3BB04"/>
    <w:rsid w:val="67D89939"/>
    <w:rsid w:val="681A0E26"/>
    <w:rsid w:val="68C4073B"/>
    <w:rsid w:val="68EE124B"/>
    <w:rsid w:val="6943271E"/>
    <w:rsid w:val="694E0451"/>
    <w:rsid w:val="6950E252"/>
    <w:rsid w:val="69648B9F"/>
    <w:rsid w:val="696783FA"/>
    <w:rsid w:val="69783EB1"/>
    <w:rsid w:val="69817004"/>
    <w:rsid w:val="69D26596"/>
    <w:rsid w:val="69D559B9"/>
    <w:rsid w:val="69FB0175"/>
    <w:rsid w:val="6A44F7E9"/>
    <w:rsid w:val="6A621D59"/>
    <w:rsid w:val="6AAF8D9D"/>
    <w:rsid w:val="6AEE2B05"/>
    <w:rsid w:val="6B342CA3"/>
    <w:rsid w:val="6B4EFCC5"/>
    <w:rsid w:val="6B94ADDC"/>
    <w:rsid w:val="6BA458C0"/>
    <w:rsid w:val="6BCA58E2"/>
    <w:rsid w:val="6C02AC0E"/>
    <w:rsid w:val="6C159014"/>
    <w:rsid w:val="6C9079DA"/>
    <w:rsid w:val="6CCE93DC"/>
    <w:rsid w:val="6D0705FD"/>
    <w:rsid w:val="6D12A606"/>
    <w:rsid w:val="6D43A38B"/>
    <w:rsid w:val="6D745C32"/>
    <w:rsid w:val="6D794FB0"/>
    <w:rsid w:val="6DB654BC"/>
    <w:rsid w:val="6DC96032"/>
    <w:rsid w:val="6DF12F41"/>
    <w:rsid w:val="6E1638F2"/>
    <w:rsid w:val="6E6031D6"/>
    <w:rsid w:val="6EA8A828"/>
    <w:rsid w:val="6EB15AF6"/>
    <w:rsid w:val="6EB63302"/>
    <w:rsid w:val="6EEDAFF2"/>
    <w:rsid w:val="6FC691D5"/>
    <w:rsid w:val="6FC917A0"/>
    <w:rsid w:val="6FD580A3"/>
    <w:rsid w:val="703BEFAA"/>
    <w:rsid w:val="70720F32"/>
    <w:rsid w:val="708ACAF1"/>
    <w:rsid w:val="708CB3A5"/>
    <w:rsid w:val="70C1244A"/>
    <w:rsid w:val="70CC29CF"/>
    <w:rsid w:val="710C921A"/>
    <w:rsid w:val="7150E16E"/>
    <w:rsid w:val="718C7E22"/>
    <w:rsid w:val="71A05BE9"/>
    <w:rsid w:val="71B82373"/>
    <w:rsid w:val="71DACAF1"/>
    <w:rsid w:val="71E2BDAE"/>
    <w:rsid w:val="720E8FFF"/>
    <w:rsid w:val="72280BC7"/>
    <w:rsid w:val="72552E6F"/>
    <w:rsid w:val="72C7209D"/>
    <w:rsid w:val="72CEEABB"/>
    <w:rsid w:val="72E610CC"/>
    <w:rsid w:val="72E7A5EB"/>
    <w:rsid w:val="72EF13AE"/>
    <w:rsid w:val="732175AF"/>
    <w:rsid w:val="73261E24"/>
    <w:rsid w:val="732CD39F"/>
    <w:rsid w:val="7390DCA7"/>
    <w:rsid w:val="73B75816"/>
    <w:rsid w:val="73B85C5E"/>
    <w:rsid w:val="73DC6760"/>
    <w:rsid w:val="73DE3CA1"/>
    <w:rsid w:val="744500D9"/>
    <w:rsid w:val="74ED95D8"/>
    <w:rsid w:val="74EF9698"/>
    <w:rsid w:val="74F4F83B"/>
    <w:rsid w:val="7519E839"/>
    <w:rsid w:val="753AD1DF"/>
    <w:rsid w:val="755ADB40"/>
    <w:rsid w:val="757651BD"/>
    <w:rsid w:val="75941CC7"/>
    <w:rsid w:val="75E9332D"/>
    <w:rsid w:val="7655346D"/>
    <w:rsid w:val="766EED72"/>
    <w:rsid w:val="76BCC4E1"/>
    <w:rsid w:val="7775E14F"/>
    <w:rsid w:val="77891082"/>
    <w:rsid w:val="77B74F3F"/>
    <w:rsid w:val="77C70E55"/>
    <w:rsid w:val="77C97EFD"/>
    <w:rsid w:val="77CF3EB4"/>
    <w:rsid w:val="77D198D7"/>
    <w:rsid w:val="78036A4F"/>
    <w:rsid w:val="7829288C"/>
    <w:rsid w:val="7876A60C"/>
    <w:rsid w:val="78A38AA1"/>
    <w:rsid w:val="78CA8118"/>
    <w:rsid w:val="78CEE115"/>
    <w:rsid w:val="78DA643E"/>
    <w:rsid w:val="78DF702B"/>
    <w:rsid w:val="78E29E7A"/>
    <w:rsid w:val="79097D7A"/>
    <w:rsid w:val="79189A40"/>
    <w:rsid w:val="792B9A68"/>
    <w:rsid w:val="7935A27A"/>
    <w:rsid w:val="794B19CD"/>
    <w:rsid w:val="797C4A63"/>
    <w:rsid w:val="798DBDEB"/>
    <w:rsid w:val="7A17AC74"/>
    <w:rsid w:val="7A6A2820"/>
    <w:rsid w:val="7A80A50C"/>
    <w:rsid w:val="7A9A9BB0"/>
    <w:rsid w:val="7AB48E9D"/>
    <w:rsid w:val="7AC3304A"/>
    <w:rsid w:val="7AC6FB65"/>
    <w:rsid w:val="7B9939C1"/>
    <w:rsid w:val="7BD90ACB"/>
    <w:rsid w:val="7BEF7341"/>
    <w:rsid w:val="7C126E46"/>
    <w:rsid w:val="7CC4ABD3"/>
    <w:rsid w:val="7CCBCF77"/>
    <w:rsid w:val="7CEF33C4"/>
    <w:rsid w:val="7D351379"/>
    <w:rsid w:val="7D3A625D"/>
    <w:rsid w:val="7D3DBF98"/>
    <w:rsid w:val="7D77F513"/>
    <w:rsid w:val="7D795F56"/>
    <w:rsid w:val="7D7FA801"/>
    <w:rsid w:val="7DAC581C"/>
    <w:rsid w:val="7DC42018"/>
    <w:rsid w:val="7DCCD90C"/>
    <w:rsid w:val="7E060EAA"/>
    <w:rsid w:val="7E22964F"/>
    <w:rsid w:val="7E4DFCA6"/>
    <w:rsid w:val="7E53DBD1"/>
    <w:rsid w:val="7E5747D3"/>
    <w:rsid w:val="7E5796E3"/>
    <w:rsid w:val="7E646CD4"/>
    <w:rsid w:val="7EE0573C"/>
    <w:rsid w:val="7F189F0E"/>
    <w:rsid w:val="7F2B5EFF"/>
    <w:rsid w:val="7F6D48FF"/>
    <w:rsid w:val="7FA335AA"/>
    <w:rsid w:val="7FC65D50"/>
    <w:rsid w:val="7FC7C45C"/>
    <w:rsid w:val="7FE78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FE723"/>
  <w15:docId w15:val="{483E1F20-3AFF-4E9E-A3AE-C909E49F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E4"/>
    <w:rPr>
      <w:rFonts w:ascii="Times New Roman" w:hAnsi="Times New Roman"/>
      <w:sz w:val="24"/>
      <w:szCs w:val="24"/>
      <w:lang w:val="sq-AL" w:eastAsia="sq-AL"/>
    </w:rPr>
  </w:style>
  <w:style w:type="paragraph" w:styleId="Heading1">
    <w:name w:val="heading 1"/>
    <w:basedOn w:val="Normal"/>
    <w:next w:val="Normal"/>
    <w:link w:val="Heading1Char"/>
    <w:uiPriority w:val="9"/>
    <w:qFormat/>
    <w:rsid w:val="00307609"/>
    <w:pPr>
      <w:keepNext/>
      <w:keepLines/>
      <w:spacing w:before="480" w:line="259" w:lineRule="auto"/>
      <w:outlineLvl w:val="0"/>
    </w:pPr>
    <w:rPr>
      <w:rFonts w:ascii="Cambria" w:eastAsia="Times New Roman"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rsid w:val="00435B05"/>
    <w:rPr>
      <w:rFonts w:ascii="Calibri" w:hAnsi="Calibri"/>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link w:val="FootnoteText"/>
    <w:uiPriority w:val="99"/>
    <w:rsid w:val="00435B05"/>
    <w:rPr>
      <w:sz w:val="20"/>
      <w:szCs w:val="20"/>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unhideWhenUsed/>
    <w:rsid w:val="00435B05"/>
    <w:rPr>
      <w:vertAlign w:val="superscript"/>
    </w:rPr>
  </w:style>
  <w:style w:type="paragraph" w:styleId="NormalWeb">
    <w:name w:val="Normal (Web)"/>
    <w:basedOn w:val="Normal"/>
    <w:uiPriority w:val="99"/>
    <w:unhideWhenUsed/>
    <w:rsid w:val="00C46FE6"/>
    <w:pPr>
      <w:spacing w:before="100" w:beforeAutospacing="1" w:after="100" w:afterAutospacing="1"/>
    </w:pPr>
    <w:rPr>
      <w:rFonts w:eastAsia="Times New Roman"/>
      <w:lang w:val="en-US" w:eastAsia="en-US"/>
    </w:rPr>
  </w:style>
  <w:style w:type="character" w:styleId="Strong">
    <w:name w:val="Strong"/>
    <w:uiPriority w:val="22"/>
    <w:qFormat/>
    <w:rsid w:val="00C46FE6"/>
    <w:rPr>
      <w:b/>
      <w:bCs/>
    </w:rPr>
  </w:style>
  <w:style w:type="paragraph" w:styleId="NoSpacing">
    <w:name w:val="No Spacing"/>
    <w:uiPriority w:val="1"/>
    <w:qFormat/>
    <w:rsid w:val="0068377D"/>
    <w:rPr>
      <w:sz w:val="22"/>
      <w:szCs w:val="22"/>
    </w:rPr>
  </w:style>
  <w:style w:type="character" w:styleId="Hyperlink">
    <w:name w:val="Hyperlink"/>
    <w:uiPriority w:val="99"/>
    <w:unhideWhenUsed/>
    <w:rsid w:val="003B43D4"/>
    <w:rPr>
      <w:color w:val="0000FF"/>
      <w:u w:val="single"/>
    </w:rPr>
  </w:style>
  <w:style w:type="paragraph" w:styleId="Header">
    <w:name w:val="header"/>
    <w:basedOn w:val="Normal"/>
    <w:link w:val="HeaderChar"/>
    <w:uiPriority w:val="99"/>
    <w:unhideWhenUsed/>
    <w:rsid w:val="00A9182C"/>
    <w:pPr>
      <w:tabs>
        <w:tab w:val="center" w:pos="4680"/>
        <w:tab w:val="right" w:pos="9360"/>
      </w:tabs>
    </w:pPr>
  </w:style>
  <w:style w:type="character" w:customStyle="1" w:styleId="HeaderChar">
    <w:name w:val="Header Char"/>
    <w:link w:val="Header"/>
    <w:uiPriority w:val="99"/>
    <w:rsid w:val="00A9182C"/>
    <w:rPr>
      <w:rFonts w:ascii="Times New Roman" w:eastAsia="Calibri" w:hAnsi="Times New Roman" w:cs="Times New Roman"/>
      <w:sz w:val="24"/>
      <w:szCs w:val="24"/>
      <w:lang w:val="sq-AL" w:eastAsia="sq-AL"/>
    </w:rPr>
  </w:style>
  <w:style w:type="paragraph" w:styleId="Footer">
    <w:name w:val="footer"/>
    <w:basedOn w:val="Normal"/>
    <w:link w:val="FooterChar"/>
    <w:uiPriority w:val="99"/>
    <w:unhideWhenUsed/>
    <w:rsid w:val="00A9182C"/>
    <w:pPr>
      <w:tabs>
        <w:tab w:val="center" w:pos="4680"/>
        <w:tab w:val="right" w:pos="9360"/>
      </w:tabs>
    </w:pPr>
  </w:style>
  <w:style w:type="character" w:customStyle="1" w:styleId="FooterChar">
    <w:name w:val="Footer Char"/>
    <w:link w:val="Footer"/>
    <w:uiPriority w:val="99"/>
    <w:rsid w:val="00A9182C"/>
    <w:rPr>
      <w:rFonts w:ascii="Times New Roman" w:eastAsia="Calibri" w:hAnsi="Times New Roman" w:cs="Times New Roman"/>
      <w:sz w:val="24"/>
      <w:szCs w:val="24"/>
      <w:lang w:val="sq-AL" w:eastAsia="sq-AL"/>
    </w:rPr>
  </w:style>
  <w:style w:type="paragraph" w:styleId="ListParagraph">
    <w:name w:val="List Paragraph"/>
    <w:aliases w:val="NumberedParas,Bullet List,FooterText,Colorful List Accent 1,numbered,Paragraphe de liste1,????,????1,Bulletr List Paragraph,List Paragraph2,List Paragraph21,Párrafo de lista1,Parágrafo da Lista1,?????1,Plan,列出段落,Normal 1,List Paragraph 1"/>
    <w:basedOn w:val="Normal"/>
    <w:link w:val="ListParagraphChar"/>
    <w:uiPriority w:val="99"/>
    <w:qFormat/>
    <w:rsid w:val="00FE56A2"/>
    <w:pPr>
      <w:ind w:left="720"/>
      <w:contextualSpacing/>
    </w:pPr>
  </w:style>
  <w:style w:type="character" w:styleId="Emphasis">
    <w:name w:val="Emphasis"/>
    <w:qFormat/>
    <w:rsid w:val="002A2A2E"/>
    <w:rPr>
      <w:i/>
      <w:iCs/>
    </w:rPr>
  </w:style>
  <w:style w:type="character" w:customStyle="1" w:styleId="whitespace-normal">
    <w:name w:val="whitespace-normal"/>
    <w:basedOn w:val="DefaultParagraphFont"/>
    <w:rsid w:val="006D05FD"/>
  </w:style>
  <w:style w:type="character" w:customStyle="1" w:styleId="relative">
    <w:name w:val="relative"/>
    <w:basedOn w:val="DefaultParagraphFont"/>
    <w:rsid w:val="00F536EA"/>
  </w:style>
  <w:style w:type="paragraph" w:customStyle="1" w:styleId="not-prose">
    <w:name w:val="not-prose"/>
    <w:basedOn w:val="Normal"/>
    <w:rsid w:val="00F536EA"/>
    <w:pPr>
      <w:spacing w:before="100" w:beforeAutospacing="1" w:after="100" w:afterAutospacing="1"/>
    </w:pPr>
    <w:rPr>
      <w:rFonts w:eastAsia="Times New Roman"/>
      <w:lang w:val="en-US" w:eastAsia="en-US"/>
    </w:rPr>
  </w:style>
  <w:style w:type="paragraph" w:customStyle="1" w:styleId="BVIfnrCarCarCarCarChar">
    <w:name w:val="BVI fnr Car Car Car Car Char"/>
    <w:basedOn w:val="Normal"/>
    <w:link w:val="FootnoteReference"/>
    <w:uiPriority w:val="99"/>
    <w:rsid w:val="005306F3"/>
    <w:pPr>
      <w:spacing w:after="160" w:line="240" w:lineRule="exact"/>
    </w:pPr>
    <w:rPr>
      <w:rFonts w:ascii="Calibri" w:hAnsi="Calibri"/>
      <w:sz w:val="20"/>
      <w:szCs w:val="20"/>
      <w:vertAlign w:val="superscript"/>
    </w:rPr>
  </w:style>
  <w:style w:type="numbering" w:customStyle="1" w:styleId="NoList1">
    <w:name w:val="No List1"/>
    <w:next w:val="NoList"/>
    <w:uiPriority w:val="99"/>
    <w:semiHidden/>
    <w:unhideWhenUsed/>
    <w:rsid w:val="007D728E"/>
  </w:style>
  <w:style w:type="character" w:customStyle="1" w:styleId="Heading1Char">
    <w:name w:val="Heading 1 Char"/>
    <w:link w:val="Heading1"/>
    <w:uiPriority w:val="9"/>
    <w:rsid w:val="00307609"/>
    <w:rPr>
      <w:rFonts w:ascii="Cambria" w:eastAsia="Times New Roman" w:hAnsi="Cambria" w:cs="Times New Roman"/>
      <w:b/>
      <w:bCs/>
      <w:color w:val="365F91"/>
      <w:sz w:val="28"/>
      <w:szCs w:val="28"/>
      <w:lang w:val="en-GB"/>
    </w:rPr>
  </w:style>
  <w:style w:type="numbering" w:customStyle="1" w:styleId="NoList2">
    <w:name w:val="No List2"/>
    <w:next w:val="NoList"/>
    <w:uiPriority w:val="99"/>
    <w:semiHidden/>
    <w:unhideWhenUsed/>
    <w:rsid w:val="00307609"/>
  </w:style>
  <w:style w:type="character" w:customStyle="1" w:styleId="ListParagraphChar">
    <w:name w:val="List Paragraph Char"/>
    <w:aliases w:val="NumberedParas Char,Bullet List Char,FooterText Char,Colorful List Accent 1 Char,numbered Char,Paragraphe de liste1 Char,???? Char,????1 Char,Bulletr List Paragraph Char,List Paragraph2 Char,List Paragraph21 Char,?????1 Char,Plan Char"/>
    <w:link w:val="ListParagraph"/>
    <w:uiPriority w:val="99"/>
    <w:qFormat/>
    <w:locked/>
    <w:rsid w:val="00307609"/>
    <w:rPr>
      <w:rFonts w:ascii="Times New Roman" w:eastAsia="Calibri" w:hAnsi="Times New Roman" w:cs="Times New Roman"/>
      <w:sz w:val="24"/>
      <w:szCs w:val="24"/>
      <w:lang w:val="sq-AL" w:eastAsia="sq-AL"/>
    </w:rPr>
  </w:style>
  <w:style w:type="paragraph" w:styleId="BalloonText">
    <w:name w:val="Balloon Text"/>
    <w:basedOn w:val="Normal"/>
    <w:link w:val="BalloonTextChar"/>
    <w:uiPriority w:val="99"/>
    <w:semiHidden/>
    <w:unhideWhenUsed/>
    <w:rsid w:val="00307609"/>
    <w:rPr>
      <w:rFonts w:ascii="Tahoma" w:eastAsia="SimSun" w:hAnsi="Tahoma"/>
      <w:noProof/>
      <w:sz w:val="16"/>
      <w:szCs w:val="16"/>
    </w:rPr>
  </w:style>
  <w:style w:type="character" w:customStyle="1" w:styleId="BalloonTextChar">
    <w:name w:val="Balloon Text Char"/>
    <w:link w:val="BalloonText"/>
    <w:uiPriority w:val="99"/>
    <w:semiHidden/>
    <w:rsid w:val="00307609"/>
    <w:rPr>
      <w:rFonts w:ascii="Tahoma" w:eastAsia="SimSun" w:hAnsi="Tahoma" w:cs="Tahoma"/>
      <w:noProof/>
      <w:sz w:val="16"/>
      <w:szCs w:val="16"/>
      <w:lang w:val="sq-AL"/>
    </w:rPr>
  </w:style>
  <w:style w:type="table" w:customStyle="1" w:styleId="MediumGrid3-Accent51">
    <w:name w:val="Medium Grid 3 - Accent 51"/>
    <w:basedOn w:val="TableNormal"/>
    <w:next w:val="MediumGrid3-Accent5"/>
    <w:uiPriority w:val="69"/>
    <w:rsid w:val="0030760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31">
    <w:name w:val="Medium Grid 3 - Accent 31"/>
    <w:basedOn w:val="TableNormal"/>
    <w:next w:val="MediumGrid3-Accent3"/>
    <w:uiPriority w:val="69"/>
    <w:rsid w:val="0030760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11">
    <w:name w:val="Medium Grid 3 - Accent 11"/>
    <w:basedOn w:val="TableNormal"/>
    <w:next w:val="MediumGrid3-Accent1"/>
    <w:uiPriority w:val="69"/>
    <w:rsid w:val="0030760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5">
    <w:name w:val="Medium Grid 3 Accent 5"/>
    <w:basedOn w:val="TableNormal"/>
    <w:uiPriority w:val="69"/>
    <w:semiHidden/>
    <w:unhideWhenUsed/>
    <w:rsid w:val="0030760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3">
    <w:name w:val="Medium Grid 3 Accent 3"/>
    <w:basedOn w:val="TableNormal"/>
    <w:uiPriority w:val="69"/>
    <w:semiHidden/>
    <w:unhideWhenUsed/>
    <w:rsid w:val="0030760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1">
    <w:name w:val="Medium Grid 3 Accent 1"/>
    <w:basedOn w:val="TableNormal"/>
    <w:uiPriority w:val="69"/>
    <w:semiHidden/>
    <w:unhideWhenUsed/>
    <w:rsid w:val="0030760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character" w:styleId="CommentReference">
    <w:name w:val="annotation reference"/>
    <w:basedOn w:val="DefaultParagraphFont"/>
    <w:uiPriority w:val="99"/>
    <w:semiHidden/>
    <w:unhideWhenUsed/>
    <w:rsid w:val="001B1899"/>
    <w:rPr>
      <w:sz w:val="16"/>
      <w:szCs w:val="16"/>
    </w:rPr>
  </w:style>
  <w:style w:type="paragraph" w:styleId="CommentText">
    <w:name w:val="annotation text"/>
    <w:basedOn w:val="Normal"/>
    <w:link w:val="CommentTextChar"/>
    <w:uiPriority w:val="99"/>
    <w:unhideWhenUsed/>
    <w:rsid w:val="001B1899"/>
    <w:rPr>
      <w:sz w:val="20"/>
      <w:szCs w:val="20"/>
    </w:rPr>
  </w:style>
  <w:style w:type="character" w:customStyle="1" w:styleId="CommentTextChar">
    <w:name w:val="Comment Text Char"/>
    <w:basedOn w:val="DefaultParagraphFont"/>
    <w:link w:val="CommentText"/>
    <w:uiPriority w:val="99"/>
    <w:rsid w:val="001B1899"/>
    <w:rPr>
      <w:rFonts w:ascii="Times New Roman" w:hAnsi="Times New Roman"/>
      <w:lang w:val="sq-AL" w:eastAsia="sq-AL"/>
    </w:rPr>
  </w:style>
  <w:style w:type="paragraph" w:styleId="CommentSubject">
    <w:name w:val="annotation subject"/>
    <w:basedOn w:val="CommentText"/>
    <w:next w:val="CommentText"/>
    <w:link w:val="CommentSubjectChar"/>
    <w:uiPriority w:val="99"/>
    <w:semiHidden/>
    <w:unhideWhenUsed/>
    <w:rsid w:val="001B1899"/>
    <w:rPr>
      <w:b/>
      <w:bCs/>
    </w:rPr>
  </w:style>
  <w:style w:type="character" w:customStyle="1" w:styleId="CommentSubjectChar">
    <w:name w:val="Comment Subject Char"/>
    <w:basedOn w:val="CommentTextChar"/>
    <w:link w:val="CommentSubject"/>
    <w:uiPriority w:val="99"/>
    <w:semiHidden/>
    <w:rsid w:val="001B1899"/>
    <w:rPr>
      <w:rFonts w:ascii="Times New Roman" w:hAnsi="Times New Roman"/>
      <w:b/>
      <w:bCs/>
      <w:lang w:val="sq-AL" w:eastAsia="sq-AL"/>
    </w:rPr>
  </w:style>
  <w:style w:type="paragraph" w:styleId="Revision">
    <w:name w:val="Revision"/>
    <w:hidden/>
    <w:uiPriority w:val="99"/>
    <w:semiHidden/>
    <w:rsid w:val="00020B9F"/>
    <w:rPr>
      <w:rFonts w:ascii="Times New Roman" w:hAnsi="Times New Roman"/>
      <w:sz w:val="24"/>
      <w:szCs w:val="24"/>
      <w:lang w:val="sq-AL" w:eastAsia="sq-AL"/>
    </w:rPr>
  </w:style>
  <w:style w:type="character" w:customStyle="1" w:styleId="UnresolvedMention1">
    <w:name w:val="Unresolved Mention1"/>
    <w:basedOn w:val="DefaultParagraphFont"/>
    <w:uiPriority w:val="99"/>
    <w:semiHidden/>
    <w:unhideWhenUsed/>
    <w:rsid w:val="007345E8"/>
    <w:rPr>
      <w:color w:val="605E5C"/>
      <w:shd w:val="clear" w:color="auto" w:fill="E1DFDD"/>
    </w:rPr>
  </w:style>
  <w:style w:type="paragraph" w:customStyle="1" w:styleId="Paragrafi">
    <w:name w:val="Paragrafi"/>
    <w:link w:val="ParagrafiChar"/>
    <w:qFormat/>
    <w:rsid w:val="00AC028D"/>
    <w:pPr>
      <w:widowControl w:val="0"/>
      <w:ind w:firstLine="284"/>
      <w:jc w:val="both"/>
    </w:pPr>
    <w:rPr>
      <w:rFonts w:ascii="Garamond" w:eastAsia="MS Mincho" w:hAnsi="Garamond" w:cs="CG Times"/>
      <w:sz w:val="24"/>
      <w:szCs w:val="22"/>
    </w:rPr>
  </w:style>
  <w:style w:type="character" w:customStyle="1" w:styleId="ParagrafiChar">
    <w:name w:val="Paragrafi Char"/>
    <w:basedOn w:val="DefaultParagraphFont"/>
    <w:link w:val="Paragrafi"/>
    <w:locked/>
    <w:rsid w:val="00AC028D"/>
    <w:rPr>
      <w:rFonts w:ascii="Garamond" w:eastAsia="MS Mincho" w:hAnsi="Garamond" w:cs="CG Times"/>
      <w:sz w:val="24"/>
      <w:szCs w:val="22"/>
    </w:rPr>
  </w:style>
  <w:style w:type="character" w:styleId="FollowedHyperlink">
    <w:name w:val="FollowedHyperlink"/>
    <w:basedOn w:val="DefaultParagraphFont"/>
    <w:uiPriority w:val="99"/>
    <w:semiHidden/>
    <w:unhideWhenUsed/>
    <w:rsid w:val="004D73D3"/>
    <w:rPr>
      <w:color w:val="800080"/>
      <w:u w:val="single"/>
    </w:rPr>
  </w:style>
  <w:style w:type="paragraph" w:customStyle="1" w:styleId="xl65">
    <w:name w:val="xl65"/>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sz w:val="20"/>
      <w:szCs w:val="20"/>
      <w:lang w:val="en-US" w:eastAsia="en-US"/>
    </w:rPr>
  </w:style>
  <w:style w:type="paragraph" w:customStyle="1" w:styleId="xl66">
    <w:name w:val="xl66"/>
    <w:basedOn w:val="Normal"/>
    <w:rsid w:val="004D73D3"/>
    <w:pPr>
      <w:spacing w:before="100" w:beforeAutospacing="1" w:after="100" w:afterAutospacing="1"/>
    </w:pPr>
    <w:rPr>
      <w:rFonts w:eastAsia="Times New Roman"/>
      <w:lang w:val="en-US" w:eastAsia="en-US"/>
    </w:rPr>
  </w:style>
  <w:style w:type="paragraph" w:customStyle="1" w:styleId="xl67">
    <w:name w:val="xl67"/>
    <w:basedOn w:val="Normal"/>
    <w:rsid w:val="004D73D3"/>
    <w:pPr>
      <w:spacing w:before="100" w:beforeAutospacing="1" w:after="100" w:afterAutospacing="1"/>
    </w:pPr>
    <w:rPr>
      <w:rFonts w:eastAsia="Times New Roman"/>
      <w:lang w:val="en-US" w:eastAsia="en-US"/>
    </w:rPr>
  </w:style>
  <w:style w:type="paragraph" w:customStyle="1" w:styleId="xl68">
    <w:name w:val="xl68"/>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lang w:val="en-US" w:eastAsia="en-US"/>
    </w:rPr>
  </w:style>
  <w:style w:type="paragraph" w:customStyle="1" w:styleId="xl69">
    <w:name w:val="xl69"/>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eastAsia="Times New Roman"/>
      <w:lang w:val="en-US" w:eastAsia="en-US"/>
    </w:rPr>
  </w:style>
  <w:style w:type="paragraph" w:customStyle="1" w:styleId="xl70">
    <w:name w:val="xl70"/>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71">
    <w:name w:val="xl71"/>
    <w:basedOn w:val="Normal"/>
    <w:rsid w:val="004D73D3"/>
    <w:pPr>
      <w:pBdr>
        <w:top w:val="single" w:sz="4"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72">
    <w:name w:val="xl7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lang w:val="en-US" w:eastAsia="en-US"/>
    </w:rPr>
  </w:style>
  <w:style w:type="paragraph" w:customStyle="1" w:styleId="xl73">
    <w:name w:val="xl73"/>
    <w:basedOn w:val="Normal"/>
    <w:rsid w:val="004D73D3"/>
    <w:pPr>
      <w:pBdr>
        <w:top w:val="single" w:sz="4"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Normal"/>
    <w:rsid w:val="004D73D3"/>
    <w:pPr>
      <w:pBdr>
        <w:top w:val="single" w:sz="4" w:space="0" w:color="auto"/>
        <w:left w:val="single" w:sz="4" w:space="0" w:color="auto"/>
        <w:bottom w:val="single" w:sz="4" w:space="0" w:color="auto"/>
        <w:right w:val="single" w:sz="4" w:space="0" w:color="auto"/>
      </w:pBdr>
      <w:shd w:val="clear" w:color="000000" w:fill="F276AB"/>
      <w:spacing w:before="100" w:beforeAutospacing="1" w:after="100" w:afterAutospacing="1"/>
      <w:textAlignment w:val="center"/>
    </w:pPr>
    <w:rPr>
      <w:rFonts w:eastAsia="Times New Roman"/>
      <w:b/>
      <w:bCs/>
      <w:lang w:val="en-US" w:eastAsia="en-US"/>
    </w:rPr>
  </w:style>
  <w:style w:type="paragraph" w:customStyle="1" w:styleId="xl75">
    <w:name w:val="xl75"/>
    <w:basedOn w:val="Normal"/>
    <w:rsid w:val="004D73D3"/>
    <w:pPr>
      <w:pBdr>
        <w:top w:val="single" w:sz="4" w:space="0" w:color="auto"/>
        <w:left w:val="single" w:sz="4" w:space="0" w:color="auto"/>
        <w:bottom w:val="single" w:sz="4" w:space="0" w:color="auto"/>
        <w:right w:val="single" w:sz="4" w:space="0" w:color="auto"/>
      </w:pBdr>
      <w:shd w:val="clear" w:color="000000" w:fill="F276AB"/>
      <w:spacing w:before="100" w:beforeAutospacing="1" w:after="100" w:afterAutospacing="1"/>
      <w:jc w:val="center"/>
      <w:textAlignment w:val="center"/>
    </w:pPr>
    <w:rPr>
      <w:rFonts w:eastAsia="Times New Roman"/>
      <w:b/>
      <w:bCs/>
      <w:lang w:val="en-US" w:eastAsia="en-US"/>
    </w:rPr>
  </w:style>
  <w:style w:type="paragraph" w:customStyle="1" w:styleId="xl76">
    <w:name w:val="xl76"/>
    <w:basedOn w:val="Normal"/>
    <w:rsid w:val="004D73D3"/>
    <w:pPr>
      <w:pBdr>
        <w:top w:val="single" w:sz="4" w:space="0" w:color="auto"/>
        <w:left w:val="single" w:sz="4" w:space="0" w:color="auto"/>
        <w:bottom w:val="single" w:sz="4" w:space="0" w:color="auto"/>
        <w:right w:val="single" w:sz="4" w:space="0" w:color="auto"/>
      </w:pBdr>
      <w:shd w:val="clear" w:color="000000" w:fill="F276AB"/>
      <w:spacing w:before="100" w:beforeAutospacing="1" w:after="100" w:afterAutospacing="1"/>
      <w:jc w:val="center"/>
      <w:textAlignment w:val="center"/>
    </w:pPr>
    <w:rPr>
      <w:rFonts w:eastAsia="Times New Roman"/>
      <w:b/>
      <w:bCs/>
      <w:color w:val="000000"/>
      <w:lang w:val="en-US" w:eastAsia="en-US"/>
    </w:rPr>
  </w:style>
  <w:style w:type="paragraph" w:customStyle="1" w:styleId="xl77">
    <w:name w:val="xl77"/>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eastAsia="Times New Roman"/>
      <w:b/>
      <w:bCs/>
      <w:color w:val="FF0000"/>
      <w:lang w:val="en-US" w:eastAsia="en-US"/>
    </w:rPr>
  </w:style>
  <w:style w:type="paragraph" w:customStyle="1" w:styleId="xl78">
    <w:name w:val="xl78"/>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79">
    <w:name w:val="xl79"/>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b/>
      <w:bCs/>
      <w:lang w:val="en-US" w:eastAsia="en-US"/>
    </w:rPr>
  </w:style>
  <w:style w:type="paragraph" w:customStyle="1" w:styleId="xl80">
    <w:name w:val="xl80"/>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81">
    <w:name w:val="xl81"/>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82">
    <w:name w:val="xl82"/>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83">
    <w:name w:val="xl83"/>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84">
    <w:name w:val="xl84"/>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eastAsia="Times New Roman"/>
      <w:b/>
      <w:bCs/>
      <w:lang w:val="en-US" w:eastAsia="en-US"/>
    </w:rPr>
  </w:style>
  <w:style w:type="paragraph" w:customStyle="1" w:styleId="xl85">
    <w:name w:val="xl85"/>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86">
    <w:name w:val="xl86"/>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87">
    <w:name w:val="xl87"/>
    <w:basedOn w:val="Normal"/>
    <w:rsid w:val="004D73D3"/>
    <w:pPr>
      <w:spacing w:before="100" w:beforeAutospacing="1" w:after="100" w:afterAutospacing="1"/>
      <w:jc w:val="center"/>
      <w:textAlignment w:val="center"/>
    </w:pPr>
    <w:rPr>
      <w:rFonts w:eastAsia="Times New Roman"/>
      <w:lang w:val="en-US" w:eastAsia="en-US"/>
    </w:rPr>
  </w:style>
  <w:style w:type="paragraph" w:customStyle="1" w:styleId="xl88">
    <w:name w:val="xl88"/>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lang w:val="en-US" w:eastAsia="en-US"/>
    </w:rPr>
  </w:style>
  <w:style w:type="paragraph" w:customStyle="1" w:styleId="xl89">
    <w:name w:val="xl89"/>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lang w:val="en-US" w:eastAsia="en-US"/>
    </w:rPr>
  </w:style>
  <w:style w:type="paragraph" w:customStyle="1" w:styleId="xl90">
    <w:name w:val="xl90"/>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lang w:val="en-US" w:eastAsia="en-US"/>
    </w:rPr>
  </w:style>
  <w:style w:type="paragraph" w:customStyle="1" w:styleId="xl91">
    <w:name w:val="xl91"/>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92">
    <w:name w:val="xl92"/>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b/>
      <w:bCs/>
      <w:lang w:val="en-US" w:eastAsia="en-US"/>
    </w:rPr>
  </w:style>
  <w:style w:type="paragraph" w:customStyle="1" w:styleId="xl93">
    <w:name w:val="xl93"/>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94">
    <w:name w:val="xl94"/>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lang w:val="en-US" w:eastAsia="en-US"/>
    </w:rPr>
  </w:style>
  <w:style w:type="paragraph" w:customStyle="1" w:styleId="xl95">
    <w:name w:val="xl95"/>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96">
    <w:name w:val="xl96"/>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lang w:val="en-US" w:eastAsia="en-US"/>
    </w:rPr>
  </w:style>
  <w:style w:type="paragraph" w:customStyle="1" w:styleId="xl97">
    <w:name w:val="xl97"/>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lang w:val="en-US" w:eastAsia="en-US"/>
    </w:rPr>
  </w:style>
  <w:style w:type="paragraph" w:customStyle="1" w:styleId="xl98">
    <w:name w:val="xl98"/>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eastAsia="Times New Roman"/>
      <w:sz w:val="20"/>
      <w:szCs w:val="20"/>
      <w:lang w:val="en-US" w:eastAsia="en-US"/>
    </w:rPr>
  </w:style>
  <w:style w:type="paragraph" w:customStyle="1" w:styleId="xl99">
    <w:name w:val="xl99"/>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lang w:val="en-US" w:eastAsia="en-US"/>
    </w:rPr>
  </w:style>
  <w:style w:type="paragraph" w:customStyle="1" w:styleId="xl100">
    <w:name w:val="xl100"/>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lang w:val="en-US" w:eastAsia="en-US"/>
    </w:rPr>
  </w:style>
  <w:style w:type="paragraph" w:customStyle="1" w:styleId="xl101">
    <w:name w:val="xl101"/>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lang w:val="en-US" w:eastAsia="en-US"/>
    </w:rPr>
  </w:style>
  <w:style w:type="paragraph" w:customStyle="1" w:styleId="xl102">
    <w:name w:val="xl102"/>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top"/>
    </w:pPr>
    <w:rPr>
      <w:rFonts w:eastAsia="Times New Roman"/>
      <w:sz w:val="20"/>
      <w:szCs w:val="20"/>
      <w:lang w:val="en-US" w:eastAsia="en-US"/>
    </w:rPr>
  </w:style>
  <w:style w:type="paragraph" w:customStyle="1" w:styleId="xl103">
    <w:name w:val="xl103"/>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top"/>
    </w:pPr>
    <w:rPr>
      <w:rFonts w:eastAsia="Times New Roman"/>
      <w:sz w:val="20"/>
      <w:szCs w:val="20"/>
      <w:lang w:val="en-US" w:eastAsia="en-US"/>
    </w:rPr>
  </w:style>
  <w:style w:type="paragraph" w:customStyle="1" w:styleId="xl104">
    <w:name w:val="xl104"/>
    <w:basedOn w:val="Normal"/>
    <w:rsid w:val="004D73D3"/>
    <w:pPr>
      <w:pBdr>
        <w:top w:val="single" w:sz="4" w:space="0" w:color="auto"/>
        <w:left w:val="single" w:sz="4" w:space="0" w:color="auto"/>
        <w:bottom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05">
    <w:name w:val="xl105"/>
    <w:basedOn w:val="Normal"/>
    <w:rsid w:val="004D73D3"/>
    <w:pPr>
      <w:pBdr>
        <w:top w:val="single" w:sz="4" w:space="0" w:color="auto"/>
        <w:left w:val="single" w:sz="4" w:space="0" w:color="auto"/>
        <w:bottom w:val="single" w:sz="4" w:space="0" w:color="auto"/>
      </w:pBdr>
      <w:shd w:val="clear" w:color="000000" w:fill="F276AB"/>
      <w:spacing w:before="100" w:beforeAutospacing="1" w:after="100" w:afterAutospacing="1"/>
      <w:jc w:val="center"/>
      <w:textAlignment w:val="center"/>
    </w:pPr>
    <w:rPr>
      <w:rFonts w:eastAsia="Times New Roman"/>
      <w:b/>
      <w:bCs/>
      <w:color w:val="000000"/>
      <w:lang w:val="en-US" w:eastAsia="en-US"/>
    </w:rPr>
  </w:style>
  <w:style w:type="paragraph" w:customStyle="1" w:styleId="xl106">
    <w:name w:val="xl106"/>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107">
    <w:name w:val="xl107"/>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08">
    <w:name w:val="xl108"/>
    <w:basedOn w:val="Normal"/>
    <w:rsid w:val="004D73D3"/>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09">
    <w:name w:val="xl109"/>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10">
    <w:name w:val="xl110"/>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11">
    <w:name w:val="xl111"/>
    <w:basedOn w:val="Normal"/>
    <w:rsid w:val="004D73D3"/>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12">
    <w:name w:val="xl112"/>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13">
    <w:name w:val="xl113"/>
    <w:basedOn w:val="Normal"/>
    <w:rsid w:val="004D73D3"/>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114">
    <w:name w:val="xl114"/>
    <w:basedOn w:val="Normal"/>
    <w:rsid w:val="004D73D3"/>
    <w:pPr>
      <w:pBdr>
        <w:top w:val="single" w:sz="4" w:space="0" w:color="auto"/>
        <w:left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15">
    <w:name w:val="xl115"/>
    <w:basedOn w:val="Normal"/>
    <w:rsid w:val="004D73D3"/>
    <w:pPr>
      <w:pBdr>
        <w:top w:val="single" w:sz="4" w:space="0" w:color="auto"/>
        <w:left w:val="single" w:sz="4" w:space="0" w:color="auto"/>
        <w:bottom w:val="single" w:sz="4" w:space="0" w:color="auto"/>
        <w:right w:val="single" w:sz="8"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16">
    <w:name w:val="xl116"/>
    <w:basedOn w:val="Normal"/>
    <w:rsid w:val="004D73D3"/>
    <w:pPr>
      <w:pBdr>
        <w:top w:val="single" w:sz="4" w:space="0" w:color="auto"/>
        <w:left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17">
    <w:name w:val="xl117"/>
    <w:basedOn w:val="Normal"/>
    <w:rsid w:val="004D73D3"/>
    <w:pPr>
      <w:pBdr>
        <w:top w:val="single" w:sz="4" w:space="0" w:color="auto"/>
        <w:left w:val="single" w:sz="4" w:space="0" w:color="auto"/>
        <w:bottom w:val="single" w:sz="4" w:space="0" w:color="auto"/>
        <w:right w:val="single" w:sz="8"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18">
    <w:name w:val="xl118"/>
    <w:basedOn w:val="Normal"/>
    <w:rsid w:val="004D73D3"/>
    <w:pPr>
      <w:pBdr>
        <w:top w:val="single" w:sz="4" w:space="0" w:color="auto"/>
        <w:left w:val="single" w:sz="8" w:space="0" w:color="auto"/>
        <w:bottom w:val="single" w:sz="4" w:space="0" w:color="auto"/>
        <w:right w:val="single" w:sz="4" w:space="0" w:color="auto"/>
      </w:pBdr>
      <w:shd w:val="clear" w:color="000000" w:fill="F276AB"/>
      <w:spacing w:before="100" w:beforeAutospacing="1" w:after="100" w:afterAutospacing="1"/>
      <w:jc w:val="center"/>
      <w:textAlignment w:val="center"/>
    </w:pPr>
    <w:rPr>
      <w:rFonts w:eastAsia="Times New Roman"/>
      <w:b/>
      <w:bCs/>
      <w:color w:val="000000"/>
      <w:lang w:val="en-US" w:eastAsia="en-US"/>
    </w:rPr>
  </w:style>
  <w:style w:type="paragraph" w:customStyle="1" w:styleId="xl119">
    <w:name w:val="xl119"/>
    <w:basedOn w:val="Normal"/>
    <w:rsid w:val="004D73D3"/>
    <w:pPr>
      <w:pBdr>
        <w:top w:val="single" w:sz="4" w:space="0" w:color="auto"/>
        <w:left w:val="single" w:sz="4" w:space="0" w:color="auto"/>
        <w:bottom w:val="single" w:sz="4" w:space="0" w:color="auto"/>
        <w:right w:val="single" w:sz="8" w:space="0" w:color="auto"/>
      </w:pBdr>
      <w:shd w:val="clear" w:color="000000" w:fill="F276AB"/>
      <w:spacing w:before="100" w:beforeAutospacing="1" w:after="100" w:afterAutospacing="1"/>
      <w:jc w:val="center"/>
      <w:textAlignment w:val="center"/>
    </w:pPr>
    <w:rPr>
      <w:rFonts w:eastAsia="Times New Roman"/>
      <w:b/>
      <w:bCs/>
      <w:color w:val="000000"/>
      <w:lang w:val="en-US" w:eastAsia="en-US"/>
    </w:rPr>
  </w:style>
  <w:style w:type="paragraph" w:customStyle="1" w:styleId="xl120">
    <w:name w:val="xl120"/>
    <w:basedOn w:val="Normal"/>
    <w:rsid w:val="004D73D3"/>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121">
    <w:name w:val="xl121"/>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122">
    <w:name w:val="xl122"/>
    <w:basedOn w:val="Normal"/>
    <w:rsid w:val="004D73D3"/>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23">
    <w:name w:val="xl123"/>
    <w:basedOn w:val="Normal"/>
    <w:rsid w:val="004D73D3"/>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124">
    <w:name w:val="xl124"/>
    <w:basedOn w:val="Normal"/>
    <w:rsid w:val="004D73D3"/>
    <w:pPr>
      <w:pBdr>
        <w:top w:val="single" w:sz="4"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125">
    <w:name w:val="xl125"/>
    <w:basedOn w:val="Normal"/>
    <w:rsid w:val="004D73D3"/>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126">
    <w:name w:val="xl126"/>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eastAsia="Times New Roman"/>
      <w:sz w:val="20"/>
      <w:szCs w:val="20"/>
      <w:lang w:val="en-US" w:eastAsia="en-US"/>
    </w:rPr>
  </w:style>
  <w:style w:type="paragraph" w:customStyle="1" w:styleId="xl127">
    <w:name w:val="xl127"/>
    <w:basedOn w:val="Normal"/>
    <w:rsid w:val="004D73D3"/>
    <w:pPr>
      <w:pBdr>
        <w:top w:val="single" w:sz="8" w:space="0" w:color="auto"/>
        <w:left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28">
    <w:name w:val="xl128"/>
    <w:basedOn w:val="Normal"/>
    <w:rsid w:val="004D73D3"/>
    <w:pPr>
      <w:pBdr>
        <w:top w:val="single" w:sz="8"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29">
    <w:name w:val="xl129"/>
    <w:basedOn w:val="Normal"/>
    <w:rsid w:val="004D73D3"/>
    <w:pPr>
      <w:pBdr>
        <w:top w:val="single" w:sz="8" w:space="0" w:color="auto"/>
        <w:left w:val="single" w:sz="4" w:space="0" w:color="auto"/>
        <w:bottom w:val="single" w:sz="4" w:space="0" w:color="auto"/>
        <w:right w:val="single" w:sz="8"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30">
    <w:name w:val="xl130"/>
    <w:basedOn w:val="Normal"/>
    <w:rsid w:val="004D73D3"/>
    <w:pPr>
      <w:pBdr>
        <w:top w:val="single" w:sz="4" w:space="0" w:color="auto"/>
        <w:left w:val="single" w:sz="4" w:space="0" w:color="auto"/>
        <w:bottom w:val="single" w:sz="4" w:space="0" w:color="auto"/>
      </w:pBdr>
      <w:shd w:val="clear" w:color="000000" w:fill="C2D69B"/>
      <w:spacing w:before="100" w:beforeAutospacing="1" w:after="100" w:afterAutospacing="1"/>
      <w:jc w:val="center"/>
      <w:textAlignment w:val="center"/>
    </w:pPr>
    <w:rPr>
      <w:rFonts w:eastAsia="Times New Roman"/>
      <w:b/>
      <w:bCs/>
      <w:lang w:val="en-US" w:eastAsia="en-US"/>
    </w:rPr>
  </w:style>
  <w:style w:type="paragraph" w:customStyle="1" w:styleId="xl131">
    <w:name w:val="xl131"/>
    <w:basedOn w:val="Normal"/>
    <w:rsid w:val="004D73D3"/>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32">
    <w:name w:val="xl132"/>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33">
    <w:name w:val="xl133"/>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34">
    <w:name w:val="xl134"/>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35">
    <w:name w:val="xl135"/>
    <w:basedOn w:val="Normal"/>
    <w:rsid w:val="004D73D3"/>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eastAsia="Times New Roman"/>
      <w:color w:val="000000"/>
      <w:sz w:val="20"/>
      <w:szCs w:val="20"/>
      <w:lang w:val="en-US" w:eastAsia="en-US"/>
    </w:rPr>
  </w:style>
  <w:style w:type="paragraph" w:customStyle="1" w:styleId="xl136">
    <w:name w:val="xl136"/>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rFonts w:eastAsia="Times New Roman"/>
      <w:color w:val="000000"/>
      <w:sz w:val="20"/>
      <w:szCs w:val="20"/>
      <w:lang w:val="en-US" w:eastAsia="en-US"/>
    </w:rPr>
  </w:style>
  <w:style w:type="paragraph" w:customStyle="1" w:styleId="xl137">
    <w:name w:val="xl137"/>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38">
    <w:name w:val="xl138"/>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39">
    <w:name w:val="xl139"/>
    <w:basedOn w:val="Normal"/>
    <w:rsid w:val="004D73D3"/>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 w:val="20"/>
      <w:szCs w:val="20"/>
      <w:lang w:val="en-US" w:eastAsia="en-US"/>
    </w:rPr>
  </w:style>
  <w:style w:type="paragraph" w:customStyle="1" w:styleId="xl140">
    <w:name w:val="xl140"/>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 w:val="20"/>
      <w:szCs w:val="20"/>
      <w:lang w:val="en-US" w:eastAsia="en-US"/>
    </w:rPr>
  </w:style>
  <w:style w:type="paragraph" w:customStyle="1" w:styleId="xl141">
    <w:name w:val="xl141"/>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42">
    <w:name w:val="xl142"/>
    <w:basedOn w:val="Normal"/>
    <w:rsid w:val="004D73D3"/>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43">
    <w:name w:val="xl143"/>
    <w:basedOn w:val="Normal"/>
    <w:rsid w:val="004D73D3"/>
    <w:pPr>
      <w:pBdr>
        <w:top w:val="single" w:sz="4" w:space="0" w:color="auto"/>
        <w:bottom w:val="single" w:sz="4" w:space="0" w:color="auto"/>
        <w:right w:val="single" w:sz="4" w:space="0" w:color="auto"/>
      </w:pBdr>
      <w:shd w:val="clear" w:color="000000" w:fill="F276AB"/>
      <w:spacing w:before="100" w:beforeAutospacing="1" w:after="100" w:afterAutospacing="1"/>
      <w:jc w:val="center"/>
      <w:textAlignment w:val="center"/>
    </w:pPr>
    <w:rPr>
      <w:rFonts w:eastAsia="Times New Roman"/>
      <w:sz w:val="20"/>
      <w:szCs w:val="20"/>
      <w:lang w:val="en-US" w:eastAsia="en-US"/>
    </w:rPr>
  </w:style>
  <w:style w:type="paragraph" w:customStyle="1" w:styleId="xl144">
    <w:name w:val="xl144"/>
    <w:basedOn w:val="Normal"/>
    <w:rsid w:val="004D73D3"/>
    <w:pPr>
      <w:pBdr>
        <w:top w:val="single" w:sz="4" w:space="0" w:color="auto"/>
        <w:left w:val="single" w:sz="4" w:space="0" w:color="auto"/>
        <w:bottom w:val="single" w:sz="4" w:space="0" w:color="auto"/>
        <w:right w:val="single" w:sz="8" w:space="0" w:color="auto"/>
      </w:pBdr>
      <w:shd w:val="clear" w:color="000000" w:fill="F276AB"/>
      <w:spacing w:before="100" w:beforeAutospacing="1" w:after="100" w:afterAutospacing="1"/>
      <w:jc w:val="center"/>
      <w:textAlignment w:val="center"/>
    </w:pPr>
    <w:rPr>
      <w:rFonts w:eastAsia="Times New Roman"/>
      <w:sz w:val="20"/>
      <w:szCs w:val="20"/>
      <w:lang w:val="en-US" w:eastAsia="en-US"/>
    </w:rPr>
  </w:style>
  <w:style w:type="paragraph" w:customStyle="1" w:styleId="xl145">
    <w:name w:val="xl145"/>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textAlignment w:val="center"/>
    </w:pPr>
    <w:rPr>
      <w:rFonts w:eastAsia="Times New Roman"/>
      <w:sz w:val="20"/>
      <w:szCs w:val="20"/>
      <w:lang w:val="en-US" w:eastAsia="en-US"/>
    </w:rPr>
  </w:style>
  <w:style w:type="paragraph" w:customStyle="1" w:styleId="xl146">
    <w:name w:val="xl146"/>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eastAsia="Times New Roman"/>
      <w:sz w:val="20"/>
      <w:szCs w:val="20"/>
      <w:lang w:val="en-US" w:eastAsia="en-US"/>
    </w:rPr>
  </w:style>
  <w:style w:type="paragraph" w:customStyle="1" w:styleId="xl147">
    <w:name w:val="xl147"/>
    <w:basedOn w:val="Normal"/>
    <w:rsid w:val="004D73D3"/>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48">
    <w:name w:val="xl148"/>
    <w:basedOn w:val="Normal"/>
    <w:rsid w:val="004D73D3"/>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49">
    <w:name w:val="xl149"/>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i/>
      <w:iCs/>
      <w:color w:val="000000"/>
      <w:sz w:val="20"/>
      <w:szCs w:val="20"/>
      <w:lang w:val="en-US" w:eastAsia="en-US"/>
    </w:rPr>
  </w:style>
  <w:style w:type="paragraph" w:customStyle="1" w:styleId="xl150">
    <w:name w:val="xl150"/>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i/>
      <w:iCs/>
      <w:color w:val="000000"/>
      <w:sz w:val="20"/>
      <w:szCs w:val="20"/>
      <w:lang w:val="en-US" w:eastAsia="en-US"/>
    </w:rPr>
  </w:style>
  <w:style w:type="paragraph" w:customStyle="1" w:styleId="xl151">
    <w:name w:val="xl151"/>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color w:val="000000"/>
      <w:sz w:val="20"/>
      <w:szCs w:val="20"/>
      <w:lang w:val="en-US" w:eastAsia="en-US"/>
    </w:rPr>
  </w:style>
  <w:style w:type="paragraph" w:customStyle="1" w:styleId="xl152">
    <w:name w:val="xl152"/>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textAlignment w:val="center"/>
    </w:pPr>
    <w:rPr>
      <w:rFonts w:eastAsia="Times New Roman"/>
      <w:color w:val="000000"/>
      <w:sz w:val="20"/>
      <w:szCs w:val="20"/>
      <w:lang w:val="en-US" w:eastAsia="en-US"/>
    </w:rPr>
  </w:style>
  <w:style w:type="paragraph" w:customStyle="1" w:styleId="xl153">
    <w:name w:val="xl153"/>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54">
    <w:name w:val="xl154"/>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textAlignment w:val="center"/>
    </w:pPr>
    <w:rPr>
      <w:rFonts w:eastAsia="Times New Roman"/>
      <w:color w:val="000000"/>
      <w:sz w:val="20"/>
      <w:szCs w:val="20"/>
      <w:lang w:val="en-US" w:eastAsia="en-US"/>
    </w:rPr>
  </w:style>
  <w:style w:type="paragraph" w:customStyle="1" w:styleId="xl155">
    <w:name w:val="xl155"/>
    <w:basedOn w:val="Normal"/>
    <w:rsid w:val="004D73D3"/>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56">
    <w:name w:val="xl156"/>
    <w:basedOn w:val="Normal"/>
    <w:rsid w:val="004D73D3"/>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57">
    <w:name w:val="xl157"/>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58">
    <w:name w:val="xl158"/>
    <w:basedOn w:val="Normal"/>
    <w:rsid w:val="004D73D3"/>
    <w:pPr>
      <w:pBdr>
        <w:top w:val="single" w:sz="4" w:space="0" w:color="auto"/>
        <w:bottom w:val="single" w:sz="4" w:space="0" w:color="auto"/>
        <w:right w:val="single" w:sz="4" w:space="0" w:color="auto"/>
      </w:pBdr>
      <w:shd w:val="clear" w:color="000000" w:fill="F276AB"/>
      <w:spacing w:before="100" w:beforeAutospacing="1" w:after="100" w:afterAutospacing="1"/>
      <w:textAlignment w:val="center"/>
    </w:pPr>
    <w:rPr>
      <w:rFonts w:eastAsia="Times New Roman"/>
      <w:sz w:val="20"/>
      <w:szCs w:val="20"/>
      <w:lang w:val="en-US" w:eastAsia="en-US"/>
    </w:rPr>
  </w:style>
  <w:style w:type="paragraph" w:customStyle="1" w:styleId="xl159">
    <w:name w:val="xl159"/>
    <w:basedOn w:val="Normal"/>
    <w:rsid w:val="004D73D3"/>
    <w:pPr>
      <w:pBdr>
        <w:top w:val="single" w:sz="4" w:space="0" w:color="auto"/>
        <w:left w:val="single" w:sz="4" w:space="0" w:color="auto"/>
        <w:bottom w:val="single" w:sz="4" w:space="0" w:color="auto"/>
        <w:right w:val="single" w:sz="8" w:space="0" w:color="auto"/>
      </w:pBdr>
      <w:shd w:val="clear" w:color="000000" w:fill="F276AB"/>
      <w:spacing w:before="100" w:beforeAutospacing="1" w:after="100" w:afterAutospacing="1"/>
      <w:textAlignment w:val="center"/>
    </w:pPr>
    <w:rPr>
      <w:rFonts w:eastAsia="Times New Roman"/>
      <w:sz w:val="20"/>
      <w:szCs w:val="20"/>
      <w:lang w:val="en-US" w:eastAsia="en-US"/>
    </w:rPr>
  </w:style>
  <w:style w:type="paragraph" w:customStyle="1" w:styleId="xl160">
    <w:name w:val="xl160"/>
    <w:basedOn w:val="Normal"/>
    <w:rsid w:val="004D73D3"/>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161">
    <w:name w:val="xl161"/>
    <w:basedOn w:val="Normal"/>
    <w:rsid w:val="004D73D3"/>
    <w:pPr>
      <w:pBdr>
        <w:top w:val="single" w:sz="4" w:space="0" w:color="auto"/>
        <w:left w:val="single" w:sz="4" w:space="0" w:color="auto"/>
        <w:bottom w:val="single" w:sz="8"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font0">
    <w:name w:val="font0"/>
    <w:basedOn w:val="Normal"/>
    <w:rsid w:val="004D73D3"/>
    <w:pPr>
      <w:spacing w:before="100" w:beforeAutospacing="1" w:after="100" w:afterAutospacing="1"/>
    </w:pPr>
    <w:rPr>
      <w:rFonts w:ascii="Calibri" w:eastAsia="Times New Roman" w:hAnsi="Calibri"/>
      <w:color w:val="000000"/>
      <w:sz w:val="22"/>
      <w:szCs w:val="22"/>
      <w:lang w:val="en-US" w:eastAsia="en-US"/>
    </w:rPr>
  </w:style>
  <w:style w:type="paragraph" w:customStyle="1" w:styleId="font5">
    <w:name w:val="font5"/>
    <w:basedOn w:val="Normal"/>
    <w:rsid w:val="004D73D3"/>
    <w:pPr>
      <w:spacing w:before="100" w:beforeAutospacing="1" w:after="100" w:afterAutospacing="1"/>
    </w:pPr>
    <w:rPr>
      <w:rFonts w:ascii="Calibri" w:eastAsia="Times New Roman" w:hAnsi="Calibri"/>
      <w:i/>
      <w:iCs/>
      <w:color w:val="000000"/>
      <w:sz w:val="22"/>
      <w:szCs w:val="22"/>
      <w:lang w:val="en-US" w:eastAsia="en-US"/>
    </w:rPr>
  </w:style>
  <w:style w:type="paragraph" w:customStyle="1" w:styleId="font6">
    <w:name w:val="font6"/>
    <w:basedOn w:val="Normal"/>
    <w:rsid w:val="004D73D3"/>
    <w:pPr>
      <w:spacing w:before="100" w:beforeAutospacing="1" w:after="100" w:afterAutospacing="1"/>
    </w:pPr>
    <w:rPr>
      <w:rFonts w:eastAsia="Times New Roman"/>
      <w:b/>
      <w:bCs/>
      <w:sz w:val="22"/>
      <w:szCs w:val="22"/>
      <w:lang w:val="en-US" w:eastAsia="en-US"/>
    </w:rPr>
  </w:style>
  <w:style w:type="paragraph" w:customStyle="1" w:styleId="font7">
    <w:name w:val="font7"/>
    <w:basedOn w:val="Normal"/>
    <w:rsid w:val="004D73D3"/>
    <w:pPr>
      <w:spacing w:before="100" w:beforeAutospacing="1" w:after="100" w:afterAutospacing="1"/>
    </w:pPr>
    <w:rPr>
      <w:rFonts w:eastAsia="Times New Roman"/>
      <w:sz w:val="22"/>
      <w:szCs w:val="22"/>
      <w:lang w:val="en-US" w:eastAsia="en-US"/>
    </w:rPr>
  </w:style>
  <w:style w:type="paragraph" w:customStyle="1" w:styleId="font8">
    <w:name w:val="font8"/>
    <w:basedOn w:val="Normal"/>
    <w:rsid w:val="004D73D3"/>
    <w:pPr>
      <w:spacing w:before="100" w:beforeAutospacing="1" w:after="100" w:afterAutospacing="1"/>
    </w:pPr>
    <w:rPr>
      <w:rFonts w:eastAsia="Times New Roman"/>
      <w:i/>
      <w:iCs/>
      <w:sz w:val="22"/>
      <w:szCs w:val="22"/>
      <w:lang w:val="en-US" w:eastAsia="en-US"/>
    </w:rPr>
  </w:style>
  <w:style w:type="paragraph" w:customStyle="1" w:styleId="font9">
    <w:name w:val="font9"/>
    <w:basedOn w:val="Normal"/>
    <w:rsid w:val="004D73D3"/>
    <w:pPr>
      <w:spacing w:before="100" w:beforeAutospacing="1" w:after="100" w:afterAutospacing="1"/>
    </w:pPr>
    <w:rPr>
      <w:rFonts w:eastAsia="Times New Roman"/>
      <w:color w:val="000000"/>
      <w:sz w:val="20"/>
      <w:szCs w:val="20"/>
      <w:lang w:val="en-US" w:eastAsia="en-US"/>
    </w:rPr>
  </w:style>
  <w:style w:type="paragraph" w:customStyle="1" w:styleId="font10">
    <w:name w:val="font10"/>
    <w:basedOn w:val="Normal"/>
    <w:rsid w:val="004D73D3"/>
    <w:pPr>
      <w:spacing w:before="100" w:beforeAutospacing="1" w:after="100" w:afterAutospacing="1"/>
    </w:pPr>
    <w:rPr>
      <w:rFonts w:eastAsia="Times New Roman"/>
      <w:b/>
      <w:bCs/>
      <w:color w:val="000000"/>
      <w:sz w:val="20"/>
      <w:szCs w:val="20"/>
      <w:lang w:val="en-US" w:eastAsia="en-US"/>
    </w:rPr>
  </w:style>
  <w:style w:type="paragraph" w:customStyle="1" w:styleId="xl162">
    <w:name w:val="xl16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val="en-US" w:eastAsia="en-US"/>
    </w:rPr>
  </w:style>
  <w:style w:type="paragraph" w:customStyle="1" w:styleId="xl163">
    <w:name w:val="xl163"/>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en-US" w:eastAsia="en-US"/>
    </w:rPr>
  </w:style>
  <w:style w:type="paragraph" w:customStyle="1" w:styleId="xl164">
    <w:name w:val="xl164"/>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i/>
      <w:iCs/>
      <w:sz w:val="20"/>
      <w:szCs w:val="20"/>
      <w:lang w:val="en-US" w:eastAsia="en-US"/>
    </w:rPr>
  </w:style>
  <w:style w:type="paragraph" w:customStyle="1" w:styleId="xl165">
    <w:name w:val="xl165"/>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sz w:val="20"/>
      <w:szCs w:val="20"/>
      <w:lang w:val="en-US" w:eastAsia="en-US"/>
    </w:rPr>
  </w:style>
  <w:style w:type="paragraph" w:customStyle="1" w:styleId="xl166">
    <w:name w:val="xl166"/>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top"/>
    </w:pPr>
    <w:rPr>
      <w:rFonts w:eastAsia="Times New Roman"/>
      <w:b/>
      <w:bCs/>
      <w:lang w:val="en-US" w:eastAsia="en-US"/>
    </w:rPr>
  </w:style>
  <w:style w:type="paragraph" w:customStyle="1" w:styleId="xl167">
    <w:name w:val="xl167"/>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b/>
      <w:bCs/>
      <w:lang w:val="en-US" w:eastAsia="en-US"/>
    </w:rPr>
  </w:style>
  <w:style w:type="paragraph" w:customStyle="1" w:styleId="xl168">
    <w:name w:val="xl168"/>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rFonts w:eastAsia="Times New Roman"/>
      <w:b/>
      <w:bCs/>
      <w:lang w:val="en-US" w:eastAsia="en-US"/>
    </w:rPr>
  </w:style>
  <w:style w:type="paragraph" w:customStyle="1" w:styleId="xl169">
    <w:name w:val="xl16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lang w:val="en-US" w:eastAsia="en-US"/>
    </w:rPr>
  </w:style>
  <w:style w:type="paragraph" w:customStyle="1" w:styleId="xl170">
    <w:name w:val="xl170"/>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i/>
      <w:iCs/>
      <w:lang w:val="en-US" w:eastAsia="en-US"/>
    </w:rPr>
  </w:style>
  <w:style w:type="paragraph" w:customStyle="1" w:styleId="xl171">
    <w:name w:val="xl171"/>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sz w:val="20"/>
      <w:szCs w:val="20"/>
      <w:lang w:val="en-US" w:eastAsia="en-US"/>
    </w:rPr>
  </w:style>
  <w:style w:type="paragraph" w:customStyle="1" w:styleId="xl172">
    <w:name w:val="xl172"/>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eastAsia="Times New Roman"/>
      <w:b/>
      <w:bCs/>
      <w:sz w:val="20"/>
      <w:szCs w:val="20"/>
      <w:lang w:val="en-US" w:eastAsia="en-US"/>
    </w:rPr>
  </w:style>
  <w:style w:type="paragraph" w:customStyle="1" w:styleId="xl173">
    <w:name w:val="xl173"/>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b/>
      <w:bCs/>
      <w:sz w:val="20"/>
      <w:szCs w:val="20"/>
      <w:lang w:val="en-US" w:eastAsia="en-US"/>
    </w:rPr>
  </w:style>
  <w:style w:type="paragraph" w:customStyle="1" w:styleId="xl174">
    <w:name w:val="xl174"/>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sz w:val="20"/>
      <w:szCs w:val="20"/>
      <w:lang w:val="en-US" w:eastAsia="en-US"/>
    </w:rPr>
  </w:style>
  <w:style w:type="paragraph" w:customStyle="1" w:styleId="xl175">
    <w:name w:val="xl175"/>
    <w:basedOn w:val="Normal"/>
    <w:rsid w:val="004D73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lang w:val="en-US" w:eastAsia="en-US"/>
    </w:rPr>
  </w:style>
  <w:style w:type="paragraph" w:customStyle="1" w:styleId="xl176">
    <w:name w:val="xl176"/>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sz w:val="20"/>
      <w:szCs w:val="20"/>
      <w:lang w:val="en-US" w:eastAsia="en-US"/>
    </w:rPr>
  </w:style>
  <w:style w:type="paragraph" w:customStyle="1" w:styleId="xl177">
    <w:name w:val="xl177"/>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val="en-US" w:eastAsia="en-US"/>
    </w:rPr>
  </w:style>
  <w:style w:type="paragraph" w:customStyle="1" w:styleId="xl178">
    <w:name w:val="xl178"/>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179">
    <w:name w:val="xl179"/>
    <w:basedOn w:val="Normal"/>
    <w:rsid w:val="004D73D3"/>
    <w:pPr>
      <w:pBdr>
        <w:top w:val="single" w:sz="4" w:space="0" w:color="auto"/>
        <w:left w:val="single" w:sz="4" w:space="0" w:color="auto"/>
        <w:bottom w:val="single" w:sz="4" w:space="0" w:color="auto"/>
        <w:right w:val="single" w:sz="4" w:space="0" w:color="auto"/>
      </w:pBdr>
      <w:shd w:val="clear" w:color="000000" w:fill="F276AB"/>
      <w:spacing w:before="100" w:beforeAutospacing="1" w:after="100" w:afterAutospacing="1"/>
      <w:textAlignment w:val="center"/>
    </w:pPr>
    <w:rPr>
      <w:rFonts w:eastAsia="Times New Roman"/>
      <w:b/>
      <w:bCs/>
      <w:lang w:val="en-US" w:eastAsia="en-US"/>
    </w:rPr>
  </w:style>
  <w:style w:type="paragraph" w:customStyle="1" w:styleId="xl180">
    <w:name w:val="xl180"/>
    <w:basedOn w:val="Normal"/>
    <w:rsid w:val="004D73D3"/>
    <w:pPr>
      <w:pBdr>
        <w:top w:val="single" w:sz="4" w:space="0" w:color="auto"/>
        <w:left w:val="single" w:sz="4" w:space="0" w:color="auto"/>
        <w:bottom w:val="single" w:sz="4" w:space="0" w:color="auto"/>
        <w:right w:val="single" w:sz="4" w:space="0" w:color="auto"/>
      </w:pBdr>
      <w:shd w:val="clear" w:color="000000" w:fill="F276AB"/>
      <w:spacing w:before="100" w:beforeAutospacing="1" w:after="100" w:afterAutospacing="1"/>
      <w:jc w:val="center"/>
      <w:textAlignment w:val="center"/>
    </w:pPr>
    <w:rPr>
      <w:rFonts w:eastAsia="Times New Roman"/>
      <w:b/>
      <w:bCs/>
      <w:lang w:val="en-US" w:eastAsia="en-US"/>
    </w:rPr>
  </w:style>
  <w:style w:type="paragraph" w:customStyle="1" w:styleId="xl181">
    <w:name w:val="xl181"/>
    <w:basedOn w:val="Normal"/>
    <w:rsid w:val="004D73D3"/>
    <w:pPr>
      <w:pBdr>
        <w:top w:val="single" w:sz="4" w:space="0" w:color="auto"/>
        <w:left w:val="single" w:sz="4" w:space="0" w:color="auto"/>
        <w:bottom w:val="single" w:sz="4" w:space="0" w:color="auto"/>
        <w:right w:val="single" w:sz="4" w:space="0" w:color="auto"/>
      </w:pBdr>
      <w:shd w:val="clear" w:color="000000" w:fill="F276AB"/>
      <w:spacing w:before="100" w:beforeAutospacing="1" w:after="100" w:afterAutospacing="1"/>
      <w:jc w:val="center"/>
      <w:textAlignment w:val="center"/>
    </w:pPr>
    <w:rPr>
      <w:rFonts w:eastAsia="Times New Roman"/>
      <w:b/>
      <w:bCs/>
      <w:color w:val="000000"/>
      <w:lang w:val="en-US" w:eastAsia="en-US"/>
    </w:rPr>
  </w:style>
  <w:style w:type="paragraph" w:customStyle="1" w:styleId="xl182">
    <w:name w:val="xl18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val="en-US" w:eastAsia="en-US"/>
    </w:rPr>
  </w:style>
  <w:style w:type="paragraph" w:customStyle="1" w:styleId="xl183">
    <w:name w:val="xl183"/>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184">
    <w:name w:val="xl184"/>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185">
    <w:name w:val="xl185"/>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lang w:val="en-US" w:eastAsia="en-US"/>
    </w:rPr>
  </w:style>
  <w:style w:type="paragraph" w:customStyle="1" w:styleId="xl186">
    <w:name w:val="xl186"/>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187">
    <w:name w:val="xl187"/>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188">
    <w:name w:val="xl188"/>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lang w:val="en-US" w:eastAsia="en-US"/>
    </w:rPr>
  </w:style>
  <w:style w:type="paragraph" w:customStyle="1" w:styleId="xl189">
    <w:name w:val="xl189"/>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top"/>
    </w:pPr>
    <w:rPr>
      <w:rFonts w:eastAsia="Times New Roman"/>
      <w:b/>
      <w:bCs/>
      <w:lang w:val="en-US" w:eastAsia="en-US"/>
    </w:rPr>
  </w:style>
  <w:style w:type="paragraph" w:customStyle="1" w:styleId="xl190">
    <w:name w:val="xl190"/>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191">
    <w:name w:val="xl191"/>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lang w:val="en-US" w:eastAsia="en-US"/>
    </w:rPr>
  </w:style>
  <w:style w:type="paragraph" w:customStyle="1" w:styleId="xl192">
    <w:name w:val="xl192"/>
    <w:basedOn w:val="Normal"/>
    <w:rsid w:val="004D73D3"/>
    <w:pPr>
      <w:pBdr>
        <w:left w:val="single" w:sz="4" w:space="0" w:color="auto"/>
      </w:pBdr>
      <w:spacing w:before="100" w:beforeAutospacing="1" w:after="100" w:afterAutospacing="1"/>
      <w:textAlignment w:val="top"/>
    </w:pPr>
    <w:rPr>
      <w:rFonts w:eastAsia="Times New Roman"/>
      <w:lang w:val="en-US" w:eastAsia="en-US"/>
    </w:rPr>
  </w:style>
  <w:style w:type="paragraph" w:customStyle="1" w:styleId="xl193">
    <w:name w:val="xl193"/>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lang w:val="en-US" w:eastAsia="en-US"/>
    </w:rPr>
  </w:style>
  <w:style w:type="paragraph" w:customStyle="1" w:styleId="xl194">
    <w:name w:val="xl194"/>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top"/>
    </w:pPr>
    <w:rPr>
      <w:rFonts w:eastAsia="Times New Roman"/>
      <w:b/>
      <w:bCs/>
      <w:lang w:val="en-US" w:eastAsia="en-US"/>
    </w:rPr>
  </w:style>
  <w:style w:type="paragraph" w:customStyle="1" w:styleId="xl195">
    <w:name w:val="xl195"/>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rFonts w:eastAsia="Times New Roman"/>
      <w:b/>
      <w:bCs/>
      <w:i/>
      <w:iCs/>
      <w:lang w:val="en-US" w:eastAsia="en-US"/>
    </w:rPr>
  </w:style>
  <w:style w:type="paragraph" w:customStyle="1" w:styleId="xl196">
    <w:name w:val="xl196"/>
    <w:basedOn w:val="Normal"/>
    <w:rsid w:val="004D73D3"/>
    <w:pPr>
      <w:pBdr>
        <w:left w:val="single" w:sz="4" w:space="0" w:color="auto"/>
      </w:pBdr>
      <w:spacing w:before="100" w:beforeAutospacing="1" w:after="100" w:afterAutospacing="1"/>
      <w:textAlignment w:val="top"/>
    </w:pPr>
    <w:rPr>
      <w:rFonts w:eastAsia="Times New Roman"/>
      <w:lang w:val="en-US" w:eastAsia="en-US"/>
    </w:rPr>
  </w:style>
  <w:style w:type="paragraph" w:customStyle="1" w:styleId="xl197">
    <w:name w:val="xl197"/>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val="en-US" w:eastAsia="en-US"/>
    </w:rPr>
  </w:style>
  <w:style w:type="paragraph" w:customStyle="1" w:styleId="xl198">
    <w:name w:val="xl198"/>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lang w:val="en-US" w:eastAsia="en-US"/>
    </w:rPr>
  </w:style>
  <w:style w:type="paragraph" w:customStyle="1" w:styleId="xl199">
    <w:name w:val="xl19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val="en-US" w:eastAsia="en-US"/>
    </w:rPr>
  </w:style>
  <w:style w:type="paragraph" w:customStyle="1" w:styleId="xl200">
    <w:name w:val="xl200"/>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top"/>
    </w:pPr>
    <w:rPr>
      <w:rFonts w:eastAsia="Times New Roman"/>
      <w:b/>
      <w:bCs/>
      <w:lang w:val="en-US" w:eastAsia="en-US"/>
    </w:rPr>
  </w:style>
  <w:style w:type="paragraph" w:customStyle="1" w:styleId="xl201">
    <w:name w:val="xl201"/>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eastAsia="Times New Roman"/>
      <w:lang w:val="en-US" w:eastAsia="en-US"/>
    </w:rPr>
  </w:style>
  <w:style w:type="paragraph" w:customStyle="1" w:styleId="xl202">
    <w:name w:val="xl202"/>
    <w:basedOn w:val="Normal"/>
    <w:rsid w:val="004D73D3"/>
    <w:pPr>
      <w:pBdr>
        <w:left w:val="single" w:sz="4" w:space="0" w:color="auto"/>
      </w:pBdr>
      <w:shd w:val="clear" w:color="000000" w:fill="B8CCE4"/>
      <w:spacing w:before="100" w:beforeAutospacing="1" w:after="100" w:afterAutospacing="1"/>
      <w:jc w:val="both"/>
      <w:textAlignment w:val="center"/>
    </w:pPr>
    <w:rPr>
      <w:rFonts w:eastAsia="Times New Roman"/>
      <w:b/>
      <w:bCs/>
      <w:lang w:val="en-US" w:eastAsia="en-US"/>
    </w:rPr>
  </w:style>
  <w:style w:type="paragraph" w:customStyle="1" w:styleId="xl203">
    <w:name w:val="xl203"/>
    <w:basedOn w:val="Normal"/>
    <w:rsid w:val="004D73D3"/>
    <w:pPr>
      <w:pBdr>
        <w:left w:val="single" w:sz="4" w:space="0" w:color="auto"/>
      </w:pBdr>
      <w:spacing w:before="100" w:beforeAutospacing="1" w:after="100" w:afterAutospacing="1"/>
      <w:jc w:val="both"/>
      <w:textAlignment w:val="top"/>
    </w:pPr>
    <w:rPr>
      <w:rFonts w:eastAsia="Times New Roman"/>
      <w:lang w:val="en-US" w:eastAsia="en-US"/>
    </w:rPr>
  </w:style>
  <w:style w:type="paragraph" w:customStyle="1" w:styleId="xl204">
    <w:name w:val="xl204"/>
    <w:basedOn w:val="Normal"/>
    <w:rsid w:val="004D73D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lang w:val="en-US" w:eastAsia="en-US"/>
    </w:rPr>
  </w:style>
  <w:style w:type="paragraph" w:customStyle="1" w:styleId="xl205">
    <w:name w:val="xl205"/>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eastAsia="Times New Roman"/>
      <w:lang w:val="en-US" w:eastAsia="en-US"/>
    </w:rPr>
  </w:style>
  <w:style w:type="paragraph" w:customStyle="1" w:styleId="xl206">
    <w:name w:val="xl206"/>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lang w:val="en-US" w:eastAsia="en-US"/>
    </w:rPr>
  </w:style>
  <w:style w:type="paragraph" w:customStyle="1" w:styleId="xl207">
    <w:name w:val="xl207"/>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lang w:val="en-US" w:eastAsia="en-US"/>
    </w:rPr>
  </w:style>
  <w:style w:type="paragraph" w:customStyle="1" w:styleId="xl208">
    <w:name w:val="xl208"/>
    <w:basedOn w:val="Normal"/>
    <w:rsid w:val="004D73D3"/>
    <w:pPr>
      <w:pBdr>
        <w:left w:val="single" w:sz="4" w:space="0" w:color="auto"/>
      </w:pBdr>
      <w:shd w:val="clear" w:color="000000" w:fill="C5D9F1"/>
      <w:spacing w:before="100" w:beforeAutospacing="1" w:after="100" w:afterAutospacing="1"/>
      <w:jc w:val="both"/>
      <w:textAlignment w:val="top"/>
    </w:pPr>
    <w:rPr>
      <w:rFonts w:eastAsia="Times New Roman"/>
      <w:b/>
      <w:bCs/>
      <w:lang w:val="en-US" w:eastAsia="en-US"/>
    </w:rPr>
  </w:style>
  <w:style w:type="paragraph" w:customStyle="1" w:styleId="xl209">
    <w:name w:val="xl20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customStyle="1" w:styleId="xl210">
    <w:name w:val="xl210"/>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lang w:val="en-US" w:eastAsia="en-US"/>
    </w:rPr>
  </w:style>
  <w:style w:type="paragraph" w:customStyle="1" w:styleId="xl211">
    <w:name w:val="xl211"/>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212">
    <w:name w:val="xl212"/>
    <w:basedOn w:val="Normal"/>
    <w:rsid w:val="004D73D3"/>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213">
    <w:name w:val="xl213"/>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lang w:val="en-US" w:eastAsia="en-US"/>
    </w:rPr>
  </w:style>
  <w:style w:type="paragraph" w:customStyle="1" w:styleId="xl214">
    <w:name w:val="xl214"/>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215">
    <w:name w:val="xl215"/>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lang w:val="en-US" w:eastAsia="en-US"/>
    </w:rPr>
  </w:style>
  <w:style w:type="paragraph" w:customStyle="1" w:styleId="xl216">
    <w:name w:val="xl216"/>
    <w:basedOn w:val="Normal"/>
    <w:rsid w:val="004D73D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rFonts w:eastAsia="Times New Roman"/>
      <w:lang w:val="en-US" w:eastAsia="en-US"/>
    </w:rPr>
  </w:style>
  <w:style w:type="paragraph" w:customStyle="1" w:styleId="xl217">
    <w:name w:val="xl217"/>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top"/>
    </w:pPr>
    <w:rPr>
      <w:rFonts w:eastAsia="Times New Roman"/>
      <w:b/>
      <w:bCs/>
      <w:lang w:val="en-US" w:eastAsia="en-US"/>
    </w:rPr>
  </w:style>
  <w:style w:type="paragraph" w:customStyle="1" w:styleId="xl218">
    <w:name w:val="xl218"/>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val="en-US" w:eastAsia="en-US"/>
    </w:rPr>
  </w:style>
  <w:style w:type="paragraph" w:customStyle="1" w:styleId="xl219">
    <w:name w:val="xl21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lang w:val="en-US" w:eastAsia="en-US"/>
    </w:rPr>
  </w:style>
  <w:style w:type="paragraph" w:customStyle="1" w:styleId="xl220">
    <w:name w:val="xl220"/>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lang w:val="en-US" w:eastAsia="en-US"/>
    </w:rPr>
  </w:style>
  <w:style w:type="paragraph" w:customStyle="1" w:styleId="xl221">
    <w:name w:val="xl221"/>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lang w:val="en-US" w:eastAsia="en-US"/>
    </w:rPr>
  </w:style>
  <w:style w:type="paragraph" w:customStyle="1" w:styleId="xl222">
    <w:name w:val="xl222"/>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223">
    <w:name w:val="xl223"/>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eastAsia="en-US"/>
    </w:rPr>
  </w:style>
  <w:style w:type="paragraph" w:customStyle="1" w:styleId="xl224">
    <w:name w:val="xl224"/>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225">
    <w:name w:val="xl225"/>
    <w:basedOn w:val="Normal"/>
    <w:rsid w:val="004D73D3"/>
    <w:pPr>
      <w:pBdr>
        <w:top w:val="single" w:sz="8"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sz w:val="20"/>
      <w:szCs w:val="20"/>
      <w:lang w:val="en-US" w:eastAsia="en-US"/>
    </w:rPr>
  </w:style>
  <w:style w:type="paragraph" w:customStyle="1" w:styleId="xl226">
    <w:name w:val="xl226"/>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sz w:val="20"/>
      <w:szCs w:val="20"/>
      <w:lang w:val="en-US" w:eastAsia="en-US"/>
    </w:rPr>
  </w:style>
  <w:style w:type="paragraph" w:customStyle="1" w:styleId="xl227">
    <w:name w:val="xl227"/>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US" w:eastAsia="en-US"/>
    </w:rPr>
  </w:style>
  <w:style w:type="paragraph" w:customStyle="1" w:styleId="xl228">
    <w:name w:val="xl228"/>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n-US" w:eastAsia="en-US"/>
    </w:rPr>
  </w:style>
  <w:style w:type="paragraph" w:customStyle="1" w:styleId="xl229">
    <w:name w:val="xl22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lang w:val="en-US" w:eastAsia="en-US"/>
    </w:rPr>
  </w:style>
  <w:style w:type="paragraph" w:customStyle="1" w:styleId="xl230">
    <w:name w:val="xl230"/>
    <w:basedOn w:val="Normal"/>
    <w:rsid w:val="004D73D3"/>
    <w:pPr>
      <w:spacing w:before="100" w:beforeAutospacing="1" w:after="100" w:afterAutospacing="1"/>
      <w:jc w:val="both"/>
      <w:textAlignment w:val="top"/>
    </w:pPr>
    <w:rPr>
      <w:rFonts w:eastAsia="Times New Roman"/>
      <w:lang w:val="en-US" w:eastAsia="en-US"/>
    </w:rPr>
  </w:style>
  <w:style w:type="paragraph" w:customStyle="1" w:styleId="xl231">
    <w:name w:val="xl231"/>
    <w:basedOn w:val="Normal"/>
    <w:rsid w:val="004D73D3"/>
    <w:pPr>
      <w:pBdr>
        <w:top w:val="single" w:sz="8" w:space="0" w:color="auto"/>
        <w:left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232">
    <w:name w:val="xl232"/>
    <w:basedOn w:val="Normal"/>
    <w:rsid w:val="004D73D3"/>
    <w:pPr>
      <w:pBdr>
        <w:top w:val="single" w:sz="4" w:space="0" w:color="auto"/>
        <w:left w:val="single" w:sz="4" w:space="0" w:color="auto"/>
        <w:right w:val="single" w:sz="4" w:space="0" w:color="auto"/>
      </w:pBdr>
      <w:spacing w:before="100" w:beforeAutospacing="1" w:after="100" w:afterAutospacing="1"/>
      <w:jc w:val="both"/>
      <w:textAlignment w:val="top"/>
    </w:pPr>
    <w:rPr>
      <w:rFonts w:eastAsia="Times New Roman"/>
      <w:lang w:val="en-US" w:eastAsia="en-US"/>
    </w:rPr>
  </w:style>
  <w:style w:type="paragraph" w:customStyle="1" w:styleId="xl233">
    <w:name w:val="xl233"/>
    <w:basedOn w:val="Normal"/>
    <w:rsid w:val="004D73D3"/>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i/>
      <w:iCs/>
      <w:lang w:val="en-US" w:eastAsia="en-US"/>
    </w:rPr>
  </w:style>
  <w:style w:type="paragraph" w:customStyle="1" w:styleId="xl234">
    <w:name w:val="xl234"/>
    <w:basedOn w:val="Normal"/>
    <w:rsid w:val="004D73D3"/>
    <w:pPr>
      <w:pBdr>
        <w:top w:val="single" w:sz="4" w:space="0" w:color="auto"/>
        <w:left w:val="single" w:sz="4" w:space="0" w:color="auto"/>
        <w:bottom w:val="single" w:sz="4" w:space="0" w:color="auto"/>
      </w:pBdr>
      <w:shd w:val="clear" w:color="000000" w:fill="F276AB"/>
      <w:spacing w:before="100" w:beforeAutospacing="1" w:after="100" w:afterAutospacing="1"/>
      <w:jc w:val="center"/>
      <w:textAlignment w:val="center"/>
    </w:pPr>
    <w:rPr>
      <w:rFonts w:eastAsia="Times New Roman"/>
      <w:b/>
      <w:bCs/>
      <w:color w:val="000000"/>
      <w:lang w:val="en-US" w:eastAsia="en-US"/>
    </w:rPr>
  </w:style>
  <w:style w:type="paragraph" w:customStyle="1" w:styleId="xl235">
    <w:name w:val="xl235"/>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236">
    <w:name w:val="xl236"/>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rFonts w:eastAsia="Times New Roman"/>
      <w:b/>
      <w:bCs/>
      <w:lang w:val="en-US" w:eastAsia="en-US"/>
    </w:rPr>
  </w:style>
  <w:style w:type="paragraph" w:customStyle="1" w:styleId="xl237">
    <w:name w:val="xl237"/>
    <w:basedOn w:val="Normal"/>
    <w:rsid w:val="004D73D3"/>
    <w:pPr>
      <w:pBdr>
        <w:right w:val="single" w:sz="4" w:space="0" w:color="auto"/>
      </w:pBdr>
      <w:shd w:val="clear" w:color="000000" w:fill="C2D69B"/>
      <w:spacing w:before="100" w:beforeAutospacing="1" w:after="100" w:afterAutospacing="1"/>
      <w:jc w:val="center"/>
      <w:textAlignment w:val="top"/>
    </w:pPr>
    <w:rPr>
      <w:rFonts w:eastAsia="Times New Roman"/>
      <w:b/>
      <w:bCs/>
      <w:lang w:val="en-US" w:eastAsia="en-US"/>
    </w:rPr>
  </w:style>
  <w:style w:type="paragraph" w:customStyle="1" w:styleId="xl238">
    <w:name w:val="xl238"/>
    <w:basedOn w:val="Normal"/>
    <w:rsid w:val="004D73D3"/>
    <w:pPr>
      <w:pBdr>
        <w:left w:val="single" w:sz="4" w:space="0" w:color="auto"/>
        <w:right w:val="single" w:sz="4" w:space="0" w:color="auto"/>
      </w:pBdr>
      <w:shd w:val="clear" w:color="000000" w:fill="C2D69B"/>
      <w:spacing w:before="100" w:beforeAutospacing="1" w:after="100" w:afterAutospacing="1"/>
      <w:jc w:val="center"/>
      <w:textAlignment w:val="top"/>
    </w:pPr>
    <w:rPr>
      <w:rFonts w:eastAsia="Times New Roman"/>
      <w:b/>
      <w:bCs/>
      <w:lang w:val="en-US" w:eastAsia="en-US"/>
    </w:rPr>
  </w:style>
  <w:style w:type="paragraph" w:customStyle="1" w:styleId="xl239">
    <w:name w:val="xl239"/>
    <w:basedOn w:val="Normal"/>
    <w:rsid w:val="004D73D3"/>
    <w:pPr>
      <w:pBdr>
        <w:bottom w:val="single" w:sz="8" w:space="0" w:color="auto"/>
        <w:right w:val="single" w:sz="4" w:space="0" w:color="auto"/>
      </w:pBdr>
      <w:spacing w:before="100" w:beforeAutospacing="1" w:after="100" w:afterAutospacing="1"/>
      <w:jc w:val="center"/>
      <w:textAlignment w:val="top"/>
    </w:pPr>
    <w:rPr>
      <w:rFonts w:eastAsia="Times New Roman"/>
      <w:b/>
      <w:bCs/>
      <w:lang w:val="en-US" w:eastAsia="en-US"/>
    </w:rPr>
  </w:style>
  <w:style w:type="paragraph" w:customStyle="1" w:styleId="xl240">
    <w:name w:val="xl240"/>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241">
    <w:name w:val="xl241"/>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242">
    <w:name w:val="xl242"/>
    <w:basedOn w:val="Normal"/>
    <w:rsid w:val="004D73D3"/>
    <w:pPr>
      <w:pBdr>
        <w:left w:val="single" w:sz="4" w:space="0" w:color="auto"/>
        <w:right w:val="single" w:sz="4" w:space="0" w:color="auto"/>
      </w:pBdr>
      <w:shd w:val="clear" w:color="000000" w:fill="C2D69B"/>
      <w:spacing w:before="100" w:beforeAutospacing="1" w:after="100" w:afterAutospacing="1"/>
      <w:jc w:val="center"/>
      <w:textAlignment w:val="top"/>
    </w:pPr>
    <w:rPr>
      <w:rFonts w:eastAsia="Times New Roman"/>
      <w:b/>
      <w:bCs/>
      <w:lang w:val="en-US" w:eastAsia="en-US"/>
    </w:rPr>
  </w:style>
  <w:style w:type="paragraph" w:customStyle="1" w:styleId="xl243">
    <w:name w:val="xl243"/>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lang w:val="en-US" w:eastAsia="en-US"/>
    </w:rPr>
  </w:style>
  <w:style w:type="paragraph" w:customStyle="1" w:styleId="xl244">
    <w:name w:val="xl244"/>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245">
    <w:name w:val="xl245"/>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sz w:val="20"/>
      <w:szCs w:val="20"/>
      <w:lang w:val="en-US" w:eastAsia="en-US"/>
    </w:rPr>
  </w:style>
  <w:style w:type="paragraph" w:customStyle="1" w:styleId="xl246">
    <w:name w:val="xl246"/>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lang w:val="en-US" w:eastAsia="en-US"/>
    </w:rPr>
  </w:style>
  <w:style w:type="paragraph" w:customStyle="1" w:styleId="xl247">
    <w:name w:val="xl247"/>
    <w:basedOn w:val="Normal"/>
    <w:rsid w:val="004D73D3"/>
    <w:pPr>
      <w:pBdr>
        <w:top w:val="single" w:sz="4" w:space="0" w:color="auto"/>
        <w:left w:val="single" w:sz="4" w:space="0" w:color="auto"/>
        <w:bottom w:val="single" w:sz="4" w:space="0" w:color="auto"/>
      </w:pBdr>
      <w:shd w:val="clear" w:color="000000" w:fill="C2D69B"/>
      <w:spacing w:before="100" w:beforeAutospacing="1" w:after="100" w:afterAutospacing="1"/>
      <w:jc w:val="center"/>
      <w:textAlignment w:val="top"/>
    </w:pPr>
    <w:rPr>
      <w:rFonts w:eastAsia="Times New Roman"/>
      <w:b/>
      <w:bCs/>
      <w:lang w:val="en-US" w:eastAsia="en-US"/>
    </w:rPr>
  </w:style>
  <w:style w:type="paragraph" w:customStyle="1" w:styleId="xl248">
    <w:name w:val="xl248"/>
    <w:basedOn w:val="Normal"/>
    <w:rsid w:val="004D73D3"/>
    <w:pPr>
      <w:pBdr>
        <w:top w:val="single" w:sz="4" w:space="0" w:color="auto"/>
        <w:bottom w:val="single" w:sz="4" w:space="0" w:color="auto"/>
      </w:pBdr>
      <w:shd w:val="clear" w:color="000000" w:fill="C2D69B"/>
      <w:spacing w:before="100" w:beforeAutospacing="1" w:after="100" w:afterAutospacing="1"/>
      <w:jc w:val="center"/>
      <w:textAlignment w:val="top"/>
    </w:pPr>
    <w:rPr>
      <w:rFonts w:eastAsia="Times New Roman"/>
      <w:b/>
      <w:bCs/>
      <w:lang w:val="en-US" w:eastAsia="en-US"/>
    </w:rPr>
  </w:style>
  <w:style w:type="paragraph" w:customStyle="1" w:styleId="xl249">
    <w:name w:val="xl249"/>
    <w:basedOn w:val="Normal"/>
    <w:rsid w:val="004D73D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lang w:val="en-US" w:eastAsia="en-US"/>
    </w:rPr>
  </w:style>
  <w:style w:type="paragraph" w:customStyle="1" w:styleId="xl250">
    <w:name w:val="xl250"/>
    <w:basedOn w:val="Normal"/>
    <w:rsid w:val="004D73D3"/>
    <w:pPr>
      <w:pBdr>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b/>
      <w:bCs/>
      <w:lang w:val="en-US" w:eastAsia="en-US"/>
    </w:rPr>
  </w:style>
  <w:style w:type="paragraph" w:customStyle="1" w:styleId="xl251">
    <w:name w:val="xl251"/>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textAlignment w:val="center"/>
    </w:pPr>
    <w:rPr>
      <w:rFonts w:eastAsia="Times New Roman"/>
      <w:sz w:val="20"/>
      <w:szCs w:val="20"/>
      <w:lang w:val="en-US" w:eastAsia="en-US"/>
    </w:rPr>
  </w:style>
  <w:style w:type="paragraph" w:customStyle="1" w:styleId="xl252">
    <w:name w:val="xl252"/>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eastAsia="Times New Roman"/>
      <w:sz w:val="20"/>
      <w:szCs w:val="20"/>
      <w:lang w:val="en-US" w:eastAsia="en-US"/>
    </w:rPr>
  </w:style>
  <w:style w:type="paragraph" w:customStyle="1" w:styleId="xl253">
    <w:name w:val="xl253"/>
    <w:basedOn w:val="Normal"/>
    <w:rsid w:val="004D73D3"/>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54">
    <w:name w:val="xl254"/>
    <w:basedOn w:val="Normal"/>
    <w:rsid w:val="004D73D3"/>
    <w:pPr>
      <w:pBdr>
        <w:top w:val="single" w:sz="8"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55">
    <w:name w:val="xl255"/>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56">
    <w:name w:val="xl256"/>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57">
    <w:name w:val="xl257"/>
    <w:basedOn w:val="Normal"/>
    <w:rsid w:val="004D73D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58">
    <w:name w:val="xl258"/>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59">
    <w:name w:val="xl259"/>
    <w:basedOn w:val="Normal"/>
    <w:rsid w:val="004D73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paragraph" w:customStyle="1" w:styleId="xl260">
    <w:name w:val="xl260"/>
    <w:basedOn w:val="Normal"/>
    <w:rsid w:val="004D73D3"/>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61">
    <w:name w:val="xl261"/>
    <w:basedOn w:val="Normal"/>
    <w:rsid w:val="004D73D3"/>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62">
    <w:name w:val="xl262"/>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63">
    <w:name w:val="xl263"/>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20"/>
      <w:szCs w:val="20"/>
      <w:lang w:val="en-US" w:eastAsia="en-US"/>
    </w:rPr>
  </w:style>
  <w:style w:type="paragraph" w:customStyle="1" w:styleId="xl264">
    <w:name w:val="xl264"/>
    <w:basedOn w:val="Normal"/>
    <w:rsid w:val="004D73D3"/>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65">
    <w:name w:val="xl265"/>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66">
    <w:name w:val="xl266"/>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67">
    <w:name w:val="xl267"/>
    <w:basedOn w:val="Normal"/>
    <w:rsid w:val="004D73D3"/>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68">
    <w:name w:val="xl268"/>
    <w:basedOn w:val="Normal"/>
    <w:rsid w:val="004D73D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69">
    <w:name w:val="xl269"/>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70">
    <w:name w:val="xl270"/>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71">
    <w:name w:val="xl271"/>
    <w:basedOn w:val="Normal"/>
    <w:rsid w:val="004D73D3"/>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272">
    <w:name w:val="xl272"/>
    <w:basedOn w:val="Normal"/>
    <w:rsid w:val="004D73D3"/>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 w:val="16"/>
      <w:szCs w:val="16"/>
      <w:lang w:val="en-US" w:eastAsia="en-US"/>
    </w:rPr>
  </w:style>
  <w:style w:type="paragraph" w:customStyle="1" w:styleId="xl273">
    <w:name w:val="xl273"/>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 w:val="16"/>
      <w:szCs w:val="16"/>
      <w:lang w:val="en-US" w:eastAsia="en-US"/>
    </w:rPr>
  </w:style>
  <w:style w:type="paragraph" w:customStyle="1" w:styleId="xl274">
    <w:name w:val="xl274"/>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275">
    <w:name w:val="xl275"/>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20"/>
      <w:szCs w:val="20"/>
      <w:lang w:val="en-US" w:eastAsia="en-US"/>
    </w:rPr>
  </w:style>
  <w:style w:type="paragraph" w:customStyle="1" w:styleId="xl276">
    <w:name w:val="xl276"/>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277">
    <w:name w:val="xl277"/>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278">
    <w:name w:val="xl278"/>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279">
    <w:name w:val="xl279"/>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280">
    <w:name w:val="xl280"/>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i/>
      <w:iCs/>
      <w:color w:val="000000"/>
      <w:sz w:val="20"/>
      <w:szCs w:val="20"/>
      <w:lang w:val="en-US" w:eastAsia="en-US"/>
    </w:rPr>
  </w:style>
  <w:style w:type="paragraph" w:customStyle="1" w:styleId="xl281">
    <w:name w:val="xl281"/>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color w:val="000000"/>
      <w:sz w:val="20"/>
      <w:szCs w:val="20"/>
      <w:lang w:val="en-US" w:eastAsia="en-US"/>
    </w:rPr>
  </w:style>
  <w:style w:type="paragraph" w:customStyle="1" w:styleId="xl282">
    <w:name w:val="xl28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val="en-US" w:eastAsia="en-US"/>
    </w:rPr>
  </w:style>
  <w:style w:type="paragraph" w:customStyle="1" w:styleId="xl283">
    <w:name w:val="xl283"/>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284">
    <w:name w:val="xl284"/>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eastAsia="en-US"/>
    </w:rPr>
  </w:style>
  <w:style w:type="paragraph" w:customStyle="1" w:styleId="xl285">
    <w:name w:val="xl285"/>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val="en-US" w:eastAsia="en-US"/>
    </w:rPr>
  </w:style>
  <w:style w:type="paragraph" w:customStyle="1" w:styleId="xl286">
    <w:name w:val="xl286"/>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287">
    <w:name w:val="xl287"/>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288">
    <w:name w:val="xl288"/>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289">
    <w:name w:val="xl289"/>
    <w:basedOn w:val="Normal"/>
    <w:rsid w:val="004D73D3"/>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290">
    <w:name w:val="xl290"/>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i/>
      <w:iCs/>
      <w:color w:val="000000"/>
      <w:sz w:val="20"/>
      <w:szCs w:val="20"/>
      <w:lang w:val="en-US" w:eastAsia="en-US"/>
    </w:rPr>
  </w:style>
  <w:style w:type="paragraph" w:customStyle="1" w:styleId="xl291">
    <w:name w:val="xl291"/>
    <w:basedOn w:val="Normal"/>
    <w:rsid w:val="004D73D3"/>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b/>
      <w:bCs/>
      <w:i/>
      <w:iCs/>
      <w:color w:val="000000"/>
      <w:sz w:val="20"/>
      <w:szCs w:val="20"/>
      <w:lang w:val="en-US" w:eastAsia="en-US"/>
    </w:rPr>
  </w:style>
  <w:style w:type="paragraph" w:customStyle="1" w:styleId="xl292">
    <w:name w:val="xl29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lang w:val="en-US" w:eastAsia="en-US"/>
    </w:rPr>
  </w:style>
  <w:style w:type="paragraph" w:customStyle="1" w:styleId="xl293">
    <w:name w:val="xl293"/>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0"/>
      <w:szCs w:val="20"/>
      <w:lang w:val="en-US" w:eastAsia="en-US"/>
    </w:rPr>
  </w:style>
  <w:style w:type="paragraph" w:customStyle="1" w:styleId="xl294">
    <w:name w:val="xl294"/>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lang w:val="en-US" w:eastAsia="en-US"/>
    </w:rPr>
  </w:style>
  <w:style w:type="paragraph" w:customStyle="1" w:styleId="xl295">
    <w:name w:val="xl295"/>
    <w:basedOn w:val="Normal"/>
    <w:rsid w:val="004D73D3"/>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0"/>
      <w:szCs w:val="20"/>
      <w:lang w:val="en-US" w:eastAsia="en-US"/>
    </w:rPr>
  </w:style>
  <w:style w:type="paragraph" w:customStyle="1" w:styleId="xl296">
    <w:name w:val="xl296"/>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0"/>
      <w:szCs w:val="20"/>
      <w:lang w:val="en-US" w:eastAsia="en-US"/>
    </w:rPr>
  </w:style>
  <w:style w:type="paragraph" w:customStyle="1" w:styleId="xl297">
    <w:name w:val="xl297"/>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298">
    <w:name w:val="xl298"/>
    <w:basedOn w:val="Normal"/>
    <w:rsid w:val="004D73D3"/>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299">
    <w:name w:val="xl299"/>
    <w:basedOn w:val="Normal"/>
    <w:rsid w:val="004D73D3"/>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300">
    <w:name w:val="xl300"/>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000000"/>
      <w:sz w:val="20"/>
      <w:szCs w:val="20"/>
      <w:lang w:val="en-US" w:eastAsia="en-US"/>
    </w:rPr>
  </w:style>
  <w:style w:type="paragraph" w:customStyle="1" w:styleId="xl301">
    <w:name w:val="xl301"/>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color w:val="000000"/>
      <w:sz w:val="20"/>
      <w:szCs w:val="20"/>
      <w:lang w:val="en-US" w:eastAsia="en-US"/>
    </w:rPr>
  </w:style>
  <w:style w:type="paragraph" w:customStyle="1" w:styleId="xl302">
    <w:name w:val="xl30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303">
    <w:name w:val="xl303"/>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304">
    <w:name w:val="xl304"/>
    <w:basedOn w:val="Normal"/>
    <w:rsid w:val="004D73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305">
    <w:name w:val="xl305"/>
    <w:basedOn w:val="Normal"/>
    <w:rsid w:val="004D73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0000"/>
      <w:sz w:val="20"/>
      <w:szCs w:val="20"/>
      <w:lang w:val="en-US" w:eastAsia="en-US"/>
    </w:rPr>
  </w:style>
  <w:style w:type="paragraph" w:customStyle="1" w:styleId="xl306">
    <w:name w:val="xl306"/>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07">
    <w:name w:val="xl307"/>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08">
    <w:name w:val="xl308"/>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09">
    <w:name w:val="xl30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000000"/>
      <w:sz w:val="16"/>
      <w:szCs w:val="16"/>
      <w:lang w:val="en-US" w:eastAsia="en-US"/>
    </w:rPr>
  </w:style>
  <w:style w:type="paragraph" w:customStyle="1" w:styleId="xl310">
    <w:name w:val="xl310"/>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i/>
      <w:iCs/>
      <w:color w:val="000000"/>
      <w:sz w:val="16"/>
      <w:szCs w:val="16"/>
      <w:lang w:val="en-US" w:eastAsia="en-US"/>
    </w:rPr>
  </w:style>
  <w:style w:type="paragraph" w:customStyle="1" w:styleId="xl311">
    <w:name w:val="xl311"/>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12">
    <w:name w:val="xl312"/>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13">
    <w:name w:val="xl313"/>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sz w:val="16"/>
      <w:szCs w:val="16"/>
      <w:lang w:val="en-US" w:eastAsia="en-US"/>
    </w:rPr>
  </w:style>
  <w:style w:type="paragraph" w:customStyle="1" w:styleId="xl314">
    <w:name w:val="xl314"/>
    <w:basedOn w:val="Normal"/>
    <w:rsid w:val="004D73D3"/>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b/>
      <w:bCs/>
      <w:sz w:val="16"/>
      <w:szCs w:val="16"/>
      <w:lang w:val="en-US" w:eastAsia="en-US"/>
    </w:rPr>
  </w:style>
  <w:style w:type="paragraph" w:customStyle="1" w:styleId="xl315">
    <w:name w:val="xl315"/>
    <w:basedOn w:val="Normal"/>
    <w:rsid w:val="004D73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16">
    <w:name w:val="xl316"/>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17">
    <w:name w:val="xl317"/>
    <w:basedOn w:val="Normal"/>
    <w:rsid w:val="004D73D3"/>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18">
    <w:name w:val="xl318"/>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i/>
      <w:iCs/>
      <w:color w:val="000000"/>
      <w:sz w:val="16"/>
      <w:szCs w:val="16"/>
      <w:lang w:val="en-US" w:eastAsia="en-US"/>
    </w:rPr>
  </w:style>
  <w:style w:type="paragraph" w:customStyle="1" w:styleId="xl319">
    <w:name w:val="xl319"/>
    <w:basedOn w:val="Normal"/>
    <w:rsid w:val="004D73D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i/>
      <w:iCs/>
      <w:color w:val="000000"/>
      <w:sz w:val="16"/>
      <w:szCs w:val="16"/>
      <w:lang w:val="en-US" w:eastAsia="en-US"/>
    </w:rPr>
  </w:style>
  <w:style w:type="paragraph" w:customStyle="1" w:styleId="xl320">
    <w:name w:val="xl320"/>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i/>
      <w:iCs/>
      <w:color w:val="000000"/>
      <w:sz w:val="16"/>
      <w:szCs w:val="16"/>
      <w:lang w:val="en-US" w:eastAsia="en-US"/>
    </w:rPr>
  </w:style>
  <w:style w:type="paragraph" w:customStyle="1" w:styleId="xl321">
    <w:name w:val="xl321"/>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i/>
      <w:iCs/>
      <w:lang w:val="en-US" w:eastAsia="en-US"/>
    </w:rPr>
  </w:style>
  <w:style w:type="paragraph" w:customStyle="1" w:styleId="xl322">
    <w:name w:val="xl322"/>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lang w:val="en-US" w:eastAsia="en-US"/>
    </w:rPr>
  </w:style>
  <w:style w:type="paragraph" w:customStyle="1" w:styleId="xl323">
    <w:name w:val="xl323"/>
    <w:basedOn w:val="Normal"/>
    <w:rsid w:val="004D73D3"/>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top"/>
    </w:pPr>
    <w:rPr>
      <w:rFonts w:eastAsia="Times New Roman"/>
      <w:b/>
      <w:bCs/>
      <w:i/>
      <w:iCs/>
      <w:lang w:val="en-US" w:eastAsia="en-US"/>
    </w:rPr>
  </w:style>
  <w:style w:type="paragraph" w:customStyle="1" w:styleId="xl324">
    <w:name w:val="xl324"/>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i/>
      <w:iCs/>
      <w:lang w:val="en-US" w:eastAsia="en-US"/>
    </w:rPr>
  </w:style>
  <w:style w:type="paragraph" w:customStyle="1" w:styleId="xl325">
    <w:name w:val="xl325"/>
    <w:basedOn w:val="Normal"/>
    <w:rsid w:val="004D73D3"/>
    <w:pPr>
      <w:pBdr>
        <w:top w:val="single" w:sz="4" w:space="0" w:color="auto"/>
        <w:left w:val="single" w:sz="4" w:space="0" w:color="auto"/>
        <w:bottom w:val="single" w:sz="4" w:space="0" w:color="auto"/>
      </w:pBdr>
      <w:shd w:val="clear" w:color="000000" w:fill="B8CCE4"/>
      <w:spacing w:before="100" w:beforeAutospacing="1" w:after="100" w:afterAutospacing="1"/>
      <w:jc w:val="center"/>
    </w:pPr>
    <w:rPr>
      <w:rFonts w:eastAsia="Times New Roman"/>
      <w:b/>
      <w:bCs/>
      <w:lang w:val="en-US" w:eastAsia="en-US"/>
    </w:rPr>
  </w:style>
  <w:style w:type="paragraph" w:customStyle="1" w:styleId="xl326">
    <w:name w:val="xl326"/>
    <w:basedOn w:val="Normal"/>
    <w:rsid w:val="004D73D3"/>
    <w:pPr>
      <w:pBdr>
        <w:top w:val="single" w:sz="4" w:space="0" w:color="auto"/>
        <w:left w:val="single" w:sz="4" w:space="0" w:color="auto"/>
        <w:bottom w:val="single" w:sz="4" w:space="0" w:color="auto"/>
      </w:pBdr>
      <w:spacing w:before="100" w:beforeAutospacing="1" w:after="100" w:afterAutospacing="1"/>
      <w:jc w:val="center"/>
    </w:pPr>
    <w:rPr>
      <w:rFonts w:eastAsia="Times New Roman"/>
      <w:b/>
      <w:bCs/>
      <w:lang w:val="en-US" w:eastAsia="en-US"/>
    </w:rPr>
  </w:style>
  <w:style w:type="paragraph" w:customStyle="1" w:styleId="xl327">
    <w:name w:val="xl327"/>
    <w:basedOn w:val="Normal"/>
    <w:rsid w:val="004D73D3"/>
    <w:pPr>
      <w:pBdr>
        <w:top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328">
    <w:name w:val="xl328"/>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textAlignment w:val="top"/>
    </w:pPr>
    <w:rPr>
      <w:rFonts w:eastAsia="Times New Roman"/>
      <w:b/>
      <w:bCs/>
      <w:lang w:val="en-US" w:eastAsia="en-US"/>
    </w:rPr>
  </w:style>
  <w:style w:type="paragraph" w:customStyle="1" w:styleId="xl329">
    <w:name w:val="xl329"/>
    <w:basedOn w:val="Normal"/>
    <w:rsid w:val="004D73D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i/>
      <w:iCs/>
      <w:lang w:val="en-US" w:eastAsia="en-US"/>
    </w:rPr>
  </w:style>
  <w:style w:type="paragraph" w:customStyle="1" w:styleId="xl330">
    <w:name w:val="xl330"/>
    <w:basedOn w:val="Normal"/>
    <w:rsid w:val="004D73D3"/>
    <w:pPr>
      <w:pBdr>
        <w:top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i/>
      <w:iCs/>
      <w:lang w:val="en-US" w:eastAsia="en-US"/>
    </w:rPr>
  </w:style>
  <w:style w:type="paragraph" w:customStyle="1" w:styleId="xl331">
    <w:name w:val="xl331"/>
    <w:basedOn w:val="Normal"/>
    <w:rsid w:val="004D73D3"/>
    <w:pPr>
      <w:pBdr>
        <w:top w:val="single" w:sz="4" w:space="0" w:color="auto"/>
        <w:bottom w:val="single" w:sz="4" w:space="0" w:color="auto"/>
      </w:pBdr>
      <w:shd w:val="clear" w:color="000000" w:fill="DCE6F1"/>
      <w:spacing w:before="100" w:beforeAutospacing="1" w:after="100" w:afterAutospacing="1"/>
      <w:textAlignment w:val="top"/>
    </w:pPr>
    <w:rPr>
      <w:rFonts w:eastAsia="Times New Roman"/>
      <w:b/>
      <w:bCs/>
      <w:lang w:val="en-US" w:eastAsia="en-US"/>
    </w:rPr>
  </w:style>
  <w:style w:type="paragraph" w:customStyle="1" w:styleId="xl332">
    <w:name w:val="xl332"/>
    <w:basedOn w:val="Normal"/>
    <w:rsid w:val="004D73D3"/>
    <w:pPr>
      <w:pBdr>
        <w:top w:val="single" w:sz="4" w:space="0" w:color="auto"/>
        <w:bottom w:val="single" w:sz="4" w:space="0" w:color="auto"/>
      </w:pBdr>
      <w:shd w:val="clear" w:color="000000" w:fill="DCE6F1"/>
      <w:spacing w:before="100" w:beforeAutospacing="1" w:after="100" w:afterAutospacing="1"/>
      <w:jc w:val="center"/>
      <w:textAlignment w:val="top"/>
    </w:pPr>
    <w:rPr>
      <w:rFonts w:eastAsia="Times New Roman"/>
      <w:b/>
      <w:bCs/>
      <w:lang w:val="en-US" w:eastAsia="en-US"/>
    </w:rPr>
  </w:style>
  <w:style w:type="paragraph" w:customStyle="1" w:styleId="xl333">
    <w:name w:val="xl333"/>
    <w:basedOn w:val="Normal"/>
    <w:rsid w:val="004D73D3"/>
    <w:pPr>
      <w:pBdr>
        <w:top w:val="single" w:sz="4" w:space="0" w:color="auto"/>
        <w:bottom w:val="single" w:sz="4" w:space="0" w:color="auto"/>
        <w:right w:val="single" w:sz="4" w:space="0" w:color="auto"/>
      </w:pBdr>
      <w:shd w:val="clear" w:color="000000" w:fill="B8CCE4"/>
      <w:spacing w:before="100" w:beforeAutospacing="1" w:after="100" w:afterAutospacing="1"/>
    </w:pPr>
    <w:rPr>
      <w:rFonts w:eastAsia="Times New Roman"/>
      <w:b/>
      <w:bCs/>
      <w:lang w:val="en-US" w:eastAsia="en-US"/>
    </w:rPr>
  </w:style>
  <w:style w:type="paragraph" w:customStyle="1" w:styleId="xl334">
    <w:name w:val="xl334"/>
    <w:basedOn w:val="Normal"/>
    <w:rsid w:val="004D73D3"/>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335">
    <w:name w:val="xl335"/>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16"/>
      <w:szCs w:val="16"/>
      <w:lang w:val="en-US" w:eastAsia="en-US"/>
    </w:rPr>
  </w:style>
  <w:style w:type="paragraph" w:customStyle="1" w:styleId="xl336">
    <w:name w:val="xl336"/>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i/>
      <w:iCs/>
      <w:color w:val="000000"/>
      <w:sz w:val="16"/>
      <w:szCs w:val="16"/>
      <w:lang w:val="en-US" w:eastAsia="en-US"/>
    </w:rPr>
  </w:style>
  <w:style w:type="paragraph" w:customStyle="1" w:styleId="xl337">
    <w:name w:val="xl337"/>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338">
    <w:name w:val="xl338"/>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39">
    <w:name w:val="xl339"/>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40">
    <w:name w:val="xl340"/>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eastAsia="en-US"/>
    </w:rPr>
  </w:style>
  <w:style w:type="paragraph" w:customStyle="1" w:styleId="xl341">
    <w:name w:val="xl341"/>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pPr>
    <w:rPr>
      <w:rFonts w:eastAsia="Times New Roman"/>
      <w:b/>
      <w:bCs/>
      <w:lang w:val="en-US" w:eastAsia="en-US"/>
    </w:rPr>
  </w:style>
  <w:style w:type="paragraph" w:customStyle="1" w:styleId="xl342">
    <w:name w:val="xl342"/>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43">
    <w:name w:val="xl343"/>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0"/>
      <w:szCs w:val="20"/>
      <w:lang w:val="en-US" w:eastAsia="en-US"/>
    </w:rPr>
  </w:style>
  <w:style w:type="paragraph" w:customStyle="1" w:styleId="xl344">
    <w:name w:val="xl344"/>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0"/>
      <w:szCs w:val="20"/>
      <w:lang w:val="en-US" w:eastAsia="en-US"/>
    </w:rPr>
  </w:style>
  <w:style w:type="paragraph" w:customStyle="1" w:styleId="xl345">
    <w:name w:val="xl345"/>
    <w:basedOn w:val="Normal"/>
    <w:rsid w:val="004D73D3"/>
    <w:pPr>
      <w:pBdr>
        <w:top w:val="single" w:sz="8" w:space="0" w:color="auto"/>
        <w:bottom w:val="single" w:sz="4" w:space="0" w:color="auto"/>
      </w:pBdr>
      <w:shd w:val="clear" w:color="000000" w:fill="FDE9D9"/>
      <w:spacing w:before="100" w:beforeAutospacing="1" w:after="100" w:afterAutospacing="1"/>
      <w:textAlignment w:val="top"/>
    </w:pPr>
    <w:rPr>
      <w:rFonts w:eastAsia="Times New Roman"/>
      <w:b/>
      <w:bCs/>
      <w:sz w:val="20"/>
      <w:szCs w:val="20"/>
      <w:lang w:val="en-US" w:eastAsia="en-US"/>
    </w:rPr>
  </w:style>
  <w:style w:type="paragraph" w:customStyle="1" w:styleId="xl346">
    <w:name w:val="xl346"/>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textAlignment w:val="top"/>
    </w:pPr>
    <w:rPr>
      <w:rFonts w:eastAsia="Times New Roman"/>
      <w:b/>
      <w:bCs/>
      <w:sz w:val="20"/>
      <w:szCs w:val="20"/>
      <w:lang w:val="en-US" w:eastAsia="en-US"/>
    </w:rPr>
  </w:style>
  <w:style w:type="paragraph" w:customStyle="1" w:styleId="xl347">
    <w:name w:val="xl347"/>
    <w:basedOn w:val="Normal"/>
    <w:rsid w:val="004D73D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i/>
      <w:iCs/>
      <w:sz w:val="20"/>
      <w:szCs w:val="20"/>
      <w:lang w:val="en-US" w:eastAsia="en-US"/>
    </w:rPr>
  </w:style>
  <w:style w:type="paragraph" w:customStyle="1" w:styleId="xl348">
    <w:name w:val="xl348"/>
    <w:basedOn w:val="Normal"/>
    <w:rsid w:val="004D73D3"/>
    <w:pPr>
      <w:pBdr>
        <w:top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i/>
      <w:iCs/>
      <w:sz w:val="20"/>
      <w:szCs w:val="20"/>
      <w:lang w:val="en-US" w:eastAsia="en-US"/>
    </w:rPr>
  </w:style>
  <w:style w:type="paragraph" w:customStyle="1" w:styleId="xl349">
    <w:name w:val="xl349"/>
    <w:basedOn w:val="Normal"/>
    <w:rsid w:val="004D73D3"/>
    <w:pPr>
      <w:pBdr>
        <w:top w:val="single" w:sz="4" w:space="0" w:color="auto"/>
        <w:bottom w:val="single" w:sz="4" w:space="0" w:color="auto"/>
      </w:pBdr>
      <w:shd w:val="clear" w:color="000000" w:fill="FDE9D9"/>
      <w:spacing w:before="100" w:beforeAutospacing="1" w:after="100" w:afterAutospacing="1"/>
      <w:textAlignment w:val="top"/>
    </w:pPr>
    <w:rPr>
      <w:rFonts w:eastAsia="Times New Roman"/>
      <w:b/>
      <w:bCs/>
      <w:sz w:val="20"/>
      <w:szCs w:val="20"/>
      <w:lang w:val="en-US" w:eastAsia="en-US"/>
    </w:rPr>
  </w:style>
  <w:style w:type="paragraph" w:customStyle="1" w:styleId="xl350">
    <w:name w:val="xl350"/>
    <w:basedOn w:val="Normal"/>
    <w:rsid w:val="004D73D3"/>
    <w:pPr>
      <w:pBdr>
        <w:top w:val="single" w:sz="4" w:space="0" w:color="auto"/>
        <w:bottom w:val="single" w:sz="4" w:space="0" w:color="auto"/>
      </w:pBdr>
      <w:shd w:val="clear" w:color="000000" w:fill="DCE6F1"/>
      <w:spacing w:before="100" w:beforeAutospacing="1" w:after="100" w:afterAutospacing="1"/>
      <w:jc w:val="center"/>
      <w:textAlignment w:val="top"/>
    </w:pPr>
    <w:rPr>
      <w:rFonts w:eastAsia="Times New Roman"/>
      <w:b/>
      <w:bCs/>
      <w:sz w:val="20"/>
      <w:szCs w:val="20"/>
      <w:lang w:val="en-US" w:eastAsia="en-US"/>
    </w:rPr>
  </w:style>
  <w:style w:type="paragraph" w:customStyle="1" w:styleId="xl351">
    <w:name w:val="xl351"/>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pPr>
    <w:rPr>
      <w:rFonts w:eastAsia="Times New Roman"/>
      <w:sz w:val="20"/>
      <w:szCs w:val="20"/>
      <w:lang w:val="en-US" w:eastAsia="en-US"/>
    </w:rPr>
  </w:style>
  <w:style w:type="paragraph" w:customStyle="1" w:styleId="xl352">
    <w:name w:val="xl352"/>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353">
    <w:name w:val="xl353"/>
    <w:basedOn w:val="Normal"/>
    <w:rsid w:val="004D73D3"/>
    <w:pPr>
      <w:pBdr>
        <w:top w:val="single" w:sz="4" w:space="0" w:color="auto"/>
        <w:left w:val="single" w:sz="4" w:space="0" w:color="auto"/>
      </w:pBdr>
      <w:spacing w:before="100" w:beforeAutospacing="1" w:after="100" w:afterAutospacing="1"/>
      <w:jc w:val="center"/>
      <w:textAlignment w:val="top"/>
    </w:pPr>
    <w:rPr>
      <w:rFonts w:eastAsia="Times New Roman"/>
      <w:lang w:val="en-US" w:eastAsia="en-US"/>
    </w:rPr>
  </w:style>
  <w:style w:type="paragraph" w:customStyle="1" w:styleId="xl354">
    <w:name w:val="xl354"/>
    <w:basedOn w:val="Normal"/>
    <w:rsid w:val="004D73D3"/>
    <w:pPr>
      <w:pBdr>
        <w:top w:val="single" w:sz="8" w:space="0" w:color="auto"/>
        <w:left w:val="single" w:sz="4" w:space="0" w:color="auto"/>
      </w:pBdr>
      <w:shd w:val="clear" w:color="000000" w:fill="B8CCE4"/>
      <w:spacing w:before="100" w:beforeAutospacing="1" w:after="100" w:afterAutospacing="1"/>
      <w:jc w:val="center"/>
      <w:textAlignment w:val="center"/>
    </w:pPr>
    <w:rPr>
      <w:rFonts w:eastAsia="Times New Roman"/>
      <w:b/>
      <w:bCs/>
      <w:i/>
      <w:iCs/>
      <w:lang w:val="en-US" w:eastAsia="en-US"/>
    </w:rPr>
  </w:style>
  <w:style w:type="paragraph" w:customStyle="1" w:styleId="xl355">
    <w:name w:val="xl355"/>
    <w:basedOn w:val="Normal"/>
    <w:rsid w:val="004D73D3"/>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356">
    <w:name w:val="xl356"/>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lang w:val="en-US" w:eastAsia="en-US"/>
    </w:rPr>
  </w:style>
  <w:style w:type="paragraph" w:customStyle="1" w:styleId="xl357">
    <w:name w:val="xl357"/>
    <w:basedOn w:val="Normal"/>
    <w:rsid w:val="004D73D3"/>
    <w:pPr>
      <w:pBdr>
        <w:top w:val="single" w:sz="4" w:space="0" w:color="auto"/>
        <w:left w:val="single" w:sz="4" w:space="0" w:color="auto"/>
      </w:pBdr>
      <w:spacing w:before="100" w:beforeAutospacing="1" w:after="100" w:afterAutospacing="1"/>
      <w:jc w:val="center"/>
      <w:textAlignment w:val="top"/>
    </w:pPr>
    <w:rPr>
      <w:rFonts w:eastAsia="Times New Roman"/>
      <w:lang w:val="en-US" w:eastAsia="en-US"/>
    </w:rPr>
  </w:style>
  <w:style w:type="paragraph" w:customStyle="1" w:styleId="xl358">
    <w:name w:val="xl358"/>
    <w:basedOn w:val="Normal"/>
    <w:rsid w:val="004D73D3"/>
    <w:pPr>
      <w:pBdr>
        <w:top w:val="single" w:sz="8" w:space="0" w:color="auto"/>
        <w:bottom w:val="single" w:sz="8" w:space="0" w:color="auto"/>
        <w:right w:val="single" w:sz="4" w:space="0" w:color="auto"/>
      </w:pBdr>
      <w:shd w:val="clear" w:color="000000" w:fill="B8CCE4"/>
      <w:spacing w:before="100" w:beforeAutospacing="1" w:after="100" w:afterAutospacing="1"/>
      <w:textAlignment w:val="top"/>
    </w:pPr>
    <w:rPr>
      <w:rFonts w:eastAsia="Times New Roman"/>
      <w:i/>
      <w:iCs/>
      <w:lang w:val="en-US" w:eastAsia="en-US"/>
    </w:rPr>
  </w:style>
  <w:style w:type="paragraph" w:customStyle="1" w:styleId="xl359">
    <w:name w:val="xl359"/>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pPr>
    <w:rPr>
      <w:rFonts w:eastAsia="Times New Roman"/>
      <w:lang w:val="en-US" w:eastAsia="en-US"/>
    </w:rPr>
  </w:style>
  <w:style w:type="paragraph" w:customStyle="1" w:styleId="xl360">
    <w:name w:val="xl360"/>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361">
    <w:name w:val="xl361"/>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val="en-US" w:eastAsia="en-US"/>
    </w:rPr>
  </w:style>
  <w:style w:type="paragraph" w:customStyle="1" w:styleId="xl362">
    <w:name w:val="xl362"/>
    <w:basedOn w:val="Normal"/>
    <w:rsid w:val="004D73D3"/>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363">
    <w:name w:val="xl363"/>
    <w:basedOn w:val="Normal"/>
    <w:rsid w:val="004D73D3"/>
    <w:pPr>
      <w:spacing w:before="100" w:beforeAutospacing="1" w:after="100" w:afterAutospacing="1"/>
      <w:jc w:val="both"/>
      <w:textAlignment w:val="top"/>
    </w:pPr>
    <w:rPr>
      <w:rFonts w:eastAsia="Times New Roman"/>
      <w:lang w:val="en-US" w:eastAsia="en-US"/>
    </w:rPr>
  </w:style>
  <w:style w:type="paragraph" w:customStyle="1" w:styleId="xl364">
    <w:name w:val="xl364"/>
    <w:basedOn w:val="Normal"/>
    <w:rsid w:val="004D73D3"/>
    <w:pPr>
      <w:pBdr>
        <w:top w:val="single" w:sz="4" w:space="0" w:color="auto"/>
        <w:bottom w:val="single" w:sz="4" w:space="0" w:color="auto"/>
      </w:pBdr>
      <w:shd w:val="clear" w:color="000000" w:fill="FDE9D9"/>
      <w:spacing w:before="100" w:beforeAutospacing="1" w:after="100" w:afterAutospacing="1"/>
      <w:jc w:val="center"/>
      <w:textAlignment w:val="top"/>
    </w:pPr>
    <w:rPr>
      <w:rFonts w:eastAsia="Times New Roman"/>
      <w:lang w:val="en-US" w:eastAsia="en-US"/>
    </w:rPr>
  </w:style>
  <w:style w:type="paragraph" w:customStyle="1" w:styleId="xl365">
    <w:name w:val="xl365"/>
    <w:basedOn w:val="Normal"/>
    <w:rsid w:val="004D73D3"/>
    <w:pPr>
      <w:pBdr>
        <w:top w:val="single" w:sz="4" w:space="0" w:color="auto"/>
        <w:bottom w:val="single" w:sz="4" w:space="0" w:color="auto"/>
      </w:pBdr>
      <w:shd w:val="clear" w:color="000000" w:fill="DCE6F1"/>
      <w:spacing w:before="100" w:beforeAutospacing="1" w:after="100" w:afterAutospacing="1"/>
      <w:jc w:val="center"/>
      <w:textAlignment w:val="top"/>
    </w:pPr>
    <w:rPr>
      <w:rFonts w:eastAsia="Times New Roman"/>
      <w:lang w:val="en-US" w:eastAsia="en-US"/>
    </w:rPr>
  </w:style>
  <w:style w:type="paragraph" w:customStyle="1" w:styleId="xl366">
    <w:name w:val="xl366"/>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367">
    <w:name w:val="xl367"/>
    <w:basedOn w:val="Normal"/>
    <w:rsid w:val="004D73D3"/>
    <w:pPr>
      <w:pBdr>
        <w:top w:val="single" w:sz="4" w:space="0" w:color="auto"/>
        <w:left w:val="single" w:sz="4" w:space="0" w:color="auto"/>
        <w:bottom w:val="single" w:sz="4" w:space="0" w:color="auto"/>
      </w:pBdr>
      <w:shd w:val="clear" w:color="000000" w:fill="DCE6F1"/>
      <w:spacing w:before="100" w:beforeAutospacing="1" w:after="100" w:afterAutospacing="1"/>
      <w:textAlignment w:val="top"/>
    </w:pPr>
    <w:rPr>
      <w:rFonts w:eastAsia="Times New Roman"/>
      <w:b/>
      <w:bCs/>
      <w:lang w:val="en-US" w:eastAsia="en-US"/>
    </w:rPr>
  </w:style>
  <w:style w:type="paragraph" w:customStyle="1" w:styleId="xl368">
    <w:name w:val="xl368"/>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lang w:val="en-US" w:eastAsia="en-US"/>
    </w:rPr>
  </w:style>
  <w:style w:type="paragraph" w:customStyle="1" w:styleId="xl369">
    <w:name w:val="xl369"/>
    <w:basedOn w:val="Normal"/>
    <w:rsid w:val="004D73D3"/>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top"/>
    </w:pPr>
    <w:rPr>
      <w:rFonts w:eastAsia="Times New Roman"/>
      <w:b/>
      <w:bCs/>
      <w:i/>
      <w:iCs/>
      <w:lang w:val="en-US" w:eastAsia="en-US"/>
    </w:rPr>
  </w:style>
  <w:style w:type="paragraph" w:customStyle="1" w:styleId="xl370">
    <w:name w:val="xl370"/>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i/>
      <w:iCs/>
      <w:lang w:val="en-US" w:eastAsia="en-US"/>
    </w:rPr>
  </w:style>
  <w:style w:type="paragraph" w:customStyle="1" w:styleId="xl371">
    <w:name w:val="xl371"/>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i/>
      <w:iCs/>
      <w:lang w:val="en-US" w:eastAsia="en-US"/>
    </w:rPr>
  </w:style>
  <w:style w:type="paragraph" w:customStyle="1" w:styleId="xl372">
    <w:name w:val="xl372"/>
    <w:basedOn w:val="Normal"/>
    <w:rsid w:val="004D73D3"/>
    <w:pPr>
      <w:pBdr>
        <w:top w:val="single" w:sz="4" w:space="0" w:color="auto"/>
        <w:left w:val="single" w:sz="4" w:space="0" w:color="auto"/>
      </w:pBdr>
      <w:spacing w:before="100" w:beforeAutospacing="1" w:after="100" w:afterAutospacing="1"/>
      <w:jc w:val="center"/>
      <w:textAlignment w:val="top"/>
    </w:pPr>
    <w:rPr>
      <w:rFonts w:eastAsia="Times New Roman"/>
      <w:lang w:val="en-US" w:eastAsia="en-US"/>
    </w:rPr>
  </w:style>
  <w:style w:type="paragraph" w:customStyle="1" w:styleId="xl373">
    <w:name w:val="xl373"/>
    <w:basedOn w:val="Normal"/>
    <w:rsid w:val="004D73D3"/>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374">
    <w:name w:val="xl374"/>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lang w:val="en-US" w:eastAsia="en-US"/>
    </w:rPr>
  </w:style>
  <w:style w:type="paragraph" w:customStyle="1" w:styleId="xl375">
    <w:name w:val="xl375"/>
    <w:basedOn w:val="Normal"/>
    <w:rsid w:val="004D73D3"/>
    <w:pPr>
      <w:pBdr>
        <w:top w:val="single" w:sz="4" w:space="0" w:color="auto"/>
        <w:left w:val="single" w:sz="4" w:space="0" w:color="auto"/>
      </w:pBdr>
      <w:shd w:val="clear" w:color="000000" w:fill="C5D9F1"/>
      <w:spacing w:before="100" w:beforeAutospacing="1" w:after="100" w:afterAutospacing="1"/>
      <w:jc w:val="center"/>
      <w:textAlignment w:val="center"/>
    </w:pPr>
    <w:rPr>
      <w:rFonts w:eastAsia="Times New Roman"/>
      <w:b/>
      <w:bCs/>
      <w:lang w:val="en-US" w:eastAsia="en-US"/>
    </w:rPr>
  </w:style>
  <w:style w:type="paragraph" w:customStyle="1" w:styleId="xl376">
    <w:name w:val="xl376"/>
    <w:basedOn w:val="Normal"/>
    <w:rsid w:val="004D73D3"/>
    <w:pPr>
      <w:pBdr>
        <w:top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377">
    <w:name w:val="xl377"/>
    <w:basedOn w:val="Normal"/>
    <w:rsid w:val="004D73D3"/>
    <w:pPr>
      <w:pBdr>
        <w:top w:val="single" w:sz="4" w:space="0" w:color="auto"/>
        <w:bottom w:val="single" w:sz="4" w:space="0" w:color="auto"/>
        <w:right w:val="single" w:sz="4" w:space="0" w:color="auto"/>
      </w:pBdr>
      <w:shd w:val="clear" w:color="000000" w:fill="DCE6F1"/>
      <w:spacing w:before="100" w:beforeAutospacing="1" w:after="100" w:afterAutospacing="1"/>
      <w:textAlignment w:val="top"/>
    </w:pPr>
    <w:rPr>
      <w:rFonts w:eastAsia="Times New Roman"/>
      <w:b/>
      <w:bCs/>
      <w:lang w:val="en-US" w:eastAsia="en-US"/>
    </w:rPr>
  </w:style>
  <w:style w:type="paragraph" w:customStyle="1" w:styleId="xl378">
    <w:name w:val="xl378"/>
    <w:basedOn w:val="Normal"/>
    <w:rsid w:val="004D73D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i/>
      <w:iCs/>
      <w:lang w:val="en-US" w:eastAsia="en-US"/>
    </w:rPr>
  </w:style>
  <w:style w:type="paragraph" w:customStyle="1" w:styleId="xl379">
    <w:name w:val="xl379"/>
    <w:basedOn w:val="Normal"/>
    <w:rsid w:val="004D73D3"/>
    <w:pPr>
      <w:pBdr>
        <w:top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i/>
      <w:iCs/>
      <w:lang w:val="en-US" w:eastAsia="en-US"/>
    </w:rPr>
  </w:style>
  <w:style w:type="paragraph" w:customStyle="1" w:styleId="xl380">
    <w:name w:val="xl380"/>
    <w:basedOn w:val="Normal"/>
    <w:rsid w:val="004D73D3"/>
    <w:pPr>
      <w:pBdr>
        <w:top w:val="single" w:sz="4" w:space="0" w:color="auto"/>
        <w:bottom w:val="single" w:sz="4" w:space="0" w:color="auto"/>
      </w:pBdr>
      <w:shd w:val="clear" w:color="000000" w:fill="DCE6F1"/>
      <w:spacing w:before="100" w:beforeAutospacing="1" w:after="100" w:afterAutospacing="1"/>
      <w:jc w:val="center"/>
      <w:textAlignment w:val="top"/>
    </w:pPr>
    <w:rPr>
      <w:rFonts w:eastAsia="Times New Roman"/>
      <w:b/>
      <w:bCs/>
      <w:lang w:val="en-US" w:eastAsia="en-US"/>
    </w:rPr>
  </w:style>
  <w:style w:type="paragraph" w:customStyle="1" w:styleId="xl381">
    <w:name w:val="xl381"/>
    <w:basedOn w:val="Normal"/>
    <w:rsid w:val="004D73D3"/>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382">
    <w:name w:val="xl382"/>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pPr>
    <w:rPr>
      <w:rFonts w:eastAsia="Times New Roman"/>
      <w:lang w:val="en-US" w:eastAsia="en-US"/>
    </w:rPr>
  </w:style>
  <w:style w:type="paragraph" w:customStyle="1" w:styleId="xl383">
    <w:name w:val="xl383"/>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textAlignment w:val="top"/>
    </w:pPr>
    <w:rPr>
      <w:rFonts w:eastAsia="Times New Roman"/>
      <w:lang w:val="en-US" w:eastAsia="en-US"/>
    </w:rPr>
  </w:style>
  <w:style w:type="paragraph" w:customStyle="1" w:styleId="xl384">
    <w:name w:val="xl384"/>
    <w:basedOn w:val="Normal"/>
    <w:rsid w:val="004D73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color w:val="000000"/>
      <w:sz w:val="16"/>
      <w:szCs w:val="16"/>
      <w:lang w:val="en-US" w:eastAsia="en-US"/>
    </w:rPr>
  </w:style>
  <w:style w:type="paragraph" w:customStyle="1" w:styleId="xl385">
    <w:name w:val="xl385"/>
    <w:basedOn w:val="Normal"/>
    <w:rsid w:val="004D73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lang w:val="en-US" w:eastAsia="en-US"/>
    </w:rPr>
  </w:style>
  <w:style w:type="paragraph" w:customStyle="1" w:styleId="xl386">
    <w:name w:val="xl386"/>
    <w:basedOn w:val="Normal"/>
    <w:rsid w:val="004D73D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eastAsia="Times New Roman"/>
      <w:sz w:val="20"/>
      <w:szCs w:val="20"/>
      <w:lang w:val="en-US" w:eastAsia="en-US"/>
    </w:rPr>
  </w:style>
  <w:style w:type="paragraph" w:customStyle="1" w:styleId="xl387">
    <w:name w:val="xl387"/>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eastAsia="Times New Roman"/>
      <w:sz w:val="20"/>
      <w:szCs w:val="20"/>
      <w:lang w:val="en-US" w:eastAsia="en-US"/>
    </w:rPr>
  </w:style>
  <w:style w:type="paragraph" w:customStyle="1" w:styleId="xl388">
    <w:name w:val="xl388"/>
    <w:basedOn w:val="Normal"/>
    <w:rsid w:val="004D73D3"/>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rFonts w:eastAsia="Times New Roman"/>
      <w:lang w:val="en-US" w:eastAsia="en-US"/>
    </w:rPr>
  </w:style>
  <w:style w:type="paragraph" w:customStyle="1" w:styleId="xl389">
    <w:name w:val="xl389"/>
    <w:basedOn w:val="Normal"/>
    <w:rsid w:val="004D73D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lang w:val="en-US" w:eastAsia="en-US"/>
    </w:rPr>
  </w:style>
  <w:style w:type="paragraph" w:customStyle="1" w:styleId="xl390">
    <w:name w:val="xl390"/>
    <w:basedOn w:val="Normal"/>
    <w:rsid w:val="004D73D3"/>
    <w:pPr>
      <w:pBdr>
        <w:top w:val="single" w:sz="4" w:space="0" w:color="auto"/>
        <w:bottom w:val="single" w:sz="4" w:space="0" w:color="auto"/>
        <w:right w:val="single" w:sz="4" w:space="0" w:color="auto"/>
      </w:pBdr>
      <w:shd w:val="clear" w:color="000000" w:fill="B8CCE4"/>
      <w:spacing w:before="100" w:beforeAutospacing="1" w:after="100" w:afterAutospacing="1"/>
      <w:textAlignment w:val="top"/>
    </w:pPr>
    <w:rPr>
      <w:rFonts w:eastAsia="Times New Roman"/>
      <w:b/>
      <w:bCs/>
      <w:lang w:val="en-US" w:eastAsia="en-US"/>
    </w:rPr>
  </w:style>
  <w:style w:type="paragraph" w:customStyle="1" w:styleId="xl391">
    <w:name w:val="xl391"/>
    <w:basedOn w:val="Normal"/>
    <w:rsid w:val="004D73D3"/>
    <w:pPr>
      <w:pBdr>
        <w:top w:val="single" w:sz="4" w:space="0" w:color="auto"/>
        <w:bottom w:val="single" w:sz="4" w:space="0" w:color="auto"/>
        <w:right w:val="single" w:sz="4" w:space="0" w:color="auto"/>
      </w:pBdr>
      <w:shd w:val="clear" w:color="000000" w:fill="C5D9F1"/>
      <w:spacing w:before="100" w:beforeAutospacing="1" w:after="100" w:afterAutospacing="1"/>
      <w:textAlignment w:val="top"/>
    </w:pPr>
    <w:rPr>
      <w:rFonts w:eastAsia="Times New Roman"/>
      <w:lang w:val="en-US" w:eastAsia="en-US"/>
    </w:rPr>
  </w:style>
  <w:style w:type="paragraph" w:customStyle="1" w:styleId="xl392">
    <w:name w:val="xl392"/>
    <w:basedOn w:val="Normal"/>
    <w:rsid w:val="004D73D3"/>
    <w:pPr>
      <w:pBdr>
        <w:top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393">
    <w:name w:val="xl393"/>
    <w:basedOn w:val="Normal"/>
    <w:rsid w:val="004D73D3"/>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olor w:val="000000"/>
      <w:sz w:val="16"/>
      <w:szCs w:val="16"/>
      <w:lang w:val="en-US" w:eastAsia="en-US"/>
    </w:rPr>
  </w:style>
  <w:style w:type="paragraph" w:customStyle="1" w:styleId="xl394">
    <w:name w:val="xl394"/>
    <w:basedOn w:val="Normal"/>
    <w:rsid w:val="004D73D3"/>
    <w:pPr>
      <w:pBdr>
        <w:top w:val="single" w:sz="4" w:space="0" w:color="auto"/>
        <w:left w:val="single" w:sz="4" w:space="0" w:color="auto"/>
        <w:right w:val="single" w:sz="4" w:space="0" w:color="auto"/>
      </w:pBdr>
      <w:spacing w:before="100" w:beforeAutospacing="1" w:after="100" w:afterAutospacing="1"/>
      <w:textAlignment w:val="top"/>
    </w:pPr>
    <w:rPr>
      <w:rFonts w:eastAsia="Times New Roman"/>
      <w:i/>
      <w:iCs/>
      <w:lang w:val="en-US" w:eastAsia="en-US"/>
    </w:rPr>
  </w:style>
  <w:style w:type="paragraph" w:customStyle="1" w:styleId="xl395">
    <w:name w:val="xl395"/>
    <w:basedOn w:val="Normal"/>
    <w:rsid w:val="004D73D3"/>
    <w:pPr>
      <w:pBdr>
        <w:top w:val="single" w:sz="4" w:space="0" w:color="auto"/>
        <w:left w:val="single" w:sz="4" w:space="0" w:color="auto"/>
        <w:right w:val="single" w:sz="4" w:space="0" w:color="auto"/>
      </w:pBdr>
      <w:spacing w:before="100" w:beforeAutospacing="1" w:after="100" w:afterAutospacing="1"/>
      <w:textAlignment w:val="top"/>
    </w:pPr>
    <w:rPr>
      <w:rFonts w:eastAsia="Times New Roman"/>
      <w:i/>
      <w:iCs/>
      <w:lang w:val="en-US" w:eastAsia="en-US"/>
    </w:rPr>
  </w:style>
  <w:style w:type="paragraph" w:customStyle="1" w:styleId="xl396">
    <w:name w:val="xl396"/>
    <w:basedOn w:val="Normal"/>
    <w:rsid w:val="004D73D3"/>
    <w:pPr>
      <w:pBdr>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397">
    <w:name w:val="xl397"/>
    <w:basedOn w:val="Normal"/>
    <w:rsid w:val="004D73D3"/>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lang w:val="en-US" w:eastAsia="en-US"/>
    </w:rPr>
  </w:style>
  <w:style w:type="paragraph" w:customStyle="1" w:styleId="xl398">
    <w:name w:val="xl398"/>
    <w:basedOn w:val="Normal"/>
    <w:rsid w:val="004D73D3"/>
    <w:pPr>
      <w:pBdr>
        <w:left w:val="single" w:sz="4" w:space="0" w:color="auto"/>
        <w:bottom w:val="single" w:sz="4" w:space="0" w:color="auto"/>
      </w:pBdr>
      <w:shd w:val="clear" w:color="000000" w:fill="FDE9D9"/>
      <w:spacing w:before="100" w:beforeAutospacing="1" w:after="100" w:afterAutospacing="1"/>
      <w:jc w:val="center"/>
      <w:textAlignment w:val="top"/>
    </w:pPr>
    <w:rPr>
      <w:rFonts w:eastAsia="Times New Roman"/>
      <w:b/>
      <w:bCs/>
      <w:lang w:val="en-US" w:eastAsia="en-US"/>
    </w:rPr>
  </w:style>
  <w:style w:type="paragraph" w:customStyle="1" w:styleId="xl399">
    <w:name w:val="xl399"/>
    <w:basedOn w:val="Normal"/>
    <w:rsid w:val="004D73D3"/>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 w:val="16"/>
      <w:szCs w:val="16"/>
      <w:lang w:val="en-US" w:eastAsia="en-US"/>
    </w:rPr>
  </w:style>
  <w:style w:type="paragraph" w:customStyle="1" w:styleId="xl400">
    <w:name w:val="xl400"/>
    <w:basedOn w:val="Normal"/>
    <w:rsid w:val="004D73D3"/>
    <w:pPr>
      <w:pBdr>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401">
    <w:name w:val="xl401"/>
    <w:basedOn w:val="Normal"/>
    <w:rsid w:val="004D73D3"/>
    <w:pPr>
      <w:pBdr>
        <w:left w:val="single" w:sz="4" w:space="0" w:color="auto"/>
        <w:bottom w:val="single" w:sz="4" w:space="0" w:color="auto"/>
      </w:pBdr>
      <w:shd w:val="clear" w:color="000000" w:fill="FDE9D9"/>
      <w:spacing w:before="100" w:beforeAutospacing="1" w:after="100" w:afterAutospacing="1"/>
      <w:textAlignment w:val="top"/>
    </w:pPr>
    <w:rPr>
      <w:rFonts w:eastAsia="Times New Roman"/>
      <w:b/>
      <w:bCs/>
      <w:lang w:val="en-US" w:eastAsia="en-US"/>
    </w:rPr>
  </w:style>
  <w:style w:type="paragraph" w:customStyle="1" w:styleId="xl402">
    <w:name w:val="xl402"/>
    <w:basedOn w:val="Normal"/>
    <w:rsid w:val="004D73D3"/>
    <w:pPr>
      <w:pBdr>
        <w:top w:val="single" w:sz="8" w:space="0" w:color="auto"/>
        <w:left w:val="single" w:sz="8" w:space="0" w:color="auto"/>
        <w:bottom w:val="single" w:sz="8" w:space="0" w:color="auto"/>
        <w:right w:val="single" w:sz="4" w:space="0" w:color="auto"/>
      </w:pBdr>
      <w:shd w:val="clear" w:color="000000" w:fill="F276AB"/>
      <w:spacing w:before="100" w:beforeAutospacing="1" w:after="100" w:afterAutospacing="1"/>
      <w:textAlignment w:val="center"/>
    </w:pPr>
    <w:rPr>
      <w:rFonts w:eastAsia="Times New Roman"/>
      <w:b/>
      <w:bCs/>
      <w:lang w:val="en-US" w:eastAsia="en-US"/>
    </w:rPr>
  </w:style>
  <w:style w:type="paragraph" w:customStyle="1" w:styleId="xl403">
    <w:name w:val="xl403"/>
    <w:basedOn w:val="Normal"/>
    <w:rsid w:val="004D73D3"/>
    <w:pPr>
      <w:pBdr>
        <w:top w:val="single" w:sz="8" w:space="0" w:color="auto"/>
        <w:left w:val="single" w:sz="4" w:space="0" w:color="auto"/>
        <w:bottom w:val="single" w:sz="8" w:space="0" w:color="auto"/>
        <w:right w:val="single" w:sz="4" w:space="0" w:color="auto"/>
      </w:pBdr>
      <w:shd w:val="clear" w:color="000000" w:fill="F276AB"/>
      <w:spacing w:before="100" w:beforeAutospacing="1" w:after="100" w:afterAutospacing="1"/>
      <w:textAlignment w:val="center"/>
    </w:pPr>
    <w:rPr>
      <w:rFonts w:eastAsia="Times New Roman"/>
      <w:b/>
      <w:bCs/>
      <w:lang w:val="en-US" w:eastAsia="en-US"/>
    </w:rPr>
  </w:style>
  <w:style w:type="paragraph" w:customStyle="1" w:styleId="xl404">
    <w:name w:val="xl404"/>
    <w:basedOn w:val="Normal"/>
    <w:rsid w:val="004D73D3"/>
    <w:pPr>
      <w:pBdr>
        <w:top w:val="single" w:sz="8" w:space="0" w:color="auto"/>
        <w:left w:val="single" w:sz="4" w:space="0" w:color="auto"/>
        <w:bottom w:val="single" w:sz="8" w:space="0" w:color="auto"/>
        <w:right w:val="single" w:sz="4" w:space="0" w:color="auto"/>
      </w:pBdr>
      <w:shd w:val="clear" w:color="000000" w:fill="F276AB"/>
      <w:spacing w:before="100" w:beforeAutospacing="1" w:after="100" w:afterAutospacing="1"/>
      <w:textAlignment w:val="center"/>
    </w:pPr>
    <w:rPr>
      <w:rFonts w:eastAsia="Times New Roman"/>
      <w:b/>
      <w:bCs/>
      <w:lang w:val="en-US" w:eastAsia="en-US"/>
    </w:rPr>
  </w:style>
  <w:style w:type="paragraph" w:customStyle="1" w:styleId="xl405">
    <w:name w:val="xl405"/>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0"/>
      <w:szCs w:val="20"/>
      <w:lang w:val="en-US" w:eastAsia="en-US"/>
    </w:rPr>
  </w:style>
  <w:style w:type="paragraph" w:customStyle="1" w:styleId="xl406">
    <w:name w:val="xl406"/>
    <w:basedOn w:val="Normal"/>
    <w:rsid w:val="004D73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rFonts w:eastAsia="Times New Roman"/>
      <w:b/>
      <w:bCs/>
      <w:i/>
      <w:iCs/>
      <w:sz w:val="20"/>
      <w:szCs w:val="20"/>
      <w:lang w:val="en-US" w:eastAsia="en-US"/>
    </w:rPr>
  </w:style>
  <w:style w:type="paragraph" w:customStyle="1" w:styleId="xl407">
    <w:name w:val="xl407"/>
    <w:basedOn w:val="Normal"/>
    <w:rsid w:val="004D73D3"/>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top"/>
    </w:pPr>
    <w:rPr>
      <w:rFonts w:eastAsia="Times New Roman"/>
      <w:b/>
      <w:bCs/>
      <w:i/>
      <w:iCs/>
      <w:sz w:val="20"/>
      <w:szCs w:val="20"/>
      <w:lang w:val="en-US" w:eastAsia="en-US"/>
    </w:rPr>
  </w:style>
  <w:style w:type="paragraph" w:customStyle="1" w:styleId="xl408">
    <w:name w:val="xl408"/>
    <w:basedOn w:val="Normal"/>
    <w:rsid w:val="004D73D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eastAsia="Times New Roman"/>
      <w:b/>
      <w:bCs/>
      <w:sz w:val="20"/>
      <w:szCs w:val="20"/>
      <w:lang w:val="en-US" w:eastAsia="en-US"/>
    </w:rPr>
  </w:style>
  <w:style w:type="paragraph" w:customStyle="1" w:styleId="xl409">
    <w:name w:val="xl409"/>
    <w:basedOn w:val="Normal"/>
    <w:rsid w:val="004D73D3"/>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top"/>
    </w:pPr>
    <w:rPr>
      <w:rFonts w:eastAsia="Times New Roman"/>
      <w:b/>
      <w:bCs/>
      <w:sz w:val="20"/>
      <w:szCs w:val="20"/>
      <w:lang w:val="en-US" w:eastAsia="en-US"/>
    </w:rPr>
  </w:style>
  <w:style w:type="paragraph" w:customStyle="1" w:styleId="xl410">
    <w:name w:val="xl410"/>
    <w:basedOn w:val="Normal"/>
    <w:rsid w:val="004D73D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2080">
      <w:bodyDiv w:val="1"/>
      <w:marLeft w:val="0"/>
      <w:marRight w:val="0"/>
      <w:marTop w:val="0"/>
      <w:marBottom w:val="0"/>
      <w:divBdr>
        <w:top w:val="none" w:sz="0" w:space="0" w:color="auto"/>
        <w:left w:val="none" w:sz="0" w:space="0" w:color="auto"/>
        <w:bottom w:val="none" w:sz="0" w:space="0" w:color="auto"/>
        <w:right w:val="none" w:sz="0" w:space="0" w:color="auto"/>
      </w:divBdr>
    </w:div>
    <w:div w:id="71044789">
      <w:bodyDiv w:val="1"/>
      <w:marLeft w:val="0"/>
      <w:marRight w:val="0"/>
      <w:marTop w:val="0"/>
      <w:marBottom w:val="0"/>
      <w:divBdr>
        <w:top w:val="none" w:sz="0" w:space="0" w:color="auto"/>
        <w:left w:val="none" w:sz="0" w:space="0" w:color="auto"/>
        <w:bottom w:val="none" w:sz="0" w:space="0" w:color="auto"/>
        <w:right w:val="none" w:sz="0" w:space="0" w:color="auto"/>
      </w:divBdr>
    </w:div>
    <w:div w:id="96222072">
      <w:bodyDiv w:val="1"/>
      <w:marLeft w:val="0"/>
      <w:marRight w:val="0"/>
      <w:marTop w:val="0"/>
      <w:marBottom w:val="0"/>
      <w:divBdr>
        <w:top w:val="none" w:sz="0" w:space="0" w:color="auto"/>
        <w:left w:val="none" w:sz="0" w:space="0" w:color="auto"/>
        <w:bottom w:val="none" w:sz="0" w:space="0" w:color="auto"/>
        <w:right w:val="none" w:sz="0" w:space="0" w:color="auto"/>
      </w:divBdr>
    </w:div>
    <w:div w:id="145126848">
      <w:bodyDiv w:val="1"/>
      <w:marLeft w:val="0"/>
      <w:marRight w:val="0"/>
      <w:marTop w:val="0"/>
      <w:marBottom w:val="0"/>
      <w:divBdr>
        <w:top w:val="none" w:sz="0" w:space="0" w:color="auto"/>
        <w:left w:val="none" w:sz="0" w:space="0" w:color="auto"/>
        <w:bottom w:val="none" w:sz="0" w:space="0" w:color="auto"/>
        <w:right w:val="none" w:sz="0" w:space="0" w:color="auto"/>
      </w:divBdr>
      <w:divsChild>
        <w:div w:id="536740614">
          <w:marLeft w:val="0"/>
          <w:marRight w:val="0"/>
          <w:marTop w:val="0"/>
          <w:marBottom w:val="0"/>
          <w:divBdr>
            <w:top w:val="none" w:sz="0" w:space="0" w:color="auto"/>
            <w:left w:val="none" w:sz="0" w:space="0" w:color="auto"/>
            <w:bottom w:val="none" w:sz="0" w:space="0" w:color="auto"/>
            <w:right w:val="none" w:sz="0" w:space="0" w:color="auto"/>
          </w:divBdr>
          <w:divsChild>
            <w:div w:id="837616077">
              <w:marLeft w:val="0"/>
              <w:marRight w:val="0"/>
              <w:marTop w:val="0"/>
              <w:marBottom w:val="0"/>
              <w:divBdr>
                <w:top w:val="none" w:sz="0" w:space="0" w:color="auto"/>
                <w:left w:val="none" w:sz="0" w:space="0" w:color="auto"/>
                <w:bottom w:val="none" w:sz="0" w:space="0" w:color="auto"/>
                <w:right w:val="none" w:sz="0" w:space="0" w:color="auto"/>
              </w:divBdr>
              <w:divsChild>
                <w:div w:id="180751826">
                  <w:marLeft w:val="0"/>
                  <w:marRight w:val="0"/>
                  <w:marTop w:val="0"/>
                  <w:marBottom w:val="0"/>
                  <w:divBdr>
                    <w:top w:val="none" w:sz="0" w:space="0" w:color="auto"/>
                    <w:left w:val="none" w:sz="0" w:space="0" w:color="auto"/>
                    <w:bottom w:val="none" w:sz="0" w:space="0" w:color="auto"/>
                    <w:right w:val="none" w:sz="0" w:space="0" w:color="auto"/>
                  </w:divBdr>
                  <w:divsChild>
                    <w:div w:id="1085037147">
                      <w:marLeft w:val="0"/>
                      <w:marRight w:val="0"/>
                      <w:marTop w:val="0"/>
                      <w:marBottom w:val="0"/>
                      <w:divBdr>
                        <w:top w:val="none" w:sz="0" w:space="0" w:color="auto"/>
                        <w:left w:val="none" w:sz="0" w:space="0" w:color="auto"/>
                        <w:bottom w:val="none" w:sz="0" w:space="0" w:color="auto"/>
                        <w:right w:val="none" w:sz="0" w:space="0" w:color="auto"/>
                      </w:divBdr>
                      <w:divsChild>
                        <w:div w:id="1850413546">
                          <w:marLeft w:val="0"/>
                          <w:marRight w:val="0"/>
                          <w:marTop w:val="0"/>
                          <w:marBottom w:val="0"/>
                          <w:divBdr>
                            <w:top w:val="none" w:sz="0" w:space="0" w:color="auto"/>
                            <w:left w:val="none" w:sz="0" w:space="0" w:color="auto"/>
                            <w:bottom w:val="none" w:sz="0" w:space="0" w:color="auto"/>
                            <w:right w:val="none" w:sz="0" w:space="0" w:color="auto"/>
                          </w:divBdr>
                          <w:divsChild>
                            <w:div w:id="1238519476">
                              <w:marLeft w:val="0"/>
                              <w:marRight w:val="0"/>
                              <w:marTop w:val="0"/>
                              <w:marBottom w:val="0"/>
                              <w:divBdr>
                                <w:top w:val="none" w:sz="0" w:space="0" w:color="auto"/>
                                <w:left w:val="none" w:sz="0" w:space="0" w:color="auto"/>
                                <w:bottom w:val="none" w:sz="0" w:space="0" w:color="auto"/>
                                <w:right w:val="none" w:sz="0" w:space="0" w:color="auto"/>
                              </w:divBdr>
                              <w:divsChild>
                                <w:div w:id="1023245923">
                                  <w:marLeft w:val="0"/>
                                  <w:marRight w:val="0"/>
                                  <w:marTop w:val="0"/>
                                  <w:marBottom w:val="0"/>
                                  <w:divBdr>
                                    <w:top w:val="none" w:sz="0" w:space="0" w:color="auto"/>
                                    <w:left w:val="none" w:sz="0" w:space="0" w:color="auto"/>
                                    <w:bottom w:val="none" w:sz="0" w:space="0" w:color="auto"/>
                                    <w:right w:val="none" w:sz="0" w:space="0" w:color="auto"/>
                                  </w:divBdr>
                                  <w:divsChild>
                                    <w:div w:id="835071101">
                                      <w:marLeft w:val="0"/>
                                      <w:marRight w:val="0"/>
                                      <w:marTop w:val="0"/>
                                      <w:marBottom w:val="0"/>
                                      <w:divBdr>
                                        <w:top w:val="none" w:sz="0" w:space="0" w:color="auto"/>
                                        <w:left w:val="none" w:sz="0" w:space="0" w:color="auto"/>
                                        <w:bottom w:val="none" w:sz="0" w:space="0" w:color="auto"/>
                                        <w:right w:val="none" w:sz="0" w:space="0" w:color="auto"/>
                                      </w:divBdr>
                                      <w:divsChild>
                                        <w:div w:id="1675494418">
                                          <w:marLeft w:val="0"/>
                                          <w:marRight w:val="0"/>
                                          <w:marTop w:val="0"/>
                                          <w:marBottom w:val="0"/>
                                          <w:divBdr>
                                            <w:top w:val="none" w:sz="0" w:space="0" w:color="auto"/>
                                            <w:left w:val="none" w:sz="0" w:space="0" w:color="auto"/>
                                            <w:bottom w:val="none" w:sz="0" w:space="0" w:color="auto"/>
                                            <w:right w:val="none" w:sz="0" w:space="0" w:color="auto"/>
                                          </w:divBdr>
                                          <w:divsChild>
                                            <w:div w:id="11069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175163">
          <w:marLeft w:val="0"/>
          <w:marRight w:val="0"/>
          <w:marTop w:val="0"/>
          <w:marBottom w:val="0"/>
          <w:divBdr>
            <w:top w:val="none" w:sz="0" w:space="0" w:color="auto"/>
            <w:left w:val="none" w:sz="0" w:space="0" w:color="auto"/>
            <w:bottom w:val="none" w:sz="0" w:space="0" w:color="auto"/>
            <w:right w:val="none" w:sz="0" w:space="0" w:color="auto"/>
          </w:divBdr>
          <w:divsChild>
            <w:div w:id="138961633">
              <w:marLeft w:val="0"/>
              <w:marRight w:val="0"/>
              <w:marTop w:val="0"/>
              <w:marBottom w:val="0"/>
              <w:divBdr>
                <w:top w:val="none" w:sz="0" w:space="0" w:color="auto"/>
                <w:left w:val="none" w:sz="0" w:space="0" w:color="auto"/>
                <w:bottom w:val="none" w:sz="0" w:space="0" w:color="auto"/>
                <w:right w:val="none" w:sz="0" w:space="0" w:color="auto"/>
              </w:divBdr>
              <w:divsChild>
                <w:div w:id="1595816390">
                  <w:marLeft w:val="0"/>
                  <w:marRight w:val="0"/>
                  <w:marTop w:val="0"/>
                  <w:marBottom w:val="0"/>
                  <w:divBdr>
                    <w:top w:val="none" w:sz="0" w:space="0" w:color="auto"/>
                    <w:left w:val="none" w:sz="0" w:space="0" w:color="auto"/>
                    <w:bottom w:val="none" w:sz="0" w:space="0" w:color="auto"/>
                    <w:right w:val="none" w:sz="0" w:space="0" w:color="auto"/>
                  </w:divBdr>
                  <w:divsChild>
                    <w:div w:id="1566136158">
                      <w:marLeft w:val="0"/>
                      <w:marRight w:val="0"/>
                      <w:marTop w:val="0"/>
                      <w:marBottom w:val="0"/>
                      <w:divBdr>
                        <w:top w:val="none" w:sz="0" w:space="0" w:color="auto"/>
                        <w:left w:val="none" w:sz="0" w:space="0" w:color="auto"/>
                        <w:bottom w:val="none" w:sz="0" w:space="0" w:color="auto"/>
                        <w:right w:val="none" w:sz="0" w:space="0" w:color="auto"/>
                      </w:divBdr>
                      <w:divsChild>
                        <w:div w:id="1788499242">
                          <w:marLeft w:val="0"/>
                          <w:marRight w:val="0"/>
                          <w:marTop w:val="0"/>
                          <w:marBottom w:val="0"/>
                          <w:divBdr>
                            <w:top w:val="none" w:sz="0" w:space="0" w:color="auto"/>
                            <w:left w:val="none" w:sz="0" w:space="0" w:color="auto"/>
                            <w:bottom w:val="none" w:sz="0" w:space="0" w:color="auto"/>
                            <w:right w:val="none" w:sz="0" w:space="0" w:color="auto"/>
                          </w:divBdr>
                          <w:divsChild>
                            <w:div w:id="1977564707">
                              <w:marLeft w:val="0"/>
                              <w:marRight w:val="0"/>
                              <w:marTop w:val="0"/>
                              <w:marBottom w:val="0"/>
                              <w:divBdr>
                                <w:top w:val="none" w:sz="0" w:space="0" w:color="auto"/>
                                <w:left w:val="none" w:sz="0" w:space="0" w:color="auto"/>
                                <w:bottom w:val="none" w:sz="0" w:space="0" w:color="auto"/>
                                <w:right w:val="none" w:sz="0" w:space="0" w:color="auto"/>
                              </w:divBdr>
                              <w:divsChild>
                                <w:div w:id="420763977">
                                  <w:marLeft w:val="0"/>
                                  <w:marRight w:val="0"/>
                                  <w:marTop w:val="0"/>
                                  <w:marBottom w:val="0"/>
                                  <w:divBdr>
                                    <w:top w:val="none" w:sz="0" w:space="0" w:color="auto"/>
                                    <w:left w:val="none" w:sz="0" w:space="0" w:color="auto"/>
                                    <w:bottom w:val="none" w:sz="0" w:space="0" w:color="auto"/>
                                    <w:right w:val="none" w:sz="0" w:space="0" w:color="auto"/>
                                  </w:divBdr>
                                  <w:divsChild>
                                    <w:div w:id="17150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047124">
      <w:bodyDiv w:val="1"/>
      <w:marLeft w:val="0"/>
      <w:marRight w:val="0"/>
      <w:marTop w:val="0"/>
      <w:marBottom w:val="0"/>
      <w:divBdr>
        <w:top w:val="none" w:sz="0" w:space="0" w:color="auto"/>
        <w:left w:val="none" w:sz="0" w:space="0" w:color="auto"/>
        <w:bottom w:val="none" w:sz="0" w:space="0" w:color="auto"/>
        <w:right w:val="none" w:sz="0" w:space="0" w:color="auto"/>
      </w:divBdr>
    </w:div>
    <w:div w:id="484473242">
      <w:bodyDiv w:val="1"/>
      <w:marLeft w:val="0"/>
      <w:marRight w:val="0"/>
      <w:marTop w:val="0"/>
      <w:marBottom w:val="0"/>
      <w:divBdr>
        <w:top w:val="none" w:sz="0" w:space="0" w:color="auto"/>
        <w:left w:val="none" w:sz="0" w:space="0" w:color="auto"/>
        <w:bottom w:val="none" w:sz="0" w:space="0" w:color="auto"/>
        <w:right w:val="none" w:sz="0" w:space="0" w:color="auto"/>
      </w:divBdr>
    </w:div>
    <w:div w:id="538398195">
      <w:bodyDiv w:val="1"/>
      <w:marLeft w:val="0"/>
      <w:marRight w:val="0"/>
      <w:marTop w:val="0"/>
      <w:marBottom w:val="0"/>
      <w:divBdr>
        <w:top w:val="none" w:sz="0" w:space="0" w:color="auto"/>
        <w:left w:val="none" w:sz="0" w:space="0" w:color="auto"/>
        <w:bottom w:val="none" w:sz="0" w:space="0" w:color="auto"/>
        <w:right w:val="none" w:sz="0" w:space="0" w:color="auto"/>
      </w:divBdr>
    </w:div>
    <w:div w:id="543373544">
      <w:bodyDiv w:val="1"/>
      <w:marLeft w:val="0"/>
      <w:marRight w:val="0"/>
      <w:marTop w:val="0"/>
      <w:marBottom w:val="0"/>
      <w:divBdr>
        <w:top w:val="none" w:sz="0" w:space="0" w:color="auto"/>
        <w:left w:val="none" w:sz="0" w:space="0" w:color="auto"/>
        <w:bottom w:val="none" w:sz="0" w:space="0" w:color="auto"/>
        <w:right w:val="none" w:sz="0" w:space="0" w:color="auto"/>
      </w:divBdr>
      <w:divsChild>
        <w:div w:id="2081249797">
          <w:marLeft w:val="0"/>
          <w:marRight w:val="0"/>
          <w:marTop w:val="0"/>
          <w:marBottom w:val="0"/>
          <w:divBdr>
            <w:top w:val="none" w:sz="0" w:space="0" w:color="auto"/>
            <w:left w:val="none" w:sz="0" w:space="0" w:color="auto"/>
            <w:bottom w:val="none" w:sz="0" w:space="0" w:color="auto"/>
            <w:right w:val="none" w:sz="0" w:space="0" w:color="auto"/>
          </w:divBdr>
          <w:divsChild>
            <w:div w:id="1547453251">
              <w:marLeft w:val="0"/>
              <w:marRight w:val="0"/>
              <w:marTop w:val="0"/>
              <w:marBottom w:val="0"/>
              <w:divBdr>
                <w:top w:val="none" w:sz="0" w:space="0" w:color="auto"/>
                <w:left w:val="none" w:sz="0" w:space="0" w:color="auto"/>
                <w:bottom w:val="none" w:sz="0" w:space="0" w:color="auto"/>
                <w:right w:val="none" w:sz="0" w:space="0" w:color="auto"/>
              </w:divBdr>
              <w:divsChild>
                <w:div w:id="1075468420">
                  <w:marLeft w:val="0"/>
                  <w:marRight w:val="0"/>
                  <w:marTop w:val="0"/>
                  <w:marBottom w:val="0"/>
                  <w:divBdr>
                    <w:top w:val="none" w:sz="0" w:space="0" w:color="auto"/>
                    <w:left w:val="none" w:sz="0" w:space="0" w:color="auto"/>
                    <w:bottom w:val="none" w:sz="0" w:space="0" w:color="auto"/>
                    <w:right w:val="none" w:sz="0" w:space="0" w:color="auto"/>
                  </w:divBdr>
                  <w:divsChild>
                    <w:div w:id="18418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32">
      <w:bodyDiv w:val="1"/>
      <w:marLeft w:val="0"/>
      <w:marRight w:val="0"/>
      <w:marTop w:val="0"/>
      <w:marBottom w:val="0"/>
      <w:divBdr>
        <w:top w:val="none" w:sz="0" w:space="0" w:color="auto"/>
        <w:left w:val="none" w:sz="0" w:space="0" w:color="auto"/>
        <w:bottom w:val="none" w:sz="0" w:space="0" w:color="auto"/>
        <w:right w:val="none" w:sz="0" w:space="0" w:color="auto"/>
      </w:divBdr>
    </w:div>
    <w:div w:id="648706400">
      <w:bodyDiv w:val="1"/>
      <w:marLeft w:val="0"/>
      <w:marRight w:val="0"/>
      <w:marTop w:val="0"/>
      <w:marBottom w:val="0"/>
      <w:divBdr>
        <w:top w:val="none" w:sz="0" w:space="0" w:color="auto"/>
        <w:left w:val="none" w:sz="0" w:space="0" w:color="auto"/>
        <w:bottom w:val="none" w:sz="0" w:space="0" w:color="auto"/>
        <w:right w:val="none" w:sz="0" w:space="0" w:color="auto"/>
      </w:divBdr>
    </w:div>
    <w:div w:id="678627548">
      <w:bodyDiv w:val="1"/>
      <w:marLeft w:val="0"/>
      <w:marRight w:val="0"/>
      <w:marTop w:val="0"/>
      <w:marBottom w:val="0"/>
      <w:divBdr>
        <w:top w:val="none" w:sz="0" w:space="0" w:color="auto"/>
        <w:left w:val="none" w:sz="0" w:space="0" w:color="auto"/>
        <w:bottom w:val="none" w:sz="0" w:space="0" w:color="auto"/>
        <w:right w:val="none" w:sz="0" w:space="0" w:color="auto"/>
      </w:divBdr>
    </w:div>
    <w:div w:id="827089844">
      <w:bodyDiv w:val="1"/>
      <w:marLeft w:val="0"/>
      <w:marRight w:val="0"/>
      <w:marTop w:val="0"/>
      <w:marBottom w:val="0"/>
      <w:divBdr>
        <w:top w:val="none" w:sz="0" w:space="0" w:color="auto"/>
        <w:left w:val="none" w:sz="0" w:space="0" w:color="auto"/>
        <w:bottom w:val="none" w:sz="0" w:space="0" w:color="auto"/>
        <w:right w:val="none" w:sz="0" w:space="0" w:color="auto"/>
      </w:divBdr>
    </w:div>
    <w:div w:id="957105498">
      <w:bodyDiv w:val="1"/>
      <w:marLeft w:val="0"/>
      <w:marRight w:val="0"/>
      <w:marTop w:val="0"/>
      <w:marBottom w:val="0"/>
      <w:divBdr>
        <w:top w:val="none" w:sz="0" w:space="0" w:color="auto"/>
        <w:left w:val="none" w:sz="0" w:space="0" w:color="auto"/>
        <w:bottom w:val="none" w:sz="0" w:space="0" w:color="auto"/>
        <w:right w:val="none" w:sz="0" w:space="0" w:color="auto"/>
      </w:divBdr>
    </w:div>
    <w:div w:id="965889099">
      <w:bodyDiv w:val="1"/>
      <w:marLeft w:val="0"/>
      <w:marRight w:val="0"/>
      <w:marTop w:val="0"/>
      <w:marBottom w:val="0"/>
      <w:divBdr>
        <w:top w:val="none" w:sz="0" w:space="0" w:color="auto"/>
        <w:left w:val="none" w:sz="0" w:space="0" w:color="auto"/>
        <w:bottom w:val="none" w:sz="0" w:space="0" w:color="auto"/>
        <w:right w:val="none" w:sz="0" w:space="0" w:color="auto"/>
      </w:divBdr>
    </w:div>
    <w:div w:id="1024789066">
      <w:bodyDiv w:val="1"/>
      <w:marLeft w:val="0"/>
      <w:marRight w:val="0"/>
      <w:marTop w:val="0"/>
      <w:marBottom w:val="0"/>
      <w:divBdr>
        <w:top w:val="none" w:sz="0" w:space="0" w:color="auto"/>
        <w:left w:val="none" w:sz="0" w:space="0" w:color="auto"/>
        <w:bottom w:val="none" w:sz="0" w:space="0" w:color="auto"/>
        <w:right w:val="none" w:sz="0" w:space="0" w:color="auto"/>
      </w:divBdr>
    </w:div>
    <w:div w:id="1026445037">
      <w:bodyDiv w:val="1"/>
      <w:marLeft w:val="0"/>
      <w:marRight w:val="0"/>
      <w:marTop w:val="0"/>
      <w:marBottom w:val="0"/>
      <w:divBdr>
        <w:top w:val="none" w:sz="0" w:space="0" w:color="auto"/>
        <w:left w:val="none" w:sz="0" w:space="0" w:color="auto"/>
        <w:bottom w:val="none" w:sz="0" w:space="0" w:color="auto"/>
        <w:right w:val="none" w:sz="0" w:space="0" w:color="auto"/>
      </w:divBdr>
    </w:div>
    <w:div w:id="1132675618">
      <w:bodyDiv w:val="1"/>
      <w:marLeft w:val="0"/>
      <w:marRight w:val="0"/>
      <w:marTop w:val="0"/>
      <w:marBottom w:val="0"/>
      <w:divBdr>
        <w:top w:val="none" w:sz="0" w:space="0" w:color="auto"/>
        <w:left w:val="none" w:sz="0" w:space="0" w:color="auto"/>
        <w:bottom w:val="none" w:sz="0" w:space="0" w:color="auto"/>
        <w:right w:val="none" w:sz="0" w:space="0" w:color="auto"/>
      </w:divBdr>
    </w:div>
    <w:div w:id="1143812912">
      <w:bodyDiv w:val="1"/>
      <w:marLeft w:val="0"/>
      <w:marRight w:val="0"/>
      <w:marTop w:val="0"/>
      <w:marBottom w:val="0"/>
      <w:divBdr>
        <w:top w:val="none" w:sz="0" w:space="0" w:color="auto"/>
        <w:left w:val="none" w:sz="0" w:space="0" w:color="auto"/>
        <w:bottom w:val="none" w:sz="0" w:space="0" w:color="auto"/>
        <w:right w:val="none" w:sz="0" w:space="0" w:color="auto"/>
      </w:divBdr>
    </w:div>
    <w:div w:id="1319576236">
      <w:bodyDiv w:val="1"/>
      <w:marLeft w:val="0"/>
      <w:marRight w:val="0"/>
      <w:marTop w:val="0"/>
      <w:marBottom w:val="0"/>
      <w:divBdr>
        <w:top w:val="none" w:sz="0" w:space="0" w:color="auto"/>
        <w:left w:val="none" w:sz="0" w:space="0" w:color="auto"/>
        <w:bottom w:val="none" w:sz="0" w:space="0" w:color="auto"/>
        <w:right w:val="none" w:sz="0" w:space="0" w:color="auto"/>
      </w:divBdr>
      <w:divsChild>
        <w:div w:id="780803321">
          <w:marLeft w:val="0"/>
          <w:marRight w:val="0"/>
          <w:marTop w:val="0"/>
          <w:marBottom w:val="0"/>
          <w:divBdr>
            <w:top w:val="none" w:sz="0" w:space="0" w:color="auto"/>
            <w:left w:val="none" w:sz="0" w:space="0" w:color="auto"/>
            <w:bottom w:val="none" w:sz="0" w:space="0" w:color="auto"/>
            <w:right w:val="none" w:sz="0" w:space="0" w:color="auto"/>
          </w:divBdr>
          <w:divsChild>
            <w:div w:id="1000429225">
              <w:marLeft w:val="0"/>
              <w:marRight w:val="0"/>
              <w:marTop w:val="0"/>
              <w:marBottom w:val="0"/>
              <w:divBdr>
                <w:top w:val="none" w:sz="0" w:space="0" w:color="auto"/>
                <w:left w:val="none" w:sz="0" w:space="0" w:color="auto"/>
                <w:bottom w:val="none" w:sz="0" w:space="0" w:color="auto"/>
                <w:right w:val="none" w:sz="0" w:space="0" w:color="auto"/>
              </w:divBdr>
              <w:divsChild>
                <w:div w:id="759453670">
                  <w:marLeft w:val="0"/>
                  <w:marRight w:val="0"/>
                  <w:marTop w:val="0"/>
                  <w:marBottom w:val="0"/>
                  <w:divBdr>
                    <w:top w:val="none" w:sz="0" w:space="0" w:color="auto"/>
                    <w:left w:val="none" w:sz="0" w:space="0" w:color="auto"/>
                    <w:bottom w:val="none" w:sz="0" w:space="0" w:color="auto"/>
                    <w:right w:val="none" w:sz="0" w:space="0" w:color="auto"/>
                  </w:divBdr>
                  <w:divsChild>
                    <w:div w:id="807626607">
                      <w:marLeft w:val="0"/>
                      <w:marRight w:val="0"/>
                      <w:marTop w:val="0"/>
                      <w:marBottom w:val="0"/>
                      <w:divBdr>
                        <w:top w:val="none" w:sz="0" w:space="0" w:color="auto"/>
                        <w:left w:val="none" w:sz="0" w:space="0" w:color="auto"/>
                        <w:bottom w:val="none" w:sz="0" w:space="0" w:color="auto"/>
                        <w:right w:val="none" w:sz="0" w:space="0" w:color="auto"/>
                      </w:divBdr>
                      <w:divsChild>
                        <w:div w:id="504126001">
                          <w:marLeft w:val="0"/>
                          <w:marRight w:val="0"/>
                          <w:marTop w:val="0"/>
                          <w:marBottom w:val="0"/>
                          <w:divBdr>
                            <w:top w:val="none" w:sz="0" w:space="0" w:color="auto"/>
                            <w:left w:val="none" w:sz="0" w:space="0" w:color="auto"/>
                            <w:bottom w:val="none" w:sz="0" w:space="0" w:color="auto"/>
                            <w:right w:val="none" w:sz="0" w:space="0" w:color="auto"/>
                          </w:divBdr>
                          <w:divsChild>
                            <w:div w:id="1828396265">
                              <w:marLeft w:val="0"/>
                              <w:marRight w:val="0"/>
                              <w:marTop w:val="0"/>
                              <w:marBottom w:val="0"/>
                              <w:divBdr>
                                <w:top w:val="none" w:sz="0" w:space="0" w:color="auto"/>
                                <w:left w:val="none" w:sz="0" w:space="0" w:color="auto"/>
                                <w:bottom w:val="none" w:sz="0" w:space="0" w:color="auto"/>
                                <w:right w:val="none" w:sz="0" w:space="0" w:color="auto"/>
                              </w:divBdr>
                              <w:divsChild>
                                <w:div w:id="1154108878">
                                  <w:marLeft w:val="0"/>
                                  <w:marRight w:val="0"/>
                                  <w:marTop w:val="0"/>
                                  <w:marBottom w:val="0"/>
                                  <w:divBdr>
                                    <w:top w:val="none" w:sz="0" w:space="0" w:color="auto"/>
                                    <w:left w:val="none" w:sz="0" w:space="0" w:color="auto"/>
                                    <w:bottom w:val="none" w:sz="0" w:space="0" w:color="auto"/>
                                    <w:right w:val="none" w:sz="0" w:space="0" w:color="auto"/>
                                  </w:divBdr>
                                  <w:divsChild>
                                    <w:div w:id="13026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540868">
          <w:marLeft w:val="0"/>
          <w:marRight w:val="0"/>
          <w:marTop w:val="0"/>
          <w:marBottom w:val="0"/>
          <w:divBdr>
            <w:top w:val="none" w:sz="0" w:space="0" w:color="auto"/>
            <w:left w:val="none" w:sz="0" w:space="0" w:color="auto"/>
            <w:bottom w:val="none" w:sz="0" w:space="0" w:color="auto"/>
            <w:right w:val="none" w:sz="0" w:space="0" w:color="auto"/>
          </w:divBdr>
          <w:divsChild>
            <w:div w:id="550268120">
              <w:marLeft w:val="0"/>
              <w:marRight w:val="0"/>
              <w:marTop w:val="0"/>
              <w:marBottom w:val="0"/>
              <w:divBdr>
                <w:top w:val="none" w:sz="0" w:space="0" w:color="auto"/>
                <w:left w:val="none" w:sz="0" w:space="0" w:color="auto"/>
                <w:bottom w:val="none" w:sz="0" w:space="0" w:color="auto"/>
                <w:right w:val="none" w:sz="0" w:space="0" w:color="auto"/>
              </w:divBdr>
              <w:divsChild>
                <w:div w:id="1141919180">
                  <w:marLeft w:val="0"/>
                  <w:marRight w:val="0"/>
                  <w:marTop w:val="0"/>
                  <w:marBottom w:val="0"/>
                  <w:divBdr>
                    <w:top w:val="none" w:sz="0" w:space="0" w:color="auto"/>
                    <w:left w:val="none" w:sz="0" w:space="0" w:color="auto"/>
                    <w:bottom w:val="none" w:sz="0" w:space="0" w:color="auto"/>
                    <w:right w:val="none" w:sz="0" w:space="0" w:color="auto"/>
                  </w:divBdr>
                  <w:divsChild>
                    <w:div w:id="71901882">
                      <w:marLeft w:val="0"/>
                      <w:marRight w:val="0"/>
                      <w:marTop w:val="0"/>
                      <w:marBottom w:val="0"/>
                      <w:divBdr>
                        <w:top w:val="none" w:sz="0" w:space="0" w:color="auto"/>
                        <w:left w:val="none" w:sz="0" w:space="0" w:color="auto"/>
                        <w:bottom w:val="none" w:sz="0" w:space="0" w:color="auto"/>
                        <w:right w:val="none" w:sz="0" w:space="0" w:color="auto"/>
                      </w:divBdr>
                      <w:divsChild>
                        <w:div w:id="768937998">
                          <w:marLeft w:val="0"/>
                          <w:marRight w:val="0"/>
                          <w:marTop w:val="0"/>
                          <w:marBottom w:val="0"/>
                          <w:divBdr>
                            <w:top w:val="none" w:sz="0" w:space="0" w:color="auto"/>
                            <w:left w:val="none" w:sz="0" w:space="0" w:color="auto"/>
                            <w:bottom w:val="none" w:sz="0" w:space="0" w:color="auto"/>
                            <w:right w:val="none" w:sz="0" w:space="0" w:color="auto"/>
                          </w:divBdr>
                          <w:divsChild>
                            <w:div w:id="1282111654">
                              <w:marLeft w:val="0"/>
                              <w:marRight w:val="0"/>
                              <w:marTop w:val="0"/>
                              <w:marBottom w:val="0"/>
                              <w:divBdr>
                                <w:top w:val="none" w:sz="0" w:space="0" w:color="auto"/>
                                <w:left w:val="none" w:sz="0" w:space="0" w:color="auto"/>
                                <w:bottom w:val="none" w:sz="0" w:space="0" w:color="auto"/>
                                <w:right w:val="none" w:sz="0" w:space="0" w:color="auto"/>
                              </w:divBdr>
                              <w:divsChild>
                                <w:div w:id="888617209">
                                  <w:marLeft w:val="0"/>
                                  <w:marRight w:val="0"/>
                                  <w:marTop w:val="0"/>
                                  <w:marBottom w:val="0"/>
                                  <w:divBdr>
                                    <w:top w:val="none" w:sz="0" w:space="0" w:color="auto"/>
                                    <w:left w:val="none" w:sz="0" w:space="0" w:color="auto"/>
                                    <w:bottom w:val="none" w:sz="0" w:space="0" w:color="auto"/>
                                    <w:right w:val="none" w:sz="0" w:space="0" w:color="auto"/>
                                  </w:divBdr>
                                  <w:divsChild>
                                    <w:div w:id="277685906">
                                      <w:marLeft w:val="0"/>
                                      <w:marRight w:val="0"/>
                                      <w:marTop w:val="0"/>
                                      <w:marBottom w:val="0"/>
                                      <w:divBdr>
                                        <w:top w:val="none" w:sz="0" w:space="0" w:color="auto"/>
                                        <w:left w:val="none" w:sz="0" w:space="0" w:color="auto"/>
                                        <w:bottom w:val="none" w:sz="0" w:space="0" w:color="auto"/>
                                        <w:right w:val="none" w:sz="0" w:space="0" w:color="auto"/>
                                      </w:divBdr>
                                      <w:divsChild>
                                        <w:div w:id="1683168345">
                                          <w:marLeft w:val="0"/>
                                          <w:marRight w:val="0"/>
                                          <w:marTop w:val="0"/>
                                          <w:marBottom w:val="0"/>
                                          <w:divBdr>
                                            <w:top w:val="none" w:sz="0" w:space="0" w:color="auto"/>
                                            <w:left w:val="none" w:sz="0" w:space="0" w:color="auto"/>
                                            <w:bottom w:val="none" w:sz="0" w:space="0" w:color="auto"/>
                                            <w:right w:val="none" w:sz="0" w:space="0" w:color="auto"/>
                                          </w:divBdr>
                                          <w:divsChild>
                                            <w:div w:id="1621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322266">
      <w:bodyDiv w:val="1"/>
      <w:marLeft w:val="0"/>
      <w:marRight w:val="0"/>
      <w:marTop w:val="0"/>
      <w:marBottom w:val="0"/>
      <w:divBdr>
        <w:top w:val="none" w:sz="0" w:space="0" w:color="auto"/>
        <w:left w:val="none" w:sz="0" w:space="0" w:color="auto"/>
        <w:bottom w:val="none" w:sz="0" w:space="0" w:color="auto"/>
        <w:right w:val="none" w:sz="0" w:space="0" w:color="auto"/>
      </w:divBdr>
    </w:div>
    <w:div w:id="1453790838">
      <w:bodyDiv w:val="1"/>
      <w:marLeft w:val="0"/>
      <w:marRight w:val="0"/>
      <w:marTop w:val="0"/>
      <w:marBottom w:val="0"/>
      <w:divBdr>
        <w:top w:val="none" w:sz="0" w:space="0" w:color="auto"/>
        <w:left w:val="none" w:sz="0" w:space="0" w:color="auto"/>
        <w:bottom w:val="none" w:sz="0" w:space="0" w:color="auto"/>
        <w:right w:val="none" w:sz="0" w:space="0" w:color="auto"/>
      </w:divBdr>
    </w:div>
    <w:div w:id="1559239789">
      <w:bodyDiv w:val="1"/>
      <w:marLeft w:val="0"/>
      <w:marRight w:val="0"/>
      <w:marTop w:val="0"/>
      <w:marBottom w:val="0"/>
      <w:divBdr>
        <w:top w:val="none" w:sz="0" w:space="0" w:color="auto"/>
        <w:left w:val="none" w:sz="0" w:space="0" w:color="auto"/>
        <w:bottom w:val="none" w:sz="0" w:space="0" w:color="auto"/>
        <w:right w:val="none" w:sz="0" w:space="0" w:color="auto"/>
      </w:divBdr>
    </w:div>
    <w:div w:id="1608392331">
      <w:bodyDiv w:val="1"/>
      <w:marLeft w:val="0"/>
      <w:marRight w:val="0"/>
      <w:marTop w:val="0"/>
      <w:marBottom w:val="0"/>
      <w:divBdr>
        <w:top w:val="none" w:sz="0" w:space="0" w:color="auto"/>
        <w:left w:val="none" w:sz="0" w:space="0" w:color="auto"/>
        <w:bottom w:val="none" w:sz="0" w:space="0" w:color="auto"/>
        <w:right w:val="none" w:sz="0" w:space="0" w:color="auto"/>
      </w:divBdr>
    </w:div>
    <w:div w:id="1619674790">
      <w:bodyDiv w:val="1"/>
      <w:marLeft w:val="0"/>
      <w:marRight w:val="0"/>
      <w:marTop w:val="0"/>
      <w:marBottom w:val="0"/>
      <w:divBdr>
        <w:top w:val="none" w:sz="0" w:space="0" w:color="auto"/>
        <w:left w:val="none" w:sz="0" w:space="0" w:color="auto"/>
        <w:bottom w:val="none" w:sz="0" w:space="0" w:color="auto"/>
        <w:right w:val="none" w:sz="0" w:space="0" w:color="auto"/>
      </w:divBdr>
    </w:div>
    <w:div w:id="1624000814">
      <w:bodyDiv w:val="1"/>
      <w:marLeft w:val="0"/>
      <w:marRight w:val="0"/>
      <w:marTop w:val="0"/>
      <w:marBottom w:val="0"/>
      <w:divBdr>
        <w:top w:val="none" w:sz="0" w:space="0" w:color="auto"/>
        <w:left w:val="none" w:sz="0" w:space="0" w:color="auto"/>
        <w:bottom w:val="none" w:sz="0" w:space="0" w:color="auto"/>
        <w:right w:val="none" w:sz="0" w:space="0" w:color="auto"/>
      </w:divBdr>
    </w:div>
    <w:div w:id="1696154741">
      <w:bodyDiv w:val="1"/>
      <w:marLeft w:val="0"/>
      <w:marRight w:val="0"/>
      <w:marTop w:val="0"/>
      <w:marBottom w:val="0"/>
      <w:divBdr>
        <w:top w:val="none" w:sz="0" w:space="0" w:color="auto"/>
        <w:left w:val="none" w:sz="0" w:space="0" w:color="auto"/>
        <w:bottom w:val="none" w:sz="0" w:space="0" w:color="auto"/>
        <w:right w:val="none" w:sz="0" w:space="0" w:color="auto"/>
      </w:divBdr>
    </w:div>
    <w:div w:id="1759011286">
      <w:bodyDiv w:val="1"/>
      <w:marLeft w:val="0"/>
      <w:marRight w:val="0"/>
      <w:marTop w:val="0"/>
      <w:marBottom w:val="0"/>
      <w:divBdr>
        <w:top w:val="none" w:sz="0" w:space="0" w:color="auto"/>
        <w:left w:val="none" w:sz="0" w:space="0" w:color="auto"/>
        <w:bottom w:val="none" w:sz="0" w:space="0" w:color="auto"/>
        <w:right w:val="none" w:sz="0" w:space="0" w:color="auto"/>
      </w:divBdr>
    </w:div>
    <w:div w:id="1985548183">
      <w:bodyDiv w:val="1"/>
      <w:marLeft w:val="0"/>
      <w:marRight w:val="0"/>
      <w:marTop w:val="0"/>
      <w:marBottom w:val="0"/>
      <w:divBdr>
        <w:top w:val="none" w:sz="0" w:space="0" w:color="auto"/>
        <w:left w:val="none" w:sz="0" w:space="0" w:color="auto"/>
        <w:bottom w:val="none" w:sz="0" w:space="0" w:color="auto"/>
        <w:right w:val="none" w:sz="0" w:space="0" w:color="auto"/>
      </w:divBdr>
    </w:div>
    <w:div w:id="2039425003">
      <w:bodyDiv w:val="1"/>
      <w:marLeft w:val="0"/>
      <w:marRight w:val="0"/>
      <w:marTop w:val="0"/>
      <w:marBottom w:val="0"/>
      <w:divBdr>
        <w:top w:val="none" w:sz="0" w:space="0" w:color="auto"/>
        <w:left w:val="none" w:sz="0" w:space="0" w:color="auto"/>
        <w:bottom w:val="none" w:sz="0" w:space="0" w:color="auto"/>
        <w:right w:val="none" w:sz="0" w:space="0" w:color="auto"/>
      </w:divBdr>
    </w:div>
    <w:div w:id="2112233868">
      <w:bodyDiv w:val="1"/>
      <w:marLeft w:val="0"/>
      <w:marRight w:val="0"/>
      <w:marTop w:val="0"/>
      <w:marBottom w:val="0"/>
      <w:divBdr>
        <w:top w:val="none" w:sz="0" w:space="0" w:color="auto"/>
        <w:left w:val="none" w:sz="0" w:space="0" w:color="auto"/>
        <w:bottom w:val="none" w:sz="0" w:space="0" w:color="auto"/>
        <w:right w:val="none" w:sz="0" w:space="0" w:color="auto"/>
      </w:divBdr>
      <w:divsChild>
        <w:div w:id="863129621">
          <w:marLeft w:val="0"/>
          <w:marRight w:val="0"/>
          <w:marTop w:val="0"/>
          <w:marBottom w:val="0"/>
          <w:divBdr>
            <w:top w:val="none" w:sz="0" w:space="0" w:color="auto"/>
            <w:left w:val="none" w:sz="0" w:space="0" w:color="auto"/>
            <w:bottom w:val="none" w:sz="0" w:space="0" w:color="auto"/>
            <w:right w:val="none" w:sz="0" w:space="0" w:color="auto"/>
          </w:divBdr>
          <w:divsChild>
            <w:div w:id="898052885">
              <w:marLeft w:val="0"/>
              <w:marRight w:val="0"/>
              <w:marTop w:val="0"/>
              <w:marBottom w:val="0"/>
              <w:divBdr>
                <w:top w:val="none" w:sz="0" w:space="0" w:color="auto"/>
                <w:left w:val="none" w:sz="0" w:space="0" w:color="auto"/>
                <w:bottom w:val="none" w:sz="0" w:space="0" w:color="auto"/>
                <w:right w:val="none" w:sz="0" w:space="0" w:color="auto"/>
              </w:divBdr>
              <w:divsChild>
                <w:div w:id="1100612489">
                  <w:marLeft w:val="0"/>
                  <w:marRight w:val="0"/>
                  <w:marTop w:val="0"/>
                  <w:marBottom w:val="0"/>
                  <w:divBdr>
                    <w:top w:val="none" w:sz="0" w:space="0" w:color="auto"/>
                    <w:left w:val="none" w:sz="0" w:space="0" w:color="auto"/>
                    <w:bottom w:val="none" w:sz="0" w:space="0" w:color="auto"/>
                    <w:right w:val="none" w:sz="0" w:space="0" w:color="auto"/>
                  </w:divBdr>
                  <w:divsChild>
                    <w:div w:id="2020498383">
                      <w:marLeft w:val="0"/>
                      <w:marRight w:val="0"/>
                      <w:marTop w:val="0"/>
                      <w:marBottom w:val="0"/>
                      <w:divBdr>
                        <w:top w:val="none" w:sz="0" w:space="0" w:color="auto"/>
                        <w:left w:val="none" w:sz="0" w:space="0" w:color="auto"/>
                        <w:bottom w:val="none" w:sz="0" w:space="0" w:color="auto"/>
                        <w:right w:val="none" w:sz="0" w:space="0" w:color="auto"/>
                      </w:divBdr>
                      <w:divsChild>
                        <w:div w:id="935021359">
                          <w:marLeft w:val="0"/>
                          <w:marRight w:val="0"/>
                          <w:marTop w:val="0"/>
                          <w:marBottom w:val="0"/>
                          <w:divBdr>
                            <w:top w:val="none" w:sz="0" w:space="0" w:color="auto"/>
                            <w:left w:val="none" w:sz="0" w:space="0" w:color="auto"/>
                            <w:bottom w:val="none" w:sz="0" w:space="0" w:color="auto"/>
                            <w:right w:val="none" w:sz="0" w:space="0" w:color="auto"/>
                          </w:divBdr>
                          <w:divsChild>
                            <w:div w:id="1755473752">
                              <w:marLeft w:val="0"/>
                              <w:marRight w:val="0"/>
                              <w:marTop w:val="0"/>
                              <w:marBottom w:val="0"/>
                              <w:divBdr>
                                <w:top w:val="none" w:sz="0" w:space="0" w:color="auto"/>
                                <w:left w:val="none" w:sz="0" w:space="0" w:color="auto"/>
                                <w:bottom w:val="none" w:sz="0" w:space="0" w:color="auto"/>
                                <w:right w:val="none" w:sz="0" w:space="0" w:color="auto"/>
                              </w:divBdr>
                              <w:divsChild>
                                <w:div w:id="5309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6241">
                          <w:marLeft w:val="0"/>
                          <w:marRight w:val="0"/>
                          <w:marTop w:val="0"/>
                          <w:marBottom w:val="0"/>
                          <w:divBdr>
                            <w:top w:val="none" w:sz="0" w:space="0" w:color="auto"/>
                            <w:left w:val="none" w:sz="0" w:space="0" w:color="auto"/>
                            <w:bottom w:val="none" w:sz="0" w:space="0" w:color="auto"/>
                            <w:right w:val="none" w:sz="0" w:space="0" w:color="auto"/>
                          </w:divBdr>
                          <w:divsChild>
                            <w:div w:id="1357392701">
                              <w:marLeft w:val="0"/>
                              <w:marRight w:val="0"/>
                              <w:marTop w:val="0"/>
                              <w:marBottom w:val="0"/>
                              <w:divBdr>
                                <w:top w:val="none" w:sz="0" w:space="0" w:color="auto"/>
                                <w:left w:val="none" w:sz="0" w:space="0" w:color="auto"/>
                                <w:bottom w:val="none" w:sz="0" w:space="0" w:color="auto"/>
                                <w:right w:val="none" w:sz="0" w:space="0" w:color="auto"/>
                              </w:divBdr>
                              <w:divsChild>
                                <w:div w:id="741567020">
                                  <w:marLeft w:val="0"/>
                                  <w:marRight w:val="0"/>
                                  <w:marTop w:val="0"/>
                                  <w:marBottom w:val="0"/>
                                  <w:divBdr>
                                    <w:top w:val="none" w:sz="0" w:space="0" w:color="auto"/>
                                    <w:left w:val="none" w:sz="0" w:space="0" w:color="auto"/>
                                    <w:bottom w:val="none" w:sz="0" w:space="0" w:color="auto"/>
                                    <w:right w:val="none" w:sz="0" w:space="0" w:color="auto"/>
                                  </w:divBdr>
                                  <w:divsChild>
                                    <w:div w:id="15293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2570">
          <w:marLeft w:val="0"/>
          <w:marRight w:val="0"/>
          <w:marTop w:val="0"/>
          <w:marBottom w:val="0"/>
          <w:divBdr>
            <w:top w:val="none" w:sz="0" w:space="0" w:color="auto"/>
            <w:left w:val="none" w:sz="0" w:space="0" w:color="auto"/>
            <w:bottom w:val="none" w:sz="0" w:space="0" w:color="auto"/>
            <w:right w:val="none" w:sz="0" w:space="0" w:color="auto"/>
          </w:divBdr>
          <w:divsChild>
            <w:div w:id="644623903">
              <w:marLeft w:val="0"/>
              <w:marRight w:val="0"/>
              <w:marTop w:val="0"/>
              <w:marBottom w:val="0"/>
              <w:divBdr>
                <w:top w:val="none" w:sz="0" w:space="0" w:color="auto"/>
                <w:left w:val="none" w:sz="0" w:space="0" w:color="auto"/>
                <w:bottom w:val="none" w:sz="0" w:space="0" w:color="auto"/>
                <w:right w:val="none" w:sz="0" w:space="0" w:color="auto"/>
              </w:divBdr>
              <w:divsChild>
                <w:div w:id="797842058">
                  <w:marLeft w:val="0"/>
                  <w:marRight w:val="0"/>
                  <w:marTop w:val="0"/>
                  <w:marBottom w:val="0"/>
                  <w:divBdr>
                    <w:top w:val="none" w:sz="0" w:space="0" w:color="auto"/>
                    <w:left w:val="none" w:sz="0" w:space="0" w:color="auto"/>
                    <w:bottom w:val="none" w:sz="0" w:space="0" w:color="auto"/>
                    <w:right w:val="none" w:sz="0" w:space="0" w:color="auto"/>
                  </w:divBdr>
                  <w:divsChild>
                    <w:div w:id="1764566847">
                      <w:marLeft w:val="0"/>
                      <w:marRight w:val="0"/>
                      <w:marTop w:val="0"/>
                      <w:marBottom w:val="0"/>
                      <w:divBdr>
                        <w:top w:val="none" w:sz="0" w:space="0" w:color="auto"/>
                        <w:left w:val="none" w:sz="0" w:space="0" w:color="auto"/>
                        <w:bottom w:val="none" w:sz="0" w:space="0" w:color="auto"/>
                        <w:right w:val="none" w:sz="0" w:space="0" w:color="auto"/>
                      </w:divBdr>
                      <w:divsChild>
                        <w:div w:id="1694528900">
                          <w:marLeft w:val="0"/>
                          <w:marRight w:val="0"/>
                          <w:marTop w:val="0"/>
                          <w:marBottom w:val="0"/>
                          <w:divBdr>
                            <w:top w:val="none" w:sz="0" w:space="0" w:color="auto"/>
                            <w:left w:val="none" w:sz="0" w:space="0" w:color="auto"/>
                            <w:bottom w:val="none" w:sz="0" w:space="0" w:color="auto"/>
                            <w:right w:val="none" w:sz="0" w:space="0" w:color="auto"/>
                          </w:divBdr>
                          <w:divsChild>
                            <w:div w:id="2009675619">
                              <w:marLeft w:val="0"/>
                              <w:marRight w:val="0"/>
                              <w:marTop w:val="0"/>
                              <w:marBottom w:val="0"/>
                              <w:divBdr>
                                <w:top w:val="none" w:sz="0" w:space="0" w:color="auto"/>
                                <w:left w:val="none" w:sz="0" w:space="0" w:color="auto"/>
                                <w:bottom w:val="none" w:sz="0" w:space="0" w:color="auto"/>
                                <w:right w:val="none" w:sz="0" w:space="0" w:color="auto"/>
                              </w:divBdr>
                              <w:divsChild>
                                <w:div w:id="191187916">
                                  <w:marLeft w:val="0"/>
                                  <w:marRight w:val="0"/>
                                  <w:marTop w:val="0"/>
                                  <w:marBottom w:val="0"/>
                                  <w:divBdr>
                                    <w:top w:val="none" w:sz="0" w:space="0" w:color="auto"/>
                                    <w:left w:val="none" w:sz="0" w:space="0" w:color="auto"/>
                                    <w:bottom w:val="none" w:sz="0" w:space="0" w:color="auto"/>
                                    <w:right w:val="none" w:sz="0" w:space="0" w:color="auto"/>
                                  </w:divBdr>
                                  <w:divsChild>
                                    <w:div w:id="767578088">
                                      <w:marLeft w:val="0"/>
                                      <w:marRight w:val="0"/>
                                      <w:marTop w:val="0"/>
                                      <w:marBottom w:val="0"/>
                                      <w:divBdr>
                                        <w:top w:val="none" w:sz="0" w:space="0" w:color="auto"/>
                                        <w:left w:val="none" w:sz="0" w:space="0" w:color="auto"/>
                                        <w:bottom w:val="none" w:sz="0" w:space="0" w:color="auto"/>
                                        <w:right w:val="none" w:sz="0" w:space="0" w:color="auto"/>
                                      </w:divBdr>
                                      <w:divsChild>
                                        <w:div w:id="197744841">
                                          <w:marLeft w:val="0"/>
                                          <w:marRight w:val="0"/>
                                          <w:marTop w:val="0"/>
                                          <w:marBottom w:val="0"/>
                                          <w:divBdr>
                                            <w:top w:val="none" w:sz="0" w:space="0" w:color="auto"/>
                                            <w:left w:val="none" w:sz="0" w:space="0" w:color="auto"/>
                                            <w:bottom w:val="none" w:sz="0" w:space="0" w:color="auto"/>
                                            <w:right w:val="none" w:sz="0" w:space="0" w:color="auto"/>
                                          </w:divBdr>
                                          <w:divsChild>
                                            <w:div w:id="1457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0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planifikimi.gov.al/index.php?eID=dumpFile&amp;t=f&amp;f=8521&amp;token=8205f2aa267ccefe6c1de85d4c33e66cd62e6af5" TargetMode="External"/><Relationship Id="rId3" Type="http://schemas.openxmlformats.org/officeDocument/2006/relationships/styles" Target="styles.xml"/><Relationship Id="rId21" Type="http://schemas.openxmlformats.org/officeDocument/2006/relationships/hyperlink" Target="https://qbz.gov.al/preview/b2df7bee-dc40-4cd3-8f16-044c7a6e12ed/cons/2024041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kep.al/wp-content/uploads/2023/08/Rregullore-Nr.49-date-11.03.2021-Per-mbrojtjen-e-konsumatorit-dhe-pajtimtarit-komunikime-elektronike-publik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file:///C:\Users\Albana\Downloads\10%2003%202026%20Total%20buxhet%20%20draft%20rv.xlsx" TargetMode="External"/><Relationship Id="rId10" Type="http://schemas.openxmlformats.org/officeDocument/2006/relationships/chart" Target="charts/chart1.xml"/><Relationship Id="rId19" Type="http://schemas.openxmlformats.org/officeDocument/2006/relationships/hyperlink" Target="https://planifikimi.gov.al/index.php?eID=dumpFile&amp;t=f&amp;f=8492&amp;token=347eabbceb5fe92f0c96e264b31f5ef2cacb2cb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qbz.gov.al/eli/vendim/2022/10/05/646/c589454f-528b-4d29-82e0-cb84622fcd9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dialook.al/wp-content/uploads/2024/01/Plani-i-Veprimit-per-Shendetin-Mendor-2023-2026.pdf" TargetMode="External"/><Relationship Id="rId2" Type="http://schemas.openxmlformats.org/officeDocument/2006/relationships/hyperlink" Target="https://www.drejtesia.gov.al/plani-i-veprimit-te-strategjise-ndersektoriale-te-drejtesise/" TargetMode="External"/><Relationship Id="rId1" Type="http://schemas.openxmlformats.org/officeDocument/2006/relationships/hyperlink" Target="https://www.kryeministria.al/strategjia-kombetare-per-zhvillim-dhe-integrim-evropian-skzhie/" TargetMode="External"/><Relationship Id="rId5" Type="http://schemas.openxmlformats.org/officeDocument/2006/relationships/hyperlink" Target="https://www.instat.gov.al/media/3973/ligj-nr-17-dt-542018_per-statistikat-zyrtare.pdf" TargetMode="External"/><Relationship Id="rId4" Type="http://schemas.openxmlformats.org/officeDocument/2006/relationships/hyperlink" Target="https://sdgs.un.org/2030agend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bana\Downloads\10%2003%202026%20Total%20buxhet%20%20draft%20r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bana\Downloads\10%2003%202026%20Total%20buxhet%20%20draft%20r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Kosto në % sipas burimeve të financimit të PVKPAK 2026-2030</a:t>
            </a:r>
          </a:p>
        </c:rich>
      </c:tx>
      <c:overlay val="0"/>
    </c:title>
    <c:autoTitleDeleted val="0"/>
    <c:plotArea>
      <c:layout/>
      <c:pieChart>
        <c:varyColors val="1"/>
        <c:ser>
          <c:idx val="0"/>
          <c:order val="0"/>
          <c:explosion val="25"/>
          <c:dLbls>
            <c:dLbl>
              <c:idx val="0"/>
              <c:layout>
                <c:manualLayout>
                  <c:x val="0.13790555664773177"/>
                  <c:y val="-0.1804170508296153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5FE-4CBF-B93B-1F8A6935B01A}"/>
                </c:ext>
              </c:extLst>
            </c:dLbl>
            <c:dLbl>
              <c:idx val="1"/>
              <c:tx>
                <c:rich>
                  <a:bodyPr/>
                  <a:lstStyle/>
                  <a:p>
                    <a:r>
                      <a:rPr lang="en-US"/>
                      <a:t>Financim i  huaj
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FE-4CBF-B93B-1F8A6935B01A}"/>
                </c:ext>
              </c:extLst>
            </c:dLbl>
            <c:spPr>
              <a:noFill/>
              <a:ln>
                <a:noFill/>
              </a:ln>
              <a:effectLst/>
            </c:spPr>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'[10 03 2026 Total buxhet  draft rv.xlsx]Grafik Tabela'!$D$16:$F$16</c:f>
              <c:strCache>
                <c:ptCount val="3"/>
                <c:pt idx="0">
                  <c:v>Kosto nga Buxheti i Shtetit</c:v>
                </c:pt>
                <c:pt idx="1">
                  <c:v>Financim i  huaj</c:v>
                </c:pt>
                <c:pt idx="2">
                  <c:v>Hendeku financiar </c:v>
                </c:pt>
              </c:strCache>
            </c:strRef>
          </c:cat>
          <c:val>
            <c:numRef>
              <c:f>'[10 03 2026 Total buxhet  draft rv.xlsx]Grafik Tabela'!$D$17:$F$17</c:f>
              <c:numCache>
                <c:formatCode>0.00%</c:formatCode>
                <c:ptCount val="3"/>
                <c:pt idx="0" formatCode="0%">
                  <c:v>0.79386149902144698</c:v>
                </c:pt>
                <c:pt idx="1">
                  <c:v>2.0163004830789425E-2</c:v>
                </c:pt>
                <c:pt idx="2" formatCode="0%">
                  <c:v>0.18597549614776354</c:v>
                </c:pt>
              </c:numCache>
            </c:numRef>
          </c:val>
          <c:extLst>
            <c:ext xmlns:c16="http://schemas.microsoft.com/office/drawing/2014/chart" uri="{C3380CC4-5D6E-409C-BE32-E72D297353CC}">
              <c16:uniqueId val="{00000002-B5FE-4CBF-B93B-1F8A6935B01A}"/>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Kosto në</a:t>
            </a:r>
            <a:r>
              <a:rPr lang="en-US" sz="1100" baseline="0">
                <a:latin typeface="Times New Roman" pitchFamily="18" charset="0"/>
                <a:cs typeface="Times New Roman" pitchFamily="18" charset="0"/>
              </a:rPr>
              <a:t> % sipas burimeve financiare për çdo Fushë të PVKPAK 2026-2030</a:t>
            </a:r>
            <a:endParaRPr lang="en-US" sz="11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'[10 03 2026 Total buxhet  draft rv.xlsx]Grafik Tabela'!$D$19</c:f>
              <c:strCache>
                <c:ptCount val="1"/>
                <c:pt idx="0">
                  <c:v>Kosto nga Buxheti i Shtetit</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 03 2026 Total buxhet  draft rv.xlsx]Grafik Tabela'!$C$20:$C$27</c:f>
              <c:strCache>
                <c:ptCount val="8"/>
                <c:pt idx="0">
                  <c:v>AKSESUESHMËRIA</c:v>
                </c:pt>
                <c:pt idx="1">
                  <c:v>DREJTËSIA</c:v>
                </c:pt>
                <c:pt idx="2">
                  <c:v>PUNËSIMI DHE AFTËSIMI</c:v>
                </c:pt>
                <c:pt idx="3">
                  <c:v>ARSIMI</c:v>
                </c:pt>
                <c:pt idx="4">
                  <c:v>MBROJTJA SOCIALE</c:v>
                </c:pt>
                <c:pt idx="5">
                  <c:v>SHËNDETËSIA</c:v>
                </c:pt>
                <c:pt idx="6">
                  <c:v>PERFSHIRJA NE JETEN PUBLIKE DHE POLITIKE</c:v>
                </c:pt>
                <c:pt idx="7">
                  <c:v>BASHKËPUNIMI DHE KOORDINIMI NDËRINSTITUCIONAL</c:v>
                </c:pt>
              </c:strCache>
            </c:strRef>
          </c:cat>
          <c:val>
            <c:numRef>
              <c:f>'[10 03 2026 Total buxhet  draft rv.xlsx]Grafik Tabela'!$D$20:$D$27</c:f>
              <c:numCache>
                <c:formatCode>0.00%</c:formatCode>
                <c:ptCount val="8"/>
                <c:pt idx="0">
                  <c:v>0.70977697501850257</c:v>
                </c:pt>
                <c:pt idx="1">
                  <c:v>0.89413724060224242</c:v>
                </c:pt>
                <c:pt idx="2">
                  <c:v>0.85999540465442714</c:v>
                </c:pt>
                <c:pt idx="3">
                  <c:v>0.76749968217472619</c:v>
                </c:pt>
                <c:pt idx="4">
                  <c:v>0.72012843295342943</c:v>
                </c:pt>
                <c:pt idx="5">
                  <c:v>0.72421882277445271</c:v>
                </c:pt>
                <c:pt idx="6">
                  <c:v>0.86978020826785674</c:v>
                </c:pt>
                <c:pt idx="7">
                  <c:v>0.5032385306707905</c:v>
                </c:pt>
              </c:numCache>
            </c:numRef>
          </c:val>
          <c:extLst>
            <c:ext xmlns:c16="http://schemas.microsoft.com/office/drawing/2014/chart" uri="{C3380CC4-5D6E-409C-BE32-E72D297353CC}">
              <c16:uniqueId val="{00000000-8501-49AD-A3D4-A777D2AF023D}"/>
            </c:ext>
          </c:extLst>
        </c:ser>
        <c:ser>
          <c:idx val="1"/>
          <c:order val="1"/>
          <c:tx>
            <c:strRef>
              <c:f>'[10 03 2026 Total buxhet  draft rv.xlsx]Grafik Tabela'!$E$19</c:f>
              <c:strCache>
                <c:ptCount val="1"/>
                <c:pt idx="0">
                  <c:v>Financim i  huaj</c:v>
                </c:pt>
              </c:strCache>
            </c:strRef>
          </c:tx>
          <c:invertIfNegative val="0"/>
          <c:dLbls>
            <c:spPr>
              <a:noFill/>
              <a:ln>
                <a:noFill/>
              </a:ln>
              <a:effectLst/>
            </c:spPr>
            <c:txPr>
              <a:bodyPr/>
              <a:lstStyle/>
              <a:p>
                <a:pPr>
                  <a:defRPr sz="7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 03 2026 Total buxhet  draft rv.xlsx]Grafik Tabela'!$C$20:$C$27</c:f>
              <c:strCache>
                <c:ptCount val="8"/>
                <c:pt idx="0">
                  <c:v>AKSESUESHMËRIA</c:v>
                </c:pt>
                <c:pt idx="1">
                  <c:v>DREJTËSIA</c:v>
                </c:pt>
                <c:pt idx="2">
                  <c:v>PUNËSIMI DHE AFTËSIMI</c:v>
                </c:pt>
                <c:pt idx="3">
                  <c:v>ARSIMI</c:v>
                </c:pt>
                <c:pt idx="4">
                  <c:v>MBROJTJA SOCIALE</c:v>
                </c:pt>
                <c:pt idx="5">
                  <c:v>SHËNDETËSIA</c:v>
                </c:pt>
                <c:pt idx="6">
                  <c:v>PERFSHIRJA NE JETEN PUBLIKE DHE POLITIKE</c:v>
                </c:pt>
                <c:pt idx="7">
                  <c:v>BASHKËPUNIMI DHE KOORDINIMI NDËRINSTITUCIONAL</c:v>
                </c:pt>
              </c:strCache>
            </c:strRef>
          </c:cat>
          <c:val>
            <c:numRef>
              <c:f>'[10 03 2026 Total buxhet  draft rv.xlsx]Grafik Tabela'!$E$20:$E$27</c:f>
              <c:numCache>
                <c:formatCode>0.00%</c:formatCode>
                <c:ptCount val="8"/>
                <c:pt idx="0">
                  <c:v>8.1631123978645803E-2</c:v>
                </c:pt>
                <c:pt idx="1">
                  <c:v>1.8538069751576611E-2</c:v>
                </c:pt>
                <c:pt idx="2">
                  <c:v>0</c:v>
                </c:pt>
                <c:pt idx="3">
                  <c:v>5.5427120067710377E-3</c:v>
                </c:pt>
                <c:pt idx="4">
                  <c:v>1.1226251620096514E-2</c:v>
                </c:pt>
                <c:pt idx="5">
                  <c:v>7.0311639142690979E-2</c:v>
                </c:pt>
                <c:pt idx="6">
                  <c:v>8.0667127621681642E-2</c:v>
                </c:pt>
                <c:pt idx="7">
                  <c:v>0.4080100405656783</c:v>
                </c:pt>
              </c:numCache>
            </c:numRef>
          </c:val>
          <c:extLst>
            <c:ext xmlns:c16="http://schemas.microsoft.com/office/drawing/2014/chart" uri="{C3380CC4-5D6E-409C-BE32-E72D297353CC}">
              <c16:uniqueId val="{00000001-8501-49AD-A3D4-A777D2AF023D}"/>
            </c:ext>
          </c:extLst>
        </c:ser>
        <c:ser>
          <c:idx val="2"/>
          <c:order val="2"/>
          <c:tx>
            <c:strRef>
              <c:f>'[10 03 2026 Total buxhet  draft rv.xlsx]Grafik Tabela'!$F$19</c:f>
              <c:strCache>
                <c:ptCount val="1"/>
                <c:pt idx="0">
                  <c:v>Hendeku financiar </c:v>
                </c:pt>
              </c:strCache>
            </c:strRef>
          </c:tx>
          <c:invertIfNegative val="0"/>
          <c:dLbls>
            <c:spPr>
              <a:noFill/>
              <a:ln>
                <a:noFill/>
              </a:ln>
              <a:effectLst/>
            </c:spPr>
            <c:txPr>
              <a:bodyPr/>
              <a:lstStyle/>
              <a:p>
                <a:pPr>
                  <a:defRPr sz="800" b="1">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 03 2026 Total buxhet  draft rv.xlsx]Grafik Tabela'!$C$20:$C$27</c:f>
              <c:strCache>
                <c:ptCount val="8"/>
                <c:pt idx="0">
                  <c:v>AKSESUESHMËRIA</c:v>
                </c:pt>
                <c:pt idx="1">
                  <c:v>DREJTËSIA</c:v>
                </c:pt>
                <c:pt idx="2">
                  <c:v>PUNËSIMI DHE AFTËSIMI</c:v>
                </c:pt>
                <c:pt idx="3">
                  <c:v>ARSIMI</c:v>
                </c:pt>
                <c:pt idx="4">
                  <c:v>MBROJTJA SOCIALE</c:v>
                </c:pt>
                <c:pt idx="5">
                  <c:v>SHËNDETËSIA</c:v>
                </c:pt>
                <c:pt idx="6">
                  <c:v>PERFSHIRJA NE JETEN PUBLIKE DHE POLITIKE</c:v>
                </c:pt>
                <c:pt idx="7">
                  <c:v>BASHKËPUNIMI DHE KOORDINIMI NDËRINSTITUCIONAL</c:v>
                </c:pt>
              </c:strCache>
            </c:strRef>
          </c:cat>
          <c:val>
            <c:numRef>
              <c:f>'[10 03 2026 Total buxhet  draft rv.xlsx]Grafik Tabela'!$F$20:$F$27</c:f>
              <c:numCache>
                <c:formatCode>0.00%</c:formatCode>
                <c:ptCount val="8"/>
                <c:pt idx="0">
                  <c:v>0.20859190100285174</c:v>
                </c:pt>
                <c:pt idx="1">
                  <c:v>8.7324689646181036E-2</c:v>
                </c:pt>
                <c:pt idx="2">
                  <c:v>0.14000459534557277</c:v>
                </c:pt>
                <c:pt idx="3">
                  <c:v>0.22695760581850269</c:v>
                </c:pt>
                <c:pt idx="4">
                  <c:v>0.26864531542647413</c:v>
                </c:pt>
                <c:pt idx="5">
                  <c:v>0.20546953808285617</c:v>
                </c:pt>
                <c:pt idx="6">
                  <c:v>4.9552664110461581E-2</c:v>
                </c:pt>
                <c:pt idx="7">
                  <c:v>8.8751428763531232E-2</c:v>
                </c:pt>
              </c:numCache>
            </c:numRef>
          </c:val>
          <c:extLst>
            <c:ext xmlns:c16="http://schemas.microsoft.com/office/drawing/2014/chart" uri="{C3380CC4-5D6E-409C-BE32-E72D297353CC}">
              <c16:uniqueId val="{00000002-8501-49AD-A3D4-A777D2AF023D}"/>
            </c:ext>
          </c:extLst>
        </c:ser>
        <c:dLbls>
          <c:showLegendKey val="0"/>
          <c:showVal val="1"/>
          <c:showCatName val="0"/>
          <c:showSerName val="0"/>
          <c:showPercent val="0"/>
          <c:showBubbleSize val="0"/>
        </c:dLbls>
        <c:gapWidth val="150"/>
        <c:overlap val="-25"/>
        <c:axId val="141954432"/>
        <c:axId val="141960320"/>
      </c:barChart>
      <c:catAx>
        <c:axId val="141954432"/>
        <c:scaling>
          <c:orientation val="minMax"/>
        </c:scaling>
        <c:delete val="0"/>
        <c:axPos val="b"/>
        <c:numFmt formatCode="General" sourceLinked="0"/>
        <c:majorTickMark val="none"/>
        <c:minorTickMark val="none"/>
        <c:tickLblPos val="nextTo"/>
        <c:txPr>
          <a:bodyPr/>
          <a:lstStyle/>
          <a:p>
            <a:pPr>
              <a:defRPr sz="700">
                <a:latin typeface="Times New Roman" pitchFamily="18" charset="0"/>
                <a:cs typeface="Times New Roman" pitchFamily="18" charset="0"/>
              </a:defRPr>
            </a:pPr>
            <a:endParaRPr lang="en-US"/>
          </a:p>
        </c:txPr>
        <c:crossAx val="141960320"/>
        <c:crosses val="autoZero"/>
        <c:auto val="1"/>
        <c:lblAlgn val="ctr"/>
        <c:lblOffset val="100"/>
        <c:noMultiLvlLbl val="0"/>
      </c:catAx>
      <c:valAx>
        <c:axId val="141960320"/>
        <c:scaling>
          <c:orientation val="minMax"/>
        </c:scaling>
        <c:delete val="1"/>
        <c:axPos val="l"/>
        <c:numFmt formatCode="0.00%" sourceLinked="1"/>
        <c:majorTickMark val="out"/>
        <c:minorTickMark val="none"/>
        <c:tickLblPos val="nextTo"/>
        <c:crossAx val="141954432"/>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2EEB-06AB-4E53-9986-E181BBC1C84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185</Pages>
  <Words>67985</Words>
  <Characters>387516</Characters>
  <Application>Microsoft Office Word</Application>
  <DocSecurity>0</DocSecurity>
  <Lines>3229</Lines>
  <Paragraphs>909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Blerta Drenofci</dc:creator>
  <cp:lastModifiedBy>User</cp:lastModifiedBy>
  <cp:revision>2</cp:revision>
  <cp:lastPrinted>2026-02-27T16:44:00Z</cp:lastPrinted>
  <dcterms:created xsi:type="dcterms:W3CDTF">2026-03-18T08:41:00Z</dcterms:created>
  <dcterms:modified xsi:type="dcterms:W3CDTF">2026-03-18T08:41:00Z</dcterms:modified>
</cp:coreProperties>
</file>