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B137B" w14:textId="75365876" w:rsidR="00CA2C7B" w:rsidRPr="00181911" w:rsidRDefault="00CA2C7B">
      <w:pPr>
        <w:spacing w:line="276" w:lineRule="auto"/>
        <w:jc w:val="center"/>
        <w:rPr>
          <w:b/>
          <w:sz w:val="28"/>
          <w:szCs w:val="28"/>
        </w:rPr>
      </w:pPr>
      <w:bookmarkStart w:id="0" w:name="_GoBack"/>
      <w:bookmarkEnd w:id="0"/>
      <w:r w:rsidRPr="00181911">
        <w:rPr>
          <w:noProof/>
          <w:sz w:val="28"/>
          <w:szCs w:val="28"/>
          <w:lang w:val="en-US" w:eastAsia="en-US"/>
        </w:rPr>
        <w:drawing>
          <wp:anchor distT="0" distB="0" distL="114300" distR="114300" simplePos="0" relativeHeight="251659264" behindDoc="0" locked="0" layoutInCell="1" hidden="0" allowOverlap="1" wp14:anchorId="40EC9AC8" wp14:editId="09B3408A">
            <wp:simplePos x="0" y="0"/>
            <wp:positionH relativeFrom="column">
              <wp:posOffset>-787940</wp:posOffset>
            </wp:positionH>
            <wp:positionV relativeFrom="paragraph">
              <wp:posOffset>-525928</wp:posOffset>
            </wp:positionV>
            <wp:extent cx="7560945" cy="1352550"/>
            <wp:effectExtent l="0" t="0" r="0" b="0"/>
            <wp:wrapNone/>
            <wp:docPr id="3" name="image3.png" descr="Leter me koke Keshilli i ministrave-1-01"/>
            <wp:cNvGraphicFramePr/>
            <a:graphic xmlns:a="http://schemas.openxmlformats.org/drawingml/2006/main">
              <a:graphicData uri="http://schemas.openxmlformats.org/drawingml/2006/picture">
                <pic:pic xmlns:pic="http://schemas.openxmlformats.org/drawingml/2006/picture">
                  <pic:nvPicPr>
                    <pic:cNvPr id="0" name="image3.png" descr="Leter me koke Keshilli i ministrave-1-01"/>
                    <pic:cNvPicPr preferRelativeResize="0"/>
                  </pic:nvPicPr>
                  <pic:blipFill>
                    <a:blip r:embed="rId8"/>
                    <a:srcRect/>
                    <a:stretch>
                      <a:fillRect/>
                    </a:stretch>
                  </pic:blipFill>
                  <pic:spPr>
                    <a:xfrm>
                      <a:off x="0" y="0"/>
                      <a:ext cx="7560945" cy="1352550"/>
                    </a:xfrm>
                    <a:prstGeom prst="rect">
                      <a:avLst/>
                    </a:prstGeom>
                    <a:ln/>
                  </pic:spPr>
                </pic:pic>
              </a:graphicData>
            </a:graphic>
          </wp:anchor>
        </w:drawing>
      </w:r>
    </w:p>
    <w:p w14:paraId="7DEED1DD" w14:textId="77777777" w:rsidR="00CA2C7B" w:rsidRPr="00181911" w:rsidRDefault="00CA2C7B">
      <w:pPr>
        <w:spacing w:line="276" w:lineRule="auto"/>
        <w:jc w:val="center"/>
        <w:rPr>
          <w:b/>
          <w:sz w:val="28"/>
          <w:szCs w:val="28"/>
        </w:rPr>
      </w:pPr>
    </w:p>
    <w:p w14:paraId="72BEF09B" w14:textId="77777777" w:rsidR="00CA2C7B" w:rsidRPr="00181911" w:rsidRDefault="00CA2C7B">
      <w:pPr>
        <w:spacing w:line="276" w:lineRule="auto"/>
        <w:jc w:val="center"/>
        <w:rPr>
          <w:b/>
          <w:sz w:val="28"/>
          <w:szCs w:val="28"/>
        </w:rPr>
      </w:pPr>
    </w:p>
    <w:p w14:paraId="758D2617" w14:textId="77777777" w:rsidR="00CA2C7B" w:rsidRPr="00181911" w:rsidRDefault="00CA2C7B">
      <w:pPr>
        <w:spacing w:line="276" w:lineRule="auto"/>
        <w:jc w:val="center"/>
        <w:rPr>
          <w:b/>
          <w:sz w:val="28"/>
          <w:szCs w:val="28"/>
        </w:rPr>
      </w:pPr>
    </w:p>
    <w:p w14:paraId="3D1C11EF" w14:textId="77777777" w:rsidR="00CA2C7B" w:rsidRPr="00181911" w:rsidRDefault="00CA2C7B">
      <w:pPr>
        <w:spacing w:line="276" w:lineRule="auto"/>
        <w:jc w:val="center"/>
        <w:rPr>
          <w:b/>
          <w:sz w:val="28"/>
          <w:szCs w:val="28"/>
        </w:rPr>
      </w:pPr>
    </w:p>
    <w:p w14:paraId="1E4BB37C" w14:textId="77777777" w:rsidR="00CA2C7B" w:rsidRPr="00181911" w:rsidRDefault="00CA2C7B">
      <w:pPr>
        <w:spacing w:line="276" w:lineRule="auto"/>
        <w:jc w:val="center"/>
        <w:rPr>
          <w:b/>
          <w:sz w:val="28"/>
          <w:szCs w:val="28"/>
        </w:rPr>
      </w:pPr>
    </w:p>
    <w:p w14:paraId="00000001" w14:textId="3CBF9F36" w:rsidR="00C117EA" w:rsidRPr="00181911" w:rsidRDefault="00B74936">
      <w:pPr>
        <w:spacing w:line="276" w:lineRule="auto"/>
        <w:jc w:val="center"/>
        <w:rPr>
          <w:b/>
          <w:sz w:val="28"/>
          <w:szCs w:val="28"/>
        </w:rPr>
      </w:pPr>
      <w:r w:rsidRPr="00181911">
        <w:rPr>
          <w:b/>
          <w:sz w:val="28"/>
          <w:szCs w:val="28"/>
        </w:rPr>
        <w:t xml:space="preserve">RELACION </w:t>
      </w:r>
    </w:p>
    <w:p w14:paraId="17059348" w14:textId="77777777" w:rsidR="00A256C0" w:rsidRPr="00181911" w:rsidRDefault="00A256C0">
      <w:pPr>
        <w:spacing w:line="276" w:lineRule="auto"/>
        <w:jc w:val="center"/>
        <w:rPr>
          <w:b/>
          <w:sz w:val="28"/>
          <w:szCs w:val="28"/>
        </w:rPr>
      </w:pPr>
    </w:p>
    <w:p w14:paraId="00000002" w14:textId="77777777" w:rsidR="00C117EA" w:rsidRPr="00181911" w:rsidRDefault="00B74936">
      <w:pPr>
        <w:spacing w:line="276" w:lineRule="auto"/>
        <w:jc w:val="center"/>
        <w:rPr>
          <w:b/>
          <w:sz w:val="28"/>
          <w:szCs w:val="28"/>
        </w:rPr>
      </w:pPr>
      <w:r w:rsidRPr="00181911">
        <w:rPr>
          <w:b/>
          <w:sz w:val="28"/>
          <w:szCs w:val="28"/>
        </w:rPr>
        <w:t>PËR PROJEKTVENDIMIN</w:t>
      </w:r>
    </w:p>
    <w:p w14:paraId="77D921D5" w14:textId="77777777" w:rsidR="00FF6D21" w:rsidRPr="00181911" w:rsidRDefault="00FF6D21" w:rsidP="00FF6D21">
      <w:pPr>
        <w:keepNext/>
        <w:widowControl w:val="0"/>
        <w:spacing w:line="288" w:lineRule="auto"/>
        <w:jc w:val="center"/>
        <w:outlineLvl w:val="2"/>
        <w:rPr>
          <w:rFonts w:eastAsia="MS Mincho"/>
          <w:b/>
          <w:bCs/>
          <w:sz w:val="28"/>
          <w:szCs w:val="28"/>
          <w:lang w:eastAsia="en-US"/>
        </w:rPr>
      </w:pPr>
      <w:bookmarkStart w:id="1" w:name="_Toc183716473"/>
    </w:p>
    <w:p w14:paraId="2BC2C5E0" w14:textId="6FDDBDC1" w:rsidR="00FF6D21" w:rsidRPr="00181911" w:rsidRDefault="00FF6D21" w:rsidP="009C5052">
      <w:pPr>
        <w:keepNext/>
        <w:widowControl w:val="0"/>
        <w:spacing w:line="288" w:lineRule="auto"/>
        <w:jc w:val="center"/>
        <w:outlineLvl w:val="2"/>
        <w:rPr>
          <w:rFonts w:eastAsia="MS Mincho"/>
          <w:b/>
          <w:bCs/>
          <w:sz w:val="28"/>
          <w:szCs w:val="28"/>
          <w:lang w:val="en-GB" w:eastAsia="en-US"/>
        </w:rPr>
      </w:pPr>
      <w:r w:rsidRPr="00181911">
        <w:rPr>
          <w:rFonts w:eastAsia="MS Mincho"/>
          <w:b/>
          <w:bCs/>
          <w:sz w:val="28"/>
          <w:szCs w:val="28"/>
          <w:lang w:eastAsia="en-US"/>
        </w:rPr>
        <w:t>“</w:t>
      </w:r>
      <w:r w:rsidR="00C71B82" w:rsidRPr="00181911">
        <w:rPr>
          <w:rFonts w:eastAsia="MS Mincho"/>
          <w:b/>
          <w:bCs/>
          <w:sz w:val="28"/>
          <w:szCs w:val="28"/>
          <w:lang w:val="en-GB" w:eastAsia="en-US"/>
        </w:rPr>
        <w:t xml:space="preserve">PËR METODOLOGJINË E KRIJIMIT TË PARTNERETIT PËR PËRGATITJEN, ZBATIMIN, MONITORIMIN DHE VLERËSIMIN E FONDEVE TË POLITIKAVE TË KOHEZIONIT </w:t>
      </w:r>
      <w:r w:rsidR="00C71B82" w:rsidRPr="00181911">
        <w:rPr>
          <w:rFonts w:eastAsia="MS Mincho"/>
          <w:b/>
          <w:bCs/>
          <w:sz w:val="28"/>
          <w:szCs w:val="28"/>
          <w:lang w:eastAsia="en-US"/>
        </w:rPr>
        <w:t xml:space="preserve">TË </w:t>
      </w:r>
      <w:r w:rsidR="00C71B82" w:rsidRPr="00181911">
        <w:rPr>
          <w:rFonts w:eastAsia="MS Mincho"/>
          <w:b/>
          <w:bCs/>
          <w:sz w:val="28"/>
          <w:szCs w:val="28"/>
          <w:lang w:val="en-GB" w:eastAsia="en-US"/>
        </w:rPr>
        <w:t>B</w:t>
      </w:r>
      <w:r w:rsidR="00C71B82" w:rsidRPr="00181911">
        <w:rPr>
          <w:rFonts w:eastAsia="MS Mincho"/>
          <w:b/>
          <w:bCs/>
          <w:sz w:val="28"/>
          <w:szCs w:val="28"/>
          <w:lang w:eastAsia="en-US"/>
        </w:rPr>
        <w:t>E-SË</w:t>
      </w:r>
      <w:r w:rsidR="00C71B82" w:rsidRPr="00181911">
        <w:rPr>
          <w:rFonts w:eastAsia="MS Mincho"/>
          <w:b/>
          <w:bCs/>
          <w:sz w:val="28"/>
          <w:szCs w:val="28"/>
          <w:lang w:val="en-GB" w:eastAsia="en-US"/>
        </w:rPr>
        <w:t xml:space="preserve"> NË REPUBLIKËN E SHQIPËRISË</w:t>
      </w:r>
      <w:r w:rsidRPr="00181911">
        <w:rPr>
          <w:b/>
          <w:bCs/>
          <w:color w:val="000000"/>
          <w:sz w:val="28"/>
          <w:szCs w:val="28"/>
          <w:lang w:eastAsia="ar-SA"/>
        </w:rPr>
        <w:t>”</w:t>
      </w:r>
      <w:bookmarkEnd w:id="1"/>
    </w:p>
    <w:p w14:paraId="14C3745C" w14:textId="77777777" w:rsidR="00E4064F" w:rsidRPr="00181911" w:rsidRDefault="00E4064F">
      <w:pPr>
        <w:spacing w:line="276" w:lineRule="auto"/>
        <w:jc w:val="both"/>
        <w:rPr>
          <w:b/>
          <w:sz w:val="28"/>
          <w:szCs w:val="28"/>
        </w:rPr>
      </w:pPr>
    </w:p>
    <w:p w14:paraId="00000005" w14:textId="77777777" w:rsidR="00C117EA" w:rsidRPr="00181911" w:rsidRDefault="00B74936">
      <w:pPr>
        <w:spacing w:line="276" w:lineRule="auto"/>
        <w:jc w:val="both"/>
        <w:rPr>
          <w:b/>
          <w:sz w:val="28"/>
          <w:szCs w:val="28"/>
        </w:rPr>
      </w:pPr>
      <w:r w:rsidRPr="00181911">
        <w:rPr>
          <w:b/>
          <w:sz w:val="28"/>
          <w:szCs w:val="28"/>
        </w:rPr>
        <w:t>I. QËLLIMI I PROJEKTAKTIT DHE OBJEKTIVAT QË SYNOHEN TË ARRIHEN</w:t>
      </w:r>
    </w:p>
    <w:p w14:paraId="07A0E3F4" w14:textId="4F18E7E7" w:rsidR="00A63A6C" w:rsidRPr="00181911" w:rsidRDefault="00B74936" w:rsidP="00A63A6C">
      <w:pPr>
        <w:pBdr>
          <w:top w:val="nil"/>
          <w:left w:val="nil"/>
          <w:bottom w:val="nil"/>
          <w:right w:val="nil"/>
          <w:between w:val="nil"/>
        </w:pBdr>
        <w:spacing w:before="280" w:after="280" w:line="276" w:lineRule="auto"/>
        <w:jc w:val="both"/>
        <w:rPr>
          <w:color w:val="000000"/>
          <w:sz w:val="28"/>
          <w:szCs w:val="28"/>
        </w:rPr>
      </w:pPr>
      <w:r w:rsidRPr="00181911">
        <w:rPr>
          <w:color w:val="000000"/>
          <w:sz w:val="28"/>
          <w:szCs w:val="28"/>
        </w:rPr>
        <w:t>Ministri i Shtetit për</w:t>
      </w:r>
      <w:r w:rsidR="00AF6761" w:rsidRPr="00181911">
        <w:rPr>
          <w:color w:val="000000"/>
          <w:sz w:val="28"/>
          <w:szCs w:val="28"/>
        </w:rPr>
        <w:t xml:space="preserve"> Pushtetin Vendor </w:t>
      </w:r>
      <w:r w:rsidR="00167A56" w:rsidRPr="00181911">
        <w:rPr>
          <w:color w:val="000000"/>
          <w:sz w:val="28"/>
          <w:szCs w:val="28"/>
        </w:rPr>
        <w:t>ë</w:t>
      </w:r>
      <w:r w:rsidR="00AF6761" w:rsidRPr="00181911">
        <w:rPr>
          <w:color w:val="000000"/>
          <w:sz w:val="28"/>
          <w:szCs w:val="28"/>
        </w:rPr>
        <w:t>sht</w:t>
      </w:r>
      <w:r w:rsidR="00167A56" w:rsidRPr="00181911">
        <w:rPr>
          <w:color w:val="000000"/>
          <w:sz w:val="28"/>
          <w:szCs w:val="28"/>
        </w:rPr>
        <w:t>ë</w:t>
      </w:r>
      <w:r w:rsidR="00AF6761" w:rsidRPr="00181911">
        <w:rPr>
          <w:color w:val="000000"/>
          <w:sz w:val="28"/>
          <w:szCs w:val="28"/>
        </w:rPr>
        <w:t xml:space="preserve"> angazhuar n</w:t>
      </w:r>
      <w:r w:rsidR="00167A56" w:rsidRPr="00181911">
        <w:rPr>
          <w:color w:val="000000"/>
          <w:sz w:val="28"/>
          <w:szCs w:val="28"/>
        </w:rPr>
        <w:t>ë</w:t>
      </w:r>
      <w:r w:rsidR="00AF6761" w:rsidRPr="00181911">
        <w:rPr>
          <w:color w:val="000000"/>
          <w:sz w:val="28"/>
          <w:szCs w:val="28"/>
        </w:rPr>
        <w:t xml:space="preserve"> p</w:t>
      </w:r>
      <w:r w:rsidR="00167A56" w:rsidRPr="00181911">
        <w:rPr>
          <w:color w:val="000000"/>
          <w:sz w:val="28"/>
          <w:szCs w:val="28"/>
        </w:rPr>
        <w:t>ë</w:t>
      </w:r>
      <w:r w:rsidR="00AF6761" w:rsidRPr="00181911">
        <w:rPr>
          <w:color w:val="000000"/>
          <w:sz w:val="28"/>
          <w:szCs w:val="28"/>
        </w:rPr>
        <w:t>rgatitjen e k</w:t>
      </w:r>
      <w:r w:rsidR="00167A56" w:rsidRPr="00181911">
        <w:rPr>
          <w:color w:val="000000"/>
          <w:sz w:val="28"/>
          <w:szCs w:val="28"/>
        </w:rPr>
        <w:t>ë</w:t>
      </w:r>
      <w:r w:rsidR="00AF6761" w:rsidRPr="00181911">
        <w:rPr>
          <w:color w:val="000000"/>
          <w:sz w:val="28"/>
          <w:szCs w:val="28"/>
        </w:rPr>
        <w:t xml:space="preserve">tij </w:t>
      </w:r>
      <w:r w:rsidRPr="00181911">
        <w:rPr>
          <w:color w:val="000000"/>
          <w:sz w:val="28"/>
          <w:szCs w:val="28"/>
        </w:rPr>
        <w:t xml:space="preserve">projektvendimi në përputhje me fushën e veprimtarisë shtetërore </w:t>
      </w:r>
      <w:r w:rsidR="00735D9A" w:rsidRPr="00181911">
        <w:rPr>
          <w:color w:val="000000"/>
          <w:sz w:val="28"/>
          <w:szCs w:val="28"/>
        </w:rPr>
        <w:t>si negociator përgjegjës për Kapitullin 22 parashikuar n</w:t>
      </w:r>
      <w:r w:rsidR="00506548" w:rsidRPr="00181911">
        <w:rPr>
          <w:color w:val="000000"/>
          <w:sz w:val="28"/>
          <w:szCs w:val="28"/>
        </w:rPr>
        <w:t>ë</w:t>
      </w:r>
      <w:r w:rsidR="00224FC9" w:rsidRPr="00181911">
        <w:rPr>
          <w:color w:val="000000"/>
          <w:sz w:val="28"/>
          <w:szCs w:val="28"/>
        </w:rPr>
        <w:t xml:space="preserve"> </w:t>
      </w:r>
      <w:bookmarkStart w:id="2" w:name="_Hlk154648502"/>
      <w:r w:rsidR="00A63A6C" w:rsidRPr="00181911">
        <w:rPr>
          <w:color w:val="000000"/>
          <w:sz w:val="28"/>
          <w:szCs w:val="28"/>
        </w:rPr>
        <w:t>VKM-në nr.775, datë 13.12.2024 “</w:t>
      </w:r>
      <w:r w:rsidR="00A63A6C" w:rsidRPr="00181911">
        <w:rPr>
          <w:i/>
          <w:iCs/>
          <w:color w:val="000000"/>
          <w:sz w:val="28"/>
          <w:szCs w:val="28"/>
        </w:rPr>
        <w:t>Për përbërjen, rregullat e funksionimit dhe trajtimin financiar të grupit negociator dhe detyrat e Kryenegociatorit për zhvillimin e negociatave të aderimit të Republikës së Shqipërise në Bashkimin Evropian</w:t>
      </w:r>
      <w:r w:rsidR="00A63A6C" w:rsidRPr="00181911">
        <w:rPr>
          <w:color w:val="000000"/>
          <w:sz w:val="28"/>
          <w:szCs w:val="28"/>
        </w:rPr>
        <w:t>”</w:t>
      </w:r>
      <w:r w:rsidR="00735D9A" w:rsidRPr="00181911">
        <w:rPr>
          <w:color w:val="000000"/>
          <w:sz w:val="28"/>
          <w:szCs w:val="28"/>
        </w:rPr>
        <w:t>.</w:t>
      </w:r>
      <w:r w:rsidR="00A63A6C" w:rsidRPr="00181911">
        <w:rPr>
          <w:color w:val="000000"/>
          <w:sz w:val="28"/>
          <w:szCs w:val="28"/>
        </w:rPr>
        <w:t xml:space="preserve"> </w:t>
      </w:r>
    </w:p>
    <w:bookmarkEnd w:id="2"/>
    <w:p w14:paraId="1EDF126D" w14:textId="77777777" w:rsidR="009C5052" w:rsidRPr="00181911" w:rsidRDefault="00B74936" w:rsidP="009C5052">
      <w:pPr>
        <w:pBdr>
          <w:top w:val="nil"/>
          <w:left w:val="nil"/>
          <w:bottom w:val="nil"/>
          <w:right w:val="nil"/>
          <w:between w:val="nil"/>
        </w:pBdr>
        <w:spacing w:before="280" w:after="280" w:line="276" w:lineRule="auto"/>
        <w:jc w:val="both"/>
        <w:rPr>
          <w:color w:val="000000"/>
          <w:sz w:val="28"/>
          <w:szCs w:val="28"/>
        </w:rPr>
      </w:pPr>
      <w:r w:rsidRPr="00181911">
        <w:rPr>
          <w:color w:val="000000"/>
          <w:sz w:val="28"/>
          <w:szCs w:val="28"/>
        </w:rPr>
        <w:t xml:space="preserve">Objekt i këtij </w:t>
      </w:r>
      <w:r w:rsidR="00D7494D" w:rsidRPr="00181911">
        <w:rPr>
          <w:color w:val="000000"/>
          <w:sz w:val="28"/>
          <w:szCs w:val="28"/>
        </w:rPr>
        <w:t>projekt</w:t>
      </w:r>
      <w:r w:rsidRPr="00181911">
        <w:rPr>
          <w:color w:val="000000"/>
          <w:sz w:val="28"/>
          <w:szCs w:val="28"/>
        </w:rPr>
        <w:t>vendimi</w:t>
      </w:r>
      <w:r w:rsidR="00E4064F" w:rsidRPr="00181911">
        <w:rPr>
          <w:color w:val="000000"/>
          <w:sz w:val="28"/>
          <w:szCs w:val="28"/>
        </w:rPr>
        <w:t xml:space="preserve"> </w:t>
      </w:r>
      <w:r w:rsidR="005B596C" w:rsidRPr="00181911">
        <w:rPr>
          <w:color w:val="000000"/>
          <w:sz w:val="28"/>
          <w:szCs w:val="28"/>
        </w:rPr>
        <w:t>ë</w:t>
      </w:r>
      <w:r w:rsidR="00E4064F" w:rsidRPr="00181911">
        <w:rPr>
          <w:color w:val="000000"/>
          <w:sz w:val="28"/>
          <w:szCs w:val="28"/>
        </w:rPr>
        <w:t>sht</w:t>
      </w:r>
      <w:r w:rsidR="005B596C" w:rsidRPr="00181911">
        <w:rPr>
          <w:color w:val="000000"/>
          <w:sz w:val="28"/>
          <w:szCs w:val="28"/>
        </w:rPr>
        <w:t>ë</w:t>
      </w:r>
      <w:r w:rsidR="00E4064F" w:rsidRPr="00181911">
        <w:rPr>
          <w:color w:val="000000"/>
          <w:sz w:val="28"/>
          <w:szCs w:val="28"/>
        </w:rPr>
        <w:t>:</w:t>
      </w:r>
      <w:r w:rsidRPr="00181911">
        <w:rPr>
          <w:color w:val="000000"/>
          <w:sz w:val="28"/>
          <w:szCs w:val="28"/>
        </w:rPr>
        <w:t xml:space="preserve"> </w:t>
      </w:r>
    </w:p>
    <w:p w14:paraId="5D624D9A" w14:textId="1FC38C37" w:rsidR="009C5052" w:rsidRPr="00181911" w:rsidRDefault="009C5052" w:rsidP="00471ECB">
      <w:pPr>
        <w:pStyle w:val="ListParagraph"/>
        <w:numPr>
          <w:ilvl w:val="0"/>
          <w:numId w:val="1"/>
        </w:numPr>
        <w:pBdr>
          <w:top w:val="nil"/>
          <w:left w:val="nil"/>
          <w:bottom w:val="nil"/>
          <w:right w:val="nil"/>
          <w:between w:val="nil"/>
        </w:pBdr>
        <w:spacing w:before="280" w:after="280" w:line="276" w:lineRule="auto"/>
        <w:jc w:val="both"/>
        <w:rPr>
          <w:color w:val="000000"/>
          <w:sz w:val="28"/>
          <w:szCs w:val="28"/>
        </w:rPr>
      </w:pPr>
      <w:r w:rsidRPr="00181911">
        <w:rPr>
          <w:sz w:val="28"/>
          <w:szCs w:val="28"/>
          <w:lang w:eastAsia="ar-SA"/>
        </w:rPr>
        <w:t>Krijimi i nj</w:t>
      </w:r>
      <w:r w:rsidR="0090544E">
        <w:rPr>
          <w:sz w:val="28"/>
          <w:szCs w:val="28"/>
          <w:lang w:eastAsia="ar-SA"/>
        </w:rPr>
        <w:t>ë</w:t>
      </w:r>
      <w:r w:rsidRPr="00181911">
        <w:rPr>
          <w:sz w:val="28"/>
          <w:szCs w:val="28"/>
          <w:lang w:eastAsia="ar-SA"/>
        </w:rPr>
        <w:t xml:space="preserve"> mekanizimi kombëtar</w:t>
      </w:r>
      <w:r w:rsidR="00C04968" w:rsidRPr="00181911">
        <w:rPr>
          <w:sz w:val="28"/>
          <w:szCs w:val="28"/>
          <w:lang w:eastAsia="ar-SA"/>
        </w:rPr>
        <w:t xml:space="preserve"> partneriteti q</w:t>
      </w:r>
      <w:r w:rsidR="0090544E">
        <w:rPr>
          <w:sz w:val="28"/>
          <w:szCs w:val="28"/>
          <w:lang w:eastAsia="ar-SA"/>
        </w:rPr>
        <w:t>ë</w:t>
      </w:r>
      <w:r w:rsidR="00C04968" w:rsidRPr="00181911">
        <w:rPr>
          <w:sz w:val="28"/>
          <w:szCs w:val="28"/>
          <w:lang w:eastAsia="ar-SA"/>
        </w:rPr>
        <w:t xml:space="preserve"> </w:t>
      </w:r>
      <w:r w:rsidR="0090544E">
        <w:rPr>
          <w:sz w:val="28"/>
          <w:szCs w:val="28"/>
          <w:lang w:eastAsia="ar-SA"/>
        </w:rPr>
        <w:t>ë</w:t>
      </w:r>
      <w:r w:rsidR="00C04968" w:rsidRPr="00181911">
        <w:rPr>
          <w:sz w:val="28"/>
          <w:szCs w:val="28"/>
          <w:lang w:eastAsia="ar-SA"/>
        </w:rPr>
        <w:t>sht</w:t>
      </w:r>
      <w:r w:rsidR="0090544E">
        <w:rPr>
          <w:sz w:val="28"/>
          <w:szCs w:val="28"/>
          <w:lang w:eastAsia="ar-SA"/>
        </w:rPr>
        <w:t>ë</w:t>
      </w:r>
      <w:r w:rsidRPr="00181911">
        <w:rPr>
          <w:sz w:val="28"/>
          <w:szCs w:val="28"/>
          <w:lang w:eastAsia="ar-SA"/>
        </w:rPr>
        <w:t xml:space="preserve"> transparent</w:t>
      </w:r>
      <w:r w:rsidR="009F7E0A" w:rsidRPr="00181911">
        <w:rPr>
          <w:sz w:val="28"/>
          <w:szCs w:val="28"/>
          <w:lang w:eastAsia="ar-SA"/>
        </w:rPr>
        <w:t>, gjith</w:t>
      </w:r>
      <w:r w:rsidR="0090544E">
        <w:rPr>
          <w:sz w:val="28"/>
          <w:szCs w:val="28"/>
          <w:lang w:eastAsia="ar-SA"/>
        </w:rPr>
        <w:t>ë</w:t>
      </w:r>
      <w:r w:rsidR="009F7E0A" w:rsidRPr="00181911">
        <w:rPr>
          <w:sz w:val="28"/>
          <w:szCs w:val="28"/>
          <w:lang w:eastAsia="ar-SA"/>
        </w:rPr>
        <w:t>p</w:t>
      </w:r>
      <w:r w:rsidR="0090544E">
        <w:rPr>
          <w:sz w:val="28"/>
          <w:szCs w:val="28"/>
          <w:lang w:eastAsia="ar-SA"/>
        </w:rPr>
        <w:t>ë</w:t>
      </w:r>
      <w:r w:rsidR="009F7E0A" w:rsidRPr="00181911">
        <w:rPr>
          <w:sz w:val="28"/>
          <w:szCs w:val="28"/>
          <w:lang w:eastAsia="ar-SA"/>
        </w:rPr>
        <w:t>rfshir</w:t>
      </w:r>
      <w:r w:rsidR="0090544E">
        <w:rPr>
          <w:sz w:val="28"/>
          <w:szCs w:val="28"/>
          <w:lang w:eastAsia="ar-SA"/>
        </w:rPr>
        <w:t>ë</w:t>
      </w:r>
      <w:r w:rsidR="009F7E0A" w:rsidRPr="00181911">
        <w:rPr>
          <w:sz w:val="28"/>
          <w:szCs w:val="28"/>
          <w:lang w:eastAsia="ar-SA"/>
        </w:rPr>
        <w:t>s</w:t>
      </w:r>
      <w:r w:rsidRPr="00181911">
        <w:rPr>
          <w:sz w:val="28"/>
          <w:szCs w:val="28"/>
          <w:lang w:eastAsia="ar-SA"/>
        </w:rPr>
        <w:t xml:space="preserve"> dhe efikas </w:t>
      </w:r>
      <w:r w:rsidR="009F7E0A" w:rsidRPr="00181911">
        <w:rPr>
          <w:bCs/>
          <w:color w:val="000000"/>
          <w:sz w:val="28"/>
          <w:szCs w:val="28"/>
          <w:lang w:val="en-GB"/>
        </w:rPr>
        <w:t xml:space="preserve">në përputhje me parimin </w:t>
      </w:r>
      <w:r w:rsidR="00C04968" w:rsidRPr="00181911">
        <w:rPr>
          <w:bCs/>
          <w:color w:val="000000"/>
          <w:sz w:val="28"/>
          <w:szCs w:val="28"/>
          <w:lang w:val="en-GB"/>
        </w:rPr>
        <w:t>p</w:t>
      </w:r>
      <w:r w:rsidR="0090544E">
        <w:rPr>
          <w:bCs/>
          <w:color w:val="000000"/>
          <w:sz w:val="28"/>
          <w:szCs w:val="28"/>
          <w:lang w:val="en-GB"/>
        </w:rPr>
        <w:t>ë</w:t>
      </w:r>
      <w:r w:rsidR="00C04968" w:rsidRPr="00181911">
        <w:rPr>
          <w:bCs/>
          <w:color w:val="000000"/>
          <w:sz w:val="28"/>
          <w:szCs w:val="28"/>
          <w:lang w:val="en-GB"/>
        </w:rPr>
        <w:t>r</w:t>
      </w:r>
      <w:r w:rsidR="009F7E0A" w:rsidRPr="00181911">
        <w:rPr>
          <w:bCs/>
          <w:color w:val="000000"/>
          <w:sz w:val="28"/>
          <w:szCs w:val="28"/>
          <w:lang w:val="en-GB"/>
        </w:rPr>
        <w:t xml:space="preserve"> qeverisjes në shumë nivel</w:t>
      </w:r>
      <w:r w:rsidR="008142E8" w:rsidRPr="00181911">
        <w:rPr>
          <w:bCs/>
          <w:color w:val="000000"/>
          <w:sz w:val="28"/>
          <w:szCs w:val="28"/>
          <w:lang w:val="en-GB"/>
        </w:rPr>
        <w:t xml:space="preserve">e, </w:t>
      </w:r>
      <w:r w:rsidRPr="00181911">
        <w:rPr>
          <w:sz w:val="28"/>
          <w:szCs w:val="28"/>
          <w:lang w:eastAsia="ar-SA"/>
        </w:rPr>
        <w:t xml:space="preserve">për </w:t>
      </w:r>
      <w:bookmarkStart w:id="3" w:name="_Hlk198116140"/>
      <w:r w:rsidRPr="00181911">
        <w:rPr>
          <w:sz w:val="28"/>
          <w:szCs w:val="28"/>
          <w:lang w:eastAsia="ar-SA"/>
        </w:rPr>
        <w:t xml:space="preserve">përgatitjen, zbatimin, monitorimin dhe vlerësimin e </w:t>
      </w:r>
      <w:bookmarkStart w:id="4" w:name="_Hlk198120487"/>
      <w:r w:rsidRPr="00181911">
        <w:rPr>
          <w:sz w:val="28"/>
          <w:szCs w:val="28"/>
          <w:lang w:eastAsia="ar-SA"/>
        </w:rPr>
        <w:t>fondeve</w:t>
      </w:r>
      <w:bookmarkStart w:id="5" w:name="_Hlk197019949"/>
      <w:bookmarkEnd w:id="4"/>
      <w:r w:rsidR="00D47D99" w:rsidRPr="00181911">
        <w:rPr>
          <w:sz w:val="28"/>
          <w:szCs w:val="28"/>
          <w:lang w:eastAsia="ar-SA"/>
        </w:rPr>
        <w:t xml:space="preserve"> t</w:t>
      </w:r>
      <w:r w:rsidR="0090544E">
        <w:rPr>
          <w:sz w:val="28"/>
          <w:szCs w:val="28"/>
          <w:lang w:eastAsia="ar-SA"/>
        </w:rPr>
        <w:t>ë</w:t>
      </w:r>
      <w:r w:rsidR="00D47D99" w:rsidRPr="00181911">
        <w:rPr>
          <w:sz w:val="28"/>
          <w:szCs w:val="28"/>
          <w:lang w:eastAsia="ar-SA"/>
        </w:rPr>
        <w:t xml:space="preserve"> kohezionit t</w:t>
      </w:r>
      <w:r w:rsidR="0090544E">
        <w:rPr>
          <w:sz w:val="28"/>
          <w:szCs w:val="28"/>
          <w:lang w:eastAsia="ar-SA"/>
        </w:rPr>
        <w:t>ë</w:t>
      </w:r>
      <w:r w:rsidR="00D47D99" w:rsidRPr="00181911">
        <w:rPr>
          <w:sz w:val="28"/>
          <w:szCs w:val="28"/>
          <w:lang w:eastAsia="ar-SA"/>
        </w:rPr>
        <w:t xml:space="preserve"> BE-s</w:t>
      </w:r>
      <w:r w:rsidR="0090544E">
        <w:rPr>
          <w:sz w:val="28"/>
          <w:szCs w:val="28"/>
          <w:lang w:eastAsia="ar-SA"/>
        </w:rPr>
        <w:t>ë</w:t>
      </w:r>
      <w:r w:rsidR="008142E8" w:rsidRPr="00181911">
        <w:rPr>
          <w:sz w:val="28"/>
          <w:szCs w:val="28"/>
          <w:lang w:eastAsia="ar-SA"/>
        </w:rPr>
        <w:t>;</w:t>
      </w:r>
    </w:p>
    <w:p w14:paraId="0E25AC46" w14:textId="5769AD42" w:rsidR="009F7E0A" w:rsidRPr="00181911" w:rsidRDefault="009F7E0A" w:rsidP="00471ECB">
      <w:pPr>
        <w:pStyle w:val="ListParagraph"/>
        <w:numPr>
          <w:ilvl w:val="0"/>
          <w:numId w:val="1"/>
        </w:numPr>
        <w:pBdr>
          <w:top w:val="nil"/>
          <w:left w:val="nil"/>
          <w:bottom w:val="nil"/>
          <w:right w:val="nil"/>
          <w:between w:val="nil"/>
        </w:pBdr>
        <w:spacing w:before="280" w:after="280" w:line="276" w:lineRule="auto"/>
        <w:jc w:val="both"/>
        <w:rPr>
          <w:color w:val="000000"/>
          <w:sz w:val="28"/>
          <w:szCs w:val="28"/>
        </w:rPr>
      </w:pPr>
      <w:r w:rsidRPr="00181911">
        <w:rPr>
          <w:color w:val="000000"/>
          <w:sz w:val="28"/>
          <w:szCs w:val="28"/>
        </w:rPr>
        <w:t>P</w:t>
      </w:r>
      <w:r w:rsidR="0090544E">
        <w:rPr>
          <w:color w:val="000000"/>
          <w:sz w:val="28"/>
          <w:szCs w:val="28"/>
        </w:rPr>
        <w:t>ë</w:t>
      </w:r>
      <w:r w:rsidRPr="00181911">
        <w:rPr>
          <w:color w:val="000000"/>
          <w:sz w:val="28"/>
          <w:szCs w:val="28"/>
        </w:rPr>
        <w:t xml:space="preserve">rcaktimi </w:t>
      </w:r>
      <w:r w:rsidR="008142E8" w:rsidRPr="00181911">
        <w:rPr>
          <w:color w:val="000000"/>
          <w:sz w:val="28"/>
          <w:szCs w:val="28"/>
        </w:rPr>
        <w:t>i</w:t>
      </w:r>
      <w:r w:rsidRPr="00181911">
        <w:rPr>
          <w:color w:val="000000"/>
          <w:sz w:val="28"/>
          <w:szCs w:val="28"/>
        </w:rPr>
        <w:t xml:space="preserve"> </w:t>
      </w:r>
      <w:r w:rsidRPr="00181911">
        <w:rPr>
          <w:rFonts w:eastAsia="Bahnschrift"/>
          <w:bCs/>
          <w:sz w:val="28"/>
          <w:szCs w:val="28"/>
          <w:lang w:val="en-GB" w:eastAsia="en-US"/>
        </w:rPr>
        <w:t>kategorive t</w:t>
      </w:r>
      <w:r w:rsidR="0090544E">
        <w:rPr>
          <w:rFonts w:eastAsia="Bahnschrift"/>
          <w:bCs/>
          <w:sz w:val="28"/>
          <w:szCs w:val="28"/>
          <w:lang w:val="en-GB" w:eastAsia="en-US"/>
        </w:rPr>
        <w:t>ë</w:t>
      </w:r>
      <w:r w:rsidRPr="00181911">
        <w:rPr>
          <w:rFonts w:eastAsia="Bahnschrift"/>
          <w:bCs/>
          <w:sz w:val="28"/>
          <w:szCs w:val="28"/>
          <w:lang w:val="en-GB" w:eastAsia="en-US"/>
        </w:rPr>
        <w:t xml:space="preserve"> </w:t>
      </w:r>
      <w:r w:rsidRPr="00181911">
        <w:rPr>
          <w:rFonts w:eastAsia="Bahnschrift"/>
          <w:bCs/>
          <w:sz w:val="28"/>
          <w:szCs w:val="28"/>
          <w:lang w:eastAsia="en-US"/>
        </w:rPr>
        <w:t>partnerëve</w:t>
      </w:r>
      <w:r w:rsidR="00C04968" w:rsidRPr="00181911">
        <w:rPr>
          <w:rFonts w:eastAsia="Bahnschrift"/>
          <w:bCs/>
          <w:sz w:val="28"/>
          <w:szCs w:val="28"/>
          <w:lang w:eastAsia="en-US"/>
        </w:rPr>
        <w:t xml:space="preserve"> q</w:t>
      </w:r>
      <w:r w:rsidR="0090544E">
        <w:rPr>
          <w:rFonts w:eastAsia="Bahnschrift"/>
          <w:bCs/>
          <w:sz w:val="28"/>
          <w:szCs w:val="28"/>
          <w:lang w:eastAsia="en-US"/>
        </w:rPr>
        <w:t>ë</w:t>
      </w:r>
      <w:r w:rsidR="00C04968" w:rsidRPr="00181911">
        <w:rPr>
          <w:rFonts w:eastAsia="Bahnschrift"/>
          <w:bCs/>
          <w:sz w:val="28"/>
          <w:szCs w:val="28"/>
          <w:lang w:eastAsia="en-US"/>
        </w:rPr>
        <w:t xml:space="preserve"> p</w:t>
      </w:r>
      <w:r w:rsidR="0090544E">
        <w:rPr>
          <w:rFonts w:eastAsia="Bahnschrift"/>
          <w:bCs/>
          <w:sz w:val="28"/>
          <w:szCs w:val="28"/>
          <w:lang w:eastAsia="en-US"/>
        </w:rPr>
        <w:t>ë</w:t>
      </w:r>
      <w:r w:rsidR="00C04968" w:rsidRPr="00181911">
        <w:rPr>
          <w:rFonts w:eastAsia="Bahnschrift"/>
          <w:bCs/>
          <w:sz w:val="28"/>
          <w:szCs w:val="28"/>
          <w:lang w:eastAsia="en-US"/>
        </w:rPr>
        <w:t>rfshin</w:t>
      </w:r>
      <w:r w:rsidR="00C04968" w:rsidRPr="00181911">
        <w:rPr>
          <w:rFonts w:eastAsia="Bahnschrift"/>
          <w:bCs/>
          <w:sz w:val="28"/>
          <w:szCs w:val="28"/>
          <w:lang w:val="en-GB" w:eastAsia="en-US"/>
        </w:rPr>
        <w:t xml:space="preserve"> </w:t>
      </w:r>
      <w:r w:rsidR="00C04968" w:rsidRPr="00181911">
        <w:rPr>
          <w:sz w:val="28"/>
          <w:szCs w:val="28"/>
          <w:lang w:eastAsia="ar-SA"/>
        </w:rPr>
        <w:t xml:space="preserve">qeverisjes qendore, </w:t>
      </w:r>
      <w:bookmarkStart w:id="6" w:name="_Hlk198119639"/>
      <w:r w:rsidR="00C04968" w:rsidRPr="00181911">
        <w:rPr>
          <w:sz w:val="28"/>
          <w:szCs w:val="28"/>
          <w:lang w:eastAsia="ar-SA"/>
        </w:rPr>
        <w:t>njësive të vetëqeverisjes vendore, partnerëve ekonomik dhe social, organizatave të shoqërisë civile si dhe institucioneve të arsimit të lartë dhe ato kërkimore</w:t>
      </w:r>
      <w:bookmarkEnd w:id="6"/>
      <w:r w:rsidR="008142E8" w:rsidRPr="00181911">
        <w:rPr>
          <w:sz w:val="28"/>
          <w:szCs w:val="28"/>
          <w:lang w:eastAsia="ar-SA"/>
        </w:rPr>
        <w:t>,</w:t>
      </w:r>
      <w:r w:rsidR="00C04968" w:rsidRPr="00181911">
        <w:rPr>
          <w:sz w:val="28"/>
          <w:szCs w:val="28"/>
          <w:lang w:eastAsia="ar-SA"/>
        </w:rPr>
        <w:t xml:space="preserve"> </w:t>
      </w:r>
      <w:r w:rsidRPr="00181911">
        <w:rPr>
          <w:rFonts w:eastAsia="Bahnschrift"/>
          <w:bCs/>
          <w:sz w:val="28"/>
          <w:szCs w:val="28"/>
          <w:lang w:val="en-GB" w:eastAsia="en-US"/>
        </w:rPr>
        <w:t>m</w:t>
      </w:r>
      <w:r w:rsidR="0090544E">
        <w:rPr>
          <w:rFonts w:eastAsia="Bahnschrift"/>
          <w:bCs/>
          <w:sz w:val="28"/>
          <w:szCs w:val="28"/>
          <w:lang w:val="en-GB" w:eastAsia="en-US"/>
        </w:rPr>
        <w:t>ë</w:t>
      </w:r>
      <w:r w:rsidRPr="00181911">
        <w:rPr>
          <w:rFonts w:eastAsia="Bahnschrift"/>
          <w:bCs/>
          <w:sz w:val="28"/>
          <w:szCs w:val="28"/>
          <w:lang w:val="en-GB" w:eastAsia="en-US"/>
        </w:rPr>
        <w:t>nyr</w:t>
      </w:r>
      <w:r w:rsidR="0090544E">
        <w:rPr>
          <w:rFonts w:eastAsia="Bahnschrift"/>
          <w:bCs/>
          <w:sz w:val="28"/>
          <w:szCs w:val="28"/>
          <w:lang w:val="en-GB" w:eastAsia="en-US"/>
        </w:rPr>
        <w:t>ë</w:t>
      </w:r>
      <w:r w:rsidRPr="00181911">
        <w:rPr>
          <w:rFonts w:eastAsia="Bahnschrift"/>
          <w:bCs/>
          <w:sz w:val="28"/>
          <w:szCs w:val="28"/>
          <w:lang w:val="en-GB" w:eastAsia="en-US"/>
        </w:rPr>
        <w:t xml:space="preserve">n se </w:t>
      </w:r>
      <w:r w:rsidRPr="00181911">
        <w:rPr>
          <w:rFonts w:eastAsia="Bahnschrift"/>
          <w:bCs/>
          <w:i/>
          <w:iCs/>
          <w:sz w:val="28"/>
          <w:szCs w:val="28"/>
          <w:lang w:val="en-GB" w:eastAsia="en-US"/>
        </w:rPr>
        <w:t>si</w:t>
      </w:r>
      <w:r w:rsidRPr="00181911">
        <w:rPr>
          <w:rFonts w:eastAsia="Bahnschrift"/>
          <w:bCs/>
          <w:sz w:val="28"/>
          <w:szCs w:val="28"/>
          <w:lang w:val="en-GB" w:eastAsia="en-US"/>
        </w:rPr>
        <w:t xml:space="preserve"> ata do të zgjidhen apo p</w:t>
      </w:r>
      <w:r w:rsidR="0090544E">
        <w:rPr>
          <w:rFonts w:eastAsia="Bahnschrift"/>
          <w:bCs/>
          <w:sz w:val="28"/>
          <w:szCs w:val="28"/>
          <w:lang w:val="en-GB" w:eastAsia="en-US"/>
        </w:rPr>
        <w:t>ë</w:t>
      </w:r>
      <w:r w:rsidRPr="00181911">
        <w:rPr>
          <w:rFonts w:eastAsia="Bahnschrift"/>
          <w:bCs/>
          <w:sz w:val="28"/>
          <w:szCs w:val="28"/>
          <w:lang w:val="en-GB" w:eastAsia="en-US"/>
        </w:rPr>
        <w:t>rzgjidhen</w:t>
      </w:r>
      <w:r w:rsidR="008142E8" w:rsidRPr="00181911">
        <w:rPr>
          <w:rFonts w:eastAsia="Bahnschrift"/>
          <w:bCs/>
          <w:sz w:val="28"/>
          <w:szCs w:val="28"/>
          <w:lang w:val="en-GB" w:eastAsia="en-US"/>
        </w:rPr>
        <w:t>,</w:t>
      </w:r>
      <w:r w:rsidRPr="00181911">
        <w:rPr>
          <w:rFonts w:eastAsia="Bahnschrift"/>
          <w:bCs/>
          <w:sz w:val="28"/>
          <w:szCs w:val="28"/>
          <w:lang w:val="en-GB" w:eastAsia="en-US"/>
        </w:rPr>
        <w:t xml:space="preserve"> si dhe </w:t>
      </w:r>
      <w:r w:rsidRPr="00181911">
        <w:rPr>
          <w:rFonts w:eastAsia="Bahnschrift"/>
          <w:bCs/>
          <w:i/>
          <w:iCs/>
          <w:sz w:val="28"/>
          <w:szCs w:val="28"/>
          <w:lang w:val="en-GB" w:eastAsia="en-US"/>
        </w:rPr>
        <w:t>kush</w:t>
      </w:r>
      <w:r w:rsidRPr="00181911">
        <w:rPr>
          <w:rFonts w:eastAsia="Bahnschrift"/>
          <w:bCs/>
          <w:sz w:val="28"/>
          <w:szCs w:val="28"/>
          <w:lang w:val="en-GB" w:eastAsia="en-US"/>
        </w:rPr>
        <w:t xml:space="preserve"> është përgjegjës për përzgjedhjen e tyre;</w:t>
      </w:r>
    </w:p>
    <w:p w14:paraId="4ADFCBBA" w14:textId="731CD1B8" w:rsidR="009C5052" w:rsidRPr="00181911" w:rsidRDefault="009C5052" w:rsidP="00471ECB">
      <w:pPr>
        <w:pStyle w:val="ListParagraph"/>
        <w:numPr>
          <w:ilvl w:val="0"/>
          <w:numId w:val="1"/>
        </w:numPr>
        <w:pBdr>
          <w:top w:val="nil"/>
          <w:left w:val="nil"/>
          <w:bottom w:val="nil"/>
          <w:right w:val="nil"/>
          <w:between w:val="nil"/>
        </w:pBdr>
        <w:spacing w:before="280" w:after="280" w:line="276" w:lineRule="auto"/>
        <w:jc w:val="both"/>
        <w:rPr>
          <w:color w:val="000000"/>
          <w:sz w:val="28"/>
          <w:szCs w:val="28"/>
        </w:rPr>
      </w:pPr>
      <w:r w:rsidRPr="00181911">
        <w:rPr>
          <w:color w:val="000000"/>
          <w:sz w:val="28"/>
          <w:szCs w:val="28"/>
        </w:rPr>
        <w:lastRenderedPageBreak/>
        <w:t>Kodifikimi i rolit</w:t>
      </w:r>
      <w:r w:rsidR="00D47D99" w:rsidRPr="00181911">
        <w:rPr>
          <w:color w:val="000000"/>
          <w:sz w:val="28"/>
          <w:szCs w:val="28"/>
        </w:rPr>
        <w:t xml:space="preserve"> dhe p</w:t>
      </w:r>
      <w:r w:rsidR="0090544E">
        <w:rPr>
          <w:color w:val="000000"/>
          <w:sz w:val="28"/>
          <w:szCs w:val="28"/>
        </w:rPr>
        <w:t>ë</w:t>
      </w:r>
      <w:r w:rsidR="00D47D99" w:rsidRPr="00181911">
        <w:rPr>
          <w:color w:val="000000"/>
          <w:sz w:val="28"/>
          <w:szCs w:val="28"/>
        </w:rPr>
        <w:t>rfshirjes</w:t>
      </w:r>
      <w:r w:rsidRPr="00181911">
        <w:rPr>
          <w:color w:val="000000"/>
          <w:sz w:val="28"/>
          <w:szCs w:val="28"/>
        </w:rPr>
        <w:t xml:space="preserve"> t</w:t>
      </w:r>
      <w:r w:rsidR="0090544E">
        <w:rPr>
          <w:color w:val="000000"/>
          <w:sz w:val="28"/>
          <w:szCs w:val="28"/>
        </w:rPr>
        <w:t>ë</w:t>
      </w:r>
      <w:r w:rsidRPr="00181911">
        <w:rPr>
          <w:color w:val="000000"/>
          <w:sz w:val="28"/>
          <w:szCs w:val="28"/>
        </w:rPr>
        <w:t xml:space="preserve"> </w:t>
      </w:r>
      <w:r w:rsidR="008142E8" w:rsidRPr="00181911">
        <w:rPr>
          <w:color w:val="000000"/>
          <w:sz w:val="28"/>
          <w:szCs w:val="28"/>
        </w:rPr>
        <w:t>partneritetit n</w:t>
      </w:r>
      <w:r w:rsidR="0090544E">
        <w:rPr>
          <w:color w:val="000000"/>
          <w:sz w:val="28"/>
          <w:szCs w:val="28"/>
        </w:rPr>
        <w:t>ë</w:t>
      </w:r>
      <w:r w:rsidRPr="00181911">
        <w:rPr>
          <w:color w:val="000000"/>
          <w:sz w:val="28"/>
          <w:szCs w:val="28"/>
        </w:rPr>
        <w:t xml:space="preserve"> realizimin dhe zbatimin e politikave</w:t>
      </w:r>
      <w:r w:rsidR="008142E8" w:rsidRPr="00181911">
        <w:rPr>
          <w:color w:val="000000"/>
          <w:sz w:val="28"/>
          <w:szCs w:val="28"/>
        </w:rPr>
        <w:t xml:space="preserve"> dhe fondeve </w:t>
      </w:r>
      <w:r w:rsidRPr="00181911">
        <w:rPr>
          <w:color w:val="000000"/>
          <w:sz w:val="28"/>
          <w:szCs w:val="28"/>
        </w:rPr>
        <w:t xml:space="preserve"> t</w:t>
      </w:r>
      <w:r w:rsidR="0090544E">
        <w:rPr>
          <w:color w:val="000000"/>
          <w:sz w:val="28"/>
          <w:szCs w:val="28"/>
        </w:rPr>
        <w:t>ë</w:t>
      </w:r>
      <w:r w:rsidRPr="00181911">
        <w:rPr>
          <w:color w:val="000000"/>
          <w:sz w:val="28"/>
          <w:szCs w:val="28"/>
        </w:rPr>
        <w:t xml:space="preserve"> kohe</w:t>
      </w:r>
      <w:r w:rsidR="00235146" w:rsidRPr="00181911">
        <w:rPr>
          <w:color w:val="000000"/>
          <w:sz w:val="28"/>
          <w:szCs w:val="28"/>
        </w:rPr>
        <w:t>z</w:t>
      </w:r>
      <w:r w:rsidRPr="00181911">
        <w:rPr>
          <w:color w:val="000000"/>
          <w:sz w:val="28"/>
          <w:szCs w:val="28"/>
        </w:rPr>
        <w:t>ionit t</w:t>
      </w:r>
      <w:r w:rsidR="0090544E">
        <w:rPr>
          <w:color w:val="000000"/>
          <w:sz w:val="28"/>
          <w:szCs w:val="28"/>
        </w:rPr>
        <w:t>ë</w:t>
      </w:r>
      <w:r w:rsidRPr="00181911">
        <w:rPr>
          <w:color w:val="000000"/>
          <w:sz w:val="28"/>
          <w:szCs w:val="28"/>
        </w:rPr>
        <w:t xml:space="preserve"> BE-s</w:t>
      </w:r>
      <w:r w:rsidR="0090544E">
        <w:rPr>
          <w:color w:val="000000"/>
          <w:sz w:val="28"/>
          <w:szCs w:val="28"/>
        </w:rPr>
        <w:t>ë</w:t>
      </w:r>
      <w:r w:rsidRPr="00181911">
        <w:rPr>
          <w:bCs/>
          <w:color w:val="000000"/>
          <w:sz w:val="28"/>
          <w:szCs w:val="28"/>
          <w:lang w:val="en-GB"/>
        </w:rPr>
        <w:t>;</w:t>
      </w:r>
      <w:bookmarkEnd w:id="3"/>
      <w:bookmarkEnd w:id="5"/>
    </w:p>
    <w:p w14:paraId="75E14064" w14:textId="7C19F703" w:rsidR="0091082C" w:rsidRPr="00181911" w:rsidRDefault="0091082C" w:rsidP="0091082C">
      <w:pPr>
        <w:pBdr>
          <w:top w:val="nil"/>
          <w:left w:val="nil"/>
          <w:bottom w:val="nil"/>
          <w:right w:val="nil"/>
          <w:between w:val="nil"/>
        </w:pBdr>
        <w:tabs>
          <w:tab w:val="left" w:pos="0"/>
        </w:tabs>
        <w:spacing w:line="276" w:lineRule="auto"/>
        <w:jc w:val="both"/>
        <w:rPr>
          <w:sz w:val="28"/>
          <w:szCs w:val="28"/>
          <w:highlight w:val="yellow"/>
        </w:rPr>
      </w:pPr>
    </w:p>
    <w:p w14:paraId="0000000A" w14:textId="77777777" w:rsidR="00C117EA" w:rsidRPr="00181911" w:rsidRDefault="00B74936">
      <w:pPr>
        <w:pBdr>
          <w:top w:val="nil"/>
          <w:left w:val="nil"/>
          <w:bottom w:val="nil"/>
          <w:right w:val="nil"/>
          <w:between w:val="nil"/>
        </w:pBdr>
        <w:tabs>
          <w:tab w:val="left" w:pos="0"/>
        </w:tabs>
        <w:spacing w:line="276" w:lineRule="auto"/>
        <w:jc w:val="both"/>
        <w:rPr>
          <w:b/>
          <w:color w:val="000000"/>
          <w:sz w:val="28"/>
          <w:szCs w:val="28"/>
        </w:rPr>
      </w:pPr>
      <w:r w:rsidRPr="00181911">
        <w:rPr>
          <w:b/>
          <w:color w:val="000000"/>
          <w:sz w:val="28"/>
          <w:szCs w:val="28"/>
        </w:rPr>
        <w:t>II. VLERËSIMI I PROJEKTAKTIT NË RAPORT ME PROGRAMIN POLITIK TË KËSHILLIT TË MINISTRAVE, ME PROGRAMIN ANALITIK TË AKTEVE DHE DOKUMENTEVE TË TJERA POLITIKE</w:t>
      </w:r>
    </w:p>
    <w:p w14:paraId="4B029208" w14:textId="77777777" w:rsidR="001D1190" w:rsidRPr="00181911" w:rsidRDefault="001D1190">
      <w:pPr>
        <w:pBdr>
          <w:top w:val="nil"/>
          <w:left w:val="nil"/>
          <w:bottom w:val="nil"/>
          <w:right w:val="nil"/>
          <w:between w:val="nil"/>
        </w:pBdr>
        <w:tabs>
          <w:tab w:val="left" w:pos="0"/>
        </w:tabs>
        <w:spacing w:line="276" w:lineRule="auto"/>
        <w:jc w:val="both"/>
        <w:rPr>
          <w:b/>
          <w:color w:val="000000"/>
          <w:sz w:val="28"/>
          <w:szCs w:val="28"/>
        </w:rPr>
      </w:pPr>
    </w:p>
    <w:p w14:paraId="090C50CF" w14:textId="77777777" w:rsidR="00D47D99" w:rsidRPr="00181911" w:rsidRDefault="00A63A6C">
      <w:pPr>
        <w:spacing w:line="276" w:lineRule="auto"/>
        <w:jc w:val="both"/>
        <w:rPr>
          <w:sz w:val="28"/>
          <w:szCs w:val="28"/>
        </w:rPr>
      </w:pPr>
      <w:r w:rsidRPr="00181911">
        <w:rPr>
          <w:sz w:val="28"/>
          <w:szCs w:val="28"/>
        </w:rPr>
        <w:t>Miratimi i këtij vendimi parashikohet në Planin Kombëtar për Integrimin Evropian 2025–2027.</w:t>
      </w:r>
      <w:r w:rsidR="00D47D99" w:rsidRPr="00181911">
        <w:rPr>
          <w:sz w:val="28"/>
          <w:szCs w:val="28"/>
        </w:rPr>
        <w:t xml:space="preserve"> </w:t>
      </w:r>
    </w:p>
    <w:p w14:paraId="0C7845DF" w14:textId="03D121DA" w:rsidR="009A228D" w:rsidRPr="00181911" w:rsidRDefault="00B74936">
      <w:pPr>
        <w:spacing w:line="276" w:lineRule="auto"/>
        <w:jc w:val="both"/>
        <w:rPr>
          <w:sz w:val="28"/>
          <w:szCs w:val="28"/>
        </w:rPr>
      </w:pPr>
      <w:r w:rsidRPr="00181911">
        <w:rPr>
          <w:sz w:val="28"/>
          <w:szCs w:val="28"/>
        </w:rPr>
        <w:t>Ky projektvendim është në përputhje me “Programin e Qeverisë 2021-2025”.</w:t>
      </w:r>
    </w:p>
    <w:p w14:paraId="54118702" w14:textId="355759F7" w:rsidR="00AD7C5C" w:rsidRPr="00181911" w:rsidRDefault="003A6569">
      <w:pPr>
        <w:spacing w:line="276" w:lineRule="auto"/>
        <w:jc w:val="both"/>
        <w:rPr>
          <w:rFonts w:eastAsia="Bahnschrift" w:cs="Calibri"/>
          <w:bCs/>
          <w:sz w:val="28"/>
          <w:szCs w:val="28"/>
          <w:lang w:val="en-GB" w:eastAsia="en-US"/>
        </w:rPr>
      </w:pPr>
      <w:r w:rsidRPr="00181911">
        <w:rPr>
          <w:bCs/>
          <w:iCs/>
          <w:sz w:val="28"/>
          <w:szCs w:val="28"/>
        </w:rPr>
        <w:t xml:space="preserve">Ky projektvendim </w:t>
      </w:r>
      <w:r w:rsidR="00601321" w:rsidRPr="00181911">
        <w:rPr>
          <w:bCs/>
          <w:iCs/>
          <w:sz w:val="28"/>
          <w:szCs w:val="28"/>
        </w:rPr>
        <w:t>ë</w:t>
      </w:r>
      <w:r w:rsidRPr="00181911">
        <w:rPr>
          <w:bCs/>
          <w:iCs/>
          <w:sz w:val="28"/>
          <w:szCs w:val="28"/>
        </w:rPr>
        <w:t>sht</w:t>
      </w:r>
      <w:r w:rsidR="00601321" w:rsidRPr="00181911">
        <w:rPr>
          <w:bCs/>
          <w:iCs/>
          <w:sz w:val="28"/>
          <w:szCs w:val="28"/>
        </w:rPr>
        <w:t>ë</w:t>
      </w:r>
      <w:r w:rsidRPr="00181911">
        <w:rPr>
          <w:bCs/>
          <w:iCs/>
          <w:sz w:val="28"/>
          <w:szCs w:val="28"/>
        </w:rPr>
        <w:t xml:space="preserve"> n</w:t>
      </w:r>
      <w:r w:rsidR="00601321" w:rsidRPr="00181911">
        <w:rPr>
          <w:bCs/>
          <w:iCs/>
          <w:sz w:val="28"/>
          <w:szCs w:val="28"/>
        </w:rPr>
        <w:t>ë</w:t>
      </w:r>
      <w:r w:rsidRPr="00181911">
        <w:rPr>
          <w:bCs/>
          <w:iCs/>
          <w:sz w:val="28"/>
          <w:szCs w:val="28"/>
        </w:rPr>
        <w:t xml:space="preserve"> p</w:t>
      </w:r>
      <w:r w:rsidR="00601321" w:rsidRPr="00181911">
        <w:rPr>
          <w:bCs/>
          <w:iCs/>
          <w:sz w:val="28"/>
          <w:szCs w:val="28"/>
        </w:rPr>
        <w:t>ë</w:t>
      </w:r>
      <w:r w:rsidRPr="00181911">
        <w:rPr>
          <w:bCs/>
          <w:iCs/>
          <w:sz w:val="28"/>
          <w:szCs w:val="28"/>
        </w:rPr>
        <w:t>rputhje edhe me Strategjin</w:t>
      </w:r>
      <w:r w:rsidR="00601321" w:rsidRPr="00181911">
        <w:rPr>
          <w:bCs/>
          <w:iCs/>
          <w:sz w:val="28"/>
          <w:szCs w:val="28"/>
        </w:rPr>
        <w:t>ë</w:t>
      </w:r>
      <w:r w:rsidRPr="00181911">
        <w:rPr>
          <w:bCs/>
          <w:iCs/>
          <w:sz w:val="28"/>
          <w:szCs w:val="28"/>
        </w:rPr>
        <w:t xml:space="preserve"> Kombëtare për Zhvillim dhe Integrim Evropian 2030 (SKZHI), miratuar me vendimin nr.88, datë 22.02.2023, të Këshillit të Ministrav</w:t>
      </w:r>
      <w:r w:rsidR="00735D9A" w:rsidRPr="00181911">
        <w:rPr>
          <w:bCs/>
          <w:iCs/>
          <w:sz w:val="28"/>
          <w:szCs w:val="28"/>
        </w:rPr>
        <w:t xml:space="preserve"> (</w:t>
      </w:r>
      <w:r w:rsidRPr="00181911">
        <w:rPr>
          <w:bCs/>
          <w:iCs/>
          <w:sz w:val="28"/>
          <w:szCs w:val="28"/>
        </w:rPr>
        <w:t>përfshirj</w:t>
      </w:r>
      <w:r w:rsidR="00735D9A" w:rsidRPr="00181911">
        <w:rPr>
          <w:bCs/>
          <w:iCs/>
          <w:sz w:val="28"/>
          <w:szCs w:val="28"/>
        </w:rPr>
        <w:t>a</w:t>
      </w:r>
      <w:r w:rsidRPr="00181911">
        <w:rPr>
          <w:bCs/>
          <w:iCs/>
          <w:sz w:val="28"/>
          <w:szCs w:val="28"/>
        </w:rPr>
        <w:t xml:space="preserve"> e </w:t>
      </w:r>
      <w:r w:rsidR="003635BB" w:rsidRPr="00181911">
        <w:rPr>
          <w:bCs/>
          <w:iCs/>
          <w:sz w:val="28"/>
          <w:szCs w:val="28"/>
        </w:rPr>
        <w:t>partneritetit si pjes</w:t>
      </w:r>
      <w:r w:rsidR="0090544E">
        <w:rPr>
          <w:bCs/>
          <w:iCs/>
          <w:sz w:val="28"/>
          <w:szCs w:val="28"/>
        </w:rPr>
        <w:t>ë</w:t>
      </w:r>
      <w:r w:rsidR="003635BB" w:rsidRPr="00181911">
        <w:rPr>
          <w:bCs/>
          <w:iCs/>
          <w:sz w:val="28"/>
          <w:szCs w:val="28"/>
        </w:rPr>
        <w:t xml:space="preserve"> e qeverisjes me shum</w:t>
      </w:r>
      <w:r w:rsidR="0090544E">
        <w:rPr>
          <w:bCs/>
          <w:iCs/>
          <w:sz w:val="28"/>
          <w:szCs w:val="28"/>
        </w:rPr>
        <w:t>ë</w:t>
      </w:r>
      <w:r w:rsidR="003635BB" w:rsidRPr="00181911">
        <w:rPr>
          <w:bCs/>
          <w:iCs/>
          <w:sz w:val="28"/>
          <w:szCs w:val="28"/>
        </w:rPr>
        <w:t xml:space="preserve"> nivele).</w:t>
      </w:r>
    </w:p>
    <w:p w14:paraId="7DD21795" w14:textId="77777777" w:rsidR="003635BB" w:rsidRPr="00181911" w:rsidRDefault="003635BB">
      <w:pPr>
        <w:spacing w:line="276" w:lineRule="auto"/>
        <w:jc w:val="both"/>
        <w:rPr>
          <w:rFonts w:eastAsia="Bahnschrift" w:cs="Calibri"/>
          <w:bCs/>
          <w:sz w:val="28"/>
          <w:szCs w:val="28"/>
          <w:lang w:val="en-GB" w:eastAsia="en-US"/>
        </w:rPr>
      </w:pPr>
    </w:p>
    <w:p w14:paraId="0000000F" w14:textId="36163191" w:rsidR="00C117EA" w:rsidRPr="00181911" w:rsidRDefault="00B74936" w:rsidP="00A1560D">
      <w:pPr>
        <w:spacing w:line="276" w:lineRule="auto"/>
        <w:jc w:val="both"/>
        <w:rPr>
          <w:b/>
          <w:sz w:val="28"/>
          <w:szCs w:val="28"/>
        </w:rPr>
      </w:pPr>
      <w:r w:rsidRPr="00181911">
        <w:rPr>
          <w:b/>
          <w:sz w:val="28"/>
          <w:szCs w:val="28"/>
        </w:rPr>
        <w:t>III. ARGUMENTIMI I PROJEKTAKTIT LIDHUR ME PËRPARËSITË, PROBLEMATIKAT, EFEKTET E PRITSHME</w:t>
      </w:r>
    </w:p>
    <w:p w14:paraId="75D95F68" w14:textId="77777777" w:rsidR="00602539" w:rsidRPr="00181911" w:rsidRDefault="00602539" w:rsidP="00C82969">
      <w:pPr>
        <w:spacing w:line="288" w:lineRule="auto"/>
        <w:contextualSpacing/>
        <w:jc w:val="both"/>
        <w:rPr>
          <w:bCs/>
          <w:sz w:val="28"/>
          <w:szCs w:val="28"/>
          <w:lang w:eastAsia="sq-AL"/>
        </w:rPr>
      </w:pPr>
    </w:p>
    <w:p w14:paraId="1D96A9A5" w14:textId="7CDDF59D" w:rsidR="00235146" w:rsidRPr="00181911" w:rsidRDefault="009A6E75" w:rsidP="005D1179">
      <w:pPr>
        <w:spacing w:line="288" w:lineRule="auto"/>
        <w:contextualSpacing/>
        <w:jc w:val="both"/>
        <w:rPr>
          <w:bCs/>
          <w:sz w:val="28"/>
          <w:szCs w:val="28"/>
          <w:lang w:eastAsia="sq-AL"/>
        </w:rPr>
      </w:pPr>
      <w:r w:rsidRPr="00181911">
        <w:rPr>
          <w:bCs/>
          <w:sz w:val="28"/>
          <w:szCs w:val="28"/>
          <w:lang w:eastAsia="sq-AL"/>
        </w:rPr>
        <w:t>N</w:t>
      </w:r>
      <w:r w:rsidR="00601321" w:rsidRPr="00181911">
        <w:rPr>
          <w:bCs/>
          <w:sz w:val="28"/>
          <w:szCs w:val="28"/>
          <w:lang w:eastAsia="sq-AL"/>
        </w:rPr>
        <w:t>ë</w:t>
      </w:r>
      <w:r w:rsidRPr="00181911">
        <w:rPr>
          <w:bCs/>
          <w:sz w:val="28"/>
          <w:szCs w:val="28"/>
          <w:lang w:eastAsia="sq-AL"/>
        </w:rPr>
        <w:t>p</w:t>
      </w:r>
      <w:r w:rsidR="00601321" w:rsidRPr="00181911">
        <w:rPr>
          <w:bCs/>
          <w:sz w:val="28"/>
          <w:szCs w:val="28"/>
          <w:lang w:eastAsia="sq-AL"/>
        </w:rPr>
        <w:t>ë</w:t>
      </w:r>
      <w:r w:rsidRPr="00181911">
        <w:rPr>
          <w:bCs/>
          <w:sz w:val="28"/>
          <w:szCs w:val="28"/>
          <w:lang w:eastAsia="sq-AL"/>
        </w:rPr>
        <w:t>rmjet k</w:t>
      </w:r>
      <w:r w:rsidR="00601321" w:rsidRPr="00181911">
        <w:rPr>
          <w:bCs/>
          <w:sz w:val="28"/>
          <w:szCs w:val="28"/>
          <w:lang w:eastAsia="sq-AL"/>
        </w:rPr>
        <w:t>ë</w:t>
      </w:r>
      <w:r w:rsidRPr="00181911">
        <w:rPr>
          <w:bCs/>
          <w:sz w:val="28"/>
          <w:szCs w:val="28"/>
          <w:lang w:eastAsia="sq-AL"/>
        </w:rPr>
        <w:t xml:space="preserve">tij projektvendimi parashikohet krijimi i </w:t>
      </w:r>
      <w:r w:rsidR="00235146" w:rsidRPr="00181911">
        <w:rPr>
          <w:bCs/>
          <w:sz w:val="28"/>
          <w:szCs w:val="28"/>
          <w:lang w:eastAsia="sq-AL"/>
        </w:rPr>
        <w:t>t</w:t>
      </w:r>
      <w:r w:rsidR="0090544E">
        <w:rPr>
          <w:bCs/>
          <w:sz w:val="28"/>
          <w:szCs w:val="28"/>
          <w:lang w:eastAsia="sq-AL"/>
        </w:rPr>
        <w:t>ë</w:t>
      </w:r>
      <w:r w:rsidR="00235146" w:rsidRPr="00181911">
        <w:rPr>
          <w:bCs/>
          <w:sz w:val="28"/>
          <w:szCs w:val="28"/>
          <w:lang w:eastAsia="sq-AL"/>
        </w:rPr>
        <w:t xml:space="preserve"> parit mekaniz</w:t>
      </w:r>
      <w:r w:rsidR="0090544E">
        <w:rPr>
          <w:bCs/>
          <w:sz w:val="28"/>
          <w:szCs w:val="28"/>
          <w:lang w:eastAsia="sq-AL"/>
        </w:rPr>
        <w:t>ë</w:t>
      </w:r>
      <w:r w:rsidR="00235146" w:rsidRPr="00181911">
        <w:rPr>
          <w:bCs/>
          <w:sz w:val="28"/>
          <w:szCs w:val="28"/>
          <w:lang w:eastAsia="sq-AL"/>
        </w:rPr>
        <w:t>m komb</w:t>
      </w:r>
      <w:r w:rsidR="0090544E">
        <w:rPr>
          <w:bCs/>
          <w:sz w:val="28"/>
          <w:szCs w:val="28"/>
          <w:lang w:eastAsia="sq-AL"/>
        </w:rPr>
        <w:t>ë</w:t>
      </w:r>
      <w:r w:rsidR="00235146" w:rsidRPr="00181911">
        <w:rPr>
          <w:bCs/>
          <w:sz w:val="28"/>
          <w:szCs w:val="28"/>
          <w:lang w:eastAsia="sq-AL"/>
        </w:rPr>
        <w:t>tar, gjith</w:t>
      </w:r>
      <w:r w:rsidR="0090544E">
        <w:rPr>
          <w:bCs/>
          <w:sz w:val="28"/>
          <w:szCs w:val="28"/>
          <w:lang w:eastAsia="sq-AL"/>
        </w:rPr>
        <w:t>ë</w:t>
      </w:r>
      <w:r w:rsidR="00235146" w:rsidRPr="00181911">
        <w:rPr>
          <w:bCs/>
          <w:sz w:val="28"/>
          <w:szCs w:val="28"/>
          <w:lang w:eastAsia="sq-AL"/>
        </w:rPr>
        <w:t>p</w:t>
      </w:r>
      <w:r w:rsidR="0090544E">
        <w:rPr>
          <w:bCs/>
          <w:sz w:val="28"/>
          <w:szCs w:val="28"/>
          <w:lang w:eastAsia="sq-AL"/>
        </w:rPr>
        <w:t>ë</w:t>
      </w:r>
      <w:r w:rsidR="00235146" w:rsidRPr="00181911">
        <w:rPr>
          <w:bCs/>
          <w:sz w:val="28"/>
          <w:szCs w:val="28"/>
          <w:lang w:eastAsia="sq-AL"/>
        </w:rPr>
        <w:t>rfshir</w:t>
      </w:r>
      <w:r w:rsidR="0090544E">
        <w:rPr>
          <w:bCs/>
          <w:sz w:val="28"/>
          <w:szCs w:val="28"/>
          <w:lang w:eastAsia="sq-AL"/>
        </w:rPr>
        <w:t>ë</w:t>
      </w:r>
      <w:r w:rsidR="00235146" w:rsidRPr="00181911">
        <w:rPr>
          <w:bCs/>
          <w:sz w:val="28"/>
          <w:szCs w:val="28"/>
          <w:lang w:eastAsia="sq-AL"/>
        </w:rPr>
        <w:t>s partneriteti q</w:t>
      </w:r>
      <w:r w:rsidR="0090544E">
        <w:rPr>
          <w:bCs/>
          <w:sz w:val="28"/>
          <w:szCs w:val="28"/>
          <w:lang w:eastAsia="sq-AL"/>
        </w:rPr>
        <w:t>ë</w:t>
      </w:r>
      <w:r w:rsidR="00235146" w:rsidRPr="00181911">
        <w:rPr>
          <w:bCs/>
          <w:sz w:val="28"/>
          <w:szCs w:val="28"/>
          <w:lang w:eastAsia="sq-AL"/>
        </w:rPr>
        <w:t xml:space="preserve"> shkon </w:t>
      </w:r>
      <w:r w:rsidR="00235146" w:rsidRPr="00181911">
        <w:rPr>
          <w:bCs/>
          <w:i/>
          <w:iCs/>
          <w:sz w:val="28"/>
          <w:szCs w:val="28"/>
          <w:lang w:eastAsia="sq-AL"/>
        </w:rPr>
        <w:t>p</w:t>
      </w:r>
      <w:r w:rsidR="0090544E">
        <w:rPr>
          <w:bCs/>
          <w:i/>
          <w:iCs/>
          <w:sz w:val="28"/>
          <w:szCs w:val="28"/>
          <w:lang w:eastAsia="sq-AL"/>
        </w:rPr>
        <w:t>ë</w:t>
      </w:r>
      <w:r w:rsidR="00235146" w:rsidRPr="00181911">
        <w:rPr>
          <w:bCs/>
          <w:i/>
          <w:iCs/>
          <w:sz w:val="28"/>
          <w:szCs w:val="28"/>
          <w:lang w:eastAsia="sq-AL"/>
        </w:rPr>
        <w:t>rtej</w:t>
      </w:r>
      <w:r w:rsidR="00235146" w:rsidRPr="00181911">
        <w:rPr>
          <w:bCs/>
          <w:sz w:val="28"/>
          <w:szCs w:val="28"/>
          <w:lang w:eastAsia="sq-AL"/>
        </w:rPr>
        <w:t xml:space="preserve"> nd</w:t>
      </w:r>
      <w:r w:rsidR="0090544E">
        <w:rPr>
          <w:bCs/>
          <w:sz w:val="28"/>
          <w:szCs w:val="28"/>
          <w:lang w:eastAsia="sq-AL"/>
        </w:rPr>
        <w:t>ë</w:t>
      </w:r>
      <w:r w:rsidR="00235146" w:rsidRPr="00181911">
        <w:rPr>
          <w:bCs/>
          <w:sz w:val="28"/>
          <w:szCs w:val="28"/>
          <w:lang w:eastAsia="sq-AL"/>
        </w:rPr>
        <w:t>rveprimit</w:t>
      </w:r>
      <w:r w:rsidR="007C5682" w:rsidRPr="00181911">
        <w:rPr>
          <w:bCs/>
          <w:sz w:val="28"/>
          <w:szCs w:val="28"/>
          <w:lang w:eastAsia="sq-AL"/>
        </w:rPr>
        <w:t>/bashk</w:t>
      </w:r>
      <w:r w:rsidR="0090544E">
        <w:rPr>
          <w:bCs/>
          <w:sz w:val="28"/>
          <w:szCs w:val="28"/>
          <w:lang w:eastAsia="sq-AL"/>
        </w:rPr>
        <w:t>ë</w:t>
      </w:r>
      <w:r w:rsidR="007C5682" w:rsidRPr="00181911">
        <w:rPr>
          <w:bCs/>
          <w:sz w:val="28"/>
          <w:szCs w:val="28"/>
          <w:lang w:eastAsia="sq-AL"/>
        </w:rPr>
        <w:t>rendimit</w:t>
      </w:r>
      <w:r w:rsidR="00235146" w:rsidRPr="00181911">
        <w:rPr>
          <w:bCs/>
          <w:sz w:val="28"/>
          <w:szCs w:val="28"/>
          <w:lang w:eastAsia="sq-AL"/>
        </w:rPr>
        <w:t xml:space="preserve"> midis qeverisjes qendrore dhe nj</w:t>
      </w:r>
      <w:r w:rsidR="0090544E">
        <w:rPr>
          <w:bCs/>
          <w:sz w:val="28"/>
          <w:szCs w:val="28"/>
          <w:lang w:eastAsia="sq-AL"/>
        </w:rPr>
        <w:t>ë</w:t>
      </w:r>
      <w:r w:rsidR="00235146" w:rsidRPr="00181911">
        <w:rPr>
          <w:bCs/>
          <w:sz w:val="28"/>
          <w:szCs w:val="28"/>
          <w:lang w:eastAsia="sq-AL"/>
        </w:rPr>
        <w:t>sive t</w:t>
      </w:r>
      <w:r w:rsidR="0090544E">
        <w:rPr>
          <w:bCs/>
          <w:sz w:val="28"/>
          <w:szCs w:val="28"/>
          <w:lang w:eastAsia="sq-AL"/>
        </w:rPr>
        <w:t>ë</w:t>
      </w:r>
      <w:r w:rsidR="00235146" w:rsidRPr="00181911">
        <w:rPr>
          <w:bCs/>
          <w:sz w:val="28"/>
          <w:szCs w:val="28"/>
          <w:lang w:eastAsia="sq-AL"/>
        </w:rPr>
        <w:t xml:space="preserve"> vet</w:t>
      </w:r>
      <w:r w:rsidR="0090544E">
        <w:rPr>
          <w:bCs/>
          <w:sz w:val="28"/>
          <w:szCs w:val="28"/>
          <w:lang w:eastAsia="sq-AL"/>
        </w:rPr>
        <w:t>ë</w:t>
      </w:r>
      <w:r w:rsidR="00235146" w:rsidRPr="00181911">
        <w:rPr>
          <w:bCs/>
          <w:sz w:val="28"/>
          <w:szCs w:val="28"/>
          <w:lang w:eastAsia="sq-AL"/>
        </w:rPr>
        <w:t>qeverisjes vendore dhe p</w:t>
      </w:r>
      <w:r w:rsidR="0090544E">
        <w:rPr>
          <w:bCs/>
          <w:sz w:val="28"/>
          <w:szCs w:val="28"/>
          <w:lang w:eastAsia="sq-AL"/>
        </w:rPr>
        <w:t>ë</w:t>
      </w:r>
      <w:r w:rsidR="00235146" w:rsidRPr="00181911">
        <w:rPr>
          <w:bCs/>
          <w:sz w:val="28"/>
          <w:szCs w:val="28"/>
          <w:lang w:eastAsia="sq-AL"/>
        </w:rPr>
        <w:t xml:space="preserve">rfshin </w:t>
      </w:r>
      <w:r w:rsidR="00235146" w:rsidRPr="00181911">
        <w:rPr>
          <w:bCs/>
          <w:i/>
          <w:iCs/>
          <w:sz w:val="28"/>
          <w:szCs w:val="28"/>
          <w:lang w:eastAsia="sq-AL"/>
        </w:rPr>
        <w:t>edhe</w:t>
      </w:r>
      <w:r w:rsidR="00235146" w:rsidRPr="00181911">
        <w:rPr>
          <w:bCs/>
          <w:sz w:val="28"/>
          <w:szCs w:val="28"/>
          <w:lang w:eastAsia="sq-AL"/>
        </w:rPr>
        <w:t xml:space="preserve"> </w:t>
      </w:r>
      <w:r w:rsidR="007C5682" w:rsidRPr="00181911">
        <w:rPr>
          <w:bCs/>
          <w:sz w:val="28"/>
          <w:szCs w:val="28"/>
          <w:lang w:eastAsia="sq-AL"/>
        </w:rPr>
        <w:t>aktor</w:t>
      </w:r>
      <w:r w:rsidR="0090544E">
        <w:rPr>
          <w:bCs/>
          <w:sz w:val="28"/>
          <w:szCs w:val="28"/>
          <w:lang w:eastAsia="sq-AL"/>
        </w:rPr>
        <w:t>ë</w:t>
      </w:r>
      <w:r w:rsidR="007C5682" w:rsidRPr="00181911">
        <w:rPr>
          <w:bCs/>
          <w:sz w:val="28"/>
          <w:szCs w:val="28"/>
          <w:lang w:eastAsia="sq-AL"/>
        </w:rPr>
        <w:t xml:space="preserve"> t</w:t>
      </w:r>
      <w:r w:rsidR="0090544E">
        <w:rPr>
          <w:bCs/>
          <w:sz w:val="28"/>
          <w:szCs w:val="28"/>
          <w:lang w:eastAsia="sq-AL"/>
        </w:rPr>
        <w:t>ë</w:t>
      </w:r>
      <w:r w:rsidR="007C5682" w:rsidRPr="00181911">
        <w:rPr>
          <w:bCs/>
          <w:sz w:val="28"/>
          <w:szCs w:val="28"/>
          <w:lang w:eastAsia="sq-AL"/>
        </w:rPr>
        <w:t xml:space="preserve"> tjer</w:t>
      </w:r>
      <w:r w:rsidR="0090544E">
        <w:rPr>
          <w:bCs/>
          <w:sz w:val="28"/>
          <w:szCs w:val="28"/>
          <w:lang w:eastAsia="sq-AL"/>
        </w:rPr>
        <w:t>ë</w:t>
      </w:r>
      <w:r w:rsidR="007C5682" w:rsidRPr="00181911">
        <w:rPr>
          <w:bCs/>
          <w:sz w:val="28"/>
          <w:szCs w:val="28"/>
          <w:lang w:eastAsia="sq-AL"/>
        </w:rPr>
        <w:t xml:space="preserve"> si:</w:t>
      </w:r>
    </w:p>
    <w:p w14:paraId="2B97649A" w14:textId="28B12351" w:rsidR="00235146" w:rsidRPr="00181911" w:rsidRDefault="00235146" w:rsidP="00471ECB">
      <w:pPr>
        <w:pStyle w:val="ListParagraph"/>
        <w:numPr>
          <w:ilvl w:val="0"/>
          <w:numId w:val="2"/>
        </w:numPr>
        <w:spacing w:line="288" w:lineRule="auto"/>
        <w:jc w:val="both"/>
        <w:rPr>
          <w:bCs/>
          <w:sz w:val="28"/>
          <w:szCs w:val="28"/>
          <w:lang w:eastAsia="sq-AL"/>
        </w:rPr>
      </w:pPr>
      <w:r w:rsidRPr="00181911">
        <w:rPr>
          <w:sz w:val="28"/>
          <w:szCs w:val="28"/>
          <w:lang w:eastAsia="ar-SA"/>
        </w:rPr>
        <w:t xml:space="preserve">partnerë ekonomik dhe social, </w:t>
      </w:r>
    </w:p>
    <w:p w14:paraId="048B8C4B" w14:textId="77777777" w:rsidR="00235146" w:rsidRPr="00181911" w:rsidRDefault="00235146" w:rsidP="00471ECB">
      <w:pPr>
        <w:pStyle w:val="ListParagraph"/>
        <w:numPr>
          <w:ilvl w:val="0"/>
          <w:numId w:val="2"/>
        </w:numPr>
        <w:spacing w:line="288" w:lineRule="auto"/>
        <w:jc w:val="both"/>
        <w:rPr>
          <w:bCs/>
          <w:sz w:val="28"/>
          <w:szCs w:val="28"/>
          <w:lang w:eastAsia="sq-AL"/>
        </w:rPr>
      </w:pPr>
      <w:r w:rsidRPr="00181911">
        <w:rPr>
          <w:sz w:val="28"/>
          <w:szCs w:val="28"/>
          <w:lang w:eastAsia="ar-SA"/>
        </w:rPr>
        <w:t xml:space="preserve">organizatat e shoqërisë civile; </w:t>
      </w:r>
    </w:p>
    <w:p w14:paraId="02717A5A" w14:textId="1430333A" w:rsidR="0099501D" w:rsidRPr="00181911" w:rsidRDefault="00235146" w:rsidP="00471ECB">
      <w:pPr>
        <w:pStyle w:val="ListParagraph"/>
        <w:numPr>
          <w:ilvl w:val="0"/>
          <w:numId w:val="2"/>
        </w:numPr>
        <w:spacing w:line="288" w:lineRule="auto"/>
        <w:jc w:val="both"/>
        <w:rPr>
          <w:bCs/>
          <w:sz w:val="28"/>
          <w:szCs w:val="28"/>
          <w:lang w:eastAsia="sq-AL"/>
        </w:rPr>
      </w:pPr>
      <w:r w:rsidRPr="00181911">
        <w:rPr>
          <w:sz w:val="28"/>
          <w:szCs w:val="28"/>
          <w:lang w:eastAsia="ar-SA"/>
        </w:rPr>
        <w:t>institucionet e arsimit të lartë dhe ato kërkimore, duke p</w:t>
      </w:r>
      <w:r w:rsidR="0090544E">
        <w:rPr>
          <w:sz w:val="28"/>
          <w:szCs w:val="28"/>
          <w:lang w:eastAsia="ar-SA"/>
        </w:rPr>
        <w:t>ë</w:t>
      </w:r>
      <w:r w:rsidRPr="00181911">
        <w:rPr>
          <w:sz w:val="28"/>
          <w:szCs w:val="28"/>
          <w:lang w:eastAsia="ar-SA"/>
        </w:rPr>
        <w:t>rfshir</w:t>
      </w:r>
      <w:r w:rsidR="0090544E">
        <w:rPr>
          <w:sz w:val="28"/>
          <w:szCs w:val="28"/>
          <w:lang w:eastAsia="ar-SA"/>
        </w:rPr>
        <w:t>ë</w:t>
      </w:r>
      <w:r w:rsidRPr="00181911">
        <w:rPr>
          <w:sz w:val="28"/>
          <w:szCs w:val="28"/>
          <w:lang w:eastAsia="ar-SA"/>
        </w:rPr>
        <w:t xml:space="preserve"> edhe Akademin</w:t>
      </w:r>
      <w:r w:rsidR="0090544E">
        <w:rPr>
          <w:sz w:val="28"/>
          <w:szCs w:val="28"/>
          <w:lang w:eastAsia="ar-SA"/>
        </w:rPr>
        <w:t>ë</w:t>
      </w:r>
      <w:r w:rsidRPr="00181911">
        <w:rPr>
          <w:sz w:val="28"/>
          <w:szCs w:val="28"/>
          <w:lang w:eastAsia="ar-SA"/>
        </w:rPr>
        <w:t xml:space="preserve"> e Shkencave.  </w:t>
      </w:r>
    </w:p>
    <w:p w14:paraId="7F413B30" w14:textId="77777777" w:rsidR="005D1179" w:rsidRPr="00181911" w:rsidRDefault="005D1179" w:rsidP="005D1179">
      <w:pPr>
        <w:spacing w:line="288" w:lineRule="auto"/>
        <w:jc w:val="both"/>
        <w:rPr>
          <w:bCs/>
          <w:sz w:val="28"/>
          <w:szCs w:val="28"/>
          <w:lang w:eastAsia="sq-AL"/>
        </w:rPr>
      </w:pPr>
    </w:p>
    <w:p w14:paraId="5CFA42FC" w14:textId="5DB625EF" w:rsidR="006F5140" w:rsidRPr="00181911" w:rsidRDefault="00235146" w:rsidP="005D1179">
      <w:pPr>
        <w:spacing w:line="288" w:lineRule="auto"/>
        <w:jc w:val="both"/>
        <w:rPr>
          <w:rFonts w:eastAsia="Bahnschrift"/>
          <w:bCs/>
          <w:sz w:val="28"/>
          <w:szCs w:val="28"/>
          <w:lang w:val="en-GB" w:eastAsia="en-US"/>
        </w:rPr>
      </w:pPr>
      <w:r w:rsidRPr="00181911">
        <w:rPr>
          <w:bCs/>
          <w:sz w:val="28"/>
          <w:szCs w:val="28"/>
          <w:lang w:eastAsia="sq-AL"/>
        </w:rPr>
        <w:t>N</w:t>
      </w:r>
      <w:r w:rsidR="0090544E">
        <w:rPr>
          <w:bCs/>
          <w:sz w:val="28"/>
          <w:szCs w:val="28"/>
          <w:lang w:eastAsia="sq-AL"/>
        </w:rPr>
        <w:t>ë</w:t>
      </w:r>
      <w:r w:rsidRPr="00181911">
        <w:rPr>
          <w:bCs/>
          <w:sz w:val="28"/>
          <w:szCs w:val="28"/>
          <w:lang w:eastAsia="sq-AL"/>
        </w:rPr>
        <w:t>p</w:t>
      </w:r>
      <w:r w:rsidR="0090544E">
        <w:rPr>
          <w:bCs/>
          <w:sz w:val="28"/>
          <w:szCs w:val="28"/>
          <w:lang w:eastAsia="sq-AL"/>
        </w:rPr>
        <w:t>ë</w:t>
      </w:r>
      <w:r w:rsidRPr="00181911">
        <w:rPr>
          <w:bCs/>
          <w:sz w:val="28"/>
          <w:szCs w:val="28"/>
          <w:lang w:eastAsia="sq-AL"/>
        </w:rPr>
        <w:t>rmjet k</w:t>
      </w:r>
      <w:r w:rsidR="0090544E">
        <w:rPr>
          <w:bCs/>
          <w:sz w:val="28"/>
          <w:szCs w:val="28"/>
          <w:lang w:eastAsia="sq-AL"/>
        </w:rPr>
        <w:t>ë</w:t>
      </w:r>
      <w:r w:rsidRPr="00181911">
        <w:rPr>
          <w:bCs/>
          <w:sz w:val="28"/>
          <w:szCs w:val="28"/>
          <w:lang w:eastAsia="sq-AL"/>
        </w:rPr>
        <w:t>tij partneriteti synohet t</w:t>
      </w:r>
      <w:r w:rsidR="0090544E">
        <w:rPr>
          <w:bCs/>
          <w:sz w:val="28"/>
          <w:szCs w:val="28"/>
          <w:lang w:eastAsia="sq-AL"/>
        </w:rPr>
        <w:t>ë</w:t>
      </w:r>
      <w:r w:rsidRPr="00181911">
        <w:rPr>
          <w:bCs/>
          <w:sz w:val="28"/>
          <w:szCs w:val="28"/>
          <w:lang w:eastAsia="sq-AL"/>
        </w:rPr>
        <w:t xml:space="preserve"> garantohet zbatimi i parimit t</w:t>
      </w:r>
      <w:r w:rsidR="0090544E">
        <w:rPr>
          <w:bCs/>
          <w:sz w:val="28"/>
          <w:szCs w:val="28"/>
          <w:lang w:eastAsia="sq-AL"/>
        </w:rPr>
        <w:t>ë</w:t>
      </w:r>
      <w:r w:rsidRPr="00181911">
        <w:rPr>
          <w:bCs/>
          <w:sz w:val="28"/>
          <w:szCs w:val="28"/>
          <w:lang w:eastAsia="sq-AL"/>
        </w:rPr>
        <w:t xml:space="preserve"> partneritetit dhe bashk</w:t>
      </w:r>
      <w:r w:rsidR="0090544E">
        <w:rPr>
          <w:bCs/>
          <w:sz w:val="28"/>
          <w:szCs w:val="28"/>
          <w:lang w:eastAsia="sq-AL"/>
        </w:rPr>
        <w:t>ë</w:t>
      </w:r>
      <w:r w:rsidRPr="00181911">
        <w:rPr>
          <w:bCs/>
          <w:sz w:val="28"/>
          <w:szCs w:val="28"/>
          <w:lang w:eastAsia="sq-AL"/>
        </w:rPr>
        <w:t>punimit q</w:t>
      </w:r>
      <w:r w:rsidR="0090544E">
        <w:rPr>
          <w:bCs/>
          <w:sz w:val="28"/>
          <w:szCs w:val="28"/>
          <w:lang w:eastAsia="sq-AL"/>
        </w:rPr>
        <w:t>ë</w:t>
      </w:r>
      <w:r w:rsidRPr="00181911">
        <w:rPr>
          <w:bCs/>
          <w:sz w:val="28"/>
          <w:szCs w:val="28"/>
          <w:lang w:eastAsia="sq-AL"/>
        </w:rPr>
        <w:t xml:space="preserve"> q</w:t>
      </w:r>
      <w:r w:rsidR="0090544E">
        <w:rPr>
          <w:bCs/>
          <w:sz w:val="28"/>
          <w:szCs w:val="28"/>
          <w:lang w:eastAsia="sq-AL"/>
        </w:rPr>
        <w:t>ë</w:t>
      </w:r>
      <w:r w:rsidRPr="00181911">
        <w:rPr>
          <w:bCs/>
          <w:sz w:val="28"/>
          <w:szCs w:val="28"/>
          <w:lang w:eastAsia="sq-AL"/>
        </w:rPr>
        <w:t>ndron n</w:t>
      </w:r>
      <w:r w:rsidR="0090544E">
        <w:rPr>
          <w:bCs/>
          <w:sz w:val="28"/>
          <w:szCs w:val="28"/>
          <w:lang w:eastAsia="sq-AL"/>
        </w:rPr>
        <w:t>ë</w:t>
      </w:r>
      <w:r w:rsidRPr="00181911">
        <w:rPr>
          <w:bCs/>
          <w:sz w:val="28"/>
          <w:szCs w:val="28"/>
          <w:lang w:eastAsia="sq-AL"/>
        </w:rPr>
        <w:t xml:space="preserve"> themel t</w:t>
      </w:r>
      <w:r w:rsidR="0090544E">
        <w:rPr>
          <w:bCs/>
          <w:sz w:val="28"/>
          <w:szCs w:val="28"/>
          <w:lang w:eastAsia="sq-AL"/>
        </w:rPr>
        <w:t>ë</w:t>
      </w:r>
      <w:r w:rsidRPr="00181911">
        <w:rPr>
          <w:bCs/>
          <w:i/>
          <w:iCs/>
          <w:sz w:val="28"/>
          <w:szCs w:val="28"/>
          <w:lang w:eastAsia="sq-AL"/>
        </w:rPr>
        <w:t xml:space="preserve"> a</w:t>
      </w:r>
      <w:r w:rsidR="007C5682" w:rsidRPr="00181911">
        <w:rPr>
          <w:bCs/>
          <w:i/>
          <w:iCs/>
          <w:sz w:val="28"/>
          <w:szCs w:val="28"/>
          <w:lang w:eastAsia="sq-AL"/>
        </w:rPr>
        <w:t>c</w:t>
      </w:r>
      <w:r w:rsidRPr="00181911">
        <w:rPr>
          <w:bCs/>
          <w:i/>
          <w:iCs/>
          <w:sz w:val="28"/>
          <w:szCs w:val="28"/>
          <w:lang w:eastAsia="sq-AL"/>
        </w:rPr>
        <w:t>quis</w:t>
      </w:r>
      <w:r w:rsidRPr="00181911">
        <w:rPr>
          <w:bCs/>
          <w:sz w:val="28"/>
          <w:szCs w:val="28"/>
          <w:lang w:eastAsia="sq-AL"/>
        </w:rPr>
        <w:t xml:space="preserve"> t</w:t>
      </w:r>
      <w:r w:rsidR="0090544E">
        <w:rPr>
          <w:bCs/>
          <w:sz w:val="28"/>
          <w:szCs w:val="28"/>
          <w:lang w:eastAsia="sq-AL"/>
        </w:rPr>
        <w:t>ë</w:t>
      </w:r>
      <w:r w:rsidRPr="00181911">
        <w:rPr>
          <w:bCs/>
          <w:sz w:val="28"/>
          <w:szCs w:val="28"/>
          <w:lang w:eastAsia="sq-AL"/>
        </w:rPr>
        <w:t xml:space="preserve"> BE-s</w:t>
      </w:r>
      <w:r w:rsidR="0090544E">
        <w:rPr>
          <w:bCs/>
          <w:sz w:val="28"/>
          <w:szCs w:val="28"/>
          <w:lang w:eastAsia="sq-AL"/>
        </w:rPr>
        <w:t>ë</w:t>
      </w:r>
      <w:r w:rsidRPr="00181911">
        <w:rPr>
          <w:bCs/>
          <w:sz w:val="28"/>
          <w:szCs w:val="28"/>
          <w:lang w:eastAsia="sq-AL"/>
        </w:rPr>
        <w:t xml:space="preserve"> n</w:t>
      </w:r>
      <w:r w:rsidR="0090544E">
        <w:rPr>
          <w:bCs/>
          <w:sz w:val="28"/>
          <w:szCs w:val="28"/>
          <w:lang w:eastAsia="sq-AL"/>
        </w:rPr>
        <w:t>ë</w:t>
      </w:r>
      <w:r w:rsidRPr="00181911">
        <w:rPr>
          <w:bCs/>
          <w:sz w:val="28"/>
          <w:szCs w:val="28"/>
          <w:lang w:eastAsia="sq-AL"/>
        </w:rPr>
        <w:t xml:space="preserve"> fush</w:t>
      </w:r>
      <w:r w:rsidR="0090544E">
        <w:rPr>
          <w:bCs/>
          <w:sz w:val="28"/>
          <w:szCs w:val="28"/>
          <w:lang w:eastAsia="sq-AL"/>
        </w:rPr>
        <w:t>ë</w:t>
      </w:r>
      <w:r w:rsidRPr="00181911">
        <w:rPr>
          <w:bCs/>
          <w:sz w:val="28"/>
          <w:szCs w:val="28"/>
          <w:lang w:eastAsia="sq-AL"/>
        </w:rPr>
        <w:t>n e politik</w:t>
      </w:r>
      <w:r w:rsidR="0090544E">
        <w:rPr>
          <w:bCs/>
          <w:sz w:val="28"/>
          <w:szCs w:val="28"/>
          <w:lang w:eastAsia="sq-AL"/>
        </w:rPr>
        <w:t>ë</w:t>
      </w:r>
      <w:r w:rsidRPr="00181911">
        <w:rPr>
          <w:bCs/>
          <w:sz w:val="28"/>
          <w:szCs w:val="28"/>
          <w:lang w:eastAsia="sq-AL"/>
        </w:rPr>
        <w:t>s</w:t>
      </w:r>
      <w:r w:rsidR="007C5682" w:rsidRPr="00181911">
        <w:rPr>
          <w:bCs/>
          <w:sz w:val="28"/>
          <w:szCs w:val="28"/>
          <w:lang w:eastAsia="sq-AL"/>
        </w:rPr>
        <w:t xml:space="preserve"> dhe fondeve t</w:t>
      </w:r>
      <w:r w:rsidR="0090544E">
        <w:rPr>
          <w:bCs/>
          <w:sz w:val="28"/>
          <w:szCs w:val="28"/>
          <w:lang w:eastAsia="sq-AL"/>
        </w:rPr>
        <w:t>ë</w:t>
      </w:r>
      <w:r w:rsidRPr="00181911">
        <w:rPr>
          <w:bCs/>
          <w:sz w:val="28"/>
          <w:szCs w:val="28"/>
          <w:lang w:eastAsia="sq-AL"/>
        </w:rPr>
        <w:t xml:space="preserve"> kohezionit (</w:t>
      </w:r>
      <w:r w:rsidRPr="00181911">
        <w:rPr>
          <w:bCs/>
          <w:i/>
          <w:iCs/>
          <w:sz w:val="28"/>
          <w:szCs w:val="28"/>
          <w:lang w:eastAsia="sq-AL"/>
        </w:rPr>
        <w:t>ESI Funds- European Structural and Investment Funds</w:t>
      </w:r>
      <w:r w:rsidRPr="00181911">
        <w:rPr>
          <w:bCs/>
          <w:sz w:val="28"/>
          <w:szCs w:val="28"/>
          <w:lang w:eastAsia="sq-AL"/>
        </w:rPr>
        <w:t>)</w:t>
      </w:r>
      <w:r w:rsidR="00F75D8B" w:rsidRPr="00181911">
        <w:rPr>
          <w:bCs/>
          <w:sz w:val="28"/>
          <w:szCs w:val="28"/>
          <w:lang w:eastAsia="sq-AL"/>
        </w:rPr>
        <w:t xml:space="preserve">. </w:t>
      </w:r>
      <w:r w:rsidR="00D47D99" w:rsidRPr="00181911">
        <w:rPr>
          <w:bCs/>
          <w:sz w:val="28"/>
          <w:szCs w:val="28"/>
          <w:lang w:eastAsia="sq-AL"/>
        </w:rPr>
        <w:t>Projektakti reflekton p</w:t>
      </w:r>
      <w:r w:rsidR="0090544E">
        <w:rPr>
          <w:bCs/>
          <w:sz w:val="28"/>
          <w:szCs w:val="28"/>
          <w:lang w:eastAsia="sq-AL"/>
        </w:rPr>
        <w:t>ë</w:t>
      </w:r>
      <w:r w:rsidR="00D47D99" w:rsidRPr="00181911">
        <w:rPr>
          <w:bCs/>
          <w:sz w:val="28"/>
          <w:szCs w:val="28"/>
          <w:lang w:eastAsia="sq-AL"/>
        </w:rPr>
        <w:t xml:space="preserve">rkufizimin e </w:t>
      </w:r>
      <w:r w:rsidR="00D47D99" w:rsidRPr="00181911">
        <w:rPr>
          <w:rFonts w:eastAsia="Bahnschrift"/>
          <w:bCs/>
          <w:sz w:val="28"/>
          <w:szCs w:val="28"/>
          <w:lang w:val="en-GB" w:eastAsia="en-US"/>
        </w:rPr>
        <w:t>p</w:t>
      </w:r>
      <w:r w:rsidR="006F5140" w:rsidRPr="00181911">
        <w:rPr>
          <w:rFonts w:eastAsia="Bahnschrift"/>
          <w:bCs/>
          <w:sz w:val="28"/>
          <w:szCs w:val="28"/>
          <w:lang w:val="en-GB" w:eastAsia="en-US"/>
        </w:rPr>
        <w:t>artneriteti</w:t>
      </w:r>
      <w:r w:rsidR="00D47D99" w:rsidRPr="00181911">
        <w:rPr>
          <w:rFonts w:eastAsia="Bahnschrift"/>
          <w:bCs/>
          <w:sz w:val="28"/>
          <w:szCs w:val="28"/>
          <w:lang w:val="en-GB" w:eastAsia="en-US"/>
        </w:rPr>
        <w:t>t</w:t>
      </w:r>
      <w:r w:rsidR="006F5140" w:rsidRPr="00181911">
        <w:rPr>
          <w:rFonts w:eastAsia="Bahnschrift"/>
          <w:bCs/>
          <w:sz w:val="28"/>
          <w:szCs w:val="28"/>
          <w:lang w:val="en-GB" w:eastAsia="en-US"/>
        </w:rPr>
        <w:t>, sipas Rregullores s</w:t>
      </w:r>
      <w:r w:rsidR="0090544E">
        <w:rPr>
          <w:rFonts w:eastAsia="Bahnschrift"/>
          <w:bCs/>
          <w:sz w:val="28"/>
          <w:szCs w:val="28"/>
          <w:lang w:val="en-GB" w:eastAsia="en-US"/>
        </w:rPr>
        <w:t>ë</w:t>
      </w:r>
      <w:r w:rsidR="006F5140" w:rsidRPr="00181911">
        <w:rPr>
          <w:rFonts w:eastAsia="Bahnschrift"/>
          <w:bCs/>
          <w:sz w:val="28"/>
          <w:szCs w:val="28"/>
          <w:lang w:val="en-GB" w:eastAsia="en-US"/>
        </w:rPr>
        <w:t xml:space="preserve"> BE-s</w:t>
      </w:r>
      <w:r w:rsidR="0090544E">
        <w:rPr>
          <w:rFonts w:eastAsia="Bahnschrift"/>
          <w:bCs/>
          <w:sz w:val="28"/>
          <w:szCs w:val="28"/>
          <w:lang w:val="en-GB" w:eastAsia="en-US"/>
        </w:rPr>
        <w:t>ë</w:t>
      </w:r>
      <w:r w:rsidR="006F5140" w:rsidRPr="00181911">
        <w:rPr>
          <w:rFonts w:eastAsia="Bahnschrift"/>
          <w:bCs/>
          <w:sz w:val="28"/>
          <w:szCs w:val="28"/>
          <w:lang w:val="en-GB" w:eastAsia="en-US"/>
        </w:rPr>
        <w:t xml:space="preserve"> </w:t>
      </w:r>
      <w:r w:rsidR="006F5140" w:rsidRPr="00181911">
        <w:rPr>
          <w:rFonts w:eastAsia="Bahnschrift"/>
          <w:bCs/>
          <w:sz w:val="28"/>
          <w:szCs w:val="28"/>
          <w:lang w:val="en-GB" w:eastAsia="en-US"/>
        </w:rPr>
        <w:lastRenderedPageBreak/>
        <w:t>nr.240/2014</w:t>
      </w:r>
      <w:r w:rsidR="006F5140" w:rsidRPr="00181911">
        <w:rPr>
          <w:rStyle w:val="FootnoteReference"/>
          <w:rFonts w:eastAsia="Bahnschrift"/>
          <w:bCs/>
          <w:sz w:val="28"/>
          <w:szCs w:val="28"/>
          <w:lang w:val="en-GB" w:eastAsia="en-US"/>
        </w:rPr>
        <w:footnoteReference w:id="1"/>
      </w:r>
      <w:r w:rsidR="006F5140" w:rsidRPr="00181911">
        <w:rPr>
          <w:rFonts w:eastAsia="Bahnschrift"/>
          <w:bCs/>
          <w:sz w:val="28"/>
          <w:szCs w:val="28"/>
          <w:lang w:val="en-GB" w:eastAsia="en-US"/>
        </w:rPr>
        <w:t xml:space="preserve"> </w:t>
      </w:r>
      <w:r w:rsidR="00D47D99" w:rsidRPr="00181911">
        <w:rPr>
          <w:rFonts w:eastAsia="Bahnschrift"/>
          <w:bCs/>
          <w:sz w:val="28"/>
          <w:szCs w:val="28"/>
          <w:lang w:val="en-GB" w:eastAsia="en-US"/>
        </w:rPr>
        <w:t>q</w:t>
      </w:r>
      <w:r w:rsidR="0090544E">
        <w:rPr>
          <w:rFonts w:eastAsia="Bahnschrift"/>
          <w:bCs/>
          <w:sz w:val="28"/>
          <w:szCs w:val="28"/>
          <w:lang w:val="en-GB" w:eastAsia="en-US"/>
        </w:rPr>
        <w:t>ë</w:t>
      </w:r>
      <w:r w:rsidR="00D47D99" w:rsidRPr="00181911">
        <w:rPr>
          <w:rFonts w:eastAsia="Bahnschrift"/>
          <w:bCs/>
          <w:sz w:val="28"/>
          <w:szCs w:val="28"/>
          <w:lang w:val="en-GB" w:eastAsia="en-US"/>
        </w:rPr>
        <w:t xml:space="preserve"> </w:t>
      </w:r>
      <w:r w:rsidR="006F5140" w:rsidRPr="00181911">
        <w:rPr>
          <w:rFonts w:eastAsia="Bahnschrift"/>
          <w:bCs/>
          <w:sz w:val="28"/>
          <w:szCs w:val="28"/>
          <w:lang w:val="en-GB" w:eastAsia="en-US"/>
        </w:rPr>
        <w:t>n</w:t>
      </w:r>
      <w:r w:rsidR="0090544E">
        <w:rPr>
          <w:rFonts w:eastAsia="Bahnschrift"/>
          <w:bCs/>
          <w:sz w:val="28"/>
          <w:szCs w:val="28"/>
          <w:lang w:val="en-GB" w:eastAsia="en-US"/>
        </w:rPr>
        <w:t>ë</w:t>
      </w:r>
      <w:r w:rsidR="006F5140" w:rsidRPr="00181911">
        <w:rPr>
          <w:rFonts w:eastAsia="Bahnschrift"/>
          <w:bCs/>
          <w:sz w:val="28"/>
          <w:szCs w:val="28"/>
          <w:lang w:val="en-GB" w:eastAsia="en-US"/>
        </w:rPr>
        <w:t>nkupton bashkëpunim t</w:t>
      </w:r>
      <w:r w:rsidR="0090544E">
        <w:rPr>
          <w:rFonts w:eastAsia="Bahnschrift"/>
          <w:bCs/>
          <w:sz w:val="28"/>
          <w:szCs w:val="28"/>
          <w:lang w:val="en-GB" w:eastAsia="en-US"/>
        </w:rPr>
        <w:t>ë</w:t>
      </w:r>
      <w:r w:rsidR="006F5140" w:rsidRPr="00181911">
        <w:rPr>
          <w:rFonts w:eastAsia="Bahnschrift"/>
          <w:bCs/>
          <w:sz w:val="28"/>
          <w:szCs w:val="28"/>
          <w:lang w:val="en-GB" w:eastAsia="en-US"/>
        </w:rPr>
        <w:t xml:space="preserve"> ngushtë midis autor</w:t>
      </w:r>
      <w:r w:rsidR="00A006F4" w:rsidRPr="00181911">
        <w:rPr>
          <w:rFonts w:eastAsia="Bahnschrift"/>
          <w:bCs/>
          <w:sz w:val="28"/>
          <w:szCs w:val="28"/>
          <w:lang w:val="en-GB" w:eastAsia="en-US"/>
        </w:rPr>
        <w:t>iteteve</w:t>
      </w:r>
      <w:r w:rsidR="006F5140" w:rsidRPr="00181911">
        <w:rPr>
          <w:rFonts w:eastAsia="Bahnschrift"/>
          <w:bCs/>
          <w:sz w:val="28"/>
          <w:szCs w:val="28"/>
          <w:lang w:val="en-GB" w:eastAsia="en-US"/>
        </w:rPr>
        <w:t xml:space="preserve"> publike, partnerëve ekonomikë dhe social dhe </w:t>
      </w:r>
      <w:r w:rsidR="00A006F4" w:rsidRPr="00181911">
        <w:rPr>
          <w:rFonts w:eastAsia="Bahnschrift"/>
          <w:bCs/>
          <w:sz w:val="28"/>
          <w:szCs w:val="28"/>
          <w:lang w:val="en-GB" w:eastAsia="en-US"/>
        </w:rPr>
        <w:t>subjekteve q</w:t>
      </w:r>
      <w:r w:rsidR="0090544E">
        <w:rPr>
          <w:rFonts w:eastAsia="Bahnschrift"/>
          <w:bCs/>
          <w:sz w:val="28"/>
          <w:szCs w:val="28"/>
          <w:lang w:val="en-GB" w:eastAsia="en-US"/>
        </w:rPr>
        <w:t>ë</w:t>
      </w:r>
      <w:r w:rsidR="00A006F4" w:rsidRPr="00181911">
        <w:rPr>
          <w:rFonts w:eastAsia="Bahnschrift"/>
          <w:bCs/>
          <w:sz w:val="28"/>
          <w:szCs w:val="28"/>
          <w:lang w:val="en-GB" w:eastAsia="en-US"/>
        </w:rPr>
        <w:t xml:space="preserve"> p</w:t>
      </w:r>
      <w:r w:rsidR="0090544E">
        <w:rPr>
          <w:rFonts w:eastAsia="Bahnschrift"/>
          <w:bCs/>
          <w:sz w:val="28"/>
          <w:szCs w:val="28"/>
          <w:lang w:val="en-GB" w:eastAsia="en-US"/>
        </w:rPr>
        <w:t>ë</w:t>
      </w:r>
      <w:r w:rsidR="00A006F4" w:rsidRPr="00181911">
        <w:rPr>
          <w:rFonts w:eastAsia="Bahnschrift"/>
          <w:bCs/>
          <w:sz w:val="28"/>
          <w:szCs w:val="28"/>
          <w:lang w:val="en-GB" w:eastAsia="en-US"/>
        </w:rPr>
        <w:t>rfaq</w:t>
      </w:r>
      <w:r w:rsidR="0090544E">
        <w:rPr>
          <w:rFonts w:eastAsia="Bahnschrift"/>
          <w:bCs/>
          <w:sz w:val="28"/>
          <w:szCs w:val="28"/>
          <w:lang w:val="en-GB" w:eastAsia="en-US"/>
        </w:rPr>
        <w:t>ë</w:t>
      </w:r>
      <w:r w:rsidR="00A006F4" w:rsidRPr="00181911">
        <w:rPr>
          <w:rFonts w:eastAsia="Bahnschrift"/>
          <w:bCs/>
          <w:sz w:val="28"/>
          <w:szCs w:val="28"/>
          <w:lang w:val="en-GB" w:eastAsia="en-US"/>
        </w:rPr>
        <w:t>sojn</w:t>
      </w:r>
      <w:r w:rsidR="0090544E">
        <w:rPr>
          <w:rFonts w:eastAsia="Bahnschrift"/>
          <w:bCs/>
          <w:sz w:val="28"/>
          <w:szCs w:val="28"/>
          <w:lang w:val="en-GB" w:eastAsia="en-US"/>
        </w:rPr>
        <w:t>ë</w:t>
      </w:r>
      <w:r w:rsidR="006F5140" w:rsidRPr="00181911">
        <w:rPr>
          <w:rFonts w:eastAsia="Bahnschrift"/>
          <w:bCs/>
          <w:sz w:val="28"/>
          <w:szCs w:val="28"/>
          <w:lang w:val="en-GB" w:eastAsia="en-US"/>
        </w:rPr>
        <w:t xml:space="preserve"> shoqërinë civile në nivel kombëtar, rajonal dhe vendor gjatë gjithë ciklit të</w:t>
      </w:r>
      <w:r w:rsidR="00A006F4" w:rsidRPr="00181911">
        <w:rPr>
          <w:rFonts w:eastAsia="Bahnschrift"/>
          <w:bCs/>
          <w:sz w:val="28"/>
          <w:szCs w:val="28"/>
          <w:lang w:val="en-GB" w:eastAsia="en-US"/>
        </w:rPr>
        <w:t xml:space="preserve"> programimit t</w:t>
      </w:r>
      <w:r w:rsidR="0090544E">
        <w:rPr>
          <w:rFonts w:eastAsia="Bahnschrift"/>
          <w:bCs/>
          <w:sz w:val="28"/>
          <w:szCs w:val="28"/>
          <w:lang w:val="en-GB" w:eastAsia="en-US"/>
        </w:rPr>
        <w:t>ë</w:t>
      </w:r>
      <w:r w:rsidR="006F5140" w:rsidRPr="00181911">
        <w:rPr>
          <w:rFonts w:eastAsia="Bahnschrift"/>
          <w:bCs/>
          <w:sz w:val="28"/>
          <w:szCs w:val="28"/>
          <w:lang w:val="en-GB" w:eastAsia="en-US"/>
        </w:rPr>
        <w:t xml:space="preserve"> fondeve të </w:t>
      </w:r>
      <w:r w:rsidR="00A006F4" w:rsidRPr="00181911">
        <w:rPr>
          <w:rFonts w:eastAsia="Bahnschrift"/>
          <w:bCs/>
          <w:sz w:val="28"/>
          <w:szCs w:val="28"/>
          <w:lang w:val="en-GB" w:eastAsia="en-US"/>
        </w:rPr>
        <w:t>p</w:t>
      </w:r>
      <w:r w:rsidR="006F5140" w:rsidRPr="00181911">
        <w:rPr>
          <w:rFonts w:eastAsia="Bahnschrift"/>
          <w:bCs/>
          <w:sz w:val="28"/>
          <w:szCs w:val="28"/>
          <w:lang w:val="en-GB" w:eastAsia="en-US"/>
        </w:rPr>
        <w:t xml:space="preserve">olitikës së </w:t>
      </w:r>
      <w:r w:rsidR="00A006F4" w:rsidRPr="00181911">
        <w:rPr>
          <w:rFonts w:eastAsia="Bahnschrift"/>
          <w:bCs/>
          <w:sz w:val="28"/>
          <w:szCs w:val="28"/>
          <w:lang w:val="en-GB" w:eastAsia="en-US"/>
        </w:rPr>
        <w:t>k</w:t>
      </w:r>
      <w:r w:rsidR="006F5140" w:rsidRPr="00181911">
        <w:rPr>
          <w:rFonts w:eastAsia="Bahnschrift"/>
          <w:bCs/>
          <w:sz w:val="28"/>
          <w:szCs w:val="28"/>
          <w:lang w:val="en-GB" w:eastAsia="en-US"/>
        </w:rPr>
        <w:t>ohezionit, që konsiston në përgatitjen, zbatimin, monitorimin dhe vlerësimin e programeve.</w:t>
      </w:r>
    </w:p>
    <w:p w14:paraId="029ABD7F" w14:textId="77777777" w:rsidR="001C1FB5" w:rsidRPr="00181911" w:rsidRDefault="001C1FB5" w:rsidP="005D1179">
      <w:pPr>
        <w:spacing w:line="288" w:lineRule="auto"/>
        <w:jc w:val="both"/>
        <w:rPr>
          <w:rFonts w:eastAsia="Bahnschrift"/>
          <w:bCs/>
          <w:sz w:val="28"/>
          <w:szCs w:val="28"/>
          <w:lang w:val="en-GB" w:eastAsia="en-US"/>
        </w:rPr>
      </w:pPr>
    </w:p>
    <w:p w14:paraId="0D728E4D" w14:textId="53A52D52" w:rsidR="001C1FB5" w:rsidRPr="00181911" w:rsidRDefault="001C1FB5" w:rsidP="005D1179">
      <w:pPr>
        <w:spacing w:line="288" w:lineRule="auto"/>
        <w:jc w:val="both"/>
        <w:rPr>
          <w:rFonts w:eastAsia="Bahnschrift"/>
          <w:bCs/>
          <w:sz w:val="28"/>
          <w:szCs w:val="28"/>
          <w:lang w:val="en-GB" w:eastAsia="en-US"/>
        </w:rPr>
      </w:pPr>
      <w:r w:rsidRPr="00181911">
        <w:rPr>
          <w:rFonts w:eastAsia="Bahnschrift"/>
          <w:bCs/>
          <w:sz w:val="28"/>
          <w:szCs w:val="28"/>
          <w:lang w:val="en-GB" w:eastAsia="en-US"/>
        </w:rPr>
        <w:t>Kriteret dhe p</w:t>
      </w:r>
      <w:r w:rsidR="0090544E">
        <w:rPr>
          <w:rFonts w:eastAsia="Bahnschrift"/>
          <w:bCs/>
          <w:sz w:val="28"/>
          <w:szCs w:val="28"/>
          <w:lang w:val="en-GB" w:eastAsia="en-US"/>
        </w:rPr>
        <w:t>ë</w:t>
      </w:r>
      <w:r w:rsidRPr="00181911">
        <w:rPr>
          <w:rFonts w:eastAsia="Bahnschrift"/>
          <w:bCs/>
          <w:sz w:val="28"/>
          <w:szCs w:val="28"/>
          <w:lang w:val="en-GB" w:eastAsia="en-US"/>
        </w:rPr>
        <w:t>rzgjedhja e tyre duhet t</w:t>
      </w:r>
      <w:r w:rsidR="0090544E">
        <w:rPr>
          <w:rFonts w:eastAsia="Bahnschrift"/>
          <w:bCs/>
          <w:sz w:val="28"/>
          <w:szCs w:val="28"/>
          <w:lang w:val="en-GB" w:eastAsia="en-US"/>
        </w:rPr>
        <w:t>ë</w:t>
      </w:r>
      <w:r w:rsidRPr="00181911">
        <w:rPr>
          <w:rFonts w:eastAsia="Bahnschrift"/>
          <w:bCs/>
          <w:sz w:val="28"/>
          <w:szCs w:val="28"/>
          <w:lang w:val="en-GB" w:eastAsia="en-US"/>
        </w:rPr>
        <w:t xml:space="preserve"> kryhet </w:t>
      </w:r>
      <w:r w:rsidRPr="00181911">
        <w:rPr>
          <w:rFonts w:eastAsia="Bahnschrift"/>
          <w:bCs/>
          <w:i/>
          <w:iCs/>
          <w:sz w:val="28"/>
          <w:szCs w:val="28"/>
          <w:lang w:val="en-GB" w:eastAsia="en-US"/>
        </w:rPr>
        <w:t>p</w:t>
      </w:r>
      <w:r w:rsidR="0090544E">
        <w:rPr>
          <w:rFonts w:eastAsia="Bahnschrift"/>
          <w:bCs/>
          <w:i/>
          <w:iCs/>
          <w:sz w:val="28"/>
          <w:szCs w:val="28"/>
          <w:lang w:val="en-GB" w:eastAsia="en-US"/>
        </w:rPr>
        <w:t>ë</w:t>
      </w:r>
      <w:r w:rsidRPr="00181911">
        <w:rPr>
          <w:rFonts w:eastAsia="Bahnschrift"/>
          <w:bCs/>
          <w:i/>
          <w:iCs/>
          <w:sz w:val="28"/>
          <w:szCs w:val="28"/>
          <w:lang w:val="en-GB" w:eastAsia="en-US"/>
        </w:rPr>
        <w:t>rpara</w:t>
      </w:r>
      <w:r w:rsidRPr="00181911">
        <w:rPr>
          <w:rFonts w:eastAsia="Bahnschrift"/>
          <w:bCs/>
          <w:sz w:val="28"/>
          <w:szCs w:val="28"/>
          <w:lang w:val="en-GB" w:eastAsia="en-US"/>
        </w:rPr>
        <w:t xml:space="preserve"> fillimit t</w:t>
      </w:r>
      <w:r w:rsidR="0090544E">
        <w:rPr>
          <w:rFonts w:eastAsia="Bahnschrift"/>
          <w:bCs/>
          <w:sz w:val="28"/>
          <w:szCs w:val="28"/>
          <w:lang w:val="en-GB" w:eastAsia="en-US"/>
        </w:rPr>
        <w:t>ë</w:t>
      </w:r>
      <w:r w:rsidRPr="00181911">
        <w:rPr>
          <w:rFonts w:eastAsia="Bahnschrift"/>
          <w:bCs/>
          <w:sz w:val="28"/>
          <w:szCs w:val="28"/>
          <w:lang w:val="en-GB" w:eastAsia="en-US"/>
        </w:rPr>
        <w:t xml:space="preserve"> procesit t</w:t>
      </w:r>
      <w:r w:rsidR="0090544E">
        <w:rPr>
          <w:rFonts w:eastAsia="Bahnschrift"/>
          <w:bCs/>
          <w:sz w:val="28"/>
          <w:szCs w:val="28"/>
          <w:lang w:val="en-GB" w:eastAsia="en-US"/>
        </w:rPr>
        <w:t>ë</w:t>
      </w:r>
      <w:r w:rsidRPr="00181911">
        <w:rPr>
          <w:rFonts w:eastAsia="Bahnschrift"/>
          <w:bCs/>
          <w:sz w:val="28"/>
          <w:szCs w:val="28"/>
          <w:lang w:val="en-GB" w:eastAsia="en-US"/>
        </w:rPr>
        <w:t xml:space="preserve"> programimit. </w:t>
      </w:r>
    </w:p>
    <w:p w14:paraId="776D047A" w14:textId="11F943B6" w:rsidR="0099501D" w:rsidRPr="00181911" w:rsidRDefault="0099501D" w:rsidP="005D1179">
      <w:pPr>
        <w:spacing w:line="288" w:lineRule="auto"/>
        <w:jc w:val="both"/>
        <w:rPr>
          <w:rFonts w:eastAsia="Bahnschrift"/>
          <w:bCs/>
          <w:sz w:val="28"/>
          <w:szCs w:val="28"/>
          <w:lang w:val="en-GB" w:eastAsia="en-US"/>
        </w:rPr>
      </w:pPr>
    </w:p>
    <w:p w14:paraId="06DA33C2" w14:textId="06DFDA88" w:rsidR="0099501D" w:rsidRPr="00181911" w:rsidRDefault="0099501D" w:rsidP="005D1179">
      <w:pPr>
        <w:spacing w:line="288" w:lineRule="auto"/>
        <w:jc w:val="both"/>
        <w:rPr>
          <w:rFonts w:eastAsia="Bahnschrift"/>
          <w:bCs/>
          <w:sz w:val="28"/>
          <w:szCs w:val="28"/>
          <w:lang w:val="en-GB" w:eastAsia="en-US"/>
        </w:rPr>
      </w:pPr>
      <w:r w:rsidRPr="00181911">
        <w:rPr>
          <w:rFonts w:eastAsia="Bahnschrift"/>
          <w:bCs/>
          <w:sz w:val="28"/>
          <w:szCs w:val="28"/>
          <w:lang w:val="en-GB" w:eastAsia="en-US"/>
        </w:rPr>
        <w:t>Ky proje</w:t>
      </w:r>
      <w:r w:rsidR="001C1FB5" w:rsidRPr="00181911">
        <w:rPr>
          <w:rFonts w:eastAsia="Bahnschrift"/>
          <w:bCs/>
          <w:sz w:val="28"/>
          <w:szCs w:val="28"/>
          <w:lang w:val="en-GB" w:eastAsia="en-US"/>
        </w:rPr>
        <w:t>k</w:t>
      </w:r>
      <w:r w:rsidRPr="00181911">
        <w:rPr>
          <w:rFonts w:eastAsia="Bahnschrift"/>
          <w:bCs/>
          <w:sz w:val="28"/>
          <w:szCs w:val="28"/>
          <w:lang w:val="en-GB" w:eastAsia="en-US"/>
        </w:rPr>
        <w:t xml:space="preserve">takt </w:t>
      </w:r>
      <w:r w:rsidR="0090544E">
        <w:rPr>
          <w:rFonts w:eastAsia="Bahnschrift"/>
          <w:bCs/>
          <w:sz w:val="28"/>
          <w:szCs w:val="28"/>
          <w:lang w:val="en-GB" w:eastAsia="en-US"/>
        </w:rPr>
        <w:t>ë</w:t>
      </w:r>
      <w:r w:rsidRPr="00181911">
        <w:rPr>
          <w:rFonts w:eastAsia="Bahnschrift"/>
          <w:bCs/>
          <w:sz w:val="28"/>
          <w:szCs w:val="28"/>
          <w:lang w:val="en-GB" w:eastAsia="en-US"/>
        </w:rPr>
        <w:t>sht</w:t>
      </w:r>
      <w:r w:rsidR="0090544E">
        <w:rPr>
          <w:rFonts w:eastAsia="Bahnschrift"/>
          <w:bCs/>
          <w:sz w:val="28"/>
          <w:szCs w:val="28"/>
          <w:lang w:val="en-GB" w:eastAsia="en-US"/>
        </w:rPr>
        <w:t>ë</w:t>
      </w:r>
      <w:r w:rsidRPr="00181911">
        <w:rPr>
          <w:rFonts w:eastAsia="Bahnschrift"/>
          <w:bCs/>
          <w:sz w:val="28"/>
          <w:szCs w:val="28"/>
          <w:lang w:val="en-GB" w:eastAsia="en-US"/>
        </w:rPr>
        <w:t xml:space="preserve"> pjes</w:t>
      </w:r>
      <w:r w:rsidR="0090544E">
        <w:rPr>
          <w:rFonts w:eastAsia="Bahnschrift"/>
          <w:bCs/>
          <w:sz w:val="28"/>
          <w:szCs w:val="28"/>
          <w:lang w:val="en-GB" w:eastAsia="en-US"/>
        </w:rPr>
        <w:t>ë</w:t>
      </w:r>
      <w:r w:rsidRPr="00181911">
        <w:rPr>
          <w:rFonts w:eastAsia="Bahnschrift"/>
          <w:bCs/>
          <w:sz w:val="28"/>
          <w:szCs w:val="28"/>
          <w:lang w:val="en-GB" w:eastAsia="en-US"/>
        </w:rPr>
        <w:t xml:space="preserve"> e nj</w:t>
      </w:r>
      <w:r w:rsidR="0090544E">
        <w:rPr>
          <w:rFonts w:eastAsia="Bahnschrift"/>
          <w:bCs/>
          <w:sz w:val="28"/>
          <w:szCs w:val="28"/>
          <w:lang w:val="en-GB" w:eastAsia="en-US"/>
        </w:rPr>
        <w:t>ë</w:t>
      </w:r>
      <w:r w:rsidRPr="00181911">
        <w:rPr>
          <w:rFonts w:eastAsia="Bahnschrift"/>
          <w:bCs/>
          <w:sz w:val="28"/>
          <w:szCs w:val="28"/>
          <w:lang w:val="en-GB" w:eastAsia="en-US"/>
        </w:rPr>
        <w:t xml:space="preserve"> s</w:t>
      </w:r>
      <w:r w:rsidR="0090544E">
        <w:rPr>
          <w:rFonts w:eastAsia="Bahnschrift"/>
          <w:bCs/>
          <w:sz w:val="28"/>
          <w:szCs w:val="28"/>
          <w:lang w:val="en-GB" w:eastAsia="en-US"/>
        </w:rPr>
        <w:t>ë</w:t>
      </w:r>
      <w:r w:rsidRPr="00181911">
        <w:rPr>
          <w:rFonts w:eastAsia="Bahnschrift"/>
          <w:bCs/>
          <w:sz w:val="28"/>
          <w:szCs w:val="28"/>
          <w:lang w:val="en-GB" w:eastAsia="en-US"/>
        </w:rPr>
        <w:t>r</w:t>
      </w:r>
      <w:r w:rsidR="0090544E">
        <w:rPr>
          <w:rFonts w:eastAsia="Bahnschrift"/>
          <w:bCs/>
          <w:sz w:val="28"/>
          <w:szCs w:val="28"/>
          <w:lang w:val="en-GB" w:eastAsia="en-US"/>
        </w:rPr>
        <w:t>ë</w:t>
      </w:r>
      <w:r w:rsidRPr="00181911">
        <w:rPr>
          <w:rFonts w:eastAsia="Bahnschrift"/>
          <w:bCs/>
          <w:sz w:val="28"/>
          <w:szCs w:val="28"/>
          <w:lang w:val="en-GB" w:eastAsia="en-US"/>
        </w:rPr>
        <w:t xml:space="preserve"> aktesh t</w:t>
      </w:r>
      <w:r w:rsidR="0090544E">
        <w:rPr>
          <w:rFonts w:eastAsia="Bahnschrift"/>
          <w:bCs/>
          <w:sz w:val="28"/>
          <w:szCs w:val="28"/>
          <w:lang w:val="en-GB" w:eastAsia="en-US"/>
        </w:rPr>
        <w:t>ë</w:t>
      </w:r>
      <w:r w:rsidRPr="00181911">
        <w:rPr>
          <w:rFonts w:eastAsia="Bahnschrift"/>
          <w:bCs/>
          <w:sz w:val="28"/>
          <w:szCs w:val="28"/>
          <w:lang w:val="en-GB" w:eastAsia="en-US"/>
        </w:rPr>
        <w:t xml:space="preserve"> tjera q</w:t>
      </w:r>
      <w:r w:rsidR="0090544E">
        <w:rPr>
          <w:rFonts w:eastAsia="Bahnschrift"/>
          <w:bCs/>
          <w:sz w:val="28"/>
          <w:szCs w:val="28"/>
          <w:lang w:val="en-GB" w:eastAsia="en-US"/>
        </w:rPr>
        <w:t>ë</w:t>
      </w:r>
      <w:r w:rsidRPr="00181911">
        <w:rPr>
          <w:rFonts w:eastAsia="Bahnschrift"/>
          <w:bCs/>
          <w:sz w:val="28"/>
          <w:szCs w:val="28"/>
          <w:lang w:val="en-GB" w:eastAsia="en-US"/>
        </w:rPr>
        <w:t xml:space="preserve"> do t</w:t>
      </w:r>
      <w:r w:rsidR="0090544E">
        <w:rPr>
          <w:rFonts w:eastAsia="Bahnschrift"/>
          <w:bCs/>
          <w:sz w:val="28"/>
          <w:szCs w:val="28"/>
          <w:lang w:val="en-GB" w:eastAsia="en-US"/>
        </w:rPr>
        <w:t>ë</w:t>
      </w:r>
      <w:r w:rsidRPr="00181911">
        <w:rPr>
          <w:rFonts w:eastAsia="Bahnschrift"/>
          <w:bCs/>
          <w:sz w:val="28"/>
          <w:szCs w:val="28"/>
          <w:lang w:val="en-GB" w:eastAsia="en-US"/>
        </w:rPr>
        <w:t xml:space="preserve"> duhet t</w:t>
      </w:r>
      <w:r w:rsidR="0090544E">
        <w:rPr>
          <w:rFonts w:eastAsia="Bahnschrift"/>
          <w:bCs/>
          <w:sz w:val="28"/>
          <w:szCs w:val="28"/>
          <w:lang w:val="en-GB" w:eastAsia="en-US"/>
        </w:rPr>
        <w:t>ë</w:t>
      </w:r>
      <w:r w:rsidRPr="00181911">
        <w:rPr>
          <w:rFonts w:eastAsia="Bahnschrift"/>
          <w:bCs/>
          <w:sz w:val="28"/>
          <w:szCs w:val="28"/>
          <w:lang w:val="en-GB" w:eastAsia="en-US"/>
        </w:rPr>
        <w:t xml:space="preserve"> miratohen n</w:t>
      </w:r>
      <w:r w:rsidR="0090544E">
        <w:rPr>
          <w:rFonts w:eastAsia="Bahnschrift"/>
          <w:bCs/>
          <w:sz w:val="28"/>
          <w:szCs w:val="28"/>
          <w:lang w:val="en-GB" w:eastAsia="en-US"/>
        </w:rPr>
        <w:t>ë</w:t>
      </w:r>
      <w:r w:rsidRPr="00181911">
        <w:rPr>
          <w:rFonts w:eastAsia="Bahnschrift"/>
          <w:bCs/>
          <w:sz w:val="28"/>
          <w:szCs w:val="28"/>
          <w:lang w:val="en-GB" w:eastAsia="en-US"/>
        </w:rPr>
        <w:t xml:space="preserve"> kuad</w:t>
      </w:r>
      <w:r w:rsidR="0090544E">
        <w:rPr>
          <w:rFonts w:eastAsia="Bahnschrift"/>
          <w:bCs/>
          <w:sz w:val="28"/>
          <w:szCs w:val="28"/>
          <w:lang w:val="en-GB" w:eastAsia="en-US"/>
        </w:rPr>
        <w:t>ë</w:t>
      </w:r>
      <w:r w:rsidRPr="00181911">
        <w:rPr>
          <w:rFonts w:eastAsia="Bahnschrift"/>
          <w:bCs/>
          <w:sz w:val="28"/>
          <w:szCs w:val="28"/>
          <w:lang w:val="en-GB" w:eastAsia="en-US"/>
        </w:rPr>
        <w:t>r t</w:t>
      </w:r>
      <w:r w:rsidR="0090544E">
        <w:rPr>
          <w:rFonts w:eastAsia="Bahnschrift"/>
          <w:bCs/>
          <w:sz w:val="28"/>
          <w:szCs w:val="28"/>
          <w:lang w:val="en-GB" w:eastAsia="en-US"/>
        </w:rPr>
        <w:t>ë</w:t>
      </w:r>
      <w:r w:rsidRPr="00181911">
        <w:rPr>
          <w:rFonts w:eastAsia="Bahnschrift"/>
          <w:bCs/>
          <w:sz w:val="28"/>
          <w:szCs w:val="28"/>
          <w:lang w:val="en-GB" w:eastAsia="en-US"/>
        </w:rPr>
        <w:t xml:space="preserve"> procesit t</w:t>
      </w:r>
      <w:r w:rsidR="0090544E">
        <w:rPr>
          <w:rFonts w:eastAsia="Bahnschrift"/>
          <w:bCs/>
          <w:sz w:val="28"/>
          <w:szCs w:val="28"/>
          <w:lang w:val="en-GB" w:eastAsia="en-US"/>
        </w:rPr>
        <w:t>ë</w:t>
      </w:r>
      <w:r w:rsidRPr="00181911">
        <w:rPr>
          <w:rFonts w:eastAsia="Bahnschrift"/>
          <w:bCs/>
          <w:sz w:val="28"/>
          <w:szCs w:val="28"/>
          <w:lang w:val="en-GB" w:eastAsia="en-US"/>
        </w:rPr>
        <w:t xml:space="preserve"> negocimit t</w:t>
      </w:r>
      <w:r w:rsidR="0090544E">
        <w:rPr>
          <w:rFonts w:eastAsia="Bahnschrift"/>
          <w:bCs/>
          <w:sz w:val="28"/>
          <w:szCs w:val="28"/>
          <w:lang w:val="en-GB" w:eastAsia="en-US"/>
        </w:rPr>
        <w:t>ë</w:t>
      </w:r>
      <w:r w:rsidRPr="00181911">
        <w:rPr>
          <w:rFonts w:eastAsia="Bahnschrift"/>
          <w:bCs/>
          <w:sz w:val="28"/>
          <w:szCs w:val="28"/>
          <w:lang w:val="en-GB" w:eastAsia="en-US"/>
        </w:rPr>
        <w:t xml:space="preserve"> Kapitullit 22</w:t>
      </w:r>
      <w:r w:rsidR="001C1FB5" w:rsidRPr="00181911">
        <w:rPr>
          <w:rFonts w:eastAsia="Bahnschrift"/>
          <w:bCs/>
          <w:sz w:val="28"/>
          <w:szCs w:val="28"/>
          <w:lang w:val="en-GB" w:eastAsia="en-US"/>
        </w:rPr>
        <w:t xml:space="preserve"> n</w:t>
      </w:r>
      <w:r w:rsidR="0090544E">
        <w:rPr>
          <w:rFonts w:eastAsia="Bahnschrift"/>
          <w:bCs/>
          <w:sz w:val="28"/>
          <w:szCs w:val="28"/>
          <w:lang w:val="en-GB" w:eastAsia="en-US"/>
        </w:rPr>
        <w:t>ë</w:t>
      </w:r>
      <w:r w:rsidR="001C1FB5" w:rsidRPr="00181911">
        <w:rPr>
          <w:rFonts w:eastAsia="Bahnschrift"/>
          <w:bCs/>
          <w:sz w:val="28"/>
          <w:szCs w:val="28"/>
          <w:lang w:val="en-GB" w:eastAsia="en-US"/>
        </w:rPr>
        <w:t xml:space="preserve"> m</w:t>
      </w:r>
      <w:r w:rsidR="0090544E">
        <w:rPr>
          <w:rFonts w:eastAsia="Bahnschrift"/>
          <w:bCs/>
          <w:sz w:val="28"/>
          <w:szCs w:val="28"/>
          <w:lang w:val="en-GB" w:eastAsia="en-US"/>
        </w:rPr>
        <w:t>ë</w:t>
      </w:r>
      <w:r w:rsidR="001C1FB5" w:rsidRPr="00181911">
        <w:rPr>
          <w:rFonts w:eastAsia="Bahnschrift"/>
          <w:bCs/>
          <w:sz w:val="28"/>
          <w:szCs w:val="28"/>
          <w:lang w:val="en-GB" w:eastAsia="en-US"/>
        </w:rPr>
        <w:t>nyr</w:t>
      </w:r>
      <w:r w:rsidR="0090544E">
        <w:rPr>
          <w:rFonts w:eastAsia="Bahnschrift"/>
          <w:bCs/>
          <w:sz w:val="28"/>
          <w:szCs w:val="28"/>
          <w:lang w:val="en-GB" w:eastAsia="en-US"/>
        </w:rPr>
        <w:t>ë</w:t>
      </w:r>
      <w:r w:rsidR="001C1FB5" w:rsidRPr="00181911">
        <w:rPr>
          <w:rFonts w:eastAsia="Bahnschrift"/>
          <w:bCs/>
          <w:sz w:val="28"/>
          <w:szCs w:val="28"/>
          <w:lang w:val="en-GB" w:eastAsia="en-US"/>
        </w:rPr>
        <w:t xml:space="preserve"> q</w:t>
      </w:r>
      <w:r w:rsidR="0090544E">
        <w:rPr>
          <w:rFonts w:eastAsia="Bahnschrift"/>
          <w:bCs/>
          <w:sz w:val="28"/>
          <w:szCs w:val="28"/>
          <w:lang w:val="en-GB" w:eastAsia="en-US"/>
        </w:rPr>
        <w:t>ë</w:t>
      </w:r>
      <w:r w:rsidR="001C1FB5" w:rsidRPr="00181911">
        <w:rPr>
          <w:rFonts w:eastAsia="Bahnschrift"/>
          <w:bCs/>
          <w:sz w:val="28"/>
          <w:szCs w:val="28"/>
          <w:lang w:val="en-GB" w:eastAsia="en-US"/>
        </w:rPr>
        <w:t xml:space="preserve"> t</w:t>
      </w:r>
      <w:r w:rsidR="0090544E">
        <w:rPr>
          <w:rFonts w:eastAsia="Bahnschrift"/>
          <w:bCs/>
          <w:sz w:val="28"/>
          <w:szCs w:val="28"/>
          <w:lang w:val="en-GB" w:eastAsia="en-US"/>
        </w:rPr>
        <w:t>ë</w:t>
      </w:r>
      <w:r w:rsidR="001C1FB5" w:rsidRPr="00181911">
        <w:rPr>
          <w:rFonts w:eastAsia="Bahnschrift"/>
          <w:bCs/>
          <w:sz w:val="28"/>
          <w:szCs w:val="28"/>
          <w:lang w:val="en-GB" w:eastAsia="en-US"/>
        </w:rPr>
        <w:t xml:space="preserve"> krijohet baza e p</w:t>
      </w:r>
      <w:r w:rsidR="0090544E">
        <w:rPr>
          <w:rFonts w:eastAsia="Bahnschrift"/>
          <w:bCs/>
          <w:sz w:val="28"/>
          <w:szCs w:val="28"/>
          <w:lang w:val="en-GB" w:eastAsia="en-US"/>
        </w:rPr>
        <w:t>ë</w:t>
      </w:r>
      <w:r w:rsidR="001C1FB5" w:rsidRPr="00181911">
        <w:rPr>
          <w:rFonts w:eastAsia="Bahnschrift"/>
          <w:bCs/>
          <w:sz w:val="28"/>
          <w:szCs w:val="28"/>
          <w:lang w:val="en-GB" w:eastAsia="en-US"/>
        </w:rPr>
        <w:t>rshtatshme dhe e nevojshme ligjore p</w:t>
      </w:r>
      <w:r w:rsidR="0090544E">
        <w:rPr>
          <w:rFonts w:eastAsia="Bahnschrift"/>
          <w:bCs/>
          <w:sz w:val="28"/>
          <w:szCs w:val="28"/>
          <w:lang w:val="en-GB" w:eastAsia="en-US"/>
        </w:rPr>
        <w:t>ë</w:t>
      </w:r>
      <w:r w:rsidR="001C1FB5" w:rsidRPr="00181911">
        <w:rPr>
          <w:rFonts w:eastAsia="Bahnschrift"/>
          <w:bCs/>
          <w:sz w:val="28"/>
          <w:szCs w:val="28"/>
          <w:lang w:val="en-GB" w:eastAsia="en-US"/>
        </w:rPr>
        <w:t>r hartimin dhe zbatimin e fondeve t</w:t>
      </w:r>
      <w:r w:rsidR="0090544E">
        <w:rPr>
          <w:rFonts w:eastAsia="Bahnschrift"/>
          <w:bCs/>
          <w:sz w:val="28"/>
          <w:szCs w:val="28"/>
          <w:lang w:val="en-GB" w:eastAsia="en-US"/>
        </w:rPr>
        <w:t>ë</w:t>
      </w:r>
      <w:r w:rsidR="001C1FB5" w:rsidRPr="00181911">
        <w:rPr>
          <w:rFonts w:eastAsia="Bahnschrift"/>
          <w:bCs/>
          <w:sz w:val="28"/>
          <w:szCs w:val="28"/>
          <w:lang w:val="en-GB" w:eastAsia="en-US"/>
        </w:rPr>
        <w:t xml:space="preserve"> kohezionit t</w:t>
      </w:r>
      <w:r w:rsidR="0090544E">
        <w:rPr>
          <w:rFonts w:eastAsia="Bahnschrift"/>
          <w:bCs/>
          <w:sz w:val="28"/>
          <w:szCs w:val="28"/>
          <w:lang w:val="en-GB" w:eastAsia="en-US"/>
        </w:rPr>
        <w:t>ë</w:t>
      </w:r>
      <w:r w:rsidR="001C1FB5" w:rsidRPr="00181911">
        <w:rPr>
          <w:rFonts w:eastAsia="Bahnschrift"/>
          <w:bCs/>
          <w:sz w:val="28"/>
          <w:szCs w:val="28"/>
          <w:lang w:val="en-GB" w:eastAsia="en-US"/>
        </w:rPr>
        <w:t xml:space="preserve"> BE-s</w:t>
      </w:r>
      <w:r w:rsidR="0090544E">
        <w:rPr>
          <w:rFonts w:eastAsia="Bahnschrift"/>
          <w:bCs/>
          <w:sz w:val="28"/>
          <w:szCs w:val="28"/>
          <w:lang w:val="en-GB" w:eastAsia="en-US"/>
        </w:rPr>
        <w:t>ë</w:t>
      </w:r>
      <w:r w:rsidR="001C1FB5" w:rsidRPr="00181911">
        <w:rPr>
          <w:rFonts w:eastAsia="Bahnschrift"/>
          <w:bCs/>
          <w:sz w:val="28"/>
          <w:szCs w:val="28"/>
          <w:lang w:val="en-GB" w:eastAsia="en-US"/>
        </w:rPr>
        <w:t xml:space="preserve">. </w:t>
      </w:r>
    </w:p>
    <w:p w14:paraId="1F93AB1D" w14:textId="77777777" w:rsidR="0099501D" w:rsidRPr="00181911" w:rsidRDefault="0099501D" w:rsidP="005D1179">
      <w:pPr>
        <w:spacing w:line="288" w:lineRule="auto"/>
        <w:jc w:val="both"/>
        <w:rPr>
          <w:rFonts w:eastAsia="Bahnschrift"/>
          <w:bCs/>
          <w:sz w:val="28"/>
          <w:szCs w:val="28"/>
          <w:lang w:val="en-GB" w:eastAsia="en-US"/>
        </w:rPr>
      </w:pPr>
    </w:p>
    <w:p w14:paraId="2760E8C7" w14:textId="7604E28D" w:rsidR="0099501D" w:rsidRPr="00181911" w:rsidRDefault="0099501D" w:rsidP="0099501D">
      <w:pPr>
        <w:spacing w:line="288" w:lineRule="auto"/>
        <w:jc w:val="both"/>
        <w:rPr>
          <w:rFonts w:eastAsia="Bahnschrift" w:cs="Calibri"/>
          <w:bCs/>
          <w:sz w:val="28"/>
          <w:szCs w:val="28"/>
          <w:lang w:eastAsia="en-US"/>
        </w:rPr>
      </w:pPr>
      <w:r w:rsidRPr="00181911">
        <w:rPr>
          <w:rFonts w:eastAsia="Bahnschrift" w:cs="Calibri"/>
          <w:bCs/>
          <w:sz w:val="28"/>
          <w:szCs w:val="28"/>
          <w:lang w:val="en-GB" w:eastAsia="en-US"/>
        </w:rPr>
        <w:t>N</w:t>
      </w:r>
      <w:r w:rsidR="0090544E">
        <w:rPr>
          <w:rFonts w:eastAsia="Bahnschrift" w:cs="Calibri"/>
          <w:bCs/>
          <w:sz w:val="28"/>
          <w:szCs w:val="28"/>
          <w:lang w:val="en-GB" w:eastAsia="en-US"/>
        </w:rPr>
        <w:t>ë</w:t>
      </w:r>
      <w:r w:rsidRPr="00181911">
        <w:rPr>
          <w:rFonts w:eastAsia="Bahnschrift" w:cs="Calibri"/>
          <w:bCs/>
          <w:sz w:val="28"/>
          <w:szCs w:val="28"/>
          <w:lang w:val="en-GB" w:eastAsia="en-US"/>
        </w:rPr>
        <w:t xml:space="preserve"> t</w:t>
      </w:r>
      <w:r w:rsidR="0090544E">
        <w:rPr>
          <w:rFonts w:eastAsia="Bahnschrift" w:cs="Calibri"/>
          <w:bCs/>
          <w:sz w:val="28"/>
          <w:szCs w:val="28"/>
          <w:lang w:val="en-GB" w:eastAsia="en-US"/>
        </w:rPr>
        <w:t>ë</w:t>
      </w:r>
      <w:r w:rsidRPr="00181911">
        <w:rPr>
          <w:rFonts w:eastAsia="Bahnschrift" w:cs="Calibri"/>
          <w:bCs/>
          <w:sz w:val="28"/>
          <w:szCs w:val="28"/>
          <w:lang w:val="en-GB" w:eastAsia="en-US"/>
        </w:rPr>
        <w:t xml:space="preserve"> nj</w:t>
      </w:r>
      <w:r w:rsidR="0090544E">
        <w:rPr>
          <w:rFonts w:eastAsia="Bahnschrift" w:cs="Calibri"/>
          <w:bCs/>
          <w:sz w:val="28"/>
          <w:szCs w:val="28"/>
          <w:lang w:val="en-GB" w:eastAsia="en-US"/>
        </w:rPr>
        <w:t>ë</w:t>
      </w:r>
      <w:r w:rsidRPr="00181911">
        <w:rPr>
          <w:rFonts w:eastAsia="Bahnschrift" w:cs="Calibri"/>
          <w:bCs/>
          <w:sz w:val="28"/>
          <w:szCs w:val="28"/>
          <w:lang w:val="en-GB" w:eastAsia="en-US"/>
        </w:rPr>
        <w:t>jt</w:t>
      </w:r>
      <w:r w:rsidR="0090544E">
        <w:rPr>
          <w:rFonts w:eastAsia="Bahnschrift" w:cs="Calibri"/>
          <w:bCs/>
          <w:sz w:val="28"/>
          <w:szCs w:val="28"/>
          <w:lang w:val="en-GB" w:eastAsia="en-US"/>
        </w:rPr>
        <w:t>ë</w:t>
      </w:r>
      <w:r w:rsidRPr="00181911">
        <w:rPr>
          <w:rFonts w:eastAsia="Bahnschrift" w:cs="Calibri"/>
          <w:bCs/>
          <w:sz w:val="28"/>
          <w:szCs w:val="28"/>
          <w:lang w:val="en-GB" w:eastAsia="en-US"/>
        </w:rPr>
        <w:t>n koh</w:t>
      </w:r>
      <w:r w:rsidR="0090544E">
        <w:rPr>
          <w:rFonts w:eastAsia="Bahnschrift" w:cs="Calibri"/>
          <w:bCs/>
          <w:sz w:val="28"/>
          <w:szCs w:val="28"/>
          <w:lang w:val="en-GB" w:eastAsia="en-US"/>
        </w:rPr>
        <w:t>ë</w:t>
      </w:r>
      <w:r w:rsidRPr="00181911">
        <w:rPr>
          <w:rFonts w:eastAsia="Bahnschrift" w:cs="Calibri"/>
          <w:bCs/>
          <w:sz w:val="28"/>
          <w:szCs w:val="28"/>
          <w:lang w:val="en-GB" w:eastAsia="en-US"/>
        </w:rPr>
        <w:t>, ky projektakt adreson edhe rekomandimin në Raportin Vjetor të Zgjerimit të Komisionit Evropian për Shqipërinë 2024</w:t>
      </w:r>
      <w:r w:rsidRPr="00181911">
        <w:rPr>
          <w:rFonts w:eastAsia="Bahnschrift" w:cs="Calibri"/>
          <w:bCs/>
          <w:sz w:val="28"/>
          <w:szCs w:val="28"/>
          <w:lang w:eastAsia="en-US"/>
        </w:rPr>
        <w:t>, ku thuhet që</w:t>
      </w:r>
      <w:r w:rsidRPr="00181911">
        <w:rPr>
          <w:rFonts w:eastAsia="Bahnschrift" w:cs="Calibri"/>
          <w:bCs/>
          <w:sz w:val="28"/>
          <w:szCs w:val="28"/>
          <w:lang w:val="en-GB" w:eastAsia="en-US"/>
        </w:rPr>
        <w:t xml:space="preserve"> “</w:t>
      </w:r>
      <w:r w:rsidRPr="00181911">
        <w:rPr>
          <w:rFonts w:eastAsia="Bahnschrift" w:cs="Calibri"/>
          <w:bCs/>
          <w:i/>
          <w:iCs/>
          <w:sz w:val="28"/>
          <w:szCs w:val="28"/>
          <w:lang w:eastAsia="en-US"/>
        </w:rPr>
        <w:t>d</w:t>
      </w:r>
      <w:r w:rsidRPr="00181911">
        <w:rPr>
          <w:rFonts w:eastAsia="Bahnschrift" w:cs="Calibri"/>
          <w:bCs/>
          <w:i/>
          <w:iCs/>
          <w:sz w:val="28"/>
          <w:szCs w:val="28"/>
          <w:lang w:val="en-GB" w:eastAsia="en-US"/>
        </w:rPr>
        <w:t>uhen përpjekje për të vendosur kuadrin ligjor të parimit të partneritetit shoqëror dhe të shoqërisë civile, duke kërkuar nga autoritetet përkatëse të partneritetit publik. në të gjitha fazat e programimit, duke përgatitur terrenin për politikën e ardhshme të kohezionit në përputhje me Kodin Evropian të Sjelljes për Partneritetin”</w:t>
      </w:r>
      <w:r w:rsidRPr="00181911">
        <w:rPr>
          <w:rFonts w:eastAsia="Bahnschrift" w:cs="Calibri"/>
          <w:bCs/>
          <w:i/>
          <w:iCs/>
          <w:sz w:val="28"/>
          <w:szCs w:val="28"/>
          <w:vertAlign w:val="superscript"/>
          <w:lang w:val="en-GB" w:eastAsia="en-US"/>
        </w:rPr>
        <w:footnoteReference w:id="2"/>
      </w:r>
      <w:r w:rsidRPr="00181911">
        <w:rPr>
          <w:rFonts w:eastAsia="Bahnschrift" w:cs="Calibri"/>
          <w:bCs/>
          <w:i/>
          <w:iCs/>
          <w:sz w:val="28"/>
          <w:szCs w:val="28"/>
          <w:lang w:eastAsia="en-US"/>
        </w:rPr>
        <w:t>.</w:t>
      </w:r>
    </w:p>
    <w:p w14:paraId="50FFE9DF" w14:textId="77777777" w:rsidR="007C5682" w:rsidRPr="00181911" w:rsidRDefault="007C5682" w:rsidP="005D1179">
      <w:pPr>
        <w:spacing w:line="288" w:lineRule="auto"/>
        <w:jc w:val="both"/>
        <w:rPr>
          <w:rFonts w:eastAsia="Bahnschrift"/>
          <w:bCs/>
          <w:sz w:val="28"/>
          <w:szCs w:val="28"/>
          <w:lang w:val="en-GB" w:eastAsia="en-US"/>
        </w:rPr>
      </w:pPr>
    </w:p>
    <w:p w14:paraId="43F7F893" w14:textId="5976255B" w:rsidR="00617B2C" w:rsidRPr="00181911" w:rsidRDefault="005252F2" w:rsidP="005D1179">
      <w:pPr>
        <w:spacing w:line="288" w:lineRule="auto"/>
        <w:jc w:val="both"/>
        <w:rPr>
          <w:rFonts w:eastAsia="Bahnschrift"/>
          <w:bCs/>
          <w:sz w:val="28"/>
          <w:szCs w:val="28"/>
          <w:lang w:val="en-GB" w:eastAsia="en-US"/>
        </w:rPr>
      </w:pPr>
      <w:r w:rsidRPr="00181911">
        <w:rPr>
          <w:rFonts w:eastAsia="Bahnschrift"/>
          <w:bCs/>
          <w:sz w:val="28"/>
          <w:szCs w:val="28"/>
          <w:lang w:val="en-GB" w:eastAsia="en-US"/>
        </w:rPr>
        <w:t>N</w:t>
      </w:r>
      <w:r w:rsidR="0090544E">
        <w:rPr>
          <w:rFonts w:eastAsia="Bahnschrift"/>
          <w:bCs/>
          <w:sz w:val="28"/>
          <w:szCs w:val="28"/>
          <w:lang w:val="en-GB" w:eastAsia="en-US"/>
        </w:rPr>
        <w:t>ë</w:t>
      </w:r>
      <w:r w:rsidRPr="00181911">
        <w:rPr>
          <w:rFonts w:eastAsia="Bahnschrift"/>
          <w:bCs/>
          <w:sz w:val="28"/>
          <w:szCs w:val="28"/>
          <w:lang w:val="en-GB" w:eastAsia="en-US"/>
        </w:rPr>
        <w:t xml:space="preserve"> kontekstin vendas, ekzistojn</w:t>
      </w:r>
      <w:r w:rsidR="0090544E">
        <w:rPr>
          <w:rFonts w:eastAsia="Bahnschrift"/>
          <w:bCs/>
          <w:sz w:val="28"/>
          <w:szCs w:val="28"/>
          <w:lang w:val="en-GB" w:eastAsia="en-US"/>
        </w:rPr>
        <w:t>ë</w:t>
      </w:r>
      <w:r w:rsidRPr="00181911">
        <w:rPr>
          <w:rFonts w:eastAsia="Bahnschrift"/>
          <w:bCs/>
          <w:sz w:val="28"/>
          <w:szCs w:val="28"/>
          <w:lang w:val="en-GB" w:eastAsia="en-US"/>
        </w:rPr>
        <w:t xml:space="preserve"> precedent</w:t>
      </w:r>
      <w:r w:rsidR="0090544E">
        <w:rPr>
          <w:rFonts w:eastAsia="Bahnschrift"/>
          <w:bCs/>
          <w:sz w:val="28"/>
          <w:szCs w:val="28"/>
          <w:lang w:val="en-GB" w:eastAsia="en-US"/>
        </w:rPr>
        <w:t>ë</w:t>
      </w:r>
      <w:r w:rsidRPr="00181911">
        <w:rPr>
          <w:rFonts w:eastAsia="Bahnschrift"/>
          <w:bCs/>
          <w:sz w:val="28"/>
          <w:szCs w:val="28"/>
          <w:lang w:val="en-GB" w:eastAsia="en-US"/>
        </w:rPr>
        <w:t xml:space="preserve"> q</w:t>
      </w:r>
      <w:r w:rsidR="0090544E">
        <w:rPr>
          <w:rFonts w:eastAsia="Bahnschrift"/>
          <w:bCs/>
          <w:sz w:val="28"/>
          <w:szCs w:val="28"/>
          <w:lang w:val="en-GB" w:eastAsia="en-US"/>
        </w:rPr>
        <w:t>ë</w:t>
      </w:r>
      <w:r w:rsidRPr="00181911">
        <w:rPr>
          <w:rFonts w:eastAsia="Bahnschrift"/>
          <w:bCs/>
          <w:sz w:val="28"/>
          <w:szCs w:val="28"/>
          <w:lang w:val="en-GB" w:eastAsia="en-US"/>
        </w:rPr>
        <w:t xml:space="preserve"> reflektojn</w:t>
      </w:r>
      <w:r w:rsidR="0090544E">
        <w:rPr>
          <w:rFonts w:eastAsia="Bahnschrift"/>
          <w:bCs/>
          <w:sz w:val="28"/>
          <w:szCs w:val="28"/>
          <w:lang w:val="en-GB" w:eastAsia="en-US"/>
        </w:rPr>
        <w:t>ë</w:t>
      </w:r>
      <w:r w:rsidRPr="00181911">
        <w:rPr>
          <w:rFonts w:eastAsia="Bahnschrift"/>
          <w:bCs/>
          <w:sz w:val="28"/>
          <w:szCs w:val="28"/>
          <w:lang w:val="en-GB" w:eastAsia="en-US"/>
        </w:rPr>
        <w:t xml:space="preserve"> parimin e partneritetit si n</w:t>
      </w:r>
      <w:r w:rsidR="0090544E">
        <w:rPr>
          <w:rFonts w:eastAsia="Bahnschrift"/>
          <w:bCs/>
          <w:sz w:val="28"/>
          <w:szCs w:val="28"/>
          <w:lang w:val="en-GB" w:eastAsia="en-US"/>
        </w:rPr>
        <w:t>ë</w:t>
      </w:r>
      <w:r w:rsidRPr="00181911">
        <w:rPr>
          <w:rFonts w:eastAsia="Bahnschrift"/>
          <w:bCs/>
          <w:sz w:val="28"/>
          <w:szCs w:val="28"/>
          <w:lang w:val="en-GB" w:eastAsia="en-US"/>
        </w:rPr>
        <w:t xml:space="preserve"> rastin e p</w:t>
      </w:r>
      <w:r w:rsidR="00617B2C" w:rsidRPr="00181911">
        <w:rPr>
          <w:rFonts w:eastAsia="Bahnschrift"/>
          <w:bCs/>
          <w:sz w:val="28"/>
          <w:szCs w:val="28"/>
          <w:lang w:val="en-GB" w:eastAsia="en-US"/>
        </w:rPr>
        <w:t>rograme</w:t>
      </w:r>
      <w:r w:rsidRPr="00181911">
        <w:rPr>
          <w:rFonts w:eastAsia="Bahnschrift"/>
          <w:bCs/>
          <w:sz w:val="28"/>
          <w:szCs w:val="28"/>
          <w:lang w:val="en-GB" w:eastAsia="en-US"/>
        </w:rPr>
        <w:t>ve</w:t>
      </w:r>
      <w:r w:rsidR="00617B2C" w:rsidRPr="00181911">
        <w:rPr>
          <w:rFonts w:eastAsia="Bahnschrift"/>
          <w:bCs/>
          <w:sz w:val="28"/>
          <w:szCs w:val="28"/>
          <w:lang w:val="en-GB" w:eastAsia="en-US"/>
        </w:rPr>
        <w:t xml:space="preserve"> IPARD 2014-2020 dhe 2021-2027 të miratuara me ligjin 30/2017 dhe ligjin 97/2022</w:t>
      </w:r>
      <w:r w:rsidR="00617B2C" w:rsidRPr="00181911">
        <w:rPr>
          <w:rFonts w:eastAsia="Bahnschrift"/>
          <w:bCs/>
          <w:sz w:val="28"/>
          <w:szCs w:val="28"/>
          <w:vertAlign w:val="superscript"/>
          <w:lang w:val="en-GB" w:eastAsia="en-US"/>
        </w:rPr>
        <w:footnoteReference w:id="3"/>
      </w:r>
      <w:r w:rsidRPr="00181911">
        <w:rPr>
          <w:rFonts w:eastAsia="Bahnschrift"/>
          <w:bCs/>
          <w:sz w:val="28"/>
          <w:szCs w:val="28"/>
          <w:lang w:val="en-GB" w:eastAsia="en-US"/>
        </w:rPr>
        <w:t xml:space="preserve">; </w:t>
      </w:r>
      <w:r w:rsidR="00617B2C" w:rsidRPr="00181911">
        <w:rPr>
          <w:rFonts w:eastAsia="Bahnschrift"/>
          <w:bCs/>
          <w:sz w:val="28"/>
          <w:szCs w:val="28"/>
          <w:lang w:val="en-GB" w:eastAsia="en-US"/>
        </w:rPr>
        <w:t>respektivisht, të dyja marrin parasysh parimin e partneritetit për përgatitjen e programeve dhe pjesëmarrjen në Komitetet e Monitorimit të Programit.</w:t>
      </w:r>
      <w:r w:rsidRPr="00181911">
        <w:rPr>
          <w:rFonts w:eastAsia="Bahnschrift"/>
          <w:bCs/>
          <w:sz w:val="28"/>
          <w:szCs w:val="28"/>
          <w:lang w:val="en-GB" w:eastAsia="en-US"/>
        </w:rPr>
        <w:t xml:space="preserve"> </w:t>
      </w:r>
      <w:r w:rsidR="00617B2C" w:rsidRPr="00181911">
        <w:rPr>
          <w:rFonts w:eastAsia="Bahnschrift"/>
          <w:bCs/>
          <w:sz w:val="28"/>
          <w:szCs w:val="28"/>
          <w:lang w:val="en-GB" w:eastAsia="en-US"/>
        </w:rPr>
        <w:t xml:space="preserve">Për sa i përket programeve të tjera të financuara nga IPA, </w:t>
      </w:r>
      <w:r w:rsidR="00617B2C" w:rsidRPr="00181911">
        <w:rPr>
          <w:rFonts w:eastAsia="Bahnschrift"/>
          <w:bCs/>
          <w:sz w:val="28"/>
          <w:szCs w:val="28"/>
          <w:lang w:val="en-GB" w:eastAsia="en-US"/>
        </w:rPr>
        <w:lastRenderedPageBreak/>
        <w:t>përfshirja e parimit të partneritetit është futur për programimin IPA III në përputhje me Kornizën e Programimit IPA III</w:t>
      </w:r>
      <w:r w:rsidR="00617B2C" w:rsidRPr="00181911">
        <w:rPr>
          <w:rFonts w:eastAsia="Bahnschrift"/>
          <w:bCs/>
          <w:sz w:val="28"/>
          <w:szCs w:val="28"/>
          <w:vertAlign w:val="superscript"/>
          <w:lang w:val="en-GB" w:eastAsia="en-US"/>
        </w:rPr>
        <w:footnoteReference w:id="4"/>
      </w:r>
      <w:r w:rsidR="00617B2C" w:rsidRPr="00181911">
        <w:rPr>
          <w:rFonts w:eastAsia="Bahnschrift"/>
          <w:bCs/>
          <w:sz w:val="28"/>
          <w:szCs w:val="28"/>
          <w:lang w:val="en-GB" w:eastAsia="en-US"/>
        </w:rPr>
        <w:t>.</w:t>
      </w:r>
    </w:p>
    <w:p w14:paraId="57DE1D2C" w14:textId="77777777" w:rsidR="0044501F" w:rsidRPr="00181911" w:rsidRDefault="0044501F" w:rsidP="005D1179">
      <w:pPr>
        <w:spacing w:line="288" w:lineRule="auto"/>
        <w:jc w:val="both"/>
        <w:rPr>
          <w:rFonts w:eastAsia="Bahnschrift"/>
          <w:bCs/>
          <w:sz w:val="28"/>
          <w:szCs w:val="28"/>
          <w:lang w:val="en-GB" w:eastAsia="en-US"/>
        </w:rPr>
      </w:pPr>
    </w:p>
    <w:p w14:paraId="66392063" w14:textId="13F78EAE" w:rsidR="0044501F" w:rsidRPr="00181911" w:rsidRDefault="005252F2" w:rsidP="005D1179">
      <w:pPr>
        <w:spacing w:line="288" w:lineRule="auto"/>
        <w:jc w:val="both"/>
        <w:rPr>
          <w:rFonts w:eastAsia="Bahnschrift"/>
          <w:bCs/>
          <w:sz w:val="28"/>
          <w:szCs w:val="28"/>
          <w:lang w:eastAsia="en-US"/>
        </w:rPr>
      </w:pPr>
      <w:r w:rsidRPr="00181911">
        <w:rPr>
          <w:rFonts w:eastAsia="Bahnschrift"/>
          <w:bCs/>
          <w:sz w:val="28"/>
          <w:szCs w:val="28"/>
          <w:lang w:val="en-GB" w:eastAsia="en-US"/>
        </w:rPr>
        <w:t xml:space="preserve">Projektakti nuk lidhet me zbatimin e Ligjit nr.102/2020 </w:t>
      </w:r>
      <w:r w:rsidRPr="00181911">
        <w:rPr>
          <w:rFonts w:eastAsia="Bahnschrift"/>
          <w:bCs/>
          <w:sz w:val="28"/>
          <w:szCs w:val="28"/>
          <w:lang w:eastAsia="en-US"/>
        </w:rPr>
        <w:t>“</w:t>
      </w:r>
      <w:r w:rsidRPr="00181911">
        <w:rPr>
          <w:rFonts w:eastAsia="Bahnschrift"/>
          <w:bCs/>
          <w:i/>
          <w:iCs/>
          <w:sz w:val="28"/>
          <w:szCs w:val="28"/>
          <w:lang w:eastAsia="en-US"/>
        </w:rPr>
        <w:t>Për zhvillimin rajonal dhe kohezionin</w:t>
      </w:r>
      <w:r w:rsidRPr="00181911">
        <w:rPr>
          <w:rFonts w:eastAsia="Bahnschrift"/>
          <w:bCs/>
          <w:sz w:val="28"/>
          <w:szCs w:val="28"/>
          <w:lang w:eastAsia="en-US"/>
        </w:rPr>
        <w:t xml:space="preserve">” dhe nuk </w:t>
      </w:r>
      <w:r w:rsidR="0090544E">
        <w:rPr>
          <w:rFonts w:eastAsia="Bahnschrift"/>
          <w:bCs/>
          <w:sz w:val="28"/>
          <w:szCs w:val="28"/>
          <w:lang w:eastAsia="en-US"/>
        </w:rPr>
        <w:t>ë</w:t>
      </w:r>
      <w:r w:rsidRPr="00181911">
        <w:rPr>
          <w:rFonts w:eastAsia="Bahnschrift"/>
          <w:bCs/>
          <w:sz w:val="28"/>
          <w:szCs w:val="28"/>
          <w:lang w:eastAsia="en-US"/>
        </w:rPr>
        <w:t>sht</w:t>
      </w:r>
      <w:r w:rsidR="0090544E">
        <w:rPr>
          <w:rFonts w:eastAsia="Bahnschrift"/>
          <w:bCs/>
          <w:sz w:val="28"/>
          <w:szCs w:val="28"/>
          <w:lang w:eastAsia="en-US"/>
        </w:rPr>
        <w:t>ë</w:t>
      </w:r>
      <w:r w:rsidRPr="00181911">
        <w:rPr>
          <w:rFonts w:eastAsia="Bahnschrift"/>
          <w:bCs/>
          <w:sz w:val="28"/>
          <w:szCs w:val="28"/>
          <w:lang w:eastAsia="en-US"/>
        </w:rPr>
        <w:t xml:space="preserve"> nj</w:t>
      </w:r>
      <w:r w:rsidR="0090544E">
        <w:rPr>
          <w:rFonts w:eastAsia="Bahnschrift"/>
          <w:bCs/>
          <w:sz w:val="28"/>
          <w:szCs w:val="28"/>
          <w:lang w:eastAsia="en-US"/>
        </w:rPr>
        <w:t>ë</w:t>
      </w:r>
      <w:r w:rsidRPr="00181911">
        <w:rPr>
          <w:rFonts w:eastAsia="Bahnschrift"/>
          <w:bCs/>
          <w:sz w:val="28"/>
          <w:szCs w:val="28"/>
          <w:lang w:eastAsia="en-US"/>
        </w:rPr>
        <w:t xml:space="preserve"> akt n</w:t>
      </w:r>
      <w:r w:rsidR="0090544E">
        <w:rPr>
          <w:rFonts w:eastAsia="Bahnschrift"/>
          <w:bCs/>
          <w:sz w:val="28"/>
          <w:szCs w:val="28"/>
          <w:lang w:eastAsia="en-US"/>
        </w:rPr>
        <w:t>ë</w:t>
      </w:r>
      <w:r w:rsidRPr="00181911">
        <w:rPr>
          <w:rFonts w:eastAsia="Bahnschrift"/>
          <w:bCs/>
          <w:sz w:val="28"/>
          <w:szCs w:val="28"/>
          <w:lang w:eastAsia="en-US"/>
        </w:rPr>
        <w:t>nligjor q</w:t>
      </w:r>
      <w:r w:rsidR="0090544E">
        <w:rPr>
          <w:rFonts w:eastAsia="Bahnschrift"/>
          <w:bCs/>
          <w:sz w:val="28"/>
          <w:szCs w:val="28"/>
          <w:lang w:eastAsia="en-US"/>
        </w:rPr>
        <w:t>ë</w:t>
      </w:r>
      <w:r w:rsidRPr="00181911">
        <w:rPr>
          <w:rFonts w:eastAsia="Bahnschrift"/>
          <w:bCs/>
          <w:sz w:val="28"/>
          <w:szCs w:val="28"/>
          <w:lang w:eastAsia="en-US"/>
        </w:rPr>
        <w:t xml:space="preserve"> </w:t>
      </w:r>
      <w:r w:rsidR="0090544E">
        <w:rPr>
          <w:rFonts w:eastAsia="Bahnschrift"/>
          <w:bCs/>
          <w:sz w:val="28"/>
          <w:szCs w:val="28"/>
          <w:lang w:eastAsia="en-US"/>
        </w:rPr>
        <w:t>ë</w:t>
      </w:r>
      <w:r w:rsidRPr="00181911">
        <w:rPr>
          <w:rFonts w:eastAsia="Bahnschrift"/>
          <w:bCs/>
          <w:sz w:val="28"/>
          <w:szCs w:val="28"/>
          <w:lang w:eastAsia="en-US"/>
        </w:rPr>
        <w:t>sht</w:t>
      </w:r>
      <w:r w:rsidR="0090544E">
        <w:rPr>
          <w:rFonts w:eastAsia="Bahnschrift"/>
          <w:bCs/>
          <w:sz w:val="28"/>
          <w:szCs w:val="28"/>
          <w:lang w:eastAsia="en-US"/>
        </w:rPr>
        <w:t>ë</w:t>
      </w:r>
      <w:r w:rsidRPr="00181911">
        <w:rPr>
          <w:rFonts w:eastAsia="Bahnschrift"/>
          <w:bCs/>
          <w:sz w:val="28"/>
          <w:szCs w:val="28"/>
          <w:lang w:eastAsia="en-US"/>
        </w:rPr>
        <w:t xml:space="preserve"> parashikuar</w:t>
      </w:r>
      <w:r w:rsidR="004D03CA" w:rsidRPr="00181911">
        <w:rPr>
          <w:rFonts w:eastAsia="Bahnschrift"/>
          <w:bCs/>
          <w:sz w:val="28"/>
          <w:szCs w:val="28"/>
          <w:lang w:eastAsia="en-US"/>
        </w:rPr>
        <w:t xml:space="preserve"> t</w:t>
      </w:r>
      <w:r w:rsidR="0090544E">
        <w:rPr>
          <w:rFonts w:eastAsia="Bahnschrift"/>
          <w:bCs/>
          <w:sz w:val="28"/>
          <w:szCs w:val="28"/>
          <w:lang w:eastAsia="en-US"/>
        </w:rPr>
        <w:t>ë</w:t>
      </w:r>
      <w:r w:rsidR="004D03CA" w:rsidRPr="00181911">
        <w:rPr>
          <w:rFonts w:eastAsia="Bahnschrift"/>
          <w:bCs/>
          <w:sz w:val="28"/>
          <w:szCs w:val="28"/>
          <w:lang w:eastAsia="en-US"/>
        </w:rPr>
        <w:t xml:space="preserve"> miratohet</w:t>
      </w:r>
      <w:r w:rsidRPr="00181911">
        <w:rPr>
          <w:rFonts w:eastAsia="Bahnschrift"/>
          <w:bCs/>
          <w:sz w:val="28"/>
          <w:szCs w:val="28"/>
          <w:lang w:eastAsia="en-US"/>
        </w:rPr>
        <w:t xml:space="preserve"> n</w:t>
      </w:r>
      <w:r w:rsidR="0090544E">
        <w:rPr>
          <w:rFonts w:eastAsia="Bahnschrift"/>
          <w:bCs/>
          <w:sz w:val="28"/>
          <w:szCs w:val="28"/>
          <w:lang w:eastAsia="en-US"/>
        </w:rPr>
        <w:t>ë</w:t>
      </w:r>
      <w:r w:rsidRPr="00181911">
        <w:rPr>
          <w:rFonts w:eastAsia="Bahnschrift"/>
          <w:bCs/>
          <w:sz w:val="28"/>
          <w:szCs w:val="28"/>
          <w:lang w:eastAsia="en-US"/>
        </w:rPr>
        <w:t xml:space="preserve"> </w:t>
      </w:r>
      <w:r w:rsidR="004D03CA" w:rsidRPr="00181911">
        <w:rPr>
          <w:rFonts w:eastAsia="Bahnschrift"/>
          <w:bCs/>
          <w:sz w:val="28"/>
          <w:szCs w:val="28"/>
          <w:lang w:eastAsia="en-US"/>
        </w:rPr>
        <w:t>zbatim t</w:t>
      </w:r>
      <w:r w:rsidR="0090544E">
        <w:rPr>
          <w:rFonts w:eastAsia="Bahnschrift"/>
          <w:bCs/>
          <w:sz w:val="28"/>
          <w:szCs w:val="28"/>
          <w:lang w:eastAsia="en-US"/>
        </w:rPr>
        <w:t>ë</w:t>
      </w:r>
      <w:r w:rsidR="004D03CA" w:rsidRPr="00181911">
        <w:rPr>
          <w:rFonts w:eastAsia="Bahnschrift"/>
          <w:bCs/>
          <w:sz w:val="28"/>
          <w:szCs w:val="28"/>
          <w:lang w:eastAsia="en-US"/>
        </w:rPr>
        <w:t xml:space="preserve"> tij</w:t>
      </w:r>
      <w:r w:rsidRPr="00181911">
        <w:rPr>
          <w:rFonts w:eastAsia="Bahnschrift"/>
          <w:bCs/>
          <w:sz w:val="28"/>
          <w:szCs w:val="28"/>
          <w:lang w:eastAsia="en-US"/>
        </w:rPr>
        <w:t>. Pavar</w:t>
      </w:r>
      <w:r w:rsidR="0090544E">
        <w:rPr>
          <w:rFonts w:eastAsia="Bahnschrift"/>
          <w:bCs/>
          <w:sz w:val="28"/>
          <w:szCs w:val="28"/>
          <w:lang w:eastAsia="en-US"/>
        </w:rPr>
        <w:t>ë</w:t>
      </w:r>
      <w:r w:rsidRPr="00181911">
        <w:rPr>
          <w:rFonts w:eastAsia="Bahnschrift"/>
          <w:bCs/>
          <w:sz w:val="28"/>
          <w:szCs w:val="28"/>
          <w:lang w:eastAsia="en-US"/>
        </w:rPr>
        <w:t>sisht se edhe ky ligj n</w:t>
      </w:r>
      <w:r w:rsidR="0090544E">
        <w:rPr>
          <w:rFonts w:eastAsia="Bahnschrift"/>
          <w:bCs/>
          <w:sz w:val="28"/>
          <w:szCs w:val="28"/>
          <w:lang w:eastAsia="en-US"/>
        </w:rPr>
        <w:t>ë</w:t>
      </w:r>
      <w:r w:rsidRPr="00181911">
        <w:rPr>
          <w:rFonts w:eastAsia="Bahnschrift"/>
          <w:bCs/>
          <w:sz w:val="28"/>
          <w:szCs w:val="28"/>
          <w:lang w:eastAsia="en-US"/>
        </w:rPr>
        <w:t xml:space="preserve"> nenin 6 i referohet </w:t>
      </w:r>
      <w:r w:rsidR="00617B2C" w:rsidRPr="00181911">
        <w:rPr>
          <w:rFonts w:eastAsia="Bahnschrift" w:cs="Calibri"/>
          <w:bCs/>
          <w:sz w:val="28"/>
          <w:szCs w:val="28"/>
          <w:lang w:val="en-GB" w:eastAsia="en-US"/>
        </w:rPr>
        <w:t>parimi</w:t>
      </w:r>
      <w:r w:rsidRPr="00181911">
        <w:rPr>
          <w:rFonts w:eastAsia="Bahnschrift" w:cs="Calibri"/>
          <w:bCs/>
          <w:sz w:val="28"/>
          <w:szCs w:val="28"/>
          <w:lang w:val="en-GB" w:eastAsia="en-US"/>
        </w:rPr>
        <w:t>t</w:t>
      </w:r>
      <w:r w:rsidR="00617B2C" w:rsidRPr="00181911">
        <w:rPr>
          <w:rFonts w:eastAsia="Bahnschrift" w:cs="Calibri"/>
          <w:bCs/>
          <w:sz w:val="28"/>
          <w:szCs w:val="28"/>
          <w:lang w:val="en-GB" w:eastAsia="en-US"/>
        </w:rPr>
        <w:t xml:space="preserve"> </w:t>
      </w:r>
      <w:r w:rsidRPr="00181911">
        <w:rPr>
          <w:rFonts w:eastAsia="Bahnschrift" w:cs="Calibri"/>
          <w:bCs/>
          <w:sz w:val="28"/>
          <w:szCs w:val="28"/>
          <w:lang w:val="en-GB" w:eastAsia="en-US"/>
        </w:rPr>
        <w:t>t</w:t>
      </w:r>
      <w:r w:rsidR="0090544E">
        <w:rPr>
          <w:rFonts w:eastAsia="Bahnschrift" w:cs="Calibri"/>
          <w:bCs/>
          <w:sz w:val="28"/>
          <w:szCs w:val="28"/>
          <w:lang w:val="en-GB" w:eastAsia="en-US"/>
        </w:rPr>
        <w:t>ë</w:t>
      </w:r>
      <w:r w:rsidR="00617B2C" w:rsidRPr="00181911">
        <w:rPr>
          <w:rFonts w:eastAsia="Bahnschrift" w:cs="Calibri"/>
          <w:bCs/>
          <w:sz w:val="28"/>
          <w:szCs w:val="28"/>
          <w:lang w:val="en-GB" w:eastAsia="en-US"/>
        </w:rPr>
        <w:t xml:space="preserve"> partneritetit për politikën rajonale </w:t>
      </w:r>
      <w:r w:rsidR="00DB1B9A" w:rsidRPr="00181911">
        <w:rPr>
          <w:rFonts w:eastAsia="Bahnschrift" w:cs="Calibri"/>
          <w:bCs/>
          <w:sz w:val="28"/>
          <w:szCs w:val="28"/>
          <w:lang w:val="en-GB" w:eastAsia="en-US"/>
        </w:rPr>
        <w:t>“</w:t>
      </w:r>
      <w:r w:rsidR="00617B2C" w:rsidRPr="00181911">
        <w:rPr>
          <w:rFonts w:eastAsia="Bahnschrift" w:cs="Calibri"/>
          <w:bCs/>
          <w:i/>
          <w:iCs/>
          <w:sz w:val="28"/>
          <w:szCs w:val="28"/>
          <w:lang w:val="en-GB" w:eastAsia="en-US"/>
        </w:rPr>
        <w:t>si një parim që nënkupton pjesëmarrjen, vendimmarrjen e përbashkët dhe përgjegjësinë e përbashkët të subjekteve publike dhe jopublike, të cilat bashkëpunojnë për të përcaktuar prioritetet e politikës rajonale dhe kontribuojnë në zbatimin e politikës, në arritjen e objektivave specifike, si dhe në monitorimin dhe vlerësimin e saj</w:t>
      </w:r>
      <w:r w:rsidR="00DB1B9A" w:rsidRPr="00181911">
        <w:rPr>
          <w:rFonts w:eastAsia="Bahnschrift" w:cs="Calibri"/>
          <w:bCs/>
          <w:sz w:val="28"/>
          <w:szCs w:val="28"/>
          <w:lang w:val="en-GB" w:eastAsia="en-US"/>
        </w:rPr>
        <w:t>”</w:t>
      </w:r>
      <w:r w:rsidRPr="00181911">
        <w:rPr>
          <w:rFonts w:eastAsia="Bahnschrift" w:cs="Calibri"/>
          <w:bCs/>
          <w:sz w:val="28"/>
          <w:szCs w:val="28"/>
          <w:lang w:val="en-GB" w:eastAsia="en-US"/>
        </w:rPr>
        <w:t>, referuar Raportit Screening p</w:t>
      </w:r>
      <w:r w:rsidR="0090544E">
        <w:rPr>
          <w:rFonts w:eastAsia="Bahnschrift" w:cs="Calibri"/>
          <w:bCs/>
          <w:sz w:val="28"/>
          <w:szCs w:val="28"/>
          <w:lang w:val="en-GB" w:eastAsia="en-US"/>
        </w:rPr>
        <w:t>ë</w:t>
      </w:r>
      <w:r w:rsidRPr="00181911">
        <w:rPr>
          <w:rFonts w:eastAsia="Bahnschrift" w:cs="Calibri"/>
          <w:bCs/>
          <w:sz w:val="28"/>
          <w:szCs w:val="28"/>
          <w:lang w:val="en-GB" w:eastAsia="en-US"/>
        </w:rPr>
        <w:t>r Kapitullin 22 t</w:t>
      </w:r>
      <w:r w:rsidR="0090544E">
        <w:rPr>
          <w:rFonts w:eastAsia="Bahnschrift" w:cs="Calibri"/>
          <w:bCs/>
          <w:sz w:val="28"/>
          <w:szCs w:val="28"/>
          <w:lang w:val="en-GB" w:eastAsia="en-US"/>
        </w:rPr>
        <w:t>ë</w:t>
      </w:r>
      <w:r w:rsidRPr="00181911">
        <w:rPr>
          <w:rFonts w:eastAsia="Bahnschrift" w:cs="Calibri"/>
          <w:bCs/>
          <w:sz w:val="28"/>
          <w:szCs w:val="28"/>
          <w:lang w:val="en-GB" w:eastAsia="en-US"/>
        </w:rPr>
        <w:t xml:space="preserve"> Komisionit Evropian</w:t>
      </w:r>
      <w:r w:rsidR="0044501F" w:rsidRPr="00181911">
        <w:rPr>
          <w:rFonts w:eastAsia="Bahnschrift" w:cs="Calibri"/>
          <w:bCs/>
          <w:sz w:val="28"/>
          <w:szCs w:val="28"/>
          <w:lang w:val="en-GB" w:eastAsia="en-US"/>
        </w:rPr>
        <w:t xml:space="preserve"> t</w:t>
      </w:r>
      <w:r w:rsidR="0090544E">
        <w:rPr>
          <w:rFonts w:eastAsia="Bahnschrift" w:cs="Calibri"/>
          <w:bCs/>
          <w:sz w:val="28"/>
          <w:szCs w:val="28"/>
          <w:lang w:val="en-GB" w:eastAsia="en-US"/>
        </w:rPr>
        <w:t>ë</w:t>
      </w:r>
      <w:r w:rsidR="0044501F" w:rsidRPr="00181911">
        <w:rPr>
          <w:rFonts w:eastAsia="Bahnschrift" w:cs="Calibri"/>
          <w:bCs/>
          <w:sz w:val="28"/>
          <w:szCs w:val="28"/>
          <w:lang w:val="en-GB" w:eastAsia="en-US"/>
        </w:rPr>
        <w:t xml:space="preserve"> dat</w:t>
      </w:r>
      <w:r w:rsidR="0090544E">
        <w:rPr>
          <w:rFonts w:eastAsia="Bahnschrift" w:cs="Calibri"/>
          <w:bCs/>
          <w:sz w:val="28"/>
          <w:szCs w:val="28"/>
          <w:lang w:val="en-GB" w:eastAsia="en-US"/>
        </w:rPr>
        <w:t>ë</w:t>
      </w:r>
      <w:r w:rsidR="0044501F" w:rsidRPr="00181911">
        <w:rPr>
          <w:rFonts w:eastAsia="Bahnschrift" w:cs="Calibri"/>
          <w:bCs/>
          <w:sz w:val="28"/>
          <w:szCs w:val="28"/>
          <w:lang w:val="en-GB" w:eastAsia="en-US"/>
        </w:rPr>
        <w:t>s 15.03.2025</w:t>
      </w:r>
      <w:r w:rsidRPr="00181911">
        <w:rPr>
          <w:rFonts w:eastAsia="Bahnschrift" w:cs="Calibri"/>
          <w:bCs/>
          <w:sz w:val="28"/>
          <w:szCs w:val="28"/>
          <w:lang w:val="en-GB" w:eastAsia="en-US"/>
        </w:rPr>
        <w:t xml:space="preserve">, ky ligj </w:t>
      </w:r>
      <w:r w:rsidR="0044501F" w:rsidRPr="00181911">
        <w:rPr>
          <w:rFonts w:eastAsia="Bahnschrift" w:cs="Calibri"/>
          <w:bCs/>
          <w:sz w:val="28"/>
          <w:szCs w:val="28"/>
          <w:lang w:val="en-GB" w:eastAsia="en-US"/>
        </w:rPr>
        <w:t xml:space="preserve">konsiderohet relevant </w:t>
      </w:r>
      <w:r w:rsidR="0044501F" w:rsidRPr="00181911">
        <w:rPr>
          <w:rFonts w:eastAsia="Bahnschrift" w:cs="Calibri"/>
          <w:bCs/>
          <w:i/>
          <w:iCs/>
          <w:sz w:val="28"/>
          <w:szCs w:val="28"/>
          <w:lang w:val="en-GB" w:eastAsia="en-US"/>
        </w:rPr>
        <w:t>vet</w:t>
      </w:r>
      <w:r w:rsidR="0090544E">
        <w:rPr>
          <w:rFonts w:eastAsia="Bahnschrift" w:cs="Calibri"/>
          <w:bCs/>
          <w:i/>
          <w:iCs/>
          <w:sz w:val="28"/>
          <w:szCs w:val="28"/>
          <w:lang w:val="en-GB" w:eastAsia="en-US"/>
        </w:rPr>
        <w:t>ë</w:t>
      </w:r>
      <w:r w:rsidR="0044501F" w:rsidRPr="00181911">
        <w:rPr>
          <w:rFonts w:eastAsia="Bahnschrift" w:cs="Calibri"/>
          <w:bCs/>
          <w:i/>
          <w:iCs/>
          <w:sz w:val="28"/>
          <w:szCs w:val="28"/>
          <w:lang w:val="en-GB" w:eastAsia="en-US"/>
        </w:rPr>
        <w:t>m p</w:t>
      </w:r>
      <w:r w:rsidR="0090544E">
        <w:rPr>
          <w:rFonts w:eastAsia="Bahnschrift" w:cs="Calibri"/>
          <w:bCs/>
          <w:i/>
          <w:iCs/>
          <w:sz w:val="28"/>
          <w:szCs w:val="28"/>
          <w:lang w:val="en-GB" w:eastAsia="en-US"/>
        </w:rPr>
        <w:t>ë</w:t>
      </w:r>
      <w:r w:rsidR="0044501F" w:rsidRPr="00181911">
        <w:rPr>
          <w:rFonts w:eastAsia="Bahnschrift" w:cs="Calibri"/>
          <w:bCs/>
          <w:i/>
          <w:iCs/>
          <w:sz w:val="28"/>
          <w:szCs w:val="28"/>
          <w:lang w:val="en-GB" w:eastAsia="en-US"/>
        </w:rPr>
        <w:t>r politikat komb</w:t>
      </w:r>
      <w:r w:rsidR="0090544E">
        <w:rPr>
          <w:rFonts w:eastAsia="Bahnschrift" w:cs="Calibri"/>
          <w:bCs/>
          <w:i/>
          <w:iCs/>
          <w:sz w:val="28"/>
          <w:szCs w:val="28"/>
          <w:lang w:val="en-GB" w:eastAsia="en-US"/>
        </w:rPr>
        <w:t>ë</w:t>
      </w:r>
      <w:r w:rsidR="0044501F" w:rsidRPr="00181911">
        <w:rPr>
          <w:rFonts w:eastAsia="Bahnschrift" w:cs="Calibri"/>
          <w:bCs/>
          <w:i/>
          <w:iCs/>
          <w:sz w:val="28"/>
          <w:szCs w:val="28"/>
          <w:lang w:val="en-GB" w:eastAsia="en-US"/>
        </w:rPr>
        <w:t>tare t</w:t>
      </w:r>
      <w:r w:rsidR="0090544E">
        <w:rPr>
          <w:rFonts w:eastAsia="Bahnschrift" w:cs="Calibri"/>
          <w:bCs/>
          <w:i/>
          <w:iCs/>
          <w:sz w:val="28"/>
          <w:szCs w:val="28"/>
          <w:lang w:val="en-GB" w:eastAsia="en-US"/>
        </w:rPr>
        <w:t>ë</w:t>
      </w:r>
      <w:r w:rsidR="0044501F" w:rsidRPr="00181911">
        <w:rPr>
          <w:rFonts w:eastAsia="Bahnschrift" w:cs="Calibri"/>
          <w:bCs/>
          <w:i/>
          <w:iCs/>
          <w:sz w:val="28"/>
          <w:szCs w:val="28"/>
          <w:lang w:val="en-GB" w:eastAsia="en-US"/>
        </w:rPr>
        <w:t xml:space="preserve"> zhvillimit territorial</w:t>
      </w:r>
      <w:r w:rsidR="0044501F" w:rsidRPr="00181911">
        <w:rPr>
          <w:rFonts w:eastAsia="Bahnschrift" w:cs="Calibri"/>
          <w:bCs/>
          <w:sz w:val="28"/>
          <w:szCs w:val="28"/>
          <w:lang w:val="en-GB" w:eastAsia="en-US"/>
        </w:rPr>
        <w:t xml:space="preserve"> dhe nuk </w:t>
      </w:r>
      <w:r w:rsidR="0090544E">
        <w:rPr>
          <w:rFonts w:eastAsia="Bahnschrift" w:cs="Calibri"/>
          <w:bCs/>
          <w:sz w:val="28"/>
          <w:szCs w:val="28"/>
          <w:lang w:val="en-GB" w:eastAsia="en-US"/>
        </w:rPr>
        <w:t>ë</w:t>
      </w:r>
      <w:r w:rsidR="0044501F" w:rsidRPr="00181911">
        <w:rPr>
          <w:rFonts w:eastAsia="Bahnschrift" w:cs="Calibri"/>
          <w:bCs/>
          <w:sz w:val="28"/>
          <w:szCs w:val="28"/>
          <w:lang w:val="en-GB" w:eastAsia="en-US"/>
        </w:rPr>
        <w:t>sht</w:t>
      </w:r>
      <w:r w:rsidR="0090544E">
        <w:rPr>
          <w:rFonts w:eastAsia="Bahnschrift" w:cs="Calibri"/>
          <w:bCs/>
          <w:sz w:val="28"/>
          <w:szCs w:val="28"/>
          <w:lang w:val="en-GB" w:eastAsia="en-US"/>
        </w:rPr>
        <w:t>ë</w:t>
      </w:r>
      <w:r w:rsidR="0044501F" w:rsidRPr="00181911">
        <w:rPr>
          <w:rFonts w:eastAsia="Bahnschrift" w:cs="Calibri"/>
          <w:bCs/>
          <w:sz w:val="28"/>
          <w:szCs w:val="28"/>
          <w:lang w:val="en-GB" w:eastAsia="en-US"/>
        </w:rPr>
        <w:t xml:space="preserve"> drejt</w:t>
      </w:r>
      <w:r w:rsidR="0090544E">
        <w:rPr>
          <w:rFonts w:eastAsia="Bahnschrift" w:cs="Calibri"/>
          <w:bCs/>
          <w:sz w:val="28"/>
          <w:szCs w:val="28"/>
          <w:lang w:val="en-GB" w:eastAsia="en-US"/>
        </w:rPr>
        <w:t>ë</w:t>
      </w:r>
      <w:r w:rsidR="0044501F" w:rsidRPr="00181911">
        <w:rPr>
          <w:rFonts w:eastAsia="Bahnschrift" w:cs="Calibri"/>
          <w:bCs/>
          <w:sz w:val="28"/>
          <w:szCs w:val="28"/>
          <w:lang w:val="en-GB" w:eastAsia="en-US"/>
        </w:rPr>
        <w:t>p</w:t>
      </w:r>
      <w:r w:rsidR="0090544E">
        <w:rPr>
          <w:rFonts w:eastAsia="Bahnschrift" w:cs="Calibri"/>
          <w:bCs/>
          <w:sz w:val="28"/>
          <w:szCs w:val="28"/>
          <w:lang w:val="en-GB" w:eastAsia="en-US"/>
        </w:rPr>
        <w:t>ë</w:t>
      </w:r>
      <w:r w:rsidR="0044501F" w:rsidRPr="00181911">
        <w:rPr>
          <w:rFonts w:eastAsia="Bahnschrift" w:cs="Calibri"/>
          <w:bCs/>
          <w:sz w:val="28"/>
          <w:szCs w:val="28"/>
          <w:lang w:val="en-GB" w:eastAsia="en-US"/>
        </w:rPr>
        <w:t>rs</w:t>
      </w:r>
      <w:r w:rsidR="0090544E">
        <w:rPr>
          <w:rFonts w:eastAsia="Bahnschrift" w:cs="Calibri"/>
          <w:bCs/>
          <w:sz w:val="28"/>
          <w:szCs w:val="28"/>
          <w:lang w:val="en-GB" w:eastAsia="en-US"/>
        </w:rPr>
        <w:t>ë</w:t>
      </w:r>
      <w:r w:rsidR="0044501F" w:rsidRPr="00181911">
        <w:rPr>
          <w:rFonts w:eastAsia="Bahnschrift" w:cs="Calibri"/>
          <w:bCs/>
          <w:sz w:val="28"/>
          <w:szCs w:val="28"/>
          <w:lang w:val="en-GB" w:eastAsia="en-US"/>
        </w:rPr>
        <w:t>drejti relevant p</w:t>
      </w:r>
      <w:r w:rsidR="0090544E">
        <w:rPr>
          <w:rFonts w:eastAsia="Bahnschrift" w:cs="Calibri"/>
          <w:bCs/>
          <w:sz w:val="28"/>
          <w:szCs w:val="28"/>
          <w:lang w:val="en-GB" w:eastAsia="en-US"/>
        </w:rPr>
        <w:t>ë</w:t>
      </w:r>
      <w:r w:rsidR="0044501F" w:rsidRPr="00181911">
        <w:rPr>
          <w:rFonts w:eastAsia="Bahnschrift" w:cs="Calibri"/>
          <w:bCs/>
          <w:sz w:val="28"/>
          <w:szCs w:val="28"/>
          <w:lang w:val="en-GB" w:eastAsia="en-US"/>
        </w:rPr>
        <w:t>r zbatimin e politikave t</w:t>
      </w:r>
      <w:r w:rsidR="0090544E">
        <w:rPr>
          <w:rFonts w:eastAsia="Bahnschrift" w:cs="Calibri"/>
          <w:bCs/>
          <w:sz w:val="28"/>
          <w:szCs w:val="28"/>
          <w:lang w:val="en-GB" w:eastAsia="en-US"/>
        </w:rPr>
        <w:t>ë</w:t>
      </w:r>
      <w:r w:rsidR="0044501F" w:rsidRPr="00181911">
        <w:rPr>
          <w:rFonts w:eastAsia="Bahnschrift" w:cs="Calibri"/>
          <w:bCs/>
          <w:sz w:val="28"/>
          <w:szCs w:val="28"/>
          <w:lang w:val="en-GB" w:eastAsia="en-US"/>
        </w:rPr>
        <w:t xml:space="preserve"> kohezionit</w:t>
      </w:r>
      <w:r w:rsidR="00D47D99" w:rsidRPr="00181911">
        <w:rPr>
          <w:rFonts w:eastAsia="Bahnschrift" w:cs="Calibri"/>
          <w:bCs/>
          <w:sz w:val="28"/>
          <w:szCs w:val="28"/>
          <w:lang w:val="en-GB" w:eastAsia="en-US"/>
        </w:rPr>
        <w:t xml:space="preserve"> t</w:t>
      </w:r>
      <w:r w:rsidR="0090544E">
        <w:rPr>
          <w:rFonts w:eastAsia="Bahnschrift" w:cs="Calibri"/>
          <w:bCs/>
          <w:sz w:val="28"/>
          <w:szCs w:val="28"/>
          <w:lang w:val="en-GB" w:eastAsia="en-US"/>
        </w:rPr>
        <w:t>ë</w:t>
      </w:r>
      <w:r w:rsidR="00D47D99" w:rsidRPr="00181911">
        <w:rPr>
          <w:rFonts w:eastAsia="Bahnschrift" w:cs="Calibri"/>
          <w:bCs/>
          <w:sz w:val="28"/>
          <w:szCs w:val="28"/>
          <w:lang w:val="en-GB" w:eastAsia="en-US"/>
        </w:rPr>
        <w:t xml:space="preserve"> BE-s</w:t>
      </w:r>
      <w:r w:rsidR="0090544E">
        <w:rPr>
          <w:rFonts w:eastAsia="Bahnschrift" w:cs="Calibri"/>
          <w:bCs/>
          <w:sz w:val="28"/>
          <w:szCs w:val="28"/>
          <w:lang w:val="en-GB" w:eastAsia="en-US"/>
        </w:rPr>
        <w:t>ë</w:t>
      </w:r>
      <w:r w:rsidR="0044501F" w:rsidRPr="00181911">
        <w:rPr>
          <w:rFonts w:eastAsia="Bahnschrift" w:cs="Calibri"/>
          <w:bCs/>
          <w:sz w:val="28"/>
          <w:szCs w:val="28"/>
          <w:lang w:val="en-GB" w:eastAsia="en-US"/>
        </w:rPr>
        <w:t xml:space="preserve">. </w:t>
      </w:r>
    </w:p>
    <w:p w14:paraId="614E4CEC" w14:textId="77777777" w:rsidR="005252F2" w:rsidRPr="00181911" w:rsidRDefault="005252F2" w:rsidP="005D1179">
      <w:pPr>
        <w:spacing w:line="288" w:lineRule="auto"/>
        <w:jc w:val="both"/>
        <w:rPr>
          <w:rFonts w:eastAsia="Bahnschrift" w:cs="Calibri"/>
          <w:bCs/>
          <w:sz w:val="28"/>
          <w:szCs w:val="28"/>
          <w:lang w:val="en-GB" w:eastAsia="en-US"/>
        </w:rPr>
      </w:pPr>
    </w:p>
    <w:p w14:paraId="139BAEAA" w14:textId="360EC008" w:rsidR="00602539" w:rsidRPr="00181911" w:rsidRDefault="0099501D" w:rsidP="00C82969">
      <w:pPr>
        <w:spacing w:line="288" w:lineRule="auto"/>
        <w:jc w:val="both"/>
        <w:rPr>
          <w:rFonts w:eastAsia="Bahnschrift"/>
          <w:bCs/>
          <w:sz w:val="28"/>
          <w:szCs w:val="28"/>
          <w:lang w:val="en-GB" w:eastAsia="en-US"/>
        </w:rPr>
      </w:pPr>
      <w:r w:rsidRPr="00181911">
        <w:rPr>
          <w:rFonts w:eastAsia="Bahnschrift"/>
          <w:bCs/>
          <w:sz w:val="28"/>
          <w:szCs w:val="28"/>
          <w:lang w:val="en-GB" w:eastAsia="en-US"/>
        </w:rPr>
        <w:t>Projekakti, n</w:t>
      </w:r>
      <w:r w:rsidR="0090544E">
        <w:rPr>
          <w:rFonts w:eastAsia="Bahnschrift"/>
          <w:bCs/>
          <w:sz w:val="28"/>
          <w:szCs w:val="28"/>
          <w:lang w:val="en-GB" w:eastAsia="en-US"/>
        </w:rPr>
        <w:t>ë</w:t>
      </w:r>
      <w:r w:rsidRPr="00181911">
        <w:rPr>
          <w:rFonts w:eastAsia="Bahnschrift"/>
          <w:bCs/>
          <w:sz w:val="28"/>
          <w:szCs w:val="28"/>
          <w:lang w:val="en-GB" w:eastAsia="en-US"/>
        </w:rPr>
        <w:t>p</w:t>
      </w:r>
      <w:r w:rsidR="0090544E">
        <w:rPr>
          <w:rFonts w:eastAsia="Bahnschrift"/>
          <w:bCs/>
          <w:sz w:val="28"/>
          <w:szCs w:val="28"/>
          <w:lang w:val="en-GB" w:eastAsia="en-US"/>
        </w:rPr>
        <w:t>ë</w:t>
      </w:r>
      <w:r w:rsidRPr="00181911">
        <w:rPr>
          <w:rFonts w:eastAsia="Bahnschrift"/>
          <w:bCs/>
          <w:sz w:val="28"/>
          <w:szCs w:val="28"/>
          <w:lang w:val="en-GB" w:eastAsia="en-US"/>
        </w:rPr>
        <w:t>rmj</w:t>
      </w:r>
      <w:r w:rsidR="00D47D99" w:rsidRPr="00181911">
        <w:rPr>
          <w:rFonts w:eastAsia="Bahnschrift"/>
          <w:bCs/>
          <w:sz w:val="28"/>
          <w:szCs w:val="28"/>
          <w:lang w:val="en-GB" w:eastAsia="en-US"/>
        </w:rPr>
        <w:t>e</w:t>
      </w:r>
      <w:r w:rsidRPr="00181911">
        <w:rPr>
          <w:rFonts w:eastAsia="Bahnschrift"/>
          <w:bCs/>
          <w:sz w:val="28"/>
          <w:szCs w:val="28"/>
          <w:lang w:val="en-GB" w:eastAsia="en-US"/>
        </w:rPr>
        <w:t>t harmonizimit t</w:t>
      </w:r>
      <w:r w:rsidR="0090544E">
        <w:rPr>
          <w:rFonts w:eastAsia="Bahnschrift"/>
          <w:bCs/>
          <w:sz w:val="28"/>
          <w:szCs w:val="28"/>
          <w:lang w:val="en-GB" w:eastAsia="en-US"/>
        </w:rPr>
        <w:t>ë</w:t>
      </w:r>
      <w:r w:rsidRPr="00181911">
        <w:rPr>
          <w:rFonts w:eastAsia="Bahnschrift"/>
          <w:bCs/>
          <w:sz w:val="28"/>
          <w:szCs w:val="28"/>
          <w:lang w:val="en-GB" w:eastAsia="en-US"/>
        </w:rPr>
        <w:t xml:space="preserve"> legjislacionit vendas me at</w:t>
      </w:r>
      <w:r w:rsidR="0090544E">
        <w:rPr>
          <w:rFonts w:eastAsia="Bahnschrift"/>
          <w:bCs/>
          <w:sz w:val="28"/>
          <w:szCs w:val="28"/>
          <w:lang w:val="en-GB" w:eastAsia="en-US"/>
        </w:rPr>
        <w:t>ë</w:t>
      </w:r>
      <w:r w:rsidRPr="00181911">
        <w:rPr>
          <w:rFonts w:eastAsia="Bahnschrift"/>
          <w:bCs/>
          <w:sz w:val="28"/>
          <w:szCs w:val="28"/>
          <w:lang w:val="en-GB" w:eastAsia="en-US"/>
        </w:rPr>
        <w:t xml:space="preserve"> t</w:t>
      </w:r>
      <w:r w:rsidR="0090544E">
        <w:rPr>
          <w:rFonts w:eastAsia="Bahnschrift"/>
          <w:bCs/>
          <w:sz w:val="28"/>
          <w:szCs w:val="28"/>
          <w:lang w:val="en-GB" w:eastAsia="en-US"/>
        </w:rPr>
        <w:t>ë</w:t>
      </w:r>
      <w:r w:rsidRPr="00181911">
        <w:rPr>
          <w:rFonts w:eastAsia="Bahnschrift"/>
          <w:bCs/>
          <w:sz w:val="28"/>
          <w:szCs w:val="28"/>
          <w:lang w:val="en-GB" w:eastAsia="en-US"/>
        </w:rPr>
        <w:t xml:space="preserve"> </w:t>
      </w:r>
      <w:r w:rsidRPr="00181911">
        <w:rPr>
          <w:rFonts w:eastAsia="Bahnschrift"/>
          <w:bCs/>
          <w:i/>
          <w:iCs/>
          <w:sz w:val="28"/>
          <w:szCs w:val="28"/>
          <w:lang w:val="en-GB" w:eastAsia="en-US"/>
        </w:rPr>
        <w:t>acquis</w:t>
      </w:r>
      <w:r w:rsidRPr="00181911">
        <w:rPr>
          <w:rFonts w:eastAsia="Bahnschrift"/>
          <w:bCs/>
          <w:sz w:val="28"/>
          <w:szCs w:val="28"/>
          <w:lang w:val="en-GB" w:eastAsia="en-US"/>
        </w:rPr>
        <w:t>, kodifikon rolin e partner</w:t>
      </w:r>
      <w:r w:rsidR="0090544E">
        <w:rPr>
          <w:rFonts w:eastAsia="Bahnschrift"/>
          <w:bCs/>
          <w:sz w:val="28"/>
          <w:szCs w:val="28"/>
          <w:lang w:val="en-GB" w:eastAsia="en-US"/>
        </w:rPr>
        <w:t>ë</w:t>
      </w:r>
      <w:r w:rsidRPr="00181911">
        <w:rPr>
          <w:rFonts w:eastAsia="Bahnschrift"/>
          <w:bCs/>
          <w:sz w:val="28"/>
          <w:szCs w:val="28"/>
          <w:lang w:val="en-GB" w:eastAsia="en-US"/>
        </w:rPr>
        <w:t>ve n</w:t>
      </w:r>
      <w:r w:rsidR="0090544E">
        <w:rPr>
          <w:rFonts w:eastAsia="Bahnschrift"/>
          <w:bCs/>
          <w:sz w:val="28"/>
          <w:szCs w:val="28"/>
          <w:lang w:val="en-GB" w:eastAsia="en-US"/>
        </w:rPr>
        <w:t>ë</w:t>
      </w:r>
      <w:r w:rsidRPr="00181911">
        <w:rPr>
          <w:rFonts w:eastAsia="Bahnschrift"/>
          <w:bCs/>
          <w:sz w:val="28"/>
          <w:szCs w:val="28"/>
          <w:lang w:val="en-GB" w:eastAsia="en-US"/>
        </w:rPr>
        <w:t xml:space="preserve"> procesin e programimit t</w:t>
      </w:r>
      <w:r w:rsidR="0090544E">
        <w:rPr>
          <w:rFonts w:eastAsia="Bahnschrift"/>
          <w:bCs/>
          <w:sz w:val="28"/>
          <w:szCs w:val="28"/>
          <w:lang w:val="en-GB" w:eastAsia="en-US"/>
        </w:rPr>
        <w:t>ë</w:t>
      </w:r>
      <w:r w:rsidRPr="00181911">
        <w:rPr>
          <w:rFonts w:eastAsia="Bahnschrift"/>
          <w:bCs/>
          <w:sz w:val="28"/>
          <w:szCs w:val="28"/>
          <w:lang w:val="en-GB" w:eastAsia="en-US"/>
        </w:rPr>
        <w:t xml:space="preserve"> fondeve t</w:t>
      </w:r>
      <w:r w:rsidR="0090544E">
        <w:rPr>
          <w:rFonts w:eastAsia="Bahnschrift"/>
          <w:bCs/>
          <w:sz w:val="28"/>
          <w:szCs w:val="28"/>
          <w:lang w:val="en-GB" w:eastAsia="en-US"/>
        </w:rPr>
        <w:t>ë</w:t>
      </w:r>
      <w:r w:rsidRPr="00181911">
        <w:rPr>
          <w:rFonts w:eastAsia="Bahnschrift"/>
          <w:bCs/>
          <w:sz w:val="28"/>
          <w:szCs w:val="28"/>
          <w:lang w:val="en-GB" w:eastAsia="en-US"/>
        </w:rPr>
        <w:t xml:space="preserve"> kohezionit, p</w:t>
      </w:r>
      <w:r w:rsidR="0090544E">
        <w:rPr>
          <w:rFonts w:eastAsia="Bahnschrift"/>
          <w:bCs/>
          <w:sz w:val="28"/>
          <w:szCs w:val="28"/>
          <w:lang w:val="en-GB" w:eastAsia="en-US"/>
        </w:rPr>
        <w:t>ë</w:t>
      </w:r>
      <w:r w:rsidRPr="00181911">
        <w:rPr>
          <w:rFonts w:eastAsia="Bahnschrift"/>
          <w:bCs/>
          <w:sz w:val="28"/>
          <w:szCs w:val="28"/>
          <w:lang w:val="en-GB" w:eastAsia="en-US"/>
        </w:rPr>
        <w:t>rpara an</w:t>
      </w:r>
      <w:r w:rsidR="0090544E">
        <w:rPr>
          <w:rFonts w:eastAsia="Bahnschrift"/>
          <w:bCs/>
          <w:sz w:val="28"/>
          <w:szCs w:val="28"/>
          <w:lang w:val="en-GB" w:eastAsia="en-US"/>
        </w:rPr>
        <w:t>ë</w:t>
      </w:r>
      <w:r w:rsidRPr="00181911">
        <w:rPr>
          <w:rFonts w:eastAsia="Bahnschrift"/>
          <w:bCs/>
          <w:sz w:val="28"/>
          <w:szCs w:val="28"/>
          <w:lang w:val="en-GB" w:eastAsia="en-US"/>
        </w:rPr>
        <w:t>tar</w:t>
      </w:r>
      <w:r w:rsidR="0090544E">
        <w:rPr>
          <w:rFonts w:eastAsia="Bahnschrift"/>
          <w:bCs/>
          <w:sz w:val="28"/>
          <w:szCs w:val="28"/>
          <w:lang w:val="en-GB" w:eastAsia="en-US"/>
        </w:rPr>
        <w:t>ë</w:t>
      </w:r>
      <w:r w:rsidRPr="00181911">
        <w:rPr>
          <w:rFonts w:eastAsia="Bahnschrift"/>
          <w:bCs/>
          <w:sz w:val="28"/>
          <w:szCs w:val="28"/>
          <w:lang w:val="en-GB" w:eastAsia="en-US"/>
        </w:rPr>
        <w:t>simit t</w:t>
      </w:r>
      <w:r w:rsidR="0090544E">
        <w:rPr>
          <w:rFonts w:eastAsia="Bahnschrift"/>
          <w:bCs/>
          <w:sz w:val="28"/>
          <w:szCs w:val="28"/>
          <w:lang w:val="en-GB" w:eastAsia="en-US"/>
        </w:rPr>
        <w:t>ë</w:t>
      </w:r>
      <w:r w:rsidRPr="00181911">
        <w:rPr>
          <w:rFonts w:eastAsia="Bahnschrift"/>
          <w:bCs/>
          <w:sz w:val="28"/>
          <w:szCs w:val="28"/>
          <w:lang w:val="en-GB" w:eastAsia="en-US"/>
        </w:rPr>
        <w:t xml:space="preserve"> Republik</w:t>
      </w:r>
      <w:r w:rsidR="0090544E">
        <w:rPr>
          <w:rFonts w:eastAsia="Bahnschrift"/>
          <w:bCs/>
          <w:sz w:val="28"/>
          <w:szCs w:val="28"/>
          <w:lang w:val="en-GB" w:eastAsia="en-US"/>
        </w:rPr>
        <w:t>ë</w:t>
      </w:r>
      <w:r w:rsidRPr="00181911">
        <w:rPr>
          <w:rFonts w:eastAsia="Bahnschrift"/>
          <w:bCs/>
          <w:sz w:val="28"/>
          <w:szCs w:val="28"/>
          <w:lang w:val="en-GB" w:eastAsia="en-US"/>
        </w:rPr>
        <w:t>s s</w:t>
      </w:r>
      <w:r w:rsidR="0090544E">
        <w:rPr>
          <w:rFonts w:eastAsia="Bahnschrift"/>
          <w:bCs/>
          <w:sz w:val="28"/>
          <w:szCs w:val="28"/>
          <w:lang w:val="en-GB" w:eastAsia="en-US"/>
        </w:rPr>
        <w:t>ë</w:t>
      </w:r>
      <w:r w:rsidRPr="00181911">
        <w:rPr>
          <w:rFonts w:eastAsia="Bahnschrift"/>
          <w:bCs/>
          <w:sz w:val="28"/>
          <w:szCs w:val="28"/>
          <w:lang w:val="en-GB" w:eastAsia="en-US"/>
        </w:rPr>
        <w:t xml:space="preserve"> Shqip</w:t>
      </w:r>
      <w:r w:rsidR="0090544E">
        <w:rPr>
          <w:rFonts w:eastAsia="Bahnschrift"/>
          <w:bCs/>
          <w:sz w:val="28"/>
          <w:szCs w:val="28"/>
          <w:lang w:val="en-GB" w:eastAsia="en-US"/>
        </w:rPr>
        <w:t>ë</w:t>
      </w:r>
      <w:r w:rsidRPr="00181911">
        <w:rPr>
          <w:rFonts w:eastAsia="Bahnschrift"/>
          <w:bCs/>
          <w:sz w:val="28"/>
          <w:szCs w:val="28"/>
          <w:lang w:val="en-GB" w:eastAsia="en-US"/>
        </w:rPr>
        <w:t>ris</w:t>
      </w:r>
      <w:r w:rsidR="0090544E">
        <w:rPr>
          <w:rFonts w:eastAsia="Bahnschrift"/>
          <w:bCs/>
          <w:sz w:val="28"/>
          <w:szCs w:val="28"/>
          <w:lang w:val="en-GB" w:eastAsia="en-US"/>
        </w:rPr>
        <w:t>ë</w:t>
      </w:r>
      <w:r w:rsidRPr="00181911">
        <w:rPr>
          <w:rFonts w:eastAsia="Bahnschrift"/>
          <w:bCs/>
          <w:sz w:val="28"/>
          <w:szCs w:val="28"/>
          <w:lang w:val="en-GB" w:eastAsia="en-US"/>
        </w:rPr>
        <w:t xml:space="preserve"> n</w:t>
      </w:r>
      <w:r w:rsidR="0090544E">
        <w:rPr>
          <w:rFonts w:eastAsia="Bahnschrift"/>
          <w:bCs/>
          <w:sz w:val="28"/>
          <w:szCs w:val="28"/>
          <w:lang w:val="en-GB" w:eastAsia="en-US"/>
        </w:rPr>
        <w:t>ë</w:t>
      </w:r>
      <w:r w:rsidRPr="00181911">
        <w:rPr>
          <w:rFonts w:eastAsia="Bahnschrift"/>
          <w:bCs/>
          <w:sz w:val="28"/>
          <w:szCs w:val="28"/>
          <w:lang w:val="en-GB" w:eastAsia="en-US"/>
        </w:rPr>
        <w:t xml:space="preserve"> Bashkimin Evropian. </w:t>
      </w:r>
    </w:p>
    <w:p w14:paraId="6FBB680E" w14:textId="77777777" w:rsidR="00602539" w:rsidRPr="00181911" w:rsidRDefault="00602539" w:rsidP="00C37BDD">
      <w:pPr>
        <w:tabs>
          <w:tab w:val="left" w:pos="990"/>
        </w:tabs>
        <w:spacing w:line="276" w:lineRule="auto"/>
        <w:jc w:val="both"/>
        <w:rPr>
          <w:b/>
          <w:sz w:val="28"/>
          <w:szCs w:val="28"/>
        </w:rPr>
      </w:pPr>
    </w:p>
    <w:p w14:paraId="6E3AC6DB" w14:textId="15C2DD95" w:rsidR="00B93EF1" w:rsidRPr="00181911" w:rsidRDefault="00B74936" w:rsidP="00C37BDD">
      <w:pPr>
        <w:tabs>
          <w:tab w:val="left" w:pos="990"/>
        </w:tabs>
        <w:spacing w:line="276" w:lineRule="auto"/>
        <w:jc w:val="both"/>
        <w:rPr>
          <w:b/>
          <w:sz w:val="28"/>
          <w:szCs w:val="28"/>
        </w:rPr>
      </w:pPr>
      <w:r w:rsidRPr="00181911">
        <w:rPr>
          <w:b/>
          <w:sz w:val="28"/>
          <w:szCs w:val="28"/>
        </w:rPr>
        <w:t>IV. VLERËSIMI I LIGJSHMËRISË, KUSHTETUTSHMËRISË DHE HARMONIZIMI ME LEGJISLACIONIN NË FUQI VENDAS E NDËRKOMBËTAR</w:t>
      </w:r>
    </w:p>
    <w:p w14:paraId="020CCECF" w14:textId="77777777" w:rsidR="00295FA5" w:rsidRPr="00181911" w:rsidRDefault="00295FA5" w:rsidP="00295FA5">
      <w:pPr>
        <w:spacing w:line="276" w:lineRule="auto"/>
        <w:jc w:val="both"/>
        <w:rPr>
          <w:b/>
          <w:sz w:val="28"/>
          <w:szCs w:val="28"/>
        </w:rPr>
      </w:pPr>
    </w:p>
    <w:p w14:paraId="2434C795" w14:textId="4B481F3A" w:rsidR="00617B2C" w:rsidRPr="00181911" w:rsidRDefault="00B74936" w:rsidP="00602539">
      <w:pPr>
        <w:spacing w:line="276" w:lineRule="auto"/>
        <w:jc w:val="both"/>
        <w:rPr>
          <w:bCs/>
          <w:sz w:val="28"/>
          <w:szCs w:val="28"/>
        </w:rPr>
      </w:pPr>
      <w:r w:rsidRPr="00181911">
        <w:rPr>
          <w:sz w:val="28"/>
          <w:szCs w:val="28"/>
        </w:rPr>
        <w:t xml:space="preserve">Baza ligjore mbi të cilën është hartuar ky projektvendim është </w:t>
      </w:r>
      <w:r w:rsidR="00210AB5" w:rsidRPr="00181911">
        <w:rPr>
          <w:sz w:val="28"/>
          <w:szCs w:val="28"/>
        </w:rPr>
        <w:t xml:space="preserve">nenit 100 të Kushtetutës, </w:t>
      </w:r>
      <w:r w:rsidR="00602539" w:rsidRPr="00181911">
        <w:rPr>
          <w:sz w:val="28"/>
          <w:szCs w:val="28"/>
        </w:rPr>
        <w:t>si dhe neni 110 i Ligjit nr.9590, datë 27.07.2006 “</w:t>
      </w:r>
      <w:r w:rsidR="00602539" w:rsidRPr="00181911">
        <w:rPr>
          <w:bCs/>
          <w:sz w:val="28"/>
          <w:szCs w:val="28"/>
          <w:lang w:val="en-GB"/>
        </w:rPr>
        <w:t>Për ratifikimin e “Marrëveshjes së Stabilizim-Asociimit ndërmjet Republikës së Shqipërisë dhe Komuniteteve Europiane e shteteve të tyre anëtare”</w:t>
      </w:r>
      <w:r w:rsidR="00602539" w:rsidRPr="00181911">
        <w:rPr>
          <w:bCs/>
          <w:sz w:val="28"/>
          <w:szCs w:val="28"/>
        </w:rPr>
        <w:t>.</w:t>
      </w:r>
    </w:p>
    <w:p w14:paraId="00000028" w14:textId="2869DB5B" w:rsidR="00C117EA" w:rsidRPr="00181911" w:rsidRDefault="00C117EA">
      <w:pPr>
        <w:spacing w:line="276" w:lineRule="auto"/>
        <w:jc w:val="both"/>
        <w:rPr>
          <w:sz w:val="28"/>
          <w:szCs w:val="28"/>
        </w:rPr>
      </w:pPr>
    </w:p>
    <w:p w14:paraId="00000029" w14:textId="77777777" w:rsidR="00C117EA" w:rsidRPr="00181911" w:rsidRDefault="00B74936">
      <w:pPr>
        <w:spacing w:line="276" w:lineRule="auto"/>
        <w:jc w:val="both"/>
        <w:rPr>
          <w:b/>
          <w:sz w:val="28"/>
          <w:szCs w:val="28"/>
        </w:rPr>
      </w:pPr>
      <w:r w:rsidRPr="00181911">
        <w:rPr>
          <w:b/>
          <w:sz w:val="28"/>
          <w:szCs w:val="28"/>
        </w:rPr>
        <w:t xml:space="preserve">V. VLERËSIMI I SHKALLËS SË PËRAFRIMIT ME </w:t>
      </w:r>
      <w:r w:rsidRPr="00181911">
        <w:rPr>
          <w:b/>
          <w:i/>
          <w:sz w:val="28"/>
          <w:szCs w:val="28"/>
        </w:rPr>
        <w:t xml:space="preserve">ACQUIS COMMUNAUTAIRE </w:t>
      </w:r>
      <w:r w:rsidRPr="00181911">
        <w:rPr>
          <w:b/>
          <w:sz w:val="28"/>
          <w:szCs w:val="28"/>
        </w:rPr>
        <w:t>(PËR PROJEKTAKET NORMATIVE)</w:t>
      </w:r>
    </w:p>
    <w:p w14:paraId="0000002A" w14:textId="77777777" w:rsidR="00C117EA" w:rsidRPr="00181911" w:rsidRDefault="00C117EA">
      <w:pPr>
        <w:spacing w:line="276" w:lineRule="auto"/>
        <w:jc w:val="both"/>
        <w:rPr>
          <w:sz w:val="28"/>
          <w:szCs w:val="28"/>
        </w:rPr>
      </w:pPr>
    </w:p>
    <w:p w14:paraId="05FA70CE" w14:textId="4E892D4C" w:rsidR="003A6569" w:rsidRPr="00181911" w:rsidRDefault="00B74936" w:rsidP="003A6569">
      <w:pPr>
        <w:spacing w:line="276" w:lineRule="auto"/>
        <w:jc w:val="both"/>
        <w:rPr>
          <w:bCs/>
          <w:iCs/>
          <w:sz w:val="28"/>
          <w:szCs w:val="28"/>
        </w:rPr>
      </w:pPr>
      <w:r w:rsidRPr="00181911">
        <w:rPr>
          <w:sz w:val="28"/>
          <w:szCs w:val="28"/>
        </w:rPr>
        <w:t>Ky projektvendim</w:t>
      </w:r>
      <w:r w:rsidR="00DF7569" w:rsidRPr="00181911">
        <w:rPr>
          <w:sz w:val="28"/>
          <w:szCs w:val="28"/>
        </w:rPr>
        <w:t xml:space="preserve"> </w:t>
      </w:r>
      <w:r w:rsidRPr="00181911">
        <w:rPr>
          <w:sz w:val="28"/>
          <w:szCs w:val="28"/>
        </w:rPr>
        <w:t xml:space="preserve">ka për qëllim </w:t>
      </w:r>
      <w:r w:rsidR="003A6569" w:rsidRPr="00181911">
        <w:rPr>
          <w:sz w:val="28"/>
          <w:szCs w:val="28"/>
        </w:rPr>
        <w:t>harmonizimin</w:t>
      </w:r>
      <w:r w:rsidRPr="00181911">
        <w:rPr>
          <w:sz w:val="28"/>
          <w:szCs w:val="28"/>
        </w:rPr>
        <w:t xml:space="preserve"> me </w:t>
      </w:r>
      <w:r w:rsidR="0081447C" w:rsidRPr="00181911">
        <w:rPr>
          <w:bCs/>
          <w:i/>
          <w:sz w:val="28"/>
          <w:szCs w:val="28"/>
        </w:rPr>
        <w:t>Acquis Communautaire</w:t>
      </w:r>
      <w:r w:rsidR="00D805D6" w:rsidRPr="00181911">
        <w:rPr>
          <w:bCs/>
          <w:i/>
          <w:sz w:val="28"/>
          <w:szCs w:val="28"/>
        </w:rPr>
        <w:t xml:space="preserve"> </w:t>
      </w:r>
      <w:r w:rsidR="00D805D6" w:rsidRPr="00181911">
        <w:rPr>
          <w:bCs/>
          <w:iCs/>
          <w:sz w:val="28"/>
          <w:szCs w:val="28"/>
        </w:rPr>
        <w:t xml:space="preserve">dhe specifikisht me </w:t>
      </w:r>
      <w:r w:rsidR="004D03CA" w:rsidRPr="00181911">
        <w:rPr>
          <w:bCs/>
          <w:iCs/>
          <w:sz w:val="28"/>
          <w:szCs w:val="28"/>
        </w:rPr>
        <w:t xml:space="preserve">Rregulloren e </w:t>
      </w:r>
      <w:bookmarkStart w:id="8" w:name="_Hlk199316927"/>
      <w:r w:rsidR="004D03CA" w:rsidRPr="00181911">
        <w:rPr>
          <w:bCs/>
          <w:iCs/>
          <w:sz w:val="28"/>
          <w:szCs w:val="28"/>
        </w:rPr>
        <w:t>BE-s</w:t>
      </w:r>
      <w:r w:rsidR="0090544E">
        <w:rPr>
          <w:bCs/>
          <w:iCs/>
          <w:sz w:val="28"/>
          <w:szCs w:val="28"/>
        </w:rPr>
        <w:t>ë</w:t>
      </w:r>
      <w:r w:rsidR="004D03CA" w:rsidRPr="00181911">
        <w:rPr>
          <w:bCs/>
          <w:iCs/>
          <w:sz w:val="28"/>
          <w:szCs w:val="28"/>
        </w:rPr>
        <w:t xml:space="preserve"> nr.240/2014, dat</w:t>
      </w:r>
      <w:r w:rsidR="0090544E">
        <w:rPr>
          <w:bCs/>
          <w:iCs/>
          <w:sz w:val="28"/>
          <w:szCs w:val="28"/>
        </w:rPr>
        <w:t>ë</w:t>
      </w:r>
      <w:r w:rsidR="004D03CA" w:rsidRPr="00181911">
        <w:rPr>
          <w:bCs/>
          <w:iCs/>
          <w:sz w:val="28"/>
          <w:szCs w:val="28"/>
        </w:rPr>
        <w:t xml:space="preserve"> 7 Janar 2014 </w:t>
      </w:r>
      <w:bookmarkEnd w:id="8"/>
      <w:r w:rsidR="004D03CA" w:rsidRPr="00181911">
        <w:rPr>
          <w:bCs/>
          <w:iCs/>
          <w:sz w:val="28"/>
          <w:szCs w:val="28"/>
        </w:rPr>
        <w:t>“P</w:t>
      </w:r>
      <w:r w:rsidR="0090544E">
        <w:rPr>
          <w:bCs/>
          <w:iCs/>
          <w:sz w:val="28"/>
          <w:szCs w:val="28"/>
        </w:rPr>
        <w:t>ë</w:t>
      </w:r>
      <w:r w:rsidR="004D03CA" w:rsidRPr="00181911">
        <w:rPr>
          <w:bCs/>
          <w:iCs/>
          <w:sz w:val="28"/>
          <w:szCs w:val="28"/>
        </w:rPr>
        <w:t xml:space="preserve">r </w:t>
      </w:r>
      <w:r w:rsidR="00D47D99" w:rsidRPr="00181911">
        <w:rPr>
          <w:bCs/>
          <w:iCs/>
          <w:sz w:val="28"/>
          <w:szCs w:val="28"/>
        </w:rPr>
        <w:t>k</w:t>
      </w:r>
      <w:r w:rsidR="004D03CA" w:rsidRPr="00181911">
        <w:rPr>
          <w:bCs/>
          <w:iCs/>
          <w:sz w:val="28"/>
          <w:szCs w:val="28"/>
        </w:rPr>
        <w:t xml:space="preserve">odin e </w:t>
      </w:r>
      <w:r w:rsidR="004D03CA" w:rsidRPr="00181911">
        <w:rPr>
          <w:bCs/>
          <w:iCs/>
          <w:sz w:val="28"/>
          <w:szCs w:val="28"/>
        </w:rPr>
        <w:lastRenderedPageBreak/>
        <w:t>sjelljes evropian p</w:t>
      </w:r>
      <w:r w:rsidR="0090544E">
        <w:rPr>
          <w:bCs/>
          <w:iCs/>
          <w:sz w:val="28"/>
          <w:szCs w:val="28"/>
        </w:rPr>
        <w:t>ë</w:t>
      </w:r>
      <w:r w:rsidR="004D03CA" w:rsidRPr="00181911">
        <w:rPr>
          <w:bCs/>
          <w:iCs/>
          <w:sz w:val="28"/>
          <w:szCs w:val="28"/>
        </w:rPr>
        <w:t>r partneritetin n</w:t>
      </w:r>
      <w:r w:rsidR="0090544E">
        <w:rPr>
          <w:bCs/>
          <w:iCs/>
          <w:sz w:val="28"/>
          <w:szCs w:val="28"/>
        </w:rPr>
        <w:t>ë</w:t>
      </w:r>
      <w:r w:rsidR="004D03CA" w:rsidRPr="00181911">
        <w:rPr>
          <w:bCs/>
          <w:iCs/>
          <w:sz w:val="28"/>
          <w:szCs w:val="28"/>
        </w:rPr>
        <w:t xml:space="preserve"> kuad</w:t>
      </w:r>
      <w:r w:rsidR="0090544E">
        <w:rPr>
          <w:bCs/>
          <w:iCs/>
          <w:sz w:val="28"/>
          <w:szCs w:val="28"/>
        </w:rPr>
        <w:t>ë</w:t>
      </w:r>
      <w:r w:rsidR="004D03CA" w:rsidRPr="00181911">
        <w:rPr>
          <w:bCs/>
          <w:iCs/>
          <w:sz w:val="28"/>
          <w:szCs w:val="28"/>
        </w:rPr>
        <w:t>r t</w:t>
      </w:r>
      <w:r w:rsidR="0090544E">
        <w:rPr>
          <w:bCs/>
          <w:iCs/>
          <w:sz w:val="28"/>
          <w:szCs w:val="28"/>
        </w:rPr>
        <w:t>ë</w:t>
      </w:r>
      <w:r w:rsidR="004D03CA" w:rsidRPr="00181911">
        <w:rPr>
          <w:bCs/>
          <w:iCs/>
          <w:sz w:val="28"/>
          <w:szCs w:val="28"/>
        </w:rPr>
        <w:t xml:space="preserve"> fondeve evropiane strukturore dhe t</w:t>
      </w:r>
      <w:r w:rsidR="0090544E">
        <w:rPr>
          <w:bCs/>
          <w:iCs/>
          <w:sz w:val="28"/>
          <w:szCs w:val="28"/>
        </w:rPr>
        <w:t>ë</w:t>
      </w:r>
      <w:r w:rsidR="004D03CA" w:rsidRPr="00181911">
        <w:rPr>
          <w:bCs/>
          <w:iCs/>
          <w:sz w:val="28"/>
          <w:szCs w:val="28"/>
        </w:rPr>
        <w:t xml:space="preserve"> investimeve (“</w:t>
      </w:r>
      <w:r w:rsidR="004D03CA" w:rsidRPr="00181911">
        <w:rPr>
          <w:bCs/>
          <w:i/>
          <w:sz w:val="28"/>
          <w:szCs w:val="28"/>
        </w:rPr>
        <w:t>On the European code of conduct on partnership in the frame</w:t>
      </w:r>
      <w:r w:rsidR="0090544E">
        <w:rPr>
          <w:bCs/>
          <w:i/>
          <w:sz w:val="28"/>
          <w:szCs w:val="28"/>
        </w:rPr>
        <w:t>ë</w:t>
      </w:r>
      <w:r w:rsidR="004D03CA" w:rsidRPr="00181911">
        <w:rPr>
          <w:bCs/>
          <w:i/>
          <w:sz w:val="28"/>
          <w:szCs w:val="28"/>
        </w:rPr>
        <w:t>ork of the European Structural and Investment Funds</w:t>
      </w:r>
      <w:r w:rsidR="004D03CA" w:rsidRPr="00181911">
        <w:rPr>
          <w:bCs/>
          <w:iCs/>
          <w:sz w:val="28"/>
          <w:szCs w:val="28"/>
        </w:rPr>
        <w:t>”).</w:t>
      </w:r>
    </w:p>
    <w:p w14:paraId="0000002D" w14:textId="77777777" w:rsidR="00C117EA" w:rsidRPr="00181911" w:rsidRDefault="00C117EA">
      <w:pPr>
        <w:spacing w:line="276" w:lineRule="auto"/>
        <w:jc w:val="both"/>
        <w:rPr>
          <w:b/>
          <w:i/>
          <w:sz w:val="28"/>
          <w:szCs w:val="28"/>
          <w:highlight w:val="yellow"/>
        </w:rPr>
      </w:pPr>
    </w:p>
    <w:p w14:paraId="0000002E" w14:textId="77777777" w:rsidR="00C117EA" w:rsidRPr="00181911" w:rsidRDefault="00B74936">
      <w:pPr>
        <w:spacing w:line="276" w:lineRule="auto"/>
        <w:jc w:val="both"/>
        <w:rPr>
          <w:b/>
          <w:sz w:val="28"/>
          <w:szCs w:val="28"/>
        </w:rPr>
      </w:pPr>
      <w:r w:rsidRPr="00181911">
        <w:rPr>
          <w:b/>
          <w:sz w:val="28"/>
          <w:szCs w:val="28"/>
        </w:rPr>
        <w:t>VI. PËRMBLEDHJE SHPJEGUESE E PËRMBAJTJES SË PROJEKTAKTIT</w:t>
      </w:r>
    </w:p>
    <w:p w14:paraId="0000002F" w14:textId="77777777" w:rsidR="00C117EA" w:rsidRPr="00181911" w:rsidRDefault="00C117EA">
      <w:pPr>
        <w:pBdr>
          <w:top w:val="nil"/>
          <w:left w:val="nil"/>
          <w:bottom w:val="nil"/>
          <w:right w:val="nil"/>
          <w:between w:val="nil"/>
        </w:pBdr>
        <w:spacing w:line="276" w:lineRule="auto"/>
        <w:jc w:val="both"/>
        <w:rPr>
          <w:color w:val="000000"/>
          <w:sz w:val="28"/>
          <w:szCs w:val="28"/>
        </w:rPr>
      </w:pPr>
    </w:p>
    <w:p w14:paraId="57C78BC3" w14:textId="592F3029" w:rsidR="00D47D99" w:rsidRPr="00181911" w:rsidRDefault="00ED716B" w:rsidP="00DF7569">
      <w:pPr>
        <w:pBdr>
          <w:top w:val="nil"/>
          <w:left w:val="nil"/>
          <w:bottom w:val="nil"/>
          <w:right w:val="nil"/>
          <w:between w:val="nil"/>
        </w:pBdr>
        <w:spacing w:line="276" w:lineRule="auto"/>
        <w:jc w:val="both"/>
        <w:rPr>
          <w:color w:val="000000"/>
          <w:sz w:val="28"/>
          <w:szCs w:val="28"/>
        </w:rPr>
      </w:pPr>
      <w:r w:rsidRPr="00181911">
        <w:rPr>
          <w:color w:val="000000"/>
          <w:sz w:val="28"/>
          <w:szCs w:val="28"/>
        </w:rPr>
        <w:t xml:space="preserve">Nga pikëpamja teknike, </w:t>
      </w:r>
      <w:r w:rsidR="006207DB" w:rsidRPr="00181911">
        <w:rPr>
          <w:color w:val="000000"/>
          <w:sz w:val="28"/>
          <w:szCs w:val="28"/>
        </w:rPr>
        <w:t>projekt</w:t>
      </w:r>
      <w:r w:rsidR="00F94CDB" w:rsidRPr="00181911">
        <w:rPr>
          <w:color w:val="000000"/>
          <w:sz w:val="28"/>
          <w:szCs w:val="28"/>
        </w:rPr>
        <w:t xml:space="preserve">vendimi </w:t>
      </w:r>
      <w:r w:rsidR="00DF7569" w:rsidRPr="00181911">
        <w:rPr>
          <w:color w:val="000000"/>
          <w:sz w:val="28"/>
          <w:szCs w:val="28"/>
        </w:rPr>
        <w:t>p</w:t>
      </w:r>
      <w:r w:rsidR="00601321" w:rsidRPr="00181911">
        <w:rPr>
          <w:color w:val="000000"/>
          <w:sz w:val="28"/>
          <w:szCs w:val="28"/>
        </w:rPr>
        <w:t>ë</w:t>
      </w:r>
      <w:r w:rsidR="00DF7569" w:rsidRPr="00181911">
        <w:rPr>
          <w:color w:val="000000"/>
          <w:sz w:val="28"/>
          <w:szCs w:val="28"/>
        </w:rPr>
        <w:t>r</w:t>
      </w:r>
      <w:r w:rsidR="00DF7569" w:rsidRPr="00E63BFA">
        <w:rPr>
          <w:color w:val="000000"/>
          <w:sz w:val="28"/>
          <w:szCs w:val="28"/>
        </w:rPr>
        <w:t xml:space="preserve">mban </w:t>
      </w:r>
      <w:r w:rsidR="004D03CA" w:rsidRPr="00E63BFA">
        <w:rPr>
          <w:color w:val="000000"/>
          <w:sz w:val="28"/>
          <w:szCs w:val="28"/>
        </w:rPr>
        <w:t>3</w:t>
      </w:r>
      <w:r w:rsidR="00D47D99" w:rsidRPr="00E63BFA">
        <w:rPr>
          <w:color w:val="000000"/>
          <w:sz w:val="28"/>
          <w:szCs w:val="28"/>
        </w:rPr>
        <w:t xml:space="preserve">1 </w:t>
      </w:r>
      <w:r w:rsidR="00F94CDB" w:rsidRPr="00E63BFA">
        <w:rPr>
          <w:color w:val="000000"/>
          <w:sz w:val="28"/>
          <w:szCs w:val="28"/>
        </w:rPr>
        <w:t>pika</w:t>
      </w:r>
      <w:r w:rsidR="00D47D99" w:rsidRPr="00E63BFA">
        <w:rPr>
          <w:color w:val="000000"/>
          <w:sz w:val="28"/>
          <w:szCs w:val="28"/>
        </w:rPr>
        <w:t xml:space="preserve"> t</w:t>
      </w:r>
      <w:r w:rsidR="0090544E" w:rsidRPr="00E63BFA">
        <w:rPr>
          <w:color w:val="000000"/>
          <w:sz w:val="28"/>
          <w:szCs w:val="28"/>
        </w:rPr>
        <w:t>ë</w:t>
      </w:r>
      <w:r w:rsidR="00D47D99" w:rsidRPr="00181911">
        <w:rPr>
          <w:color w:val="000000"/>
          <w:sz w:val="28"/>
          <w:szCs w:val="28"/>
        </w:rPr>
        <w:t xml:space="preserve"> ndara n</w:t>
      </w:r>
      <w:r w:rsidR="0090544E">
        <w:rPr>
          <w:color w:val="000000"/>
          <w:sz w:val="28"/>
          <w:szCs w:val="28"/>
        </w:rPr>
        <w:t>ë</w:t>
      </w:r>
      <w:r w:rsidR="00D47D99" w:rsidRPr="00181911">
        <w:rPr>
          <w:color w:val="000000"/>
          <w:sz w:val="28"/>
          <w:szCs w:val="28"/>
        </w:rPr>
        <w:t xml:space="preserve"> </w:t>
      </w:r>
      <w:r w:rsidR="00E63BFA">
        <w:rPr>
          <w:color w:val="000000"/>
          <w:sz w:val="28"/>
          <w:szCs w:val="28"/>
        </w:rPr>
        <w:t>9 Kre</w:t>
      </w:r>
      <w:r w:rsidR="00F94CDB" w:rsidRPr="00181911">
        <w:rPr>
          <w:color w:val="000000"/>
          <w:sz w:val="28"/>
          <w:szCs w:val="28"/>
        </w:rPr>
        <w:t>.</w:t>
      </w:r>
    </w:p>
    <w:p w14:paraId="1493519B" w14:textId="77777777" w:rsidR="00181911" w:rsidRDefault="00181911" w:rsidP="00D47D99">
      <w:pPr>
        <w:pBdr>
          <w:top w:val="nil"/>
          <w:left w:val="nil"/>
          <w:bottom w:val="nil"/>
          <w:right w:val="nil"/>
          <w:between w:val="nil"/>
        </w:pBdr>
        <w:spacing w:line="276" w:lineRule="auto"/>
        <w:jc w:val="both"/>
        <w:rPr>
          <w:color w:val="000000"/>
          <w:sz w:val="28"/>
          <w:szCs w:val="28"/>
        </w:rPr>
      </w:pPr>
    </w:p>
    <w:p w14:paraId="137AEDD4" w14:textId="16702D55" w:rsidR="00D47D99" w:rsidRPr="00181911" w:rsidRDefault="00D47D99" w:rsidP="00D47D99">
      <w:pPr>
        <w:pBdr>
          <w:top w:val="nil"/>
          <w:left w:val="nil"/>
          <w:bottom w:val="nil"/>
          <w:right w:val="nil"/>
          <w:between w:val="nil"/>
        </w:pBdr>
        <w:spacing w:line="276" w:lineRule="auto"/>
        <w:jc w:val="both"/>
        <w:rPr>
          <w:sz w:val="28"/>
          <w:szCs w:val="28"/>
          <w:lang w:eastAsia="ar-SA"/>
        </w:rPr>
      </w:pPr>
      <w:r w:rsidRPr="00181911">
        <w:rPr>
          <w:color w:val="000000"/>
          <w:sz w:val="28"/>
          <w:szCs w:val="28"/>
        </w:rPr>
        <w:t>Kreu I q</w:t>
      </w:r>
      <w:r w:rsidR="0090544E">
        <w:rPr>
          <w:color w:val="000000"/>
          <w:sz w:val="28"/>
          <w:szCs w:val="28"/>
        </w:rPr>
        <w:t>ë</w:t>
      </w:r>
      <w:r w:rsidRPr="00181911">
        <w:rPr>
          <w:color w:val="000000"/>
          <w:sz w:val="28"/>
          <w:szCs w:val="28"/>
        </w:rPr>
        <w:t xml:space="preserve"> parashikon “</w:t>
      </w:r>
      <w:r w:rsidRPr="00D47D99">
        <w:rPr>
          <w:b/>
          <w:sz w:val="28"/>
          <w:szCs w:val="28"/>
          <w:lang w:eastAsia="ar-SA"/>
        </w:rPr>
        <w:t>DISPOZITA TË PËRGJITHSHME</w:t>
      </w:r>
      <w:r w:rsidRPr="00181911">
        <w:rPr>
          <w:b/>
          <w:sz w:val="28"/>
          <w:szCs w:val="28"/>
          <w:lang w:eastAsia="ar-SA"/>
        </w:rPr>
        <w:t xml:space="preserve">” </w:t>
      </w:r>
      <w:r w:rsidRPr="00181911">
        <w:rPr>
          <w:bCs/>
          <w:sz w:val="28"/>
          <w:szCs w:val="28"/>
          <w:lang w:eastAsia="ar-SA"/>
        </w:rPr>
        <w:t>p</w:t>
      </w:r>
      <w:r w:rsidR="0090544E">
        <w:rPr>
          <w:bCs/>
          <w:sz w:val="28"/>
          <w:szCs w:val="28"/>
          <w:lang w:eastAsia="ar-SA"/>
        </w:rPr>
        <w:t>ë</w:t>
      </w:r>
      <w:r w:rsidRPr="00181911">
        <w:rPr>
          <w:bCs/>
          <w:sz w:val="28"/>
          <w:szCs w:val="28"/>
          <w:lang w:eastAsia="ar-SA"/>
        </w:rPr>
        <w:t>rfshin p</w:t>
      </w:r>
      <w:r w:rsidR="0090544E">
        <w:rPr>
          <w:bCs/>
          <w:sz w:val="28"/>
          <w:szCs w:val="28"/>
          <w:lang w:eastAsia="ar-SA"/>
        </w:rPr>
        <w:t>ë</w:t>
      </w:r>
      <w:r w:rsidRPr="00181911">
        <w:rPr>
          <w:bCs/>
          <w:sz w:val="28"/>
          <w:szCs w:val="28"/>
          <w:lang w:eastAsia="ar-SA"/>
        </w:rPr>
        <w:t>rkufizimin e partneritetit si nj</w:t>
      </w:r>
      <w:r w:rsidR="0090544E">
        <w:rPr>
          <w:bCs/>
          <w:sz w:val="28"/>
          <w:szCs w:val="28"/>
          <w:lang w:eastAsia="ar-SA"/>
        </w:rPr>
        <w:t>ë</w:t>
      </w:r>
      <w:r w:rsidRPr="00181911">
        <w:rPr>
          <w:bCs/>
          <w:sz w:val="28"/>
          <w:szCs w:val="28"/>
          <w:lang w:eastAsia="ar-SA"/>
        </w:rPr>
        <w:t xml:space="preserve"> mekaniz</w:t>
      </w:r>
      <w:r w:rsidR="0090544E">
        <w:rPr>
          <w:bCs/>
          <w:sz w:val="28"/>
          <w:szCs w:val="28"/>
          <w:lang w:eastAsia="ar-SA"/>
        </w:rPr>
        <w:t>ë</w:t>
      </w:r>
      <w:r w:rsidRPr="00181911">
        <w:rPr>
          <w:bCs/>
          <w:sz w:val="28"/>
          <w:szCs w:val="28"/>
          <w:lang w:eastAsia="ar-SA"/>
        </w:rPr>
        <w:t xml:space="preserve">m </w:t>
      </w:r>
      <w:r w:rsidRPr="00D47D99">
        <w:rPr>
          <w:sz w:val="28"/>
          <w:szCs w:val="28"/>
          <w:lang w:eastAsia="ar-SA"/>
        </w:rPr>
        <w:t xml:space="preserve">mekanizimit kombëtar midis qeverisjes qendore, njësive të vetëqeverisjes vendore, partnerëve ekonomik dhe social, organizatave të shoqërisë civile si dhe institucioneve të arsimit të lartë dhe ato kërkimore për përgatitjen, zbatimin, monitorimin dhe vlerësimin e fondeve evropiane strukturore dhe të investimeve (në vijim “fondet e kohezionit”). </w:t>
      </w:r>
    </w:p>
    <w:p w14:paraId="75D90652" w14:textId="4F76D6BB" w:rsidR="00D47D99" w:rsidRPr="00D47D99" w:rsidRDefault="00D47D99" w:rsidP="00D47D99">
      <w:pPr>
        <w:pBdr>
          <w:top w:val="nil"/>
          <w:left w:val="nil"/>
          <w:bottom w:val="nil"/>
          <w:right w:val="nil"/>
          <w:between w:val="nil"/>
        </w:pBdr>
        <w:spacing w:line="276" w:lineRule="auto"/>
        <w:jc w:val="both"/>
        <w:rPr>
          <w:bCs/>
          <w:sz w:val="28"/>
          <w:szCs w:val="28"/>
          <w:lang w:val="en-GB" w:eastAsia="ar-SA"/>
        </w:rPr>
      </w:pPr>
      <w:r w:rsidRPr="00181911">
        <w:rPr>
          <w:sz w:val="28"/>
          <w:szCs w:val="28"/>
          <w:lang w:eastAsia="ar-SA"/>
        </w:rPr>
        <w:t>Partneriteti, n</w:t>
      </w:r>
      <w:r w:rsidR="0090544E">
        <w:rPr>
          <w:sz w:val="28"/>
          <w:szCs w:val="28"/>
          <w:lang w:eastAsia="ar-SA"/>
        </w:rPr>
        <w:t>ë</w:t>
      </w:r>
      <w:r w:rsidRPr="00181911">
        <w:rPr>
          <w:sz w:val="28"/>
          <w:szCs w:val="28"/>
          <w:lang w:eastAsia="ar-SA"/>
        </w:rPr>
        <w:t xml:space="preserve"> p</w:t>
      </w:r>
      <w:r w:rsidR="0090544E">
        <w:rPr>
          <w:sz w:val="28"/>
          <w:szCs w:val="28"/>
          <w:lang w:eastAsia="ar-SA"/>
        </w:rPr>
        <w:t>ë</w:t>
      </w:r>
      <w:r w:rsidRPr="00181911">
        <w:rPr>
          <w:sz w:val="28"/>
          <w:szCs w:val="28"/>
          <w:lang w:eastAsia="ar-SA"/>
        </w:rPr>
        <w:t xml:space="preserve">rputhje me parashikimet e </w:t>
      </w:r>
      <w:bookmarkStart w:id="9" w:name="_Hlk199317663"/>
      <w:r w:rsidRPr="00181911">
        <w:rPr>
          <w:sz w:val="28"/>
          <w:szCs w:val="28"/>
          <w:lang w:eastAsia="ar-SA"/>
        </w:rPr>
        <w:t xml:space="preserve">Rregullores </w:t>
      </w:r>
      <w:r w:rsidRPr="00181911">
        <w:rPr>
          <w:bCs/>
          <w:iCs/>
          <w:sz w:val="28"/>
          <w:szCs w:val="28"/>
          <w:lang w:eastAsia="ar-SA"/>
        </w:rPr>
        <w:t>BE-s</w:t>
      </w:r>
      <w:r w:rsidR="0090544E">
        <w:rPr>
          <w:bCs/>
          <w:iCs/>
          <w:sz w:val="28"/>
          <w:szCs w:val="28"/>
          <w:lang w:eastAsia="ar-SA"/>
        </w:rPr>
        <w:t>ë</w:t>
      </w:r>
      <w:r w:rsidRPr="00181911">
        <w:rPr>
          <w:bCs/>
          <w:iCs/>
          <w:sz w:val="28"/>
          <w:szCs w:val="28"/>
          <w:lang w:eastAsia="ar-SA"/>
        </w:rPr>
        <w:t xml:space="preserve"> nr.240/2014, </w:t>
      </w:r>
      <w:bookmarkEnd w:id="9"/>
      <w:r w:rsidRPr="00181911">
        <w:rPr>
          <w:bCs/>
          <w:iCs/>
          <w:sz w:val="28"/>
          <w:szCs w:val="28"/>
          <w:lang w:eastAsia="ar-SA"/>
        </w:rPr>
        <w:t>dat</w:t>
      </w:r>
      <w:r w:rsidR="0090544E">
        <w:rPr>
          <w:bCs/>
          <w:iCs/>
          <w:sz w:val="28"/>
          <w:szCs w:val="28"/>
          <w:lang w:eastAsia="ar-SA"/>
        </w:rPr>
        <w:t>ë</w:t>
      </w:r>
      <w:r w:rsidRPr="00181911">
        <w:rPr>
          <w:bCs/>
          <w:iCs/>
          <w:sz w:val="28"/>
          <w:szCs w:val="28"/>
          <w:lang w:eastAsia="ar-SA"/>
        </w:rPr>
        <w:t xml:space="preserve"> 7 Janar 2014 </w:t>
      </w:r>
      <w:r w:rsidR="0090544E">
        <w:rPr>
          <w:bCs/>
          <w:iCs/>
          <w:sz w:val="28"/>
          <w:szCs w:val="28"/>
          <w:lang w:eastAsia="ar-SA"/>
        </w:rPr>
        <w:t>ë</w:t>
      </w:r>
      <w:r w:rsidRPr="00181911">
        <w:rPr>
          <w:bCs/>
          <w:iCs/>
          <w:sz w:val="28"/>
          <w:szCs w:val="28"/>
          <w:lang w:eastAsia="ar-SA"/>
        </w:rPr>
        <w:t>sht</w:t>
      </w:r>
      <w:r w:rsidR="0090544E">
        <w:rPr>
          <w:bCs/>
          <w:iCs/>
          <w:sz w:val="28"/>
          <w:szCs w:val="28"/>
          <w:lang w:eastAsia="ar-SA"/>
        </w:rPr>
        <w:t>ë</w:t>
      </w:r>
      <w:r w:rsidRPr="00181911">
        <w:rPr>
          <w:bCs/>
          <w:iCs/>
          <w:sz w:val="28"/>
          <w:szCs w:val="28"/>
          <w:lang w:eastAsia="ar-SA"/>
        </w:rPr>
        <w:t xml:space="preserve"> konceptuar si </w:t>
      </w:r>
      <w:r w:rsidRPr="00D47D99">
        <w:rPr>
          <w:bCs/>
          <w:sz w:val="28"/>
          <w:szCs w:val="28"/>
          <w:lang w:val="en-GB" w:eastAsia="ar-SA"/>
        </w:rPr>
        <w:t>një strukturë bashkërenduese e perhershme, veprimtaria e të cilit drejtohet, koordinohet dhe realizohet në nivel qendror përmes ministrit përgjegjës negociator për Kapitullin 22</w:t>
      </w:r>
      <w:r w:rsidRPr="00181911">
        <w:rPr>
          <w:bCs/>
          <w:sz w:val="28"/>
          <w:szCs w:val="28"/>
          <w:lang w:val="en-GB" w:eastAsia="ar-SA"/>
        </w:rPr>
        <w:t xml:space="preserve">. Objekti </w:t>
      </w:r>
      <w:r w:rsidRPr="00D47D99">
        <w:rPr>
          <w:bCs/>
          <w:sz w:val="28"/>
          <w:szCs w:val="28"/>
          <w:lang w:val="en-GB" w:eastAsia="ar-SA"/>
        </w:rPr>
        <w:t>i partneritetit</w:t>
      </w:r>
      <w:r w:rsidRPr="00181911">
        <w:rPr>
          <w:bCs/>
          <w:sz w:val="28"/>
          <w:szCs w:val="28"/>
          <w:lang w:val="en-GB" w:eastAsia="ar-SA"/>
        </w:rPr>
        <w:t xml:space="preserve"> </w:t>
      </w:r>
      <w:r w:rsidR="0090544E">
        <w:rPr>
          <w:bCs/>
          <w:sz w:val="28"/>
          <w:szCs w:val="28"/>
          <w:lang w:val="en-GB" w:eastAsia="ar-SA"/>
        </w:rPr>
        <w:t>ë</w:t>
      </w:r>
      <w:r w:rsidRPr="00181911">
        <w:rPr>
          <w:bCs/>
          <w:sz w:val="28"/>
          <w:szCs w:val="28"/>
          <w:lang w:val="en-GB" w:eastAsia="ar-SA"/>
        </w:rPr>
        <w:t>sht</w:t>
      </w:r>
      <w:r w:rsidR="0090544E">
        <w:rPr>
          <w:bCs/>
          <w:sz w:val="28"/>
          <w:szCs w:val="28"/>
          <w:lang w:val="en-GB" w:eastAsia="ar-SA"/>
        </w:rPr>
        <w:t>ë</w:t>
      </w:r>
      <w:r w:rsidRPr="00181911">
        <w:rPr>
          <w:bCs/>
          <w:sz w:val="28"/>
          <w:szCs w:val="28"/>
          <w:lang w:val="en-GB" w:eastAsia="ar-SA"/>
        </w:rPr>
        <w:t xml:space="preserve"> n</w:t>
      </w:r>
      <w:r w:rsidR="0090544E">
        <w:rPr>
          <w:bCs/>
          <w:sz w:val="28"/>
          <w:szCs w:val="28"/>
          <w:lang w:val="en-GB" w:eastAsia="ar-SA"/>
        </w:rPr>
        <w:t>ë</w:t>
      </w:r>
      <w:r w:rsidRPr="00181911">
        <w:rPr>
          <w:bCs/>
          <w:sz w:val="28"/>
          <w:szCs w:val="28"/>
          <w:lang w:val="en-GB" w:eastAsia="ar-SA"/>
        </w:rPr>
        <w:t xml:space="preserve"> harmoni me parashikimet e Rregullores s</w:t>
      </w:r>
      <w:r w:rsidR="0090544E">
        <w:rPr>
          <w:bCs/>
          <w:sz w:val="28"/>
          <w:szCs w:val="28"/>
          <w:lang w:val="en-GB" w:eastAsia="ar-SA"/>
        </w:rPr>
        <w:t>ë</w:t>
      </w:r>
      <w:r w:rsidRPr="00181911">
        <w:rPr>
          <w:bCs/>
          <w:sz w:val="28"/>
          <w:szCs w:val="28"/>
          <w:lang w:val="en-GB" w:eastAsia="ar-SA"/>
        </w:rPr>
        <w:t xml:space="preserve"> </w:t>
      </w:r>
      <w:r w:rsidRPr="00181911">
        <w:rPr>
          <w:bCs/>
          <w:iCs/>
          <w:sz w:val="28"/>
          <w:szCs w:val="28"/>
          <w:lang w:eastAsia="ar-SA"/>
        </w:rPr>
        <w:t>BE-s</w:t>
      </w:r>
      <w:r w:rsidR="0090544E">
        <w:rPr>
          <w:bCs/>
          <w:iCs/>
          <w:sz w:val="28"/>
          <w:szCs w:val="28"/>
          <w:lang w:eastAsia="ar-SA"/>
        </w:rPr>
        <w:t>ë</w:t>
      </w:r>
      <w:r w:rsidRPr="00181911">
        <w:rPr>
          <w:bCs/>
          <w:iCs/>
          <w:sz w:val="28"/>
          <w:szCs w:val="28"/>
          <w:lang w:eastAsia="ar-SA"/>
        </w:rPr>
        <w:t xml:space="preserve"> nr.240/2014, dat</w:t>
      </w:r>
      <w:r w:rsidR="0090544E">
        <w:rPr>
          <w:bCs/>
          <w:iCs/>
          <w:sz w:val="28"/>
          <w:szCs w:val="28"/>
          <w:lang w:eastAsia="ar-SA"/>
        </w:rPr>
        <w:t>ë</w:t>
      </w:r>
      <w:r w:rsidRPr="00181911">
        <w:rPr>
          <w:bCs/>
          <w:iCs/>
          <w:sz w:val="28"/>
          <w:szCs w:val="28"/>
          <w:lang w:eastAsia="ar-SA"/>
        </w:rPr>
        <w:t xml:space="preserve"> 7 Janar 2014</w:t>
      </w:r>
      <w:r w:rsidRPr="00181911">
        <w:rPr>
          <w:bCs/>
          <w:sz w:val="28"/>
          <w:szCs w:val="28"/>
          <w:lang w:val="en-GB" w:eastAsia="ar-SA"/>
        </w:rPr>
        <w:t xml:space="preserve"> dhe p</w:t>
      </w:r>
      <w:r w:rsidR="0090544E">
        <w:rPr>
          <w:bCs/>
          <w:sz w:val="28"/>
          <w:szCs w:val="28"/>
          <w:lang w:val="en-GB" w:eastAsia="ar-SA"/>
        </w:rPr>
        <w:t>ë</w:t>
      </w:r>
      <w:r w:rsidRPr="00181911">
        <w:rPr>
          <w:bCs/>
          <w:sz w:val="28"/>
          <w:szCs w:val="28"/>
          <w:lang w:val="en-GB" w:eastAsia="ar-SA"/>
        </w:rPr>
        <w:t>rfshin t</w:t>
      </w:r>
      <w:r w:rsidR="0090544E">
        <w:rPr>
          <w:bCs/>
          <w:sz w:val="28"/>
          <w:szCs w:val="28"/>
          <w:lang w:val="en-GB" w:eastAsia="ar-SA"/>
        </w:rPr>
        <w:t>ë</w:t>
      </w:r>
      <w:r w:rsidRPr="00181911">
        <w:rPr>
          <w:bCs/>
          <w:sz w:val="28"/>
          <w:szCs w:val="28"/>
          <w:lang w:val="en-GB" w:eastAsia="ar-SA"/>
        </w:rPr>
        <w:t xml:space="preserve"> gjith</w:t>
      </w:r>
      <w:r w:rsidR="0090544E">
        <w:rPr>
          <w:bCs/>
          <w:sz w:val="28"/>
          <w:szCs w:val="28"/>
          <w:lang w:val="en-GB" w:eastAsia="ar-SA"/>
        </w:rPr>
        <w:t>ë</w:t>
      </w:r>
      <w:r w:rsidRPr="00181911">
        <w:rPr>
          <w:bCs/>
          <w:sz w:val="28"/>
          <w:szCs w:val="28"/>
          <w:lang w:val="en-GB" w:eastAsia="ar-SA"/>
        </w:rPr>
        <w:t xml:space="preserve"> </w:t>
      </w:r>
      <w:r w:rsidRPr="00D47D99">
        <w:rPr>
          <w:bCs/>
          <w:sz w:val="28"/>
          <w:szCs w:val="28"/>
          <w:lang w:val="en-GB" w:eastAsia="ar-SA"/>
        </w:rPr>
        <w:t>cikli</w:t>
      </w:r>
      <w:r w:rsidRPr="00181911">
        <w:rPr>
          <w:bCs/>
          <w:sz w:val="28"/>
          <w:szCs w:val="28"/>
          <w:lang w:val="en-GB" w:eastAsia="ar-SA"/>
        </w:rPr>
        <w:t>n</w:t>
      </w:r>
      <w:r w:rsidRPr="00D47D99">
        <w:rPr>
          <w:bCs/>
          <w:sz w:val="28"/>
          <w:szCs w:val="28"/>
          <w:lang w:val="en-GB" w:eastAsia="ar-SA"/>
        </w:rPr>
        <w:t xml:space="preserve"> </w:t>
      </w:r>
      <w:r w:rsidRPr="00181911">
        <w:rPr>
          <w:bCs/>
          <w:sz w:val="28"/>
          <w:szCs w:val="28"/>
          <w:lang w:val="en-GB" w:eastAsia="ar-SA"/>
        </w:rPr>
        <w:t>e</w:t>
      </w:r>
      <w:r w:rsidRPr="00D47D99">
        <w:rPr>
          <w:bCs/>
          <w:sz w:val="28"/>
          <w:szCs w:val="28"/>
          <w:lang w:val="en-GB" w:eastAsia="ar-SA"/>
        </w:rPr>
        <w:t xml:space="preserve"> programimit</w:t>
      </w:r>
      <w:r w:rsidRPr="00181911">
        <w:rPr>
          <w:bCs/>
          <w:i/>
          <w:iCs/>
          <w:sz w:val="28"/>
          <w:szCs w:val="28"/>
          <w:lang w:val="en-GB" w:eastAsia="ar-SA"/>
        </w:rPr>
        <w:t>:</w:t>
      </w:r>
      <w:r w:rsidRPr="00D47D99">
        <w:rPr>
          <w:bCs/>
          <w:i/>
          <w:iCs/>
          <w:sz w:val="28"/>
          <w:szCs w:val="28"/>
          <w:lang w:val="en-GB" w:eastAsia="ar-SA"/>
        </w:rPr>
        <w:t xml:space="preserve"> përgatitjen, zbatimin, monitorimin e vlerësimin</w:t>
      </w:r>
      <w:r w:rsidRPr="00D47D99">
        <w:rPr>
          <w:bCs/>
          <w:sz w:val="28"/>
          <w:szCs w:val="28"/>
          <w:lang w:val="en-GB" w:eastAsia="ar-SA"/>
        </w:rPr>
        <w:t xml:space="preserve"> në kuadër të </w:t>
      </w:r>
      <w:bookmarkStart w:id="10" w:name="_Hlk196992191"/>
      <w:bookmarkStart w:id="11" w:name="_Hlk198107673"/>
      <w:r w:rsidRPr="00D47D99">
        <w:rPr>
          <w:bCs/>
          <w:sz w:val="28"/>
          <w:szCs w:val="28"/>
          <w:lang w:val="en-GB" w:eastAsia="ar-SA"/>
        </w:rPr>
        <w:t>fondeve evropiane strukturore dhe investimeve</w:t>
      </w:r>
      <w:bookmarkEnd w:id="10"/>
      <w:r w:rsidRPr="00D47D99">
        <w:rPr>
          <w:bCs/>
          <w:sz w:val="28"/>
          <w:szCs w:val="28"/>
          <w:lang w:val="en-GB" w:eastAsia="ar-SA"/>
        </w:rPr>
        <w:t xml:space="preserve"> </w:t>
      </w:r>
      <w:bookmarkEnd w:id="11"/>
      <w:r w:rsidRPr="00D47D99">
        <w:rPr>
          <w:bCs/>
          <w:sz w:val="28"/>
          <w:szCs w:val="28"/>
          <w:lang w:val="en-GB" w:eastAsia="ar-SA"/>
        </w:rPr>
        <w:t>dhe veçanërisht:</w:t>
      </w:r>
    </w:p>
    <w:p w14:paraId="21D45CB8" w14:textId="77777777" w:rsidR="00D47D99" w:rsidRPr="00D47D99" w:rsidRDefault="00D47D99" w:rsidP="00D47D99">
      <w:pPr>
        <w:suppressAutoHyphens/>
        <w:spacing w:line="288" w:lineRule="auto"/>
        <w:jc w:val="both"/>
        <w:rPr>
          <w:bCs/>
          <w:sz w:val="28"/>
          <w:szCs w:val="28"/>
          <w:lang w:val="en-GB" w:eastAsia="ar-SA"/>
        </w:rPr>
      </w:pPr>
      <w:r w:rsidRPr="00D47D99">
        <w:rPr>
          <w:bCs/>
          <w:sz w:val="28"/>
          <w:szCs w:val="28"/>
          <w:lang w:val="en-GB" w:eastAsia="ar-SA"/>
        </w:rPr>
        <w:t xml:space="preserve">a) përgatitja e programeve duke përfshirë analizën për identifikimin e nevojave; </w:t>
      </w:r>
    </w:p>
    <w:p w14:paraId="6AF5CC18" w14:textId="77777777" w:rsidR="00D47D99" w:rsidRPr="00D47D99" w:rsidRDefault="00D47D99" w:rsidP="00D47D99">
      <w:pPr>
        <w:suppressAutoHyphens/>
        <w:spacing w:line="288" w:lineRule="auto"/>
        <w:jc w:val="both"/>
        <w:rPr>
          <w:bCs/>
          <w:sz w:val="28"/>
          <w:szCs w:val="28"/>
          <w:lang w:val="en-GB" w:eastAsia="ar-SA"/>
        </w:rPr>
      </w:pPr>
      <w:r w:rsidRPr="00D47D99">
        <w:rPr>
          <w:bCs/>
          <w:sz w:val="28"/>
          <w:szCs w:val="28"/>
          <w:lang w:val="en-GB" w:eastAsia="ar-SA"/>
        </w:rPr>
        <w:t xml:space="preserve">b) përkufizimi dhe përzgjedhja e prioriteteve dhe objektivave specifike; </w:t>
      </w:r>
    </w:p>
    <w:p w14:paraId="72A398F8" w14:textId="77777777" w:rsidR="00D47D99" w:rsidRPr="00D47D99" w:rsidRDefault="00D47D99" w:rsidP="00D47D99">
      <w:pPr>
        <w:suppressAutoHyphens/>
        <w:spacing w:line="288" w:lineRule="auto"/>
        <w:jc w:val="both"/>
        <w:rPr>
          <w:bCs/>
          <w:sz w:val="28"/>
          <w:szCs w:val="28"/>
          <w:lang w:val="en-GB" w:eastAsia="ar-SA"/>
        </w:rPr>
      </w:pPr>
      <w:r w:rsidRPr="00D47D99">
        <w:rPr>
          <w:bCs/>
          <w:sz w:val="28"/>
          <w:szCs w:val="28"/>
          <w:lang w:val="en-GB" w:eastAsia="ar-SA"/>
        </w:rPr>
        <w:t xml:space="preserve">c) shpërndarja e fondeve; </w:t>
      </w:r>
    </w:p>
    <w:p w14:paraId="093063CC" w14:textId="77777777" w:rsidR="00D47D99" w:rsidRPr="00D47D99" w:rsidRDefault="00D47D99" w:rsidP="00D47D99">
      <w:pPr>
        <w:suppressAutoHyphens/>
        <w:spacing w:line="288" w:lineRule="auto"/>
        <w:jc w:val="both"/>
        <w:rPr>
          <w:bCs/>
          <w:sz w:val="28"/>
          <w:szCs w:val="28"/>
          <w:lang w:val="en-GB" w:eastAsia="ar-SA"/>
        </w:rPr>
      </w:pPr>
      <w:r w:rsidRPr="00D47D99">
        <w:rPr>
          <w:bCs/>
          <w:sz w:val="28"/>
          <w:szCs w:val="28"/>
          <w:lang w:val="en-GB" w:eastAsia="ar-SA"/>
        </w:rPr>
        <w:t xml:space="preserve">ç) përcaktimi i indikatorëve specifikë të programeve; </w:t>
      </w:r>
    </w:p>
    <w:p w14:paraId="20714CC6" w14:textId="77777777" w:rsidR="00D47D99" w:rsidRPr="00D47D99" w:rsidRDefault="00D47D99" w:rsidP="00D47D99">
      <w:pPr>
        <w:suppressAutoHyphens/>
        <w:spacing w:line="288" w:lineRule="auto"/>
        <w:jc w:val="both"/>
        <w:rPr>
          <w:bCs/>
          <w:sz w:val="28"/>
          <w:szCs w:val="28"/>
          <w:lang w:val="en-GB" w:eastAsia="ar-SA"/>
        </w:rPr>
      </w:pPr>
      <w:r w:rsidRPr="00D47D99">
        <w:rPr>
          <w:bCs/>
          <w:sz w:val="28"/>
          <w:szCs w:val="28"/>
          <w:lang w:val="en-GB" w:eastAsia="ar-SA"/>
        </w:rPr>
        <w:t xml:space="preserve">d) zbatimi i parimeve të përgjithshme horizontal për administrimin e fondeve të kohezionit sipas </w:t>
      </w:r>
      <w:r w:rsidRPr="00D47D99">
        <w:rPr>
          <w:bCs/>
          <w:i/>
          <w:iCs/>
          <w:sz w:val="28"/>
          <w:szCs w:val="28"/>
          <w:lang w:val="en-GB" w:eastAsia="ar-SA"/>
        </w:rPr>
        <w:t>aquis</w:t>
      </w:r>
      <w:r w:rsidRPr="00D47D99">
        <w:rPr>
          <w:bCs/>
          <w:sz w:val="28"/>
          <w:szCs w:val="28"/>
          <w:lang w:val="en-GB" w:eastAsia="ar-SA"/>
        </w:rPr>
        <w:t xml:space="preserve"> të BE-së;</w:t>
      </w:r>
    </w:p>
    <w:p w14:paraId="359AFC3B" w14:textId="77777777" w:rsidR="00D47D99" w:rsidRPr="00D47D99" w:rsidRDefault="00D47D99" w:rsidP="00D47D99">
      <w:pPr>
        <w:suppressAutoHyphens/>
        <w:spacing w:line="288" w:lineRule="auto"/>
        <w:jc w:val="both"/>
        <w:rPr>
          <w:bCs/>
          <w:sz w:val="28"/>
          <w:szCs w:val="28"/>
          <w:lang w:val="en-GB" w:eastAsia="ar-SA"/>
        </w:rPr>
      </w:pPr>
      <w:r w:rsidRPr="00D47D99">
        <w:rPr>
          <w:bCs/>
          <w:sz w:val="28"/>
          <w:szCs w:val="28"/>
          <w:lang w:val="en-GB" w:eastAsia="ar-SA"/>
        </w:rPr>
        <w:t>e) përbërja e komiteve të monitorimit;</w:t>
      </w:r>
    </w:p>
    <w:p w14:paraId="15CB3509" w14:textId="77777777" w:rsidR="00D47D99" w:rsidRPr="00D47D99" w:rsidRDefault="00D47D99" w:rsidP="00D47D99">
      <w:pPr>
        <w:suppressAutoHyphens/>
        <w:spacing w:line="288" w:lineRule="auto"/>
        <w:jc w:val="both"/>
        <w:rPr>
          <w:bCs/>
          <w:sz w:val="28"/>
          <w:szCs w:val="28"/>
          <w:lang w:val="en-GB" w:eastAsia="ar-SA"/>
        </w:rPr>
      </w:pPr>
      <w:r w:rsidRPr="00D47D99">
        <w:rPr>
          <w:bCs/>
          <w:sz w:val="28"/>
          <w:szCs w:val="28"/>
          <w:lang w:val="en-GB" w:eastAsia="ar-SA"/>
        </w:rPr>
        <w:t>f)</w:t>
      </w:r>
      <w:r w:rsidRPr="00D47D99">
        <w:rPr>
          <w:rFonts w:eastAsia="Bahnschrift"/>
          <w:bCs/>
          <w:sz w:val="28"/>
          <w:szCs w:val="28"/>
          <w:lang w:val="en-GB" w:eastAsia="en-US"/>
        </w:rPr>
        <w:t xml:space="preserve"> ndërveprimi midis anëtarëve në partneritet dhe rritja e kapaciteveve të tyre për </w:t>
      </w:r>
      <w:r w:rsidRPr="00D47D99">
        <w:rPr>
          <w:bCs/>
          <w:sz w:val="28"/>
          <w:szCs w:val="28"/>
          <w:lang w:val="en-GB" w:eastAsia="ar-SA"/>
        </w:rPr>
        <w:t>të përmbushur me efektivitet rolin e tyre sipas këtij vendimi.</w:t>
      </w:r>
    </w:p>
    <w:p w14:paraId="2955DABB" w14:textId="77777777" w:rsidR="00181911" w:rsidRDefault="00181911" w:rsidP="00D47D99">
      <w:pPr>
        <w:rPr>
          <w:sz w:val="28"/>
          <w:szCs w:val="28"/>
          <w:lang w:val="en-US" w:eastAsia="en-US"/>
        </w:rPr>
      </w:pPr>
    </w:p>
    <w:p w14:paraId="2FBE4654" w14:textId="52897C33" w:rsidR="00D47D99" w:rsidRPr="00D47D99" w:rsidRDefault="00D47D99" w:rsidP="00D47D99">
      <w:pPr>
        <w:rPr>
          <w:vanish/>
          <w:sz w:val="28"/>
          <w:szCs w:val="28"/>
          <w:lang w:val="en-US" w:eastAsia="en-US"/>
        </w:rPr>
      </w:pPr>
      <w:r w:rsidRPr="00181911">
        <w:rPr>
          <w:sz w:val="28"/>
          <w:szCs w:val="28"/>
          <w:lang w:val="en-US" w:eastAsia="en-US"/>
        </w:rPr>
        <w:t>N</w:t>
      </w:r>
      <w:r w:rsidR="0090544E">
        <w:rPr>
          <w:sz w:val="28"/>
          <w:szCs w:val="28"/>
          <w:lang w:val="en-US" w:eastAsia="en-US"/>
        </w:rPr>
        <w:t>ë</w:t>
      </w:r>
      <w:r w:rsidRPr="00181911">
        <w:rPr>
          <w:sz w:val="28"/>
          <w:szCs w:val="28"/>
          <w:lang w:val="en-US" w:eastAsia="en-US"/>
        </w:rPr>
        <w:t xml:space="preserve"> Kreun II renditen </w:t>
      </w:r>
    </w:p>
    <w:p w14:paraId="319CD6DD" w14:textId="77777777" w:rsidR="00D47D99" w:rsidRPr="00D47D99" w:rsidRDefault="00D47D99" w:rsidP="00D47D99">
      <w:pPr>
        <w:rPr>
          <w:vanish/>
          <w:sz w:val="28"/>
          <w:szCs w:val="28"/>
          <w:lang w:val="en-US" w:eastAsia="en-US"/>
        </w:rPr>
      </w:pPr>
    </w:p>
    <w:p w14:paraId="338BF442" w14:textId="28E4A7CE" w:rsidR="00D47D99" w:rsidRPr="00D47D99" w:rsidRDefault="00D47D99" w:rsidP="00D47D99">
      <w:pPr>
        <w:suppressAutoHyphens/>
        <w:spacing w:line="288" w:lineRule="auto"/>
        <w:jc w:val="both"/>
        <w:rPr>
          <w:b/>
          <w:sz w:val="28"/>
          <w:szCs w:val="28"/>
          <w:lang w:val="en-GB" w:eastAsia="ar-SA"/>
        </w:rPr>
      </w:pPr>
      <w:r w:rsidRPr="00181911">
        <w:rPr>
          <w:bCs/>
          <w:sz w:val="28"/>
          <w:szCs w:val="28"/>
          <w:lang w:val="en-GB" w:eastAsia="ar-SA"/>
        </w:rPr>
        <w:t>“</w:t>
      </w:r>
      <w:r w:rsidRPr="00D47D99">
        <w:rPr>
          <w:b/>
          <w:sz w:val="28"/>
          <w:szCs w:val="28"/>
          <w:lang w:val="en-GB" w:eastAsia="ar-SA"/>
        </w:rPr>
        <w:t>PARIMET E PARTNERITETIT</w:t>
      </w:r>
      <w:r w:rsidRPr="00181911">
        <w:rPr>
          <w:b/>
          <w:sz w:val="28"/>
          <w:szCs w:val="28"/>
          <w:lang w:val="en-GB" w:eastAsia="ar-SA"/>
        </w:rPr>
        <w:t xml:space="preserve">” </w:t>
      </w:r>
      <w:r w:rsidRPr="00181911">
        <w:rPr>
          <w:bCs/>
          <w:sz w:val="28"/>
          <w:szCs w:val="28"/>
          <w:lang w:val="en-GB" w:eastAsia="ar-SA"/>
        </w:rPr>
        <w:t>q</w:t>
      </w:r>
      <w:r w:rsidR="0090544E">
        <w:rPr>
          <w:bCs/>
          <w:sz w:val="28"/>
          <w:szCs w:val="28"/>
          <w:lang w:val="en-GB" w:eastAsia="ar-SA"/>
        </w:rPr>
        <w:t>ë</w:t>
      </w:r>
      <w:r w:rsidRPr="00181911">
        <w:rPr>
          <w:bCs/>
          <w:sz w:val="28"/>
          <w:szCs w:val="28"/>
          <w:lang w:val="en-GB" w:eastAsia="ar-SA"/>
        </w:rPr>
        <w:t xml:space="preserve"> p</w:t>
      </w:r>
      <w:r w:rsidR="0090544E">
        <w:rPr>
          <w:bCs/>
          <w:sz w:val="28"/>
          <w:szCs w:val="28"/>
          <w:lang w:val="en-GB" w:eastAsia="ar-SA"/>
        </w:rPr>
        <w:t>ë</w:t>
      </w:r>
      <w:r w:rsidRPr="00181911">
        <w:rPr>
          <w:bCs/>
          <w:sz w:val="28"/>
          <w:szCs w:val="28"/>
          <w:lang w:val="en-GB" w:eastAsia="ar-SA"/>
        </w:rPr>
        <w:t>rfshin</w:t>
      </w:r>
      <w:r w:rsidR="00181911" w:rsidRPr="00181911">
        <w:rPr>
          <w:bCs/>
          <w:sz w:val="28"/>
          <w:szCs w:val="28"/>
          <w:lang w:val="en-GB" w:eastAsia="ar-SA"/>
        </w:rPr>
        <w:t>:</w:t>
      </w:r>
      <w:r w:rsidRPr="00181911">
        <w:rPr>
          <w:b/>
          <w:sz w:val="28"/>
          <w:szCs w:val="28"/>
          <w:lang w:val="en-GB" w:eastAsia="ar-SA"/>
        </w:rPr>
        <w:t xml:space="preserve"> </w:t>
      </w:r>
      <w:r w:rsidRPr="00D47D99">
        <w:rPr>
          <w:b/>
          <w:sz w:val="28"/>
          <w:szCs w:val="28"/>
          <w:lang w:val="en-GB" w:eastAsia="ar-SA"/>
        </w:rPr>
        <w:t xml:space="preserve"> </w:t>
      </w:r>
    </w:p>
    <w:p w14:paraId="28E85318" w14:textId="482F1B34" w:rsidR="00D47D99" w:rsidRPr="00D47D99" w:rsidRDefault="00D47D99" w:rsidP="00D47D99">
      <w:pPr>
        <w:suppressAutoHyphens/>
        <w:spacing w:line="288" w:lineRule="auto"/>
        <w:jc w:val="both"/>
        <w:rPr>
          <w:rFonts w:eastAsia="Bahnschrift"/>
          <w:bCs/>
          <w:sz w:val="28"/>
          <w:szCs w:val="28"/>
          <w:lang w:val="en-GB" w:eastAsia="en-US"/>
        </w:rPr>
      </w:pPr>
      <w:r w:rsidRPr="00D47D99">
        <w:rPr>
          <w:sz w:val="28"/>
          <w:szCs w:val="28"/>
          <w:lang w:eastAsia="ar-SA"/>
        </w:rPr>
        <w:t xml:space="preserve">a) </w:t>
      </w:r>
      <w:r w:rsidRPr="00D47D99">
        <w:rPr>
          <w:rFonts w:eastAsia="Bahnschrift"/>
          <w:bCs/>
          <w:sz w:val="28"/>
          <w:szCs w:val="28"/>
          <w:lang w:val="en-GB" w:eastAsia="en-US"/>
        </w:rPr>
        <w:t>parimin e informimit</w:t>
      </w:r>
      <w:r w:rsidRPr="00D47D99">
        <w:rPr>
          <w:rFonts w:eastAsia="Aptos"/>
          <w:kern w:val="2"/>
          <w:sz w:val="28"/>
          <w:szCs w:val="28"/>
          <w:lang w:val="en-GB" w:eastAsia="en-US"/>
          <w14:ligatures w14:val="standardContextual"/>
        </w:rPr>
        <w:t xml:space="preserve">; </w:t>
      </w:r>
    </w:p>
    <w:p w14:paraId="73C8809B" w14:textId="19399223" w:rsidR="00D47D99" w:rsidRPr="00D47D99" w:rsidRDefault="00D47D99" w:rsidP="00D47D99">
      <w:pPr>
        <w:suppressAutoHyphens/>
        <w:spacing w:line="288" w:lineRule="auto"/>
        <w:jc w:val="both"/>
        <w:rPr>
          <w:rFonts w:eastAsia="Aptos"/>
          <w:kern w:val="2"/>
          <w:sz w:val="28"/>
          <w:szCs w:val="28"/>
          <w:lang w:val="en-GB" w:eastAsia="en-US"/>
          <w14:ligatures w14:val="standardContextual"/>
        </w:rPr>
      </w:pPr>
      <w:r w:rsidRPr="00D47D99">
        <w:rPr>
          <w:rFonts w:eastAsia="Aptos"/>
          <w:kern w:val="2"/>
          <w:sz w:val="28"/>
          <w:szCs w:val="28"/>
          <w:lang w:val="en-GB" w:eastAsia="en-US"/>
          <w14:ligatures w14:val="standardContextual"/>
        </w:rPr>
        <w:lastRenderedPageBreak/>
        <w:t>b) parimin e konsultimit</w:t>
      </w:r>
      <w:r w:rsidRPr="00D47D99">
        <w:rPr>
          <w:rFonts w:eastAsia="Aptos"/>
          <w:bCs/>
          <w:kern w:val="2"/>
          <w:sz w:val="28"/>
          <w:szCs w:val="28"/>
          <w:lang w:val="en-GB" w:eastAsia="en-US"/>
          <w14:ligatures w14:val="standardContextual"/>
        </w:rPr>
        <w:t>.</w:t>
      </w:r>
    </w:p>
    <w:p w14:paraId="6DFA9FAF" w14:textId="3A5E1DAB" w:rsidR="00D47D99" w:rsidRPr="00D47D99" w:rsidRDefault="00D47D99" w:rsidP="00D47D99">
      <w:pPr>
        <w:suppressAutoHyphens/>
        <w:spacing w:line="288" w:lineRule="auto"/>
        <w:jc w:val="both"/>
        <w:rPr>
          <w:rFonts w:eastAsia="Aptos"/>
          <w:kern w:val="2"/>
          <w:sz w:val="28"/>
          <w:szCs w:val="28"/>
          <w:lang w:val="en-GB" w:eastAsia="en-US"/>
          <w14:ligatures w14:val="standardContextual"/>
        </w:rPr>
      </w:pPr>
      <w:r w:rsidRPr="00D47D99">
        <w:rPr>
          <w:rFonts w:eastAsia="Aptos"/>
          <w:kern w:val="2"/>
          <w:sz w:val="28"/>
          <w:szCs w:val="28"/>
          <w:lang w:val="en-GB" w:eastAsia="en-US"/>
          <w14:ligatures w14:val="standardContextual"/>
        </w:rPr>
        <w:t>c) parimin e angazhimit</w:t>
      </w:r>
      <w:r w:rsidR="00181911" w:rsidRPr="00181911">
        <w:rPr>
          <w:rFonts w:eastAsia="Aptos"/>
          <w:kern w:val="2"/>
          <w:sz w:val="28"/>
          <w:szCs w:val="28"/>
          <w:lang w:val="en-GB" w:eastAsia="en-US"/>
          <w14:ligatures w14:val="standardContextual"/>
        </w:rPr>
        <w:t xml:space="preserve"> t</w:t>
      </w:r>
      <w:r w:rsidR="0090544E">
        <w:rPr>
          <w:rFonts w:eastAsia="Aptos"/>
          <w:kern w:val="2"/>
          <w:sz w:val="28"/>
          <w:szCs w:val="28"/>
          <w:lang w:val="en-GB" w:eastAsia="en-US"/>
          <w14:ligatures w14:val="standardContextual"/>
        </w:rPr>
        <w:t>ë</w:t>
      </w:r>
      <w:r w:rsidR="00181911" w:rsidRPr="00181911">
        <w:rPr>
          <w:rFonts w:eastAsia="Aptos"/>
          <w:kern w:val="2"/>
          <w:sz w:val="28"/>
          <w:szCs w:val="28"/>
          <w:lang w:val="en-GB" w:eastAsia="en-US"/>
          <w14:ligatures w14:val="standardContextual"/>
        </w:rPr>
        <w:t xml:space="preserve"> aktor</w:t>
      </w:r>
      <w:r w:rsidR="0090544E">
        <w:rPr>
          <w:rFonts w:eastAsia="Aptos"/>
          <w:kern w:val="2"/>
          <w:sz w:val="28"/>
          <w:szCs w:val="28"/>
          <w:lang w:val="en-GB" w:eastAsia="en-US"/>
          <w14:ligatures w14:val="standardContextual"/>
        </w:rPr>
        <w:t>ë</w:t>
      </w:r>
      <w:r w:rsidR="00181911" w:rsidRPr="00181911">
        <w:rPr>
          <w:rFonts w:eastAsia="Aptos"/>
          <w:kern w:val="2"/>
          <w:sz w:val="28"/>
          <w:szCs w:val="28"/>
          <w:lang w:val="en-GB" w:eastAsia="en-US"/>
          <w14:ligatures w14:val="standardContextual"/>
        </w:rPr>
        <w:t>ve pjes</w:t>
      </w:r>
      <w:r w:rsidR="0090544E">
        <w:rPr>
          <w:rFonts w:eastAsia="Aptos"/>
          <w:kern w:val="2"/>
          <w:sz w:val="28"/>
          <w:szCs w:val="28"/>
          <w:lang w:val="en-GB" w:eastAsia="en-US"/>
          <w14:ligatures w14:val="standardContextual"/>
        </w:rPr>
        <w:t>ë</w:t>
      </w:r>
      <w:r w:rsidR="00181911" w:rsidRPr="00181911">
        <w:rPr>
          <w:rFonts w:eastAsia="Aptos"/>
          <w:kern w:val="2"/>
          <w:sz w:val="28"/>
          <w:szCs w:val="28"/>
          <w:lang w:val="en-GB" w:eastAsia="en-US"/>
          <w14:ligatures w14:val="standardContextual"/>
        </w:rPr>
        <w:t xml:space="preserve"> e partneritetit</w:t>
      </w:r>
      <w:r w:rsidRPr="00D47D99">
        <w:rPr>
          <w:rFonts w:eastAsia="Aptos"/>
          <w:kern w:val="2"/>
          <w:sz w:val="28"/>
          <w:szCs w:val="28"/>
          <w:lang w:val="en-GB" w:eastAsia="en-US"/>
          <w14:ligatures w14:val="standardContextual"/>
        </w:rPr>
        <w:t xml:space="preserve">. </w:t>
      </w:r>
    </w:p>
    <w:p w14:paraId="42CCF3A3" w14:textId="77777777" w:rsidR="00D47D99" w:rsidRDefault="00D47D99" w:rsidP="00D47D99">
      <w:pPr>
        <w:suppressAutoHyphens/>
        <w:spacing w:line="288" w:lineRule="auto"/>
        <w:jc w:val="both"/>
        <w:rPr>
          <w:sz w:val="28"/>
          <w:szCs w:val="28"/>
          <w:lang w:eastAsia="ar-SA"/>
        </w:rPr>
      </w:pPr>
    </w:p>
    <w:p w14:paraId="4BAB7FD1" w14:textId="65D3AE3F" w:rsidR="00D47D99" w:rsidRDefault="00181911" w:rsidP="00D47D99">
      <w:pPr>
        <w:suppressAutoHyphens/>
        <w:spacing w:line="288" w:lineRule="auto"/>
        <w:jc w:val="both"/>
        <w:rPr>
          <w:b/>
          <w:bCs/>
          <w:sz w:val="28"/>
          <w:szCs w:val="28"/>
          <w:lang w:eastAsia="ar-SA"/>
        </w:rPr>
      </w:pPr>
      <w:r>
        <w:rPr>
          <w:sz w:val="28"/>
          <w:szCs w:val="28"/>
          <w:lang w:eastAsia="ar-SA"/>
        </w:rPr>
        <w:t>N</w:t>
      </w:r>
      <w:r w:rsidR="0090544E">
        <w:rPr>
          <w:sz w:val="28"/>
          <w:szCs w:val="28"/>
          <w:lang w:eastAsia="ar-SA"/>
        </w:rPr>
        <w:t>ë</w:t>
      </w:r>
      <w:r>
        <w:rPr>
          <w:sz w:val="28"/>
          <w:szCs w:val="28"/>
          <w:lang w:eastAsia="ar-SA"/>
        </w:rPr>
        <w:t xml:space="preserve"> Kreun III p</w:t>
      </w:r>
      <w:r w:rsidR="0090544E">
        <w:rPr>
          <w:sz w:val="28"/>
          <w:szCs w:val="28"/>
          <w:lang w:eastAsia="ar-SA"/>
        </w:rPr>
        <w:t>ë</w:t>
      </w:r>
      <w:r>
        <w:rPr>
          <w:sz w:val="28"/>
          <w:szCs w:val="28"/>
          <w:lang w:eastAsia="ar-SA"/>
        </w:rPr>
        <w:t>rcaktohet se kush do t</w:t>
      </w:r>
      <w:r w:rsidR="0090544E">
        <w:rPr>
          <w:sz w:val="28"/>
          <w:szCs w:val="28"/>
          <w:lang w:eastAsia="ar-SA"/>
        </w:rPr>
        <w:t>ë</w:t>
      </w:r>
      <w:r>
        <w:rPr>
          <w:sz w:val="28"/>
          <w:szCs w:val="28"/>
          <w:lang w:eastAsia="ar-SA"/>
        </w:rPr>
        <w:t xml:space="preserve"> jet</w:t>
      </w:r>
      <w:r w:rsidR="0090544E">
        <w:rPr>
          <w:sz w:val="28"/>
          <w:szCs w:val="28"/>
          <w:lang w:eastAsia="ar-SA"/>
        </w:rPr>
        <w:t>ë</w:t>
      </w:r>
      <w:r>
        <w:rPr>
          <w:sz w:val="28"/>
          <w:szCs w:val="28"/>
          <w:lang w:eastAsia="ar-SA"/>
        </w:rPr>
        <w:t xml:space="preserve"> “</w:t>
      </w:r>
      <w:r w:rsidR="00D47D99" w:rsidRPr="00D47D99">
        <w:rPr>
          <w:b/>
          <w:bCs/>
          <w:sz w:val="28"/>
          <w:szCs w:val="28"/>
          <w:lang w:eastAsia="ar-SA"/>
        </w:rPr>
        <w:t>ANËTARËSIA NË PARTNERITET</w:t>
      </w:r>
      <w:r>
        <w:rPr>
          <w:b/>
          <w:bCs/>
          <w:sz w:val="28"/>
          <w:szCs w:val="28"/>
          <w:lang w:eastAsia="ar-SA"/>
        </w:rPr>
        <w:t>”.</w:t>
      </w:r>
    </w:p>
    <w:p w14:paraId="0D535955" w14:textId="065B9DC5" w:rsidR="00D47D99" w:rsidRDefault="00181911" w:rsidP="00D47D99">
      <w:pPr>
        <w:suppressAutoHyphens/>
        <w:spacing w:line="288" w:lineRule="auto"/>
        <w:jc w:val="both"/>
        <w:rPr>
          <w:sz w:val="28"/>
          <w:szCs w:val="28"/>
          <w:lang w:eastAsia="ar-SA"/>
        </w:rPr>
      </w:pPr>
      <w:r w:rsidRPr="00C030E5">
        <w:rPr>
          <w:sz w:val="28"/>
          <w:szCs w:val="28"/>
          <w:lang w:eastAsia="ar-SA"/>
        </w:rPr>
        <w:t>Nisur nga karakteri gjith</w:t>
      </w:r>
      <w:r w:rsidR="0090544E">
        <w:rPr>
          <w:sz w:val="28"/>
          <w:szCs w:val="28"/>
          <w:lang w:eastAsia="ar-SA"/>
        </w:rPr>
        <w:t>ë</w:t>
      </w:r>
      <w:r w:rsidRPr="00C030E5">
        <w:rPr>
          <w:sz w:val="28"/>
          <w:szCs w:val="28"/>
          <w:lang w:eastAsia="ar-SA"/>
        </w:rPr>
        <w:t>p</w:t>
      </w:r>
      <w:r w:rsidR="0090544E">
        <w:rPr>
          <w:sz w:val="28"/>
          <w:szCs w:val="28"/>
          <w:lang w:eastAsia="ar-SA"/>
        </w:rPr>
        <w:t>ë</w:t>
      </w:r>
      <w:r w:rsidRPr="00C030E5">
        <w:rPr>
          <w:sz w:val="28"/>
          <w:szCs w:val="28"/>
          <w:lang w:eastAsia="ar-SA"/>
        </w:rPr>
        <w:t>rfshir</w:t>
      </w:r>
      <w:r w:rsidR="0090544E">
        <w:rPr>
          <w:sz w:val="28"/>
          <w:szCs w:val="28"/>
          <w:lang w:eastAsia="ar-SA"/>
        </w:rPr>
        <w:t>ë</w:t>
      </w:r>
      <w:r w:rsidRPr="00C030E5">
        <w:rPr>
          <w:sz w:val="28"/>
          <w:szCs w:val="28"/>
          <w:lang w:eastAsia="ar-SA"/>
        </w:rPr>
        <w:t>s dhe t</w:t>
      </w:r>
      <w:r w:rsidR="0090544E">
        <w:rPr>
          <w:sz w:val="28"/>
          <w:szCs w:val="28"/>
          <w:lang w:eastAsia="ar-SA"/>
        </w:rPr>
        <w:t>ë</w:t>
      </w:r>
      <w:r w:rsidRPr="00C030E5">
        <w:rPr>
          <w:sz w:val="28"/>
          <w:szCs w:val="28"/>
          <w:lang w:eastAsia="ar-SA"/>
        </w:rPr>
        <w:t>r</w:t>
      </w:r>
      <w:r w:rsidR="0090544E">
        <w:rPr>
          <w:sz w:val="28"/>
          <w:szCs w:val="28"/>
          <w:lang w:eastAsia="ar-SA"/>
        </w:rPr>
        <w:t>ë</w:t>
      </w:r>
      <w:r w:rsidRPr="00C030E5">
        <w:rPr>
          <w:sz w:val="28"/>
          <w:szCs w:val="28"/>
          <w:lang w:eastAsia="ar-SA"/>
        </w:rPr>
        <w:t>sor q</w:t>
      </w:r>
      <w:r w:rsidR="0090544E">
        <w:rPr>
          <w:sz w:val="28"/>
          <w:szCs w:val="28"/>
          <w:lang w:eastAsia="ar-SA"/>
        </w:rPr>
        <w:t>ë</w:t>
      </w:r>
      <w:r w:rsidRPr="00C030E5">
        <w:rPr>
          <w:sz w:val="28"/>
          <w:szCs w:val="28"/>
          <w:lang w:eastAsia="ar-SA"/>
        </w:rPr>
        <w:t xml:space="preserve"> duhet t</w:t>
      </w:r>
      <w:r w:rsidR="0090544E">
        <w:rPr>
          <w:sz w:val="28"/>
          <w:szCs w:val="28"/>
          <w:lang w:eastAsia="ar-SA"/>
        </w:rPr>
        <w:t>ë</w:t>
      </w:r>
      <w:r w:rsidRPr="00C030E5">
        <w:rPr>
          <w:sz w:val="28"/>
          <w:szCs w:val="28"/>
          <w:lang w:eastAsia="ar-SA"/>
        </w:rPr>
        <w:t xml:space="preserve"> ket</w:t>
      </w:r>
      <w:r w:rsidR="0090544E">
        <w:rPr>
          <w:sz w:val="28"/>
          <w:szCs w:val="28"/>
          <w:lang w:eastAsia="ar-SA"/>
        </w:rPr>
        <w:t>ë</w:t>
      </w:r>
      <w:r w:rsidRPr="00C030E5">
        <w:rPr>
          <w:sz w:val="28"/>
          <w:szCs w:val="28"/>
          <w:lang w:eastAsia="ar-SA"/>
        </w:rPr>
        <w:t xml:space="preserve"> partneriteti, an</w:t>
      </w:r>
      <w:r w:rsidR="0090544E">
        <w:rPr>
          <w:sz w:val="28"/>
          <w:szCs w:val="28"/>
          <w:lang w:eastAsia="ar-SA"/>
        </w:rPr>
        <w:t>ë</w:t>
      </w:r>
      <w:r w:rsidRPr="00C030E5">
        <w:rPr>
          <w:sz w:val="28"/>
          <w:szCs w:val="28"/>
          <w:lang w:eastAsia="ar-SA"/>
        </w:rPr>
        <w:t>tar n</w:t>
      </w:r>
      <w:r w:rsidR="0090544E">
        <w:rPr>
          <w:sz w:val="28"/>
          <w:szCs w:val="28"/>
          <w:lang w:eastAsia="ar-SA"/>
        </w:rPr>
        <w:t>ë</w:t>
      </w:r>
      <w:r w:rsidRPr="00C030E5">
        <w:rPr>
          <w:sz w:val="28"/>
          <w:szCs w:val="28"/>
          <w:lang w:eastAsia="ar-SA"/>
        </w:rPr>
        <w:t xml:space="preserve"> k</w:t>
      </w:r>
      <w:r w:rsidR="0090544E">
        <w:rPr>
          <w:sz w:val="28"/>
          <w:szCs w:val="28"/>
          <w:lang w:eastAsia="ar-SA"/>
        </w:rPr>
        <w:t>ë</w:t>
      </w:r>
      <w:r w:rsidRPr="00C030E5">
        <w:rPr>
          <w:sz w:val="28"/>
          <w:szCs w:val="28"/>
          <w:lang w:eastAsia="ar-SA"/>
        </w:rPr>
        <w:t>t</w:t>
      </w:r>
      <w:r w:rsidR="0090544E">
        <w:rPr>
          <w:sz w:val="28"/>
          <w:szCs w:val="28"/>
          <w:lang w:eastAsia="ar-SA"/>
        </w:rPr>
        <w:t>ë</w:t>
      </w:r>
      <w:r w:rsidRPr="00C030E5">
        <w:rPr>
          <w:sz w:val="28"/>
          <w:szCs w:val="28"/>
          <w:lang w:eastAsia="ar-SA"/>
        </w:rPr>
        <w:t xml:space="preserve"> partneritet do t</w:t>
      </w:r>
      <w:r w:rsidR="0090544E">
        <w:rPr>
          <w:sz w:val="28"/>
          <w:szCs w:val="28"/>
          <w:lang w:eastAsia="ar-SA"/>
        </w:rPr>
        <w:t>ë</w:t>
      </w:r>
      <w:r w:rsidRPr="00C030E5">
        <w:rPr>
          <w:sz w:val="28"/>
          <w:szCs w:val="28"/>
          <w:lang w:eastAsia="ar-SA"/>
        </w:rPr>
        <w:t xml:space="preserve"> jen</w:t>
      </w:r>
      <w:r w:rsidR="0090544E">
        <w:rPr>
          <w:sz w:val="28"/>
          <w:szCs w:val="28"/>
          <w:lang w:eastAsia="ar-SA"/>
        </w:rPr>
        <w:t>ë</w:t>
      </w:r>
      <w:r>
        <w:rPr>
          <w:b/>
          <w:bCs/>
          <w:sz w:val="28"/>
          <w:szCs w:val="28"/>
          <w:lang w:eastAsia="ar-SA"/>
        </w:rPr>
        <w:t xml:space="preserve"> </w:t>
      </w:r>
      <w:r w:rsidR="00D47D99" w:rsidRPr="00D47D99">
        <w:rPr>
          <w:sz w:val="28"/>
          <w:szCs w:val="28"/>
          <w:lang w:eastAsia="ar-SA"/>
        </w:rPr>
        <w:t>subjekte të ndryshme publike dhe private</w:t>
      </w:r>
      <w:r>
        <w:rPr>
          <w:sz w:val="28"/>
          <w:szCs w:val="28"/>
          <w:lang w:eastAsia="ar-SA"/>
        </w:rPr>
        <w:t>.</w:t>
      </w:r>
      <w:r w:rsidR="00042563">
        <w:rPr>
          <w:sz w:val="28"/>
          <w:szCs w:val="28"/>
          <w:lang w:eastAsia="ar-SA"/>
        </w:rPr>
        <w:t xml:space="preserve"> </w:t>
      </w:r>
      <w:r w:rsidR="00CF445C">
        <w:rPr>
          <w:sz w:val="28"/>
          <w:szCs w:val="28"/>
          <w:lang w:eastAsia="ar-SA"/>
        </w:rPr>
        <w:t>N</w:t>
      </w:r>
      <w:r w:rsidR="0090544E">
        <w:rPr>
          <w:sz w:val="28"/>
          <w:szCs w:val="28"/>
          <w:lang w:eastAsia="ar-SA"/>
        </w:rPr>
        <w:t>ë</w:t>
      </w:r>
      <w:r w:rsidR="00CF445C">
        <w:rPr>
          <w:sz w:val="28"/>
          <w:szCs w:val="28"/>
          <w:lang w:eastAsia="ar-SA"/>
        </w:rPr>
        <w:t xml:space="preserve"> referim t</w:t>
      </w:r>
      <w:r w:rsidR="0090544E">
        <w:rPr>
          <w:sz w:val="28"/>
          <w:szCs w:val="28"/>
          <w:lang w:eastAsia="ar-SA"/>
        </w:rPr>
        <w:t>ë</w:t>
      </w:r>
      <w:r w:rsidR="00CF445C">
        <w:rPr>
          <w:sz w:val="28"/>
          <w:szCs w:val="28"/>
          <w:lang w:eastAsia="ar-SA"/>
        </w:rPr>
        <w:t xml:space="preserve"> parashikimeve t</w:t>
      </w:r>
      <w:r w:rsidR="0090544E">
        <w:rPr>
          <w:sz w:val="28"/>
          <w:szCs w:val="28"/>
          <w:lang w:eastAsia="ar-SA"/>
        </w:rPr>
        <w:t>ë</w:t>
      </w:r>
      <w:r w:rsidR="00CF445C">
        <w:rPr>
          <w:sz w:val="28"/>
          <w:szCs w:val="28"/>
          <w:lang w:eastAsia="ar-SA"/>
        </w:rPr>
        <w:t xml:space="preserve"> k</w:t>
      </w:r>
      <w:r w:rsidR="0090544E">
        <w:rPr>
          <w:sz w:val="28"/>
          <w:szCs w:val="28"/>
          <w:lang w:eastAsia="ar-SA"/>
        </w:rPr>
        <w:t>ë</w:t>
      </w:r>
      <w:r w:rsidR="00CF445C">
        <w:rPr>
          <w:sz w:val="28"/>
          <w:szCs w:val="28"/>
          <w:lang w:eastAsia="ar-SA"/>
        </w:rPr>
        <w:t>tij projektakti, p</w:t>
      </w:r>
      <w:r w:rsidR="00042563">
        <w:rPr>
          <w:sz w:val="28"/>
          <w:szCs w:val="28"/>
          <w:lang w:eastAsia="ar-SA"/>
        </w:rPr>
        <w:t>artneriteti do t</w:t>
      </w:r>
      <w:r w:rsidR="0090544E">
        <w:rPr>
          <w:sz w:val="28"/>
          <w:szCs w:val="28"/>
          <w:lang w:eastAsia="ar-SA"/>
        </w:rPr>
        <w:t>ë</w:t>
      </w:r>
      <w:r w:rsidR="00042563">
        <w:rPr>
          <w:sz w:val="28"/>
          <w:szCs w:val="28"/>
          <w:lang w:eastAsia="ar-SA"/>
        </w:rPr>
        <w:t xml:space="preserve"> p</w:t>
      </w:r>
      <w:r w:rsidR="0090544E">
        <w:rPr>
          <w:sz w:val="28"/>
          <w:szCs w:val="28"/>
          <w:lang w:eastAsia="ar-SA"/>
        </w:rPr>
        <w:t>ë</w:t>
      </w:r>
      <w:r w:rsidR="00042563">
        <w:rPr>
          <w:sz w:val="28"/>
          <w:szCs w:val="28"/>
          <w:lang w:eastAsia="ar-SA"/>
        </w:rPr>
        <w:t>rb</w:t>
      </w:r>
      <w:r w:rsidR="0090544E">
        <w:rPr>
          <w:sz w:val="28"/>
          <w:szCs w:val="28"/>
          <w:lang w:eastAsia="ar-SA"/>
        </w:rPr>
        <w:t>ë</w:t>
      </w:r>
      <w:r w:rsidR="00042563">
        <w:rPr>
          <w:sz w:val="28"/>
          <w:szCs w:val="28"/>
          <w:lang w:eastAsia="ar-SA"/>
        </w:rPr>
        <w:t>het nga t</w:t>
      </w:r>
      <w:r w:rsidR="0090544E">
        <w:rPr>
          <w:sz w:val="28"/>
          <w:szCs w:val="28"/>
          <w:lang w:eastAsia="ar-SA"/>
        </w:rPr>
        <w:t>ë</w:t>
      </w:r>
      <w:r w:rsidR="00042563">
        <w:rPr>
          <w:sz w:val="28"/>
          <w:szCs w:val="28"/>
          <w:lang w:eastAsia="ar-SA"/>
        </w:rPr>
        <w:t xml:space="preserve"> pakt</w:t>
      </w:r>
      <w:r w:rsidR="0090544E">
        <w:rPr>
          <w:sz w:val="28"/>
          <w:szCs w:val="28"/>
          <w:lang w:eastAsia="ar-SA"/>
        </w:rPr>
        <w:t>ë</w:t>
      </w:r>
      <w:r w:rsidR="00042563">
        <w:rPr>
          <w:sz w:val="28"/>
          <w:szCs w:val="28"/>
          <w:lang w:eastAsia="ar-SA"/>
        </w:rPr>
        <w:t>n 53 an</w:t>
      </w:r>
      <w:r w:rsidR="0090544E">
        <w:rPr>
          <w:sz w:val="28"/>
          <w:szCs w:val="28"/>
          <w:lang w:eastAsia="ar-SA"/>
        </w:rPr>
        <w:t>ë</w:t>
      </w:r>
      <w:r w:rsidR="00042563">
        <w:rPr>
          <w:sz w:val="28"/>
          <w:szCs w:val="28"/>
          <w:lang w:eastAsia="ar-SA"/>
        </w:rPr>
        <w:t xml:space="preserve">tar. </w:t>
      </w:r>
    </w:p>
    <w:p w14:paraId="6933531C" w14:textId="1AD6A471" w:rsidR="00181911" w:rsidRPr="00D47D99" w:rsidRDefault="00181911" w:rsidP="00D47D99">
      <w:pPr>
        <w:suppressAutoHyphens/>
        <w:spacing w:line="288" w:lineRule="auto"/>
        <w:jc w:val="both"/>
        <w:rPr>
          <w:sz w:val="28"/>
          <w:szCs w:val="28"/>
          <w:lang w:eastAsia="ar-SA"/>
        </w:rPr>
      </w:pPr>
      <w:r>
        <w:rPr>
          <w:sz w:val="28"/>
          <w:szCs w:val="28"/>
          <w:lang w:eastAsia="ar-SA"/>
        </w:rPr>
        <w:t>An</w:t>
      </w:r>
      <w:r w:rsidR="0090544E">
        <w:rPr>
          <w:sz w:val="28"/>
          <w:szCs w:val="28"/>
          <w:lang w:eastAsia="ar-SA"/>
        </w:rPr>
        <w:t>ë</w:t>
      </w:r>
      <w:r>
        <w:rPr>
          <w:sz w:val="28"/>
          <w:szCs w:val="28"/>
          <w:lang w:eastAsia="ar-SA"/>
        </w:rPr>
        <w:t>tar</w:t>
      </w:r>
      <w:r w:rsidR="0090544E">
        <w:rPr>
          <w:sz w:val="28"/>
          <w:szCs w:val="28"/>
          <w:lang w:eastAsia="ar-SA"/>
        </w:rPr>
        <w:t>ë</w:t>
      </w:r>
      <w:r>
        <w:rPr>
          <w:sz w:val="28"/>
          <w:szCs w:val="28"/>
          <w:lang w:eastAsia="ar-SA"/>
        </w:rPr>
        <w:t>sia p</w:t>
      </w:r>
      <w:r w:rsidR="0090544E">
        <w:rPr>
          <w:sz w:val="28"/>
          <w:szCs w:val="28"/>
          <w:lang w:eastAsia="ar-SA"/>
        </w:rPr>
        <w:t>ë</w:t>
      </w:r>
      <w:r>
        <w:rPr>
          <w:sz w:val="28"/>
          <w:szCs w:val="28"/>
          <w:lang w:eastAsia="ar-SA"/>
        </w:rPr>
        <w:t>r subjektet publike p</w:t>
      </w:r>
      <w:r w:rsidR="0090544E">
        <w:rPr>
          <w:sz w:val="28"/>
          <w:szCs w:val="28"/>
          <w:lang w:eastAsia="ar-SA"/>
        </w:rPr>
        <w:t>ë</w:t>
      </w:r>
      <w:r>
        <w:rPr>
          <w:sz w:val="28"/>
          <w:szCs w:val="28"/>
          <w:lang w:eastAsia="ar-SA"/>
        </w:rPr>
        <w:t xml:space="preserve">rfshin: </w:t>
      </w:r>
    </w:p>
    <w:p w14:paraId="5196D4A4" w14:textId="77777777" w:rsidR="00D47D99" w:rsidRPr="00D47D99" w:rsidRDefault="00D47D99" w:rsidP="00D47D99">
      <w:pPr>
        <w:suppressAutoHyphens/>
        <w:spacing w:line="288" w:lineRule="auto"/>
        <w:jc w:val="both"/>
        <w:rPr>
          <w:bCs/>
          <w:sz w:val="28"/>
          <w:szCs w:val="28"/>
          <w:lang w:val="en-GB" w:eastAsia="ar-SA"/>
        </w:rPr>
      </w:pPr>
      <w:r w:rsidRPr="00D47D99">
        <w:rPr>
          <w:sz w:val="28"/>
          <w:szCs w:val="28"/>
          <w:lang w:eastAsia="ar-SA"/>
        </w:rPr>
        <w:t xml:space="preserve">a) organe ose institucion publike që, sipas kuadrit ligjor në fuqi, që kanë në fushën e përgjegjësisë  aspekte thelbësore që lidhen </w:t>
      </w:r>
      <w:r w:rsidRPr="00D47D99">
        <w:rPr>
          <w:bCs/>
          <w:sz w:val="28"/>
          <w:szCs w:val="28"/>
          <w:lang w:val="en-GB" w:eastAsia="ar-SA"/>
        </w:rPr>
        <w:t xml:space="preserve">me realizimin e </w:t>
      </w:r>
      <w:bookmarkStart w:id="12" w:name="_Hlk198114991"/>
      <w:r w:rsidRPr="00D47D99">
        <w:rPr>
          <w:bCs/>
          <w:sz w:val="28"/>
          <w:szCs w:val="28"/>
          <w:lang w:eastAsia="ar-SA"/>
        </w:rPr>
        <w:t>p</w:t>
      </w:r>
      <w:r w:rsidRPr="00D47D99">
        <w:rPr>
          <w:bCs/>
          <w:sz w:val="28"/>
          <w:szCs w:val="28"/>
          <w:lang w:val="en-GB" w:eastAsia="ar-SA"/>
        </w:rPr>
        <w:t xml:space="preserve">olitikës dhe fondeve të kohezionit të BE-së </w:t>
      </w:r>
      <w:bookmarkEnd w:id="12"/>
      <w:r w:rsidRPr="00D47D99">
        <w:rPr>
          <w:bCs/>
          <w:sz w:val="28"/>
          <w:szCs w:val="28"/>
          <w:lang w:val="en-GB" w:eastAsia="ar-SA"/>
        </w:rPr>
        <w:t>dhe specifikisht:</w:t>
      </w:r>
    </w:p>
    <w:p w14:paraId="22686B5A" w14:textId="77777777" w:rsidR="00D47D99" w:rsidRPr="00D47D99" w:rsidRDefault="00D47D99" w:rsidP="00D47D99">
      <w:pPr>
        <w:suppressAutoHyphens/>
        <w:spacing w:line="288" w:lineRule="auto"/>
        <w:jc w:val="both"/>
        <w:rPr>
          <w:bCs/>
          <w:sz w:val="28"/>
          <w:szCs w:val="28"/>
          <w:lang w:val="en-GB" w:eastAsia="ar-SA"/>
        </w:rPr>
      </w:pPr>
      <w:bookmarkStart w:id="13" w:name="_Hlk198537257"/>
      <w:r w:rsidRPr="00D47D99">
        <w:rPr>
          <w:bCs/>
          <w:sz w:val="28"/>
          <w:szCs w:val="28"/>
          <w:lang w:val="en-GB" w:eastAsia="ar-SA"/>
        </w:rPr>
        <w:t>i) 1 (një) përfaqësues nga Fondi Shqiptar i Zhvillimit;</w:t>
      </w:r>
    </w:p>
    <w:p w14:paraId="1AEB1205" w14:textId="77777777" w:rsidR="00D47D99" w:rsidRPr="00D47D99" w:rsidRDefault="00D47D99" w:rsidP="00D47D99">
      <w:pPr>
        <w:suppressAutoHyphens/>
        <w:spacing w:line="288" w:lineRule="auto"/>
        <w:jc w:val="both"/>
        <w:rPr>
          <w:bCs/>
          <w:sz w:val="28"/>
          <w:szCs w:val="28"/>
          <w:lang w:eastAsia="ar-SA"/>
        </w:rPr>
      </w:pPr>
      <w:r w:rsidRPr="00D47D99">
        <w:rPr>
          <w:bCs/>
          <w:sz w:val="28"/>
          <w:szCs w:val="28"/>
          <w:lang w:val="en-GB" w:eastAsia="ar-SA"/>
        </w:rPr>
        <w:t>ii) 1 (një) përfaqësues nga Agjencia Shtetërore e Programimit Strategjik dhe Koordinimit të Ndihmës (</w:t>
      </w:r>
      <w:r w:rsidRPr="00D47D99">
        <w:rPr>
          <w:bCs/>
          <w:sz w:val="28"/>
          <w:szCs w:val="28"/>
          <w:lang w:eastAsia="ar-SA"/>
        </w:rPr>
        <w:t>SASPAC);</w:t>
      </w:r>
    </w:p>
    <w:p w14:paraId="471F17BE" w14:textId="77777777" w:rsidR="00D47D99" w:rsidRPr="00D47D99" w:rsidRDefault="00D47D99" w:rsidP="00D47D99">
      <w:pPr>
        <w:suppressAutoHyphens/>
        <w:spacing w:line="288" w:lineRule="auto"/>
        <w:jc w:val="both"/>
        <w:rPr>
          <w:bCs/>
          <w:sz w:val="28"/>
          <w:szCs w:val="28"/>
          <w:lang w:eastAsia="ar-SA"/>
        </w:rPr>
      </w:pPr>
      <w:r w:rsidRPr="00D47D99">
        <w:rPr>
          <w:bCs/>
          <w:sz w:val="28"/>
          <w:szCs w:val="28"/>
          <w:lang w:eastAsia="ar-SA"/>
        </w:rPr>
        <w:t>iii) 1 (një) përfaqësues nga Agjencia për Mbështetjen e Vetëqeverisjes Vendore (AMVV);</w:t>
      </w:r>
    </w:p>
    <w:p w14:paraId="0EDEAA45" w14:textId="77777777" w:rsidR="00D47D99" w:rsidRPr="00D47D99" w:rsidRDefault="00D47D99" w:rsidP="00D47D99">
      <w:pPr>
        <w:suppressAutoHyphens/>
        <w:spacing w:line="288" w:lineRule="auto"/>
        <w:jc w:val="both"/>
        <w:rPr>
          <w:bCs/>
          <w:sz w:val="28"/>
          <w:szCs w:val="28"/>
          <w:lang w:eastAsia="ar-SA"/>
        </w:rPr>
      </w:pPr>
      <w:r w:rsidRPr="00D47D99">
        <w:rPr>
          <w:bCs/>
          <w:sz w:val="28"/>
          <w:szCs w:val="28"/>
          <w:lang w:eastAsia="ar-SA"/>
        </w:rPr>
        <w:t xml:space="preserve">iv) 1 (një) përfaqësues nga Ministria e Financave, që ushtron funksione pranë Zyrtarit Kombëtar të Autorizuar; </w:t>
      </w:r>
    </w:p>
    <w:p w14:paraId="0F36CF2B" w14:textId="77777777" w:rsidR="00D47D99" w:rsidRPr="00D47D99" w:rsidRDefault="00D47D99" w:rsidP="00D47D99">
      <w:pPr>
        <w:suppressAutoHyphens/>
        <w:spacing w:line="288" w:lineRule="auto"/>
        <w:jc w:val="both"/>
        <w:rPr>
          <w:bCs/>
          <w:sz w:val="28"/>
          <w:szCs w:val="28"/>
          <w:lang w:eastAsia="ar-SA"/>
        </w:rPr>
      </w:pPr>
      <w:r w:rsidRPr="00D47D99">
        <w:rPr>
          <w:bCs/>
          <w:sz w:val="28"/>
          <w:szCs w:val="28"/>
          <w:lang w:eastAsia="ar-SA"/>
        </w:rPr>
        <w:t>v)  1 (një) përfaqësues nga Komisioni i Prokurimit Publik;</w:t>
      </w:r>
    </w:p>
    <w:p w14:paraId="44B65DA4" w14:textId="77777777" w:rsidR="00D47D99" w:rsidRPr="00D47D99" w:rsidRDefault="00D47D99" w:rsidP="00D47D99">
      <w:pPr>
        <w:suppressAutoHyphens/>
        <w:spacing w:line="288" w:lineRule="auto"/>
        <w:jc w:val="both"/>
        <w:rPr>
          <w:bCs/>
          <w:sz w:val="28"/>
          <w:szCs w:val="28"/>
          <w:lang w:eastAsia="ar-SA"/>
        </w:rPr>
      </w:pPr>
      <w:r w:rsidRPr="00D47D99">
        <w:rPr>
          <w:bCs/>
          <w:sz w:val="28"/>
          <w:szCs w:val="28"/>
          <w:lang w:eastAsia="ar-SA"/>
        </w:rPr>
        <w:t>vi) 1 (një) përfaqësues nga Komisioni i Ndihmës Shtetërore.</w:t>
      </w:r>
    </w:p>
    <w:p w14:paraId="23333F30" w14:textId="77777777" w:rsidR="00D47D99" w:rsidRDefault="00D47D99" w:rsidP="00D47D99">
      <w:pPr>
        <w:suppressAutoHyphens/>
        <w:spacing w:line="288" w:lineRule="auto"/>
        <w:jc w:val="both"/>
        <w:rPr>
          <w:sz w:val="28"/>
          <w:szCs w:val="28"/>
          <w:lang w:eastAsia="en-US"/>
        </w:rPr>
      </w:pPr>
      <w:r w:rsidRPr="00D47D99">
        <w:rPr>
          <w:bCs/>
          <w:sz w:val="28"/>
          <w:szCs w:val="28"/>
          <w:lang w:eastAsia="ar-SA"/>
        </w:rPr>
        <w:t xml:space="preserve">Përfaqësuesit nga organet dhe institucionet publike </w:t>
      </w:r>
      <w:r w:rsidRPr="00D47D99">
        <w:rPr>
          <w:sz w:val="28"/>
          <w:szCs w:val="28"/>
          <w:lang w:eastAsia="en-US"/>
        </w:rPr>
        <w:t>duhet të jenë në nivel Drejtor Departamenti/i Përgjithshëm apo pozicione të ngjashme.</w:t>
      </w:r>
    </w:p>
    <w:p w14:paraId="5F3AAB17" w14:textId="00B44A39" w:rsidR="00D47D99" w:rsidRDefault="00181911" w:rsidP="00D47D99">
      <w:pPr>
        <w:suppressAutoHyphens/>
        <w:spacing w:line="288" w:lineRule="auto"/>
        <w:jc w:val="both"/>
        <w:rPr>
          <w:sz w:val="28"/>
          <w:szCs w:val="28"/>
          <w:lang w:val="en-GB" w:eastAsia="ar-SA"/>
        </w:rPr>
      </w:pPr>
      <w:r>
        <w:rPr>
          <w:sz w:val="28"/>
          <w:szCs w:val="28"/>
          <w:lang w:eastAsia="en-US"/>
        </w:rPr>
        <w:t>M</w:t>
      </w:r>
      <w:r w:rsidR="0090544E">
        <w:rPr>
          <w:sz w:val="28"/>
          <w:szCs w:val="28"/>
          <w:lang w:eastAsia="en-US"/>
        </w:rPr>
        <w:t>ë</w:t>
      </w:r>
      <w:r>
        <w:rPr>
          <w:sz w:val="28"/>
          <w:szCs w:val="28"/>
          <w:lang w:eastAsia="en-US"/>
        </w:rPr>
        <w:t xml:space="preserve"> tej, p</w:t>
      </w:r>
      <w:r w:rsidR="0090544E">
        <w:rPr>
          <w:sz w:val="28"/>
          <w:szCs w:val="28"/>
          <w:lang w:eastAsia="en-US"/>
        </w:rPr>
        <w:t>ë</w:t>
      </w:r>
      <w:r>
        <w:rPr>
          <w:sz w:val="28"/>
          <w:szCs w:val="28"/>
          <w:lang w:eastAsia="en-US"/>
        </w:rPr>
        <w:t>rcaktohet numri i p</w:t>
      </w:r>
      <w:r w:rsidR="0090544E">
        <w:rPr>
          <w:sz w:val="28"/>
          <w:szCs w:val="28"/>
          <w:lang w:eastAsia="en-US"/>
        </w:rPr>
        <w:t>ë</w:t>
      </w:r>
      <w:r>
        <w:rPr>
          <w:sz w:val="28"/>
          <w:szCs w:val="28"/>
          <w:lang w:eastAsia="en-US"/>
        </w:rPr>
        <w:t>rfaq</w:t>
      </w:r>
      <w:r w:rsidR="0090544E">
        <w:rPr>
          <w:sz w:val="28"/>
          <w:szCs w:val="28"/>
          <w:lang w:eastAsia="en-US"/>
        </w:rPr>
        <w:t>ë</w:t>
      </w:r>
      <w:r>
        <w:rPr>
          <w:sz w:val="28"/>
          <w:szCs w:val="28"/>
          <w:lang w:eastAsia="en-US"/>
        </w:rPr>
        <w:t>suesve nga shoqatat e nj</w:t>
      </w:r>
      <w:r w:rsidR="0090544E">
        <w:rPr>
          <w:sz w:val="28"/>
          <w:szCs w:val="28"/>
          <w:lang w:eastAsia="en-US"/>
        </w:rPr>
        <w:t>ë</w:t>
      </w:r>
      <w:r>
        <w:rPr>
          <w:sz w:val="28"/>
          <w:szCs w:val="28"/>
          <w:lang w:eastAsia="en-US"/>
        </w:rPr>
        <w:t>sive t</w:t>
      </w:r>
      <w:r w:rsidR="0090544E">
        <w:rPr>
          <w:sz w:val="28"/>
          <w:szCs w:val="28"/>
          <w:lang w:eastAsia="en-US"/>
        </w:rPr>
        <w:t>ë</w:t>
      </w:r>
      <w:r>
        <w:rPr>
          <w:sz w:val="28"/>
          <w:szCs w:val="28"/>
          <w:lang w:eastAsia="en-US"/>
        </w:rPr>
        <w:t xml:space="preserve"> vet</w:t>
      </w:r>
      <w:r w:rsidR="0090544E">
        <w:rPr>
          <w:sz w:val="28"/>
          <w:szCs w:val="28"/>
          <w:lang w:eastAsia="en-US"/>
        </w:rPr>
        <w:t>ë</w:t>
      </w:r>
      <w:r>
        <w:rPr>
          <w:sz w:val="28"/>
          <w:szCs w:val="28"/>
          <w:lang w:eastAsia="en-US"/>
        </w:rPr>
        <w:t>qeverisjes vendore. K</w:t>
      </w:r>
      <w:r w:rsidR="0090544E">
        <w:rPr>
          <w:sz w:val="28"/>
          <w:szCs w:val="28"/>
          <w:lang w:eastAsia="en-US"/>
        </w:rPr>
        <w:t>ë</w:t>
      </w:r>
      <w:r>
        <w:rPr>
          <w:sz w:val="28"/>
          <w:szCs w:val="28"/>
          <w:lang w:eastAsia="en-US"/>
        </w:rPr>
        <w:t xml:space="preserve">shtu, </w:t>
      </w:r>
      <w:r w:rsidR="00D47D99" w:rsidRPr="00D47D99">
        <w:rPr>
          <w:sz w:val="28"/>
          <w:szCs w:val="28"/>
          <w:lang w:eastAsia="ar-SA"/>
        </w:rPr>
        <w:t xml:space="preserve">10 (dhjetë) përfaqësues, kryetarë bashkie, </w:t>
      </w:r>
      <w:r>
        <w:rPr>
          <w:sz w:val="28"/>
          <w:szCs w:val="28"/>
          <w:lang w:eastAsia="ar-SA"/>
        </w:rPr>
        <w:t>do t</w:t>
      </w:r>
      <w:r w:rsidR="0090544E">
        <w:rPr>
          <w:sz w:val="28"/>
          <w:szCs w:val="28"/>
          <w:lang w:eastAsia="ar-SA"/>
        </w:rPr>
        <w:t>ë</w:t>
      </w:r>
      <w:r>
        <w:rPr>
          <w:sz w:val="28"/>
          <w:szCs w:val="28"/>
          <w:lang w:eastAsia="ar-SA"/>
        </w:rPr>
        <w:t xml:space="preserve"> jen</w:t>
      </w:r>
      <w:r w:rsidR="0090544E">
        <w:rPr>
          <w:sz w:val="28"/>
          <w:szCs w:val="28"/>
          <w:lang w:eastAsia="ar-SA"/>
        </w:rPr>
        <w:t>ë</w:t>
      </w:r>
      <w:r>
        <w:rPr>
          <w:sz w:val="28"/>
          <w:szCs w:val="28"/>
          <w:lang w:eastAsia="ar-SA"/>
        </w:rPr>
        <w:t xml:space="preserve"> </w:t>
      </w:r>
      <w:r w:rsidR="00D47D99" w:rsidRPr="00D47D99">
        <w:rPr>
          <w:sz w:val="28"/>
          <w:szCs w:val="28"/>
          <w:lang w:eastAsia="ar-SA"/>
        </w:rPr>
        <w:t>përfaqësues të zgjedhur nga s</w:t>
      </w:r>
      <w:r w:rsidR="00D47D99" w:rsidRPr="00D47D99">
        <w:rPr>
          <w:sz w:val="28"/>
          <w:szCs w:val="28"/>
          <w:lang w:val="en-GB" w:eastAsia="ar-SA"/>
        </w:rPr>
        <w:t>hoqata Kombëtare e Bashkive të Shqipërisë (SHKBSH), duke garantuar pluralitet politik dhe përfaqësim gjeografik dhe territorial</w:t>
      </w:r>
      <w:r>
        <w:rPr>
          <w:sz w:val="28"/>
          <w:szCs w:val="28"/>
          <w:lang w:val="en-GB" w:eastAsia="ar-SA"/>
        </w:rPr>
        <w:t>; nd</w:t>
      </w:r>
      <w:r w:rsidR="0090544E">
        <w:rPr>
          <w:sz w:val="28"/>
          <w:szCs w:val="28"/>
          <w:lang w:val="en-GB" w:eastAsia="ar-SA"/>
        </w:rPr>
        <w:t>ë</w:t>
      </w:r>
      <w:r>
        <w:rPr>
          <w:sz w:val="28"/>
          <w:szCs w:val="28"/>
          <w:lang w:val="en-GB" w:eastAsia="ar-SA"/>
        </w:rPr>
        <w:t xml:space="preserve">rsa </w:t>
      </w:r>
      <w:r w:rsidR="00D47D99" w:rsidRPr="00D47D99">
        <w:rPr>
          <w:sz w:val="28"/>
          <w:szCs w:val="28"/>
          <w:lang w:val="en-GB" w:eastAsia="ar-SA"/>
        </w:rPr>
        <w:t xml:space="preserve">6 (gjashtë) përfaqësues </w:t>
      </w:r>
      <w:r>
        <w:rPr>
          <w:sz w:val="28"/>
          <w:szCs w:val="28"/>
          <w:lang w:val="en-GB" w:eastAsia="ar-SA"/>
        </w:rPr>
        <w:t>do t</w:t>
      </w:r>
      <w:r w:rsidR="0090544E">
        <w:rPr>
          <w:sz w:val="28"/>
          <w:szCs w:val="28"/>
          <w:lang w:val="en-GB" w:eastAsia="ar-SA"/>
        </w:rPr>
        <w:t>ë</w:t>
      </w:r>
      <w:r w:rsidR="00D47D99" w:rsidRPr="00D47D99">
        <w:rPr>
          <w:sz w:val="28"/>
          <w:szCs w:val="28"/>
          <w:lang w:val="en-GB" w:eastAsia="ar-SA"/>
        </w:rPr>
        <w:t xml:space="preserve"> zgj</w:t>
      </w:r>
      <w:r>
        <w:rPr>
          <w:sz w:val="28"/>
          <w:szCs w:val="28"/>
          <w:lang w:val="en-GB" w:eastAsia="ar-SA"/>
        </w:rPr>
        <w:t>i</w:t>
      </w:r>
      <w:r w:rsidR="00D47D99" w:rsidRPr="00D47D99">
        <w:rPr>
          <w:sz w:val="28"/>
          <w:szCs w:val="28"/>
          <w:lang w:val="en-GB" w:eastAsia="ar-SA"/>
        </w:rPr>
        <w:t>dh</w:t>
      </w:r>
      <w:r>
        <w:rPr>
          <w:sz w:val="28"/>
          <w:szCs w:val="28"/>
          <w:lang w:val="en-GB" w:eastAsia="ar-SA"/>
        </w:rPr>
        <w:t>en</w:t>
      </w:r>
      <w:r w:rsidR="00D47D99" w:rsidRPr="00D47D99">
        <w:rPr>
          <w:sz w:val="28"/>
          <w:szCs w:val="28"/>
          <w:lang w:val="en-GB" w:eastAsia="ar-SA"/>
        </w:rPr>
        <w:t xml:space="preserve"> nga shoqata e Qarqeve</w:t>
      </w:r>
      <w:bookmarkEnd w:id="13"/>
      <w:r w:rsidR="00D47D99" w:rsidRPr="00D47D99">
        <w:rPr>
          <w:sz w:val="28"/>
          <w:szCs w:val="28"/>
          <w:lang w:val="en-GB" w:eastAsia="ar-SA"/>
        </w:rPr>
        <w:t xml:space="preserve"> duke garantuar pluralitet politik dhe përfaqësim gjeografik dhe territorial.</w:t>
      </w:r>
    </w:p>
    <w:p w14:paraId="4D6B4565" w14:textId="7B7F6DFE" w:rsidR="006879E3" w:rsidRDefault="006879E3" w:rsidP="00D47D99">
      <w:pPr>
        <w:suppressAutoHyphens/>
        <w:spacing w:line="288" w:lineRule="auto"/>
        <w:jc w:val="both"/>
        <w:rPr>
          <w:sz w:val="28"/>
          <w:szCs w:val="28"/>
          <w:lang w:val="en-GB" w:eastAsia="ar-SA"/>
        </w:rPr>
      </w:pPr>
      <w:r>
        <w:rPr>
          <w:sz w:val="28"/>
          <w:szCs w:val="28"/>
          <w:lang w:val="en-GB" w:eastAsia="ar-SA"/>
        </w:rPr>
        <w:t>P</w:t>
      </w:r>
      <w:r w:rsidR="0090544E">
        <w:rPr>
          <w:sz w:val="28"/>
          <w:szCs w:val="28"/>
          <w:lang w:val="en-GB" w:eastAsia="ar-SA"/>
        </w:rPr>
        <w:t>ë</w:t>
      </w:r>
      <w:r>
        <w:rPr>
          <w:sz w:val="28"/>
          <w:szCs w:val="28"/>
          <w:lang w:val="en-GB" w:eastAsia="ar-SA"/>
        </w:rPr>
        <w:t>rzgjedhja b</w:t>
      </w:r>
      <w:r w:rsidR="0090544E">
        <w:rPr>
          <w:sz w:val="28"/>
          <w:szCs w:val="28"/>
          <w:lang w:val="en-GB" w:eastAsia="ar-SA"/>
        </w:rPr>
        <w:t>ë</w:t>
      </w:r>
      <w:r>
        <w:rPr>
          <w:sz w:val="28"/>
          <w:szCs w:val="28"/>
          <w:lang w:val="en-GB" w:eastAsia="ar-SA"/>
        </w:rPr>
        <w:t>het nga vet</w:t>
      </w:r>
      <w:r w:rsidR="0090544E">
        <w:rPr>
          <w:sz w:val="28"/>
          <w:szCs w:val="28"/>
          <w:lang w:val="en-GB" w:eastAsia="ar-SA"/>
        </w:rPr>
        <w:t>ë</w:t>
      </w:r>
      <w:r>
        <w:rPr>
          <w:sz w:val="28"/>
          <w:szCs w:val="28"/>
          <w:lang w:val="en-GB" w:eastAsia="ar-SA"/>
        </w:rPr>
        <w:t xml:space="preserve"> shoqatat n</w:t>
      </w:r>
      <w:r w:rsidR="0090544E">
        <w:rPr>
          <w:sz w:val="28"/>
          <w:szCs w:val="28"/>
          <w:lang w:val="en-GB" w:eastAsia="ar-SA"/>
        </w:rPr>
        <w:t>ë</w:t>
      </w:r>
      <w:r>
        <w:rPr>
          <w:sz w:val="28"/>
          <w:szCs w:val="28"/>
          <w:lang w:val="en-GB" w:eastAsia="ar-SA"/>
        </w:rPr>
        <w:t xml:space="preserve"> p</w:t>
      </w:r>
      <w:r w:rsidR="0090544E">
        <w:rPr>
          <w:sz w:val="28"/>
          <w:szCs w:val="28"/>
          <w:lang w:val="en-GB" w:eastAsia="ar-SA"/>
        </w:rPr>
        <w:t>ë</w:t>
      </w:r>
      <w:r>
        <w:rPr>
          <w:sz w:val="28"/>
          <w:szCs w:val="28"/>
          <w:lang w:val="en-GB" w:eastAsia="ar-SA"/>
        </w:rPr>
        <w:t>rputhje me aktin e themelimit dhe statutet p</w:t>
      </w:r>
      <w:r w:rsidR="0090544E">
        <w:rPr>
          <w:sz w:val="28"/>
          <w:szCs w:val="28"/>
          <w:lang w:val="en-GB" w:eastAsia="ar-SA"/>
        </w:rPr>
        <w:t>ë</w:t>
      </w:r>
      <w:r>
        <w:rPr>
          <w:sz w:val="28"/>
          <w:szCs w:val="28"/>
          <w:lang w:val="en-GB" w:eastAsia="ar-SA"/>
        </w:rPr>
        <w:t>rkat</w:t>
      </w:r>
      <w:r w:rsidR="0090544E">
        <w:rPr>
          <w:sz w:val="28"/>
          <w:szCs w:val="28"/>
          <w:lang w:val="en-GB" w:eastAsia="ar-SA"/>
        </w:rPr>
        <w:t>ë</w:t>
      </w:r>
      <w:r>
        <w:rPr>
          <w:sz w:val="28"/>
          <w:szCs w:val="28"/>
          <w:lang w:val="en-GB" w:eastAsia="ar-SA"/>
        </w:rPr>
        <w:t>se. Pas p</w:t>
      </w:r>
      <w:r w:rsidR="0090544E">
        <w:rPr>
          <w:sz w:val="28"/>
          <w:szCs w:val="28"/>
          <w:lang w:val="en-GB" w:eastAsia="ar-SA"/>
        </w:rPr>
        <w:t>ë</w:t>
      </w:r>
      <w:r>
        <w:rPr>
          <w:sz w:val="28"/>
          <w:szCs w:val="28"/>
          <w:lang w:val="en-GB" w:eastAsia="ar-SA"/>
        </w:rPr>
        <w:t>rzgjedhjes, shoqatat njoftojn</w:t>
      </w:r>
      <w:r w:rsidR="0090544E">
        <w:rPr>
          <w:sz w:val="28"/>
          <w:szCs w:val="28"/>
          <w:lang w:val="en-GB" w:eastAsia="ar-SA"/>
        </w:rPr>
        <w:t>ë</w:t>
      </w:r>
      <w:r>
        <w:rPr>
          <w:sz w:val="28"/>
          <w:szCs w:val="28"/>
          <w:lang w:val="en-GB" w:eastAsia="ar-SA"/>
        </w:rPr>
        <w:t xml:space="preserve"> ministrin p</w:t>
      </w:r>
      <w:r w:rsidR="0090544E">
        <w:rPr>
          <w:sz w:val="28"/>
          <w:szCs w:val="28"/>
          <w:lang w:val="en-GB" w:eastAsia="ar-SA"/>
        </w:rPr>
        <w:t>ë</w:t>
      </w:r>
      <w:r>
        <w:rPr>
          <w:sz w:val="28"/>
          <w:szCs w:val="28"/>
          <w:lang w:val="en-GB" w:eastAsia="ar-SA"/>
        </w:rPr>
        <w:t>rgjegj</w:t>
      </w:r>
      <w:r w:rsidR="0090544E">
        <w:rPr>
          <w:sz w:val="28"/>
          <w:szCs w:val="28"/>
          <w:lang w:val="en-GB" w:eastAsia="ar-SA"/>
        </w:rPr>
        <w:t>ë</w:t>
      </w:r>
      <w:r>
        <w:rPr>
          <w:sz w:val="28"/>
          <w:szCs w:val="28"/>
          <w:lang w:val="en-GB" w:eastAsia="ar-SA"/>
        </w:rPr>
        <w:t>s negociator p</w:t>
      </w:r>
      <w:r w:rsidR="0090544E">
        <w:rPr>
          <w:sz w:val="28"/>
          <w:szCs w:val="28"/>
          <w:lang w:val="en-GB" w:eastAsia="ar-SA"/>
        </w:rPr>
        <w:t>ë</w:t>
      </w:r>
      <w:r>
        <w:rPr>
          <w:sz w:val="28"/>
          <w:szCs w:val="28"/>
          <w:lang w:val="en-GB" w:eastAsia="ar-SA"/>
        </w:rPr>
        <w:t>r kapitullin 22 n</w:t>
      </w:r>
      <w:r w:rsidR="0090544E">
        <w:rPr>
          <w:sz w:val="28"/>
          <w:szCs w:val="28"/>
          <w:lang w:val="en-GB" w:eastAsia="ar-SA"/>
        </w:rPr>
        <w:t>ë</w:t>
      </w:r>
      <w:r>
        <w:rPr>
          <w:sz w:val="28"/>
          <w:szCs w:val="28"/>
          <w:lang w:val="en-GB" w:eastAsia="ar-SA"/>
        </w:rPr>
        <w:t xml:space="preserve"> lidhje me an</w:t>
      </w:r>
      <w:r w:rsidR="0090544E">
        <w:rPr>
          <w:sz w:val="28"/>
          <w:szCs w:val="28"/>
          <w:lang w:val="en-GB" w:eastAsia="ar-SA"/>
        </w:rPr>
        <w:t>ë</w:t>
      </w:r>
      <w:r>
        <w:rPr>
          <w:sz w:val="28"/>
          <w:szCs w:val="28"/>
          <w:lang w:val="en-GB" w:eastAsia="ar-SA"/>
        </w:rPr>
        <w:t>tar</w:t>
      </w:r>
      <w:r w:rsidR="0090544E">
        <w:rPr>
          <w:sz w:val="28"/>
          <w:szCs w:val="28"/>
          <w:lang w:val="en-GB" w:eastAsia="ar-SA"/>
        </w:rPr>
        <w:t>ë</w:t>
      </w:r>
      <w:r>
        <w:rPr>
          <w:sz w:val="28"/>
          <w:szCs w:val="28"/>
          <w:lang w:val="en-GB" w:eastAsia="ar-SA"/>
        </w:rPr>
        <w:t>t e p</w:t>
      </w:r>
      <w:r w:rsidR="0090544E">
        <w:rPr>
          <w:sz w:val="28"/>
          <w:szCs w:val="28"/>
          <w:lang w:val="en-GB" w:eastAsia="ar-SA"/>
        </w:rPr>
        <w:t>ë</w:t>
      </w:r>
      <w:r>
        <w:rPr>
          <w:sz w:val="28"/>
          <w:szCs w:val="28"/>
          <w:lang w:val="en-GB" w:eastAsia="ar-SA"/>
        </w:rPr>
        <w:t xml:space="preserve">rzgjedhur. </w:t>
      </w:r>
    </w:p>
    <w:p w14:paraId="21AECEFD" w14:textId="0B807BE5" w:rsidR="00181911" w:rsidRPr="00D47D99" w:rsidRDefault="006879E3" w:rsidP="00D47D99">
      <w:pPr>
        <w:suppressAutoHyphens/>
        <w:spacing w:line="288" w:lineRule="auto"/>
        <w:jc w:val="both"/>
        <w:rPr>
          <w:sz w:val="28"/>
          <w:szCs w:val="28"/>
          <w:lang w:val="en-GB" w:eastAsia="ar-SA"/>
        </w:rPr>
      </w:pPr>
      <w:r>
        <w:rPr>
          <w:sz w:val="28"/>
          <w:szCs w:val="28"/>
          <w:lang w:val="en-GB" w:eastAsia="ar-SA"/>
        </w:rPr>
        <w:t>Pjes</w:t>
      </w:r>
      <w:r w:rsidR="0090544E">
        <w:rPr>
          <w:sz w:val="28"/>
          <w:szCs w:val="28"/>
          <w:lang w:val="en-GB" w:eastAsia="ar-SA"/>
        </w:rPr>
        <w:t>ë</w:t>
      </w:r>
      <w:r>
        <w:rPr>
          <w:sz w:val="28"/>
          <w:szCs w:val="28"/>
          <w:lang w:val="en-GB" w:eastAsia="ar-SA"/>
        </w:rPr>
        <w:t xml:space="preserve"> e partneritetit do t</w:t>
      </w:r>
      <w:r w:rsidR="0090544E">
        <w:rPr>
          <w:sz w:val="28"/>
          <w:szCs w:val="28"/>
          <w:lang w:val="en-GB" w:eastAsia="ar-SA"/>
        </w:rPr>
        <w:t>ë</w:t>
      </w:r>
      <w:r>
        <w:rPr>
          <w:sz w:val="28"/>
          <w:szCs w:val="28"/>
          <w:lang w:val="en-GB" w:eastAsia="ar-SA"/>
        </w:rPr>
        <w:t xml:space="preserve"> jen</w:t>
      </w:r>
      <w:r w:rsidR="0090544E">
        <w:rPr>
          <w:sz w:val="28"/>
          <w:szCs w:val="28"/>
          <w:lang w:val="en-GB" w:eastAsia="ar-SA"/>
        </w:rPr>
        <w:t>ë</w:t>
      </w:r>
      <w:r>
        <w:rPr>
          <w:sz w:val="28"/>
          <w:szCs w:val="28"/>
          <w:lang w:val="en-GB" w:eastAsia="ar-SA"/>
        </w:rPr>
        <w:t xml:space="preserve"> edhe k</w:t>
      </w:r>
      <w:r w:rsidR="0090544E">
        <w:rPr>
          <w:sz w:val="28"/>
          <w:szCs w:val="28"/>
          <w:lang w:val="en-GB" w:eastAsia="ar-SA"/>
        </w:rPr>
        <w:t>ë</w:t>
      </w:r>
      <w:r>
        <w:rPr>
          <w:sz w:val="28"/>
          <w:szCs w:val="28"/>
          <w:lang w:val="en-GB" w:eastAsia="ar-SA"/>
        </w:rPr>
        <w:t xml:space="preserve">to subjekte private: </w:t>
      </w:r>
    </w:p>
    <w:p w14:paraId="5815E25A" w14:textId="77777777" w:rsidR="006879E3" w:rsidRDefault="00D47D99" w:rsidP="00471ECB">
      <w:pPr>
        <w:pStyle w:val="ListParagraph"/>
        <w:numPr>
          <w:ilvl w:val="0"/>
          <w:numId w:val="3"/>
        </w:numPr>
        <w:suppressAutoHyphens/>
        <w:spacing w:line="288" w:lineRule="auto"/>
        <w:jc w:val="both"/>
        <w:rPr>
          <w:sz w:val="28"/>
          <w:szCs w:val="28"/>
          <w:lang w:val="en-GB" w:eastAsia="ar-SA"/>
        </w:rPr>
      </w:pPr>
      <w:r w:rsidRPr="006879E3">
        <w:rPr>
          <w:sz w:val="28"/>
          <w:szCs w:val="28"/>
          <w:lang w:val="en-GB" w:eastAsia="ar-SA"/>
        </w:rPr>
        <w:lastRenderedPageBreak/>
        <w:t>10 (dhjetë) përfaqësues të zgjedhur nga rradhët e partnerëve ekonomik dhe social që ushtrojnë aktivitet në fushat e përcaktuara në këtë vendim;</w:t>
      </w:r>
    </w:p>
    <w:p w14:paraId="0A6B44DE" w14:textId="79DAC073" w:rsidR="00D47D99" w:rsidRPr="006879E3" w:rsidRDefault="00D47D99" w:rsidP="00471ECB">
      <w:pPr>
        <w:pStyle w:val="ListParagraph"/>
        <w:numPr>
          <w:ilvl w:val="0"/>
          <w:numId w:val="3"/>
        </w:numPr>
        <w:suppressAutoHyphens/>
        <w:spacing w:line="288" w:lineRule="auto"/>
        <w:jc w:val="both"/>
        <w:rPr>
          <w:sz w:val="28"/>
          <w:szCs w:val="28"/>
          <w:lang w:val="en-GB" w:eastAsia="ar-SA"/>
        </w:rPr>
      </w:pPr>
      <w:r w:rsidRPr="006879E3">
        <w:rPr>
          <w:sz w:val="28"/>
          <w:szCs w:val="28"/>
          <w:lang w:val="en-GB" w:eastAsia="ar-SA"/>
        </w:rPr>
        <w:t xml:space="preserve">10 (dhjetë) përfaqësues të zgjedhur nga rradhët e organizatave jo fitimprurëse që ushtrojnë veprimtarinë në fushën e </w:t>
      </w:r>
      <w:r w:rsidRPr="006879E3">
        <w:rPr>
          <w:rFonts w:eastAsia="Bahnschrift"/>
          <w:bCs/>
          <w:sz w:val="28"/>
          <w:szCs w:val="28"/>
          <w:lang w:val="en-GB" w:eastAsia="en-US"/>
        </w:rPr>
        <w:t>përfshirjes sociale, të drejtat themelore, të drejtat e personave me aftësi të kufizuara, barazinë gjinore dhe mosdiskriminimin.</w:t>
      </w:r>
    </w:p>
    <w:p w14:paraId="4F561D36" w14:textId="14619796" w:rsidR="006879E3" w:rsidRPr="006879E3" w:rsidRDefault="006879E3" w:rsidP="006879E3">
      <w:pPr>
        <w:suppressAutoHyphens/>
        <w:spacing w:line="288" w:lineRule="auto"/>
        <w:jc w:val="both"/>
        <w:rPr>
          <w:sz w:val="28"/>
          <w:szCs w:val="28"/>
          <w:lang w:val="en-GB" w:eastAsia="ar-SA"/>
        </w:rPr>
      </w:pPr>
      <w:r>
        <w:rPr>
          <w:sz w:val="28"/>
          <w:szCs w:val="28"/>
          <w:lang w:val="en-GB" w:eastAsia="ar-SA"/>
        </w:rPr>
        <w:t>P</w:t>
      </w:r>
      <w:r w:rsidR="0090544E">
        <w:rPr>
          <w:sz w:val="28"/>
          <w:szCs w:val="28"/>
          <w:lang w:val="en-GB" w:eastAsia="ar-SA"/>
        </w:rPr>
        <w:t>ë</w:t>
      </w:r>
      <w:r>
        <w:rPr>
          <w:sz w:val="28"/>
          <w:szCs w:val="28"/>
          <w:lang w:val="en-GB" w:eastAsia="ar-SA"/>
        </w:rPr>
        <w:t>rfaq</w:t>
      </w:r>
      <w:r w:rsidR="0090544E">
        <w:rPr>
          <w:sz w:val="28"/>
          <w:szCs w:val="28"/>
          <w:lang w:val="en-GB" w:eastAsia="ar-SA"/>
        </w:rPr>
        <w:t>ë</w:t>
      </w:r>
      <w:r>
        <w:rPr>
          <w:sz w:val="28"/>
          <w:szCs w:val="28"/>
          <w:lang w:val="en-GB" w:eastAsia="ar-SA"/>
        </w:rPr>
        <w:t>suesit nga bota akademike dhe e k</w:t>
      </w:r>
      <w:r w:rsidR="0090544E">
        <w:rPr>
          <w:sz w:val="28"/>
          <w:szCs w:val="28"/>
          <w:lang w:val="en-GB" w:eastAsia="ar-SA"/>
        </w:rPr>
        <w:t>ë</w:t>
      </w:r>
      <w:r>
        <w:rPr>
          <w:sz w:val="28"/>
          <w:szCs w:val="28"/>
          <w:lang w:val="en-GB" w:eastAsia="ar-SA"/>
        </w:rPr>
        <w:t>rkimit shkencor do t</w:t>
      </w:r>
      <w:r w:rsidR="0090544E">
        <w:rPr>
          <w:sz w:val="28"/>
          <w:szCs w:val="28"/>
          <w:lang w:val="en-GB" w:eastAsia="ar-SA"/>
        </w:rPr>
        <w:t>ë</w:t>
      </w:r>
      <w:r>
        <w:rPr>
          <w:sz w:val="28"/>
          <w:szCs w:val="28"/>
          <w:lang w:val="en-GB" w:eastAsia="ar-SA"/>
        </w:rPr>
        <w:t xml:space="preserve"> jen</w:t>
      </w:r>
      <w:r w:rsidR="0090544E">
        <w:rPr>
          <w:sz w:val="28"/>
          <w:szCs w:val="28"/>
          <w:lang w:val="en-GB" w:eastAsia="ar-SA"/>
        </w:rPr>
        <w:t>ë</w:t>
      </w:r>
      <w:r>
        <w:rPr>
          <w:sz w:val="28"/>
          <w:szCs w:val="28"/>
          <w:lang w:val="en-GB" w:eastAsia="ar-SA"/>
        </w:rPr>
        <w:t>:</w:t>
      </w:r>
    </w:p>
    <w:p w14:paraId="609A8F33" w14:textId="77777777" w:rsidR="006879E3" w:rsidRDefault="00D47D99" w:rsidP="00471ECB">
      <w:pPr>
        <w:pStyle w:val="ListParagraph"/>
        <w:numPr>
          <w:ilvl w:val="0"/>
          <w:numId w:val="4"/>
        </w:numPr>
        <w:suppressAutoHyphens/>
        <w:spacing w:line="288" w:lineRule="auto"/>
        <w:jc w:val="both"/>
        <w:rPr>
          <w:rFonts w:eastAsia="Bahnschrift"/>
          <w:bCs/>
          <w:sz w:val="28"/>
          <w:szCs w:val="28"/>
          <w:lang w:val="en-GB" w:eastAsia="en-US"/>
        </w:rPr>
      </w:pPr>
      <w:r w:rsidRPr="006879E3">
        <w:rPr>
          <w:rFonts w:eastAsia="Bahnschrift"/>
          <w:bCs/>
          <w:sz w:val="28"/>
          <w:szCs w:val="28"/>
          <w:lang w:val="en-GB" w:eastAsia="en-US"/>
        </w:rPr>
        <w:t xml:space="preserve">10 (dhjetë) përfaqësues nga Institucionet e Arsimit të Lartë të </w:t>
      </w:r>
      <w:bookmarkStart w:id="14" w:name="_Hlk198203956"/>
      <w:r w:rsidRPr="006879E3">
        <w:rPr>
          <w:rFonts w:eastAsia="Bahnschrift"/>
          <w:bCs/>
          <w:sz w:val="28"/>
          <w:szCs w:val="28"/>
          <w:lang w:val="en-GB" w:eastAsia="en-US"/>
        </w:rPr>
        <w:t xml:space="preserve">përzgjedhur sipas parashikimeve të legjislacionit për arsimin e lartë dhe të këtij vendimi. </w:t>
      </w:r>
      <w:bookmarkEnd w:id="14"/>
    </w:p>
    <w:p w14:paraId="682C62DD" w14:textId="592AF8E0" w:rsidR="00D47D99" w:rsidRPr="006879E3" w:rsidRDefault="00D47D99" w:rsidP="00471ECB">
      <w:pPr>
        <w:pStyle w:val="ListParagraph"/>
        <w:numPr>
          <w:ilvl w:val="0"/>
          <w:numId w:val="4"/>
        </w:numPr>
        <w:suppressAutoHyphens/>
        <w:spacing w:line="288" w:lineRule="auto"/>
        <w:jc w:val="both"/>
        <w:rPr>
          <w:rFonts w:eastAsia="Bahnschrift"/>
          <w:bCs/>
          <w:sz w:val="28"/>
          <w:szCs w:val="28"/>
          <w:lang w:val="en-GB" w:eastAsia="en-US"/>
        </w:rPr>
      </w:pPr>
      <w:r w:rsidRPr="006879E3">
        <w:rPr>
          <w:rFonts w:eastAsia="Bahnschrift"/>
          <w:bCs/>
          <w:sz w:val="28"/>
          <w:szCs w:val="28"/>
          <w:lang w:val="en-GB" w:eastAsia="en-US"/>
        </w:rPr>
        <w:t xml:space="preserve">1 (një) përfaqësues përzgjedhur nga Akademia e Shkencave të përzgjedhur sipas parashikimeve të legjislacionit për organizimin dhe funksionimin e Akademisë së Shkencave dhe të këtij vendimi. </w:t>
      </w:r>
    </w:p>
    <w:p w14:paraId="09D9B618" w14:textId="77777777" w:rsidR="00D47D99" w:rsidRPr="00D47D99" w:rsidRDefault="00D47D99" w:rsidP="00D47D99">
      <w:pPr>
        <w:suppressAutoHyphens/>
        <w:spacing w:line="288" w:lineRule="auto"/>
        <w:jc w:val="both"/>
        <w:rPr>
          <w:b/>
          <w:bCs/>
          <w:sz w:val="28"/>
          <w:szCs w:val="28"/>
          <w:lang w:eastAsia="ar-SA"/>
        </w:rPr>
      </w:pPr>
      <w:bookmarkStart w:id="15" w:name="_Hlk197019204"/>
    </w:p>
    <w:p w14:paraId="002B693A" w14:textId="08CA24DE" w:rsidR="00D47D99" w:rsidRDefault="00F0405F" w:rsidP="00D47D99">
      <w:pPr>
        <w:suppressAutoHyphens/>
        <w:spacing w:line="288" w:lineRule="auto"/>
        <w:jc w:val="both"/>
        <w:rPr>
          <w:b/>
          <w:bCs/>
          <w:sz w:val="28"/>
          <w:szCs w:val="28"/>
          <w:lang w:eastAsia="ar-SA"/>
        </w:rPr>
      </w:pPr>
      <w:r w:rsidRPr="00F0405F">
        <w:rPr>
          <w:sz w:val="28"/>
          <w:szCs w:val="28"/>
          <w:lang w:eastAsia="ar-SA"/>
        </w:rPr>
        <w:t>N</w:t>
      </w:r>
      <w:r w:rsidR="0090544E">
        <w:rPr>
          <w:sz w:val="28"/>
          <w:szCs w:val="28"/>
          <w:lang w:eastAsia="ar-SA"/>
        </w:rPr>
        <w:t>ë</w:t>
      </w:r>
      <w:r w:rsidRPr="00F0405F">
        <w:rPr>
          <w:sz w:val="28"/>
          <w:szCs w:val="28"/>
          <w:lang w:eastAsia="ar-SA"/>
        </w:rPr>
        <w:t xml:space="preserve"> Kreun IV parashikohen n</w:t>
      </w:r>
      <w:r w:rsidR="0090544E">
        <w:rPr>
          <w:sz w:val="28"/>
          <w:szCs w:val="28"/>
          <w:lang w:eastAsia="ar-SA"/>
        </w:rPr>
        <w:t>ë</w:t>
      </w:r>
      <w:r w:rsidRPr="00F0405F">
        <w:rPr>
          <w:sz w:val="28"/>
          <w:szCs w:val="28"/>
          <w:lang w:eastAsia="ar-SA"/>
        </w:rPr>
        <w:t xml:space="preserve"> m</w:t>
      </w:r>
      <w:r w:rsidR="0090544E">
        <w:rPr>
          <w:sz w:val="28"/>
          <w:szCs w:val="28"/>
          <w:lang w:eastAsia="ar-SA"/>
        </w:rPr>
        <w:t>ë</w:t>
      </w:r>
      <w:r w:rsidRPr="00F0405F">
        <w:rPr>
          <w:sz w:val="28"/>
          <w:szCs w:val="28"/>
          <w:lang w:eastAsia="ar-SA"/>
        </w:rPr>
        <w:t>nyr</w:t>
      </w:r>
      <w:r w:rsidR="0090544E">
        <w:rPr>
          <w:sz w:val="28"/>
          <w:szCs w:val="28"/>
          <w:lang w:eastAsia="ar-SA"/>
        </w:rPr>
        <w:t>ë</w:t>
      </w:r>
      <w:r w:rsidRPr="00F0405F">
        <w:rPr>
          <w:sz w:val="28"/>
          <w:szCs w:val="28"/>
          <w:lang w:eastAsia="ar-SA"/>
        </w:rPr>
        <w:t xml:space="preserve"> t</w:t>
      </w:r>
      <w:r w:rsidR="0090544E">
        <w:rPr>
          <w:sz w:val="28"/>
          <w:szCs w:val="28"/>
          <w:lang w:eastAsia="ar-SA"/>
        </w:rPr>
        <w:t>ë</w:t>
      </w:r>
      <w:r w:rsidRPr="00F0405F">
        <w:rPr>
          <w:sz w:val="28"/>
          <w:szCs w:val="28"/>
          <w:lang w:eastAsia="ar-SA"/>
        </w:rPr>
        <w:t xml:space="preserve"> detajuar</w:t>
      </w:r>
      <w:r>
        <w:rPr>
          <w:b/>
          <w:bCs/>
          <w:sz w:val="28"/>
          <w:szCs w:val="28"/>
          <w:lang w:eastAsia="ar-SA"/>
        </w:rPr>
        <w:t xml:space="preserve"> “</w:t>
      </w:r>
      <w:r w:rsidR="00D47D99" w:rsidRPr="00D47D99">
        <w:rPr>
          <w:b/>
          <w:bCs/>
          <w:sz w:val="28"/>
          <w:szCs w:val="28"/>
          <w:lang w:eastAsia="ar-SA"/>
        </w:rPr>
        <w:t>KRITERET DHE PROCEDURA E PËRZGJEDHJES SË PËRFAQËSUESVE NGA RRADHËT E PARTNERËVE EKONOMIK DHE SOCIAL</w:t>
      </w:r>
      <w:r>
        <w:rPr>
          <w:b/>
          <w:bCs/>
          <w:sz w:val="28"/>
          <w:szCs w:val="28"/>
          <w:lang w:eastAsia="ar-SA"/>
        </w:rPr>
        <w:t>”</w:t>
      </w:r>
      <w:r w:rsidR="00C030E5">
        <w:rPr>
          <w:b/>
          <w:bCs/>
          <w:sz w:val="28"/>
          <w:szCs w:val="28"/>
          <w:lang w:eastAsia="ar-SA"/>
        </w:rPr>
        <w:t>.</w:t>
      </w:r>
    </w:p>
    <w:p w14:paraId="1C707385" w14:textId="25D41E73" w:rsidR="00D47D99" w:rsidRDefault="00C030E5" w:rsidP="00D47D99">
      <w:pPr>
        <w:suppressAutoHyphens/>
        <w:spacing w:line="288" w:lineRule="auto"/>
        <w:jc w:val="both"/>
        <w:rPr>
          <w:bCs/>
          <w:iCs/>
          <w:sz w:val="28"/>
          <w:szCs w:val="28"/>
          <w:lang w:eastAsia="ar-SA"/>
        </w:rPr>
      </w:pPr>
      <w:r w:rsidRPr="00C030E5">
        <w:rPr>
          <w:sz w:val="28"/>
          <w:szCs w:val="28"/>
          <w:lang w:eastAsia="ar-SA"/>
        </w:rPr>
        <w:t>N</w:t>
      </w:r>
      <w:r w:rsidR="0090544E">
        <w:rPr>
          <w:sz w:val="28"/>
          <w:szCs w:val="28"/>
          <w:lang w:eastAsia="ar-SA"/>
        </w:rPr>
        <w:t>ë</w:t>
      </w:r>
      <w:r w:rsidRPr="00C030E5">
        <w:rPr>
          <w:sz w:val="28"/>
          <w:szCs w:val="28"/>
          <w:lang w:eastAsia="ar-SA"/>
        </w:rPr>
        <w:t xml:space="preserve"> themel t</w:t>
      </w:r>
      <w:r w:rsidR="0090544E">
        <w:rPr>
          <w:sz w:val="28"/>
          <w:szCs w:val="28"/>
          <w:lang w:eastAsia="ar-SA"/>
        </w:rPr>
        <w:t>ë</w:t>
      </w:r>
      <w:r w:rsidRPr="00C030E5">
        <w:rPr>
          <w:sz w:val="28"/>
          <w:szCs w:val="28"/>
          <w:lang w:eastAsia="ar-SA"/>
        </w:rPr>
        <w:t xml:space="preserve"> p</w:t>
      </w:r>
      <w:r w:rsidR="0090544E">
        <w:rPr>
          <w:sz w:val="28"/>
          <w:szCs w:val="28"/>
          <w:lang w:eastAsia="ar-SA"/>
        </w:rPr>
        <w:t>ë</w:t>
      </w:r>
      <w:r w:rsidRPr="00C030E5">
        <w:rPr>
          <w:sz w:val="28"/>
          <w:szCs w:val="28"/>
          <w:lang w:eastAsia="ar-SA"/>
        </w:rPr>
        <w:t>rzgjedhjes q</w:t>
      </w:r>
      <w:r w:rsidR="0090544E">
        <w:rPr>
          <w:sz w:val="28"/>
          <w:szCs w:val="28"/>
          <w:lang w:eastAsia="ar-SA"/>
        </w:rPr>
        <w:t>ë</w:t>
      </w:r>
      <w:r w:rsidRPr="00C030E5">
        <w:rPr>
          <w:sz w:val="28"/>
          <w:szCs w:val="28"/>
          <w:lang w:eastAsia="ar-SA"/>
        </w:rPr>
        <w:t>ndron kryerja e</w:t>
      </w:r>
      <w:r>
        <w:rPr>
          <w:b/>
          <w:bCs/>
          <w:sz w:val="28"/>
          <w:szCs w:val="28"/>
          <w:lang w:eastAsia="ar-SA"/>
        </w:rPr>
        <w:t xml:space="preserve"> </w:t>
      </w:r>
      <w:bookmarkStart w:id="16" w:name="_Hlk198113752"/>
      <w:bookmarkStart w:id="17" w:name="_Hlk197019394"/>
      <w:bookmarkEnd w:id="15"/>
      <w:r w:rsidR="00D47D99" w:rsidRPr="00D47D99">
        <w:rPr>
          <w:bCs/>
          <w:sz w:val="28"/>
          <w:szCs w:val="28"/>
          <w:lang w:val="en-GB" w:eastAsia="ar-SA"/>
        </w:rPr>
        <w:t xml:space="preserve">një procedure transparente dhe thirrje publike që organizohet nga Sekretariati Teknik pranë </w:t>
      </w:r>
      <w:bookmarkStart w:id="18" w:name="_Hlk198110029"/>
      <w:r w:rsidR="00D47D99" w:rsidRPr="00D47D99">
        <w:rPr>
          <w:bCs/>
          <w:sz w:val="28"/>
          <w:szCs w:val="28"/>
          <w:lang w:val="en-GB" w:eastAsia="ar-SA"/>
        </w:rPr>
        <w:t>negociatorit përgjegjës për Kapitullin 22</w:t>
      </w:r>
      <w:bookmarkEnd w:id="16"/>
      <w:r>
        <w:rPr>
          <w:bCs/>
          <w:sz w:val="28"/>
          <w:szCs w:val="28"/>
          <w:lang w:val="en-GB" w:eastAsia="ar-SA"/>
        </w:rPr>
        <w:t>. Sa m</w:t>
      </w:r>
      <w:r w:rsidR="0090544E">
        <w:rPr>
          <w:bCs/>
          <w:sz w:val="28"/>
          <w:szCs w:val="28"/>
          <w:lang w:val="en-GB" w:eastAsia="ar-SA"/>
        </w:rPr>
        <w:t>ë</w:t>
      </w:r>
      <w:r>
        <w:rPr>
          <w:bCs/>
          <w:sz w:val="28"/>
          <w:szCs w:val="28"/>
          <w:lang w:val="en-GB" w:eastAsia="ar-SA"/>
        </w:rPr>
        <w:t xml:space="preserve"> sip</w:t>
      </w:r>
      <w:r w:rsidR="0090544E">
        <w:rPr>
          <w:bCs/>
          <w:sz w:val="28"/>
          <w:szCs w:val="28"/>
          <w:lang w:val="en-GB" w:eastAsia="ar-SA"/>
        </w:rPr>
        <w:t>ë</w:t>
      </w:r>
      <w:r>
        <w:rPr>
          <w:bCs/>
          <w:sz w:val="28"/>
          <w:szCs w:val="28"/>
          <w:lang w:val="en-GB" w:eastAsia="ar-SA"/>
        </w:rPr>
        <w:t xml:space="preserve">r reflekton parashikimet e </w:t>
      </w:r>
      <w:r w:rsidRPr="00181911">
        <w:rPr>
          <w:sz w:val="28"/>
          <w:szCs w:val="28"/>
          <w:lang w:eastAsia="ar-SA"/>
        </w:rPr>
        <w:t xml:space="preserve">Rregullores </w:t>
      </w:r>
      <w:r w:rsidRPr="00181911">
        <w:rPr>
          <w:bCs/>
          <w:iCs/>
          <w:sz w:val="28"/>
          <w:szCs w:val="28"/>
          <w:lang w:eastAsia="ar-SA"/>
        </w:rPr>
        <w:t>BE-s</w:t>
      </w:r>
      <w:r w:rsidR="0090544E">
        <w:rPr>
          <w:bCs/>
          <w:iCs/>
          <w:sz w:val="28"/>
          <w:szCs w:val="28"/>
          <w:lang w:eastAsia="ar-SA"/>
        </w:rPr>
        <w:t>ë</w:t>
      </w:r>
      <w:r w:rsidRPr="00181911">
        <w:rPr>
          <w:bCs/>
          <w:iCs/>
          <w:sz w:val="28"/>
          <w:szCs w:val="28"/>
          <w:lang w:eastAsia="ar-SA"/>
        </w:rPr>
        <w:t xml:space="preserve"> nr.240/2014</w:t>
      </w:r>
      <w:r w:rsidR="00A7339E">
        <w:rPr>
          <w:bCs/>
          <w:iCs/>
          <w:sz w:val="28"/>
          <w:szCs w:val="28"/>
          <w:lang w:eastAsia="ar-SA"/>
        </w:rPr>
        <w:t xml:space="preserve"> (pika 3 e preambul</w:t>
      </w:r>
      <w:r w:rsidR="0090544E">
        <w:rPr>
          <w:bCs/>
          <w:iCs/>
          <w:sz w:val="28"/>
          <w:szCs w:val="28"/>
          <w:lang w:eastAsia="ar-SA"/>
        </w:rPr>
        <w:t>ë</w:t>
      </w:r>
      <w:r w:rsidR="00A7339E">
        <w:rPr>
          <w:bCs/>
          <w:iCs/>
          <w:sz w:val="28"/>
          <w:szCs w:val="28"/>
          <w:lang w:eastAsia="ar-SA"/>
        </w:rPr>
        <w:t>s)</w:t>
      </w:r>
      <w:r w:rsidR="005D4B90">
        <w:rPr>
          <w:bCs/>
          <w:iCs/>
          <w:sz w:val="28"/>
          <w:szCs w:val="28"/>
          <w:lang w:eastAsia="ar-SA"/>
        </w:rPr>
        <w:t>.</w:t>
      </w:r>
    </w:p>
    <w:p w14:paraId="210C778F" w14:textId="47ED611D" w:rsidR="00D47D99" w:rsidRPr="00D47D99" w:rsidRDefault="000A7595" w:rsidP="00D47D99">
      <w:pPr>
        <w:suppressAutoHyphens/>
        <w:spacing w:line="288" w:lineRule="auto"/>
        <w:jc w:val="both"/>
        <w:rPr>
          <w:bCs/>
          <w:sz w:val="28"/>
          <w:szCs w:val="28"/>
          <w:lang w:val="en-GB" w:eastAsia="ar-SA"/>
        </w:rPr>
      </w:pPr>
      <w:r>
        <w:rPr>
          <w:bCs/>
          <w:sz w:val="28"/>
          <w:szCs w:val="28"/>
          <w:lang w:val="en-GB" w:eastAsia="ar-SA"/>
        </w:rPr>
        <w:t>Projektakti parashikon q</w:t>
      </w:r>
      <w:r w:rsidR="00E34D14">
        <w:rPr>
          <w:bCs/>
          <w:sz w:val="28"/>
          <w:szCs w:val="28"/>
          <w:lang w:val="en-GB" w:eastAsia="ar-SA"/>
        </w:rPr>
        <w:t>ë</w:t>
      </w:r>
      <w:r>
        <w:rPr>
          <w:bCs/>
          <w:sz w:val="28"/>
          <w:szCs w:val="28"/>
          <w:lang w:val="en-GB" w:eastAsia="ar-SA"/>
        </w:rPr>
        <w:t xml:space="preserve"> vler</w:t>
      </w:r>
      <w:r w:rsidR="00E34D14">
        <w:rPr>
          <w:bCs/>
          <w:sz w:val="28"/>
          <w:szCs w:val="28"/>
          <w:lang w:val="en-GB" w:eastAsia="ar-SA"/>
        </w:rPr>
        <w:t>ë</w:t>
      </w:r>
      <w:r>
        <w:rPr>
          <w:bCs/>
          <w:sz w:val="28"/>
          <w:szCs w:val="28"/>
          <w:lang w:val="en-GB" w:eastAsia="ar-SA"/>
        </w:rPr>
        <w:t xml:space="preserve">simi </w:t>
      </w:r>
      <w:bookmarkEnd w:id="18"/>
      <w:r w:rsidR="00D47D99" w:rsidRPr="00D47D99">
        <w:rPr>
          <w:bCs/>
          <w:sz w:val="28"/>
          <w:szCs w:val="28"/>
          <w:lang w:val="en-GB" w:eastAsia="ar-SA"/>
        </w:rPr>
        <w:t xml:space="preserve">i aplikimeve </w:t>
      </w:r>
      <w:r>
        <w:rPr>
          <w:bCs/>
          <w:sz w:val="28"/>
          <w:szCs w:val="28"/>
          <w:lang w:val="en-GB" w:eastAsia="ar-SA"/>
        </w:rPr>
        <w:t>t</w:t>
      </w:r>
      <w:r w:rsidR="00E34D14">
        <w:rPr>
          <w:bCs/>
          <w:sz w:val="28"/>
          <w:szCs w:val="28"/>
          <w:lang w:val="en-GB" w:eastAsia="ar-SA"/>
        </w:rPr>
        <w:t>ë</w:t>
      </w:r>
      <w:r>
        <w:rPr>
          <w:bCs/>
          <w:sz w:val="28"/>
          <w:szCs w:val="28"/>
          <w:lang w:val="en-GB" w:eastAsia="ar-SA"/>
        </w:rPr>
        <w:t xml:space="preserve"> </w:t>
      </w:r>
      <w:r w:rsidR="00D47D99" w:rsidRPr="00D47D99">
        <w:rPr>
          <w:bCs/>
          <w:sz w:val="28"/>
          <w:szCs w:val="28"/>
          <w:lang w:val="en-GB" w:eastAsia="ar-SA"/>
        </w:rPr>
        <w:t xml:space="preserve">bëhet nga </w:t>
      </w:r>
      <w:r>
        <w:rPr>
          <w:bCs/>
          <w:sz w:val="28"/>
          <w:szCs w:val="28"/>
          <w:lang w:val="en-GB" w:eastAsia="ar-SA"/>
        </w:rPr>
        <w:t>nj</w:t>
      </w:r>
      <w:r w:rsidR="00E34D14">
        <w:rPr>
          <w:bCs/>
          <w:sz w:val="28"/>
          <w:szCs w:val="28"/>
          <w:lang w:val="en-GB" w:eastAsia="ar-SA"/>
        </w:rPr>
        <w:t>ë</w:t>
      </w:r>
      <w:r>
        <w:rPr>
          <w:bCs/>
          <w:sz w:val="28"/>
          <w:szCs w:val="28"/>
          <w:lang w:val="en-GB" w:eastAsia="ar-SA"/>
        </w:rPr>
        <w:t xml:space="preserve"> k</w:t>
      </w:r>
      <w:r w:rsidR="00D47D99" w:rsidRPr="00D47D99">
        <w:rPr>
          <w:bCs/>
          <w:sz w:val="28"/>
          <w:szCs w:val="28"/>
          <w:lang w:val="en-GB" w:eastAsia="ar-SA"/>
        </w:rPr>
        <w:t xml:space="preserve">omision vlerësimit </w:t>
      </w:r>
      <w:r>
        <w:rPr>
          <w:bCs/>
          <w:sz w:val="28"/>
          <w:szCs w:val="28"/>
          <w:lang w:val="en-GB" w:eastAsia="ar-SA"/>
        </w:rPr>
        <w:t>me p</w:t>
      </w:r>
      <w:r w:rsidR="00E34D14">
        <w:rPr>
          <w:bCs/>
          <w:sz w:val="28"/>
          <w:szCs w:val="28"/>
          <w:lang w:val="en-GB" w:eastAsia="ar-SA"/>
        </w:rPr>
        <w:t>ë</w:t>
      </w:r>
      <w:r>
        <w:rPr>
          <w:bCs/>
          <w:sz w:val="28"/>
          <w:szCs w:val="28"/>
          <w:lang w:val="en-GB" w:eastAsia="ar-SA"/>
        </w:rPr>
        <w:t>rb</w:t>
      </w:r>
      <w:r w:rsidR="00E34D14">
        <w:rPr>
          <w:bCs/>
          <w:sz w:val="28"/>
          <w:szCs w:val="28"/>
          <w:lang w:val="en-GB" w:eastAsia="ar-SA"/>
        </w:rPr>
        <w:t>ë</w:t>
      </w:r>
      <w:r>
        <w:rPr>
          <w:bCs/>
          <w:sz w:val="28"/>
          <w:szCs w:val="28"/>
          <w:lang w:val="en-GB" w:eastAsia="ar-SA"/>
        </w:rPr>
        <w:t>rje nga ministry t</w:t>
      </w:r>
      <w:r w:rsidR="00E34D14">
        <w:rPr>
          <w:bCs/>
          <w:sz w:val="28"/>
          <w:szCs w:val="28"/>
          <w:lang w:val="en-GB" w:eastAsia="ar-SA"/>
        </w:rPr>
        <w:t>ë</w:t>
      </w:r>
      <w:r>
        <w:rPr>
          <w:bCs/>
          <w:sz w:val="28"/>
          <w:szCs w:val="28"/>
          <w:lang w:val="en-GB" w:eastAsia="ar-SA"/>
        </w:rPr>
        <w:t xml:space="preserve"> ndryshme dhe konkretisht</w:t>
      </w:r>
      <w:r w:rsidR="00D47D99" w:rsidRPr="00D47D99">
        <w:rPr>
          <w:bCs/>
          <w:sz w:val="28"/>
          <w:szCs w:val="28"/>
          <w:lang w:val="en-GB" w:eastAsia="ar-SA"/>
        </w:rPr>
        <w:t>:</w:t>
      </w:r>
    </w:p>
    <w:p w14:paraId="4E987BA8" w14:textId="77777777" w:rsidR="000A7595" w:rsidRDefault="00D47D99" w:rsidP="00471ECB">
      <w:pPr>
        <w:pStyle w:val="ListParagraph"/>
        <w:numPr>
          <w:ilvl w:val="0"/>
          <w:numId w:val="5"/>
        </w:numPr>
        <w:suppressAutoHyphens/>
        <w:spacing w:line="288" w:lineRule="auto"/>
        <w:jc w:val="both"/>
        <w:rPr>
          <w:bCs/>
          <w:sz w:val="28"/>
          <w:szCs w:val="28"/>
          <w:lang w:val="en-GB" w:eastAsia="ar-SA"/>
        </w:rPr>
      </w:pPr>
      <w:r w:rsidRPr="000A7595">
        <w:rPr>
          <w:bCs/>
          <w:sz w:val="28"/>
          <w:szCs w:val="28"/>
          <w:lang w:val="en-GB" w:eastAsia="ar-SA"/>
        </w:rPr>
        <w:t>1 (një) përfaqësues nga Ministri përgjegjës për ekonominë:</w:t>
      </w:r>
    </w:p>
    <w:p w14:paraId="7399749A" w14:textId="77777777" w:rsidR="000A7595" w:rsidRDefault="00D47D99" w:rsidP="00471ECB">
      <w:pPr>
        <w:pStyle w:val="ListParagraph"/>
        <w:numPr>
          <w:ilvl w:val="0"/>
          <w:numId w:val="5"/>
        </w:numPr>
        <w:suppressAutoHyphens/>
        <w:spacing w:line="288" w:lineRule="auto"/>
        <w:jc w:val="both"/>
        <w:rPr>
          <w:bCs/>
          <w:sz w:val="28"/>
          <w:szCs w:val="28"/>
          <w:lang w:val="en-GB" w:eastAsia="ar-SA"/>
        </w:rPr>
      </w:pPr>
      <w:r w:rsidRPr="000A7595">
        <w:rPr>
          <w:bCs/>
          <w:sz w:val="28"/>
          <w:szCs w:val="28"/>
          <w:lang w:val="en-GB" w:eastAsia="ar-SA"/>
        </w:rPr>
        <w:t>1 (një) përfaqësues nga Ministri përgjegjës për energjinë dhe infrastrukturën</w:t>
      </w:r>
      <w:r w:rsidR="000A7595">
        <w:rPr>
          <w:bCs/>
          <w:sz w:val="28"/>
          <w:szCs w:val="28"/>
          <w:lang w:val="en-GB" w:eastAsia="ar-SA"/>
        </w:rPr>
        <w:t>;</w:t>
      </w:r>
    </w:p>
    <w:p w14:paraId="4F2402AB" w14:textId="51423288" w:rsidR="00D47D99" w:rsidRPr="000A7595" w:rsidRDefault="00D47D99" w:rsidP="00471ECB">
      <w:pPr>
        <w:pStyle w:val="ListParagraph"/>
        <w:numPr>
          <w:ilvl w:val="0"/>
          <w:numId w:val="5"/>
        </w:numPr>
        <w:suppressAutoHyphens/>
        <w:spacing w:line="288" w:lineRule="auto"/>
        <w:jc w:val="both"/>
        <w:rPr>
          <w:bCs/>
          <w:sz w:val="28"/>
          <w:szCs w:val="28"/>
          <w:lang w:val="en-GB" w:eastAsia="ar-SA"/>
        </w:rPr>
      </w:pPr>
      <w:r w:rsidRPr="000A7595">
        <w:rPr>
          <w:bCs/>
          <w:sz w:val="28"/>
          <w:szCs w:val="28"/>
          <w:lang w:val="en-GB" w:eastAsia="ar-SA"/>
        </w:rPr>
        <w:t>1 (një) përfaqësus nga Ministri përgjegjës për pushtetin vendor.</w:t>
      </w:r>
    </w:p>
    <w:p w14:paraId="588EC804" w14:textId="77777777" w:rsidR="000A7595" w:rsidRDefault="000A7595" w:rsidP="00D47D99">
      <w:pPr>
        <w:suppressAutoHyphens/>
        <w:spacing w:line="288" w:lineRule="auto"/>
        <w:jc w:val="both"/>
        <w:rPr>
          <w:bCs/>
          <w:sz w:val="28"/>
          <w:szCs w:val="28"/>
          <w:lang w:val="en-GB" w:eastAsia="ar-SA"/>
        </w:rPr>
      </w:pPr>
    </w:p>
    <w:p w14:paraId="74A36B1D" w14:textId="78A60A88" w:rsidR="00A25D31" w:rsidRDefault="000A7595" w:rsidP="00D47D99">
      <w:pPr>
        <w:suppressAutoHyphens/>
        <w:spacing w:line="288" w:lineRule="auto"/>
        <w:jc w:val="both"/>
        <w:rPr>
          <w:bCs/>
          <w:sz w:val="28"/>
          <w:szCs w:val="28"/>
          <w:lang w:val="en-GB" w:eastAsia="ar-SA"/>
        </w:rPr>
      </w:pPr>
      <w:r>
        <w:rPr>
          <w:bCs/>
          <w:sz w:val="28"/>
          <w:szCs w:val="28"/>
          <w:lang w:val="en-GB" w:eastAsia="ar-SA"/>
        </w:rPr>
        <w:t>Kriteret q</w:t>
      </w:r>
      <w:r w:rsidR="00E34D14">
        <w:rPr>
          <w:bCs/>
          <w:sz w:val="28"/>
          <w:szCs w:val="28"/>
          <w:lang w:val="en-GB" w:eastAsia="ar-SA"/>
        </w:rPr>
        <w:t>ë</w:t>
      </w:r>
      <w:r>
        <w:rPr>
          <w:bCs/>
          <w:sz w:val="28"/>
          <w:szCs w:val="28"/>
          <w:lang w:val="en-GB" w:eastAsia="ar-SA"/>
        </w:rPr>
        <w:t xml:space="preserve"> duhet t</w:t>
      </w:r>
      <w:r w:rsidR="00E34D14">
        <w:rPr>
          <w:bCs/>
          <w:sz w:val="28"/>
          <w:szCs w:val="28"/>
          <w:lang w:val="en-GB" w:eastAsia="ar-SA"/>
        </w:rPr>
        <w:t>ë</w:t>
      </w:r>
      <w:r>
        <w:rPr>
          <w:bCs/>
          <w:sz w:val="28"/>
          <w:szCs w:val="28"/>
          <w:lang w:val="en-GB" w:eastAsia="ar-SA"/>
        </w:rPr>
        <w:t xml:space="preserve"> plot</w:t>
      </w:r>
      <w:r w:rsidR="00E34D14">
        <w:rPr>
          <w:bCs/>
          <w:sz w:val="28"/>
          <w:szCs w:val="28"/>
          <w:lang w:val="en-GB" w:eastAsia="ar-SA"/>
        </w:rPr>
        <w:t>ë</w:t>
      </w:r>
      <w:r>
        <w:rPr>
          <w:bCs/>
          <w:sz w:val="28"/>
          <w:szCs w:val="28"/>
          <w:lang w:val="en-GB" w:eastAsia="ar-SA"/>
        </w:rPr>
        <w:t>sojn</w:t>
      </w:r>
      <w:r w:rsidR="00E34D14">
        <w:rPr>
          <w:bCs/>
          <w:sz w:val="28"/>
          <w:szCs w:val="28"/>
          <w:lang w:val="en-GB" w:eastAsia="ar-SA"/>
        </w:rPr>
        <w:t>ë</w:t>
      </w:r>
      <w:r>
        <w:rPr>
          <w:bCs/>
          <w:sz w:val="28"/>
          <w:szCs w:val="28"/>
          <w:lang w:val="en-GB" w:eastAsia="ar-SA"/>
        </w:rPr>
        <w:t xml:space="preserve"> p</w:t>
      </w:r>
      <w:r w:rsidR="00D47D99" w:rsidRPr="00D47D99">
        <w:rPr>
          <w:bCs/>
          <w:sz w:val="28"/>
          <w:szCs w:val="28"/>
          <w:lang w:val="en-GB" w:eastAsia="ar-SA"/>
        </w:rPr>
        <w:t xml:space="preserve">artnerët ekonomik dhe social </w:t>
      </w:r>
      <w:r>
        <w:rPr>
          <w:bCs/>
          <w:sz w:val="28"/>
          <w:szCs w:val="28"/>
          <w:lang w:val="en-GB" w:eastAsia="ar-SA"/>
        </w:rPr>
        <w:t>jan</w:t>
      </w:r>
      <w:r w:rsidR="00E34D14">
        <w:rPr>
          <w:bCs/>
          <w:sz w:val="28"/>
          <w:szCs w:val="28"/>
          <w:lang w:val="en-GB" w:eastAsia="ar-SA"/>
        </w:rPr>
        <w:t>ë</w:t>
      </w:r>
      <w:r>
        <w:rPr>
          <w:bCs/>
          <w:sz w:val="28"/>
          <w:szCs w:val="28"/>
          <w:lang w:val="en-GB" w:eastAsia="ar-SA"/>
        </w:rPr>
        <w:t xml:space="preserve"> n</w:t>
      </w:r>
      <w:r w:rsidR="00E34D14">
        <w:rPr>
          <w:bCs/>
          <w:sz w:val="28"/>
          <w:szCs w:val="28"/>
          <w:lang w:val="en-GB" w:eastAsia="ar-SA"/>
        </w:rPr>
        <w:t>ë</w:t>
      </w:r>
      <w:r>
        <w:rPr>
          <w:bCs/>
          <w:sz w:val="28"/>
          <w:szCs w:val="28"/>
          <w:lang w:val="en-GB" w:eastAsia="ar-SA"/>
        </w:rPr>
        <w:t xml:space="preserve"> linj</w:t>
      </w:r>
      <w:r w:rsidR="00E34D14">
        <w:rPr>
          <w:bCs/>
          <w:sz w:val="28"/>
          <w:szCs w:val="28"/>
          <w:lang w:val="en-GB" w:eastAsia="ar-SA"/>
        </w:rPr>
        <w:t>ë</w:t>
      </w:r>
      <w:r>
        <w:rPr>
          <w:bCs/>
          <w:sz w:val="28"/>
          <w:szCs w:val="28"/>
          <w:lang w:val="en-GB" w:eastAsia="ar-SA"/>
        </w:rPr>
        <w:t xml:space="preserve"> me ato t</w:t>
      </w:r>
      <w:r w:rsidR="00E34D14">
        <w:rPr>
          <w:bCs/>
          <w:sz w:val="28"/>
          <w:szCs w:val="28"/>
          <w:lang w:val="en-GB" w:eastAsia="ar-SA"/>
        </w:rPr>
        <w:t>ë</w:t>
      </w:r>
      <w:r>
        <w:rPr>
          <w:bCs/>
          <w:sz w:val="28"/>
          <w:szCs w:val="28"/>
          <w:lang w:val="en-GB" w:eastAsia="ar-SA"/>
        </w:rPr>
        <w:t xml:space="preserve"> parashikuara nga Rregullorja dhe q</w:t>
      </w:r>
      <w:r w:rsidR="00E34D14">
        <w:rPr>
          <w:bCs/>
          <w:sz w:val="28"/>
          <w:szCs w:val="28"/>
          <w:lang w:val="en-GB" w:eastAsia="ar-SA"/>
        </w:rPr>
        <w:t>ë</w:t>
      </w:r>
      <w:r>
        <w:rPr>
          <w:bCs/>
          <w:sz w:val="28"/>
          <w:szCs w:val="28"/>
          <w:lang w:val="en-GB" w:eastAsia="ar-SA"/>
        </w:rPr>
        <w:t xml:space="preserve"> jan</w:t>
      </w:r>
      <w:r w:rsidR="00E34D14">
        <w:rPr>
          <w:bCs/>
          <w:sz w:val="28"/>
          <w:szCs w:val="28"/>
          <w:lang w:val="en-GB" w:eastAsia="ar-SA"/>
        </w:rPr>
        <w:t>ë</w:t>
      </w:r>
      <w:r>
        <w:rPr>
          <w:bCs/>
          <w:sz w:val="28"/>
          <w:szCs w:val="28"/>
          <w:lang w:val="en-GB" w:eastAsia="ar-SA"/>
        </w:rPr>
        <w:t xml:space="preserve"> zbatuar edhe n</w:t>
      </w:r>
      <w:r w:rsidR="00E34D14">
        <w:rPr>
          <w:bCs/>
          <w:sz w:val="28"/>
          <w:szCs w:val="28"/>
          <w:lang w:val="en-GB" w:eastAsia="ar-SA"/>
        </w:rPr>
        <w:t>ë</w:t>
      </w:r>
      <w:r>
        <w:rPr>
          <w:bCs/>
          <w:sz w:val="28"/>
          <w:szCs w:val="28"/>
          <w:lang w:val="en-GB" w:eastAsia="ar-SA"/>
        </w:rPr>
        <w:t xml:space="preserve"> shum</w:t>
      </w:r>
      <w:r w:rsidR="00E34D14">
        <w:rPr>
          <w:bCs/>
          <w:sz w:val="28"/>
          <w:szCs w:val="28"/>
          <w:lang w:val="en-GB" w:eastAsia="ar-SA"/>
        </w:rPr>
        <w:t>ë</w:t>
      </w:r>
      <w:r>
        <w:rPr>
          <w:bCs/>
          <w:sz w:val="28"/>
          <w:szCs w:val="28"/>
          <w:lang w:val="en-GB" w:eastAsia="ar-SA"/>
        </w:rPr>
        <w:t xml:space="preserve"> vende t</w:t>
      </w:r>
      <w:r w:rsidR="00E34D14">
        <w:rPr>
          <w:bCs/>
          <w:sz w:val="28"/>
          <w:szCs w:val="28"/>
          <w:lang w:val="en-GB" w:eastAsia="ar-SA"/>
        </w:rPr>
        <w:t>ë</w:t>
      </w:r>
      <w:r>
        <w:rPr>
          <w:bCs/>
          <w:sz w:val="28"/>
          <w:szCs w:val="28"/>
          <w:lang w:val="en-GB" w:eastAsia="ar-SA"/>
        </w:rPr>
        <w:t xml:space="preserve"> tjera t</w:t>
      </w:r>
      <w:r w:rsidR="00E34D14">
        <w:rPr>
          <w:bCs/>
          <w:sz w:val="28"/>
          <w:szCs w:val="28"/>
          <w:lang w:val="en-GB" w:eastAsia="ar-SA"/>
        </w:rPr>
        <w:t>ë</w:t>
      </w:r>
      <w:r>
        <w:rPr>
          <w:bCs/>
          <w:sz w:val="28"/>
          <w:szCs w:val="28"/>
          <w:lang w:val="en-GB" w:eastAsia="ar-SA"/>
        </w:rPr>
        <w:t xml:space="preserve"> BE-s</w:t>
      </w:r>
      <w:r w:rsidR="00E34D14">
        <w:rPr>
          <w:bCs/>
          <w:sz w:val="28"/>
          <w:szCs w:val="28"/>
          <w:lang w:val="en-GB" w:eastAsia="ar-SA"/>
        </w:rPr>
        <w:t>ë</w:t>
      </w:r>
      <w:r>
        <w:rPr>
          <w:bCs/>
          <w:sz w:val="28"/>
          <w:szCs w:val="28"/>
          <w:lang w:val="en-GB" w:eastAsia="ar-SA"/>
        </w:rPr>
        <w:t>. Ato p</w:t>
      </w:r>
      <w:r w:rsidR="00E34D14">
        <w:rPr>
          <w:bCs/>
          <w:sz w:val="28"/>
          <w:szCs w:val="28"/>
          <w:lang w:val="en-GB" w:eastAsia="ar-SA"/>
        </w:rPr>
        <w:t>ë</w:t>
      </w:r>
      <w:r>
        <w:rPr>
          <w:bCs/>
          <w:sz w:val="28"/>
          <w:szCs w:val="28"/>
          <w:lang w:val="en-GB" w:eastAsia="ar-SA"/>
        </w:rPr>
        <w:t>rfshijn</w:t>
      </w:r>
      <w:r w:rsidR="00E34D14">
        <w:rPr>
          <w:bCs/>
          <w:sz w:val="28"/>
          <w:szCs w:val="28"/>
          <w:lang w:val="en-GB" w:eastAsia="ar-SA"/>
        </w:rPr>
        <w:t>ë</w:t>
      </w:r>
      <w:r w:rsidR="00A25D31">
        <w:rPr>
          <w:bCs/>
          <w:sz w:val="28"/>
          <w:szCs w:val="28"/>
          <w:lang w:val="en-GB" w:eastAsia="ar-SA"/>
        </w:rPr>
        <w:t>:</w:t>
      </w:r>
    </w:p>
    <w:p w14:paraId="2CB2A426" w14:textId="48C27097" w:rsidR="00A25D31" w:rsidRDefault="000A7595" w:rsidP="00471ECB">
      <w:pPr>
        <w:pStyle w:val="ListParagraph"/>
        <w:numPr>
          <w:ilvl w:val="0"/>
          <w:numId w:val="6"/>
        </w:numPr>
        <w:suppressAutoHyphens/>
        <w:spacing w:line="288" w:lineRule="auto"/>
        <w:jc w:val="both"/>
        <w:rPr>
          <w:bCs/>
          <w:sz w:val="28"/>
          <w:szCs w:val="28"/>
          <w:lang w:val="en-GB" w:eastAsia="ar-SA"/>
        </w:rPr>
      </w:pPr>
      <w:r w:rsidRPr="00A25D31">
        <w:rPr>
          <w:bCs/>
          <w:sz w:val="28"/>
          <w:szCs w:val="28"/>
          <w:lang w:val="en-GB" w:eastAsia="ar-SA"/>
        </w:rPr>
        <w:t>vjet</w:t>
      </w:r>
      <w:r w:rsidR="00E34D14">
        <w:rPr>
          <w:bCs/>
          <w:sz w:val="28"/>
          <w:szCs w:val="28"/>
          <w:lang w:val="en-GB" w:eastAsia="ar-SA"/>
        </w:rPr>
        <w:t>ë</w:t>
      </w:r>
      <w:r w:rsidRPr="00A25D31">
        <w:rPr>
          <w:bCs/>
          <w:sz w:val="28"/>
          <w:szCs w:val="28"/>
          <w:lang w:val="en-GB" w:eastAsia="ar-SA"/>
        </w:rPr>
        <w:t>rsin</w:t>
      </w:r>
      <w:r w:rsidR="00E34D14">
        <w:rPr>
          <w:bCs/>
          <w:sz w:val="28"/>
          <w:szCs w:val="28"/>
          <w:lang w:val="en-GB" w:eastAsia="ar-SA"/>
        </w:rPr>
        <w:t>ë</w:t>
      </w:r>
      <w:r w:rsidRPr="00A25D31">
        <w:rPr>
          <w:bCs/>
          <w:sz w:val="28"/>
          <w:szCs w:val="28"/>
          <w:lang w:val="en-GB" w:eastAsia="ar-SA"/>
        </w:rPr>
        <w:t xml:space="preserve"> n</w:t>
      </w:r>
      <w:r w:rsidR="00E34D14">
        <w:rPr>
          <w:bCs/>
          <w:sz w:val="28"/>
          <w:szCs w:val="28"/>
          <w:lang w:val="en-GB" w:eastAsia="ar-SA"/>
        </w:rPr>
        <w:t>ë</w:t>
      </w:r>
      <w:r w:rsidRPr="00A25D31">
        <w:rPr>
          <w:bCs/>
          <w:sz w:val="28"/>
          <w:szCs w:val="28"/>
          <w:lang w:val="en-GB" w:eastAsia="ar-SA"/>
        </w:rPr>
        <w:t xml:space="preserve"> </w:t>
      </w:r>
      <w:r w:rsidR="00A25D31" w:rsidRPr="00A25D31">
        <w:rPr>
          <w:bCs/>
          <w:sz w:val="28"/>
          <w:szCs w:val="28"/>
          <w:lang w:val="en-GB" w:eastAsia="ar-SA"/>
        </w:rPr>
        <w:t>treg n</w:t>
      </w:r>
      <w:r w:rsidR="00E34D14">
        <w:rPr>
          <w:bCs/>
          <w:sz w:val="28"/>
          <w:szCs w:val="28"/>
          <w:lang w:val="en-GB" w:eastAsia="ar-SA"/>
        </w:rPr>
        <w:t>ë</w:t>
      </w:r>
      <w:r w:rsidR="00A25D31" w:rsidRPr="00A25D31">
        <w:rPr>
          <w:bCs/>
          <w:sz w:val="28"/>
          <w:szCs w:val="28"/>
          <w:lang w:val="en-GB" w:eastAsia="ar-SA"/>
        </w:rPr>
        <w:t xml:space="preserve"> ushtrimin e aktiviteteve </w:t>
      </w:r>
      <w:bookmarkStart w:id="19" w:name="_Hlk198113924"/>
      <w:r w:rsidR="00D47D99" w:rsidRPr="00A25D31">
        <w:rPr>
          <w:bCs/>
          <w:sz w:val="28"/>
          <w:szCs w:val="28"/>
          <w:lang w:val="en-GB" w:eastAsia="ar-SA"/>
        </w:rPr>
        <w:t>në gjithë territorin e vendit në fushat e politikave të kohesionit të BE-së duke përfshirë por pa u kufizuar vetëm në inovacionin, digjitalizimin, konkurueshmërinë e SME-ve, klimës, energjisë dhe mjedisit, transportit dhe rrjeteve digjitale, punësimit, edukimit, përfshirjes sociale dhe shëndetësisë, zhvillimin urban dhe rural;</w:t>
      </w:r>
      <w:bookmarkStart w:id="20" w:name="_Hlk198113983"/>
      <w:bookmarkEnd w:id="19"/>
    </w:p>
    <w:p w14:paraId="7650ACB9" w14:textId="6F124DBD" w:rsidR="00A25D31" w:rsidRDefault="00D47D99" w:rsidP="00471ECB">
      <w:pPr>
        <w:pStyle w:val="ListParagraph"/>
        <w:numPr>
          <w:ilvl w:val="0"/>
          <w:numId w:val="6"/>
        </w:numPr>
        <w:suppressAutoHyphens/>
        <w:spacing w:line="288" w:lineRule="auto"/>
        <w:jc w:val="both"/>
        <w:rPr>
          <w:bCs/>
          <w:sz w:val="28"/>
          <w:szCs w:val="28"/>
          <w:lang w:val="en-GB" w:eastAsia="ar-SA"/>
        </w:rPr>
      </w:pPr>
      <w:r w:rsidRPr="00A25D31">
        <w:rPr>
          <w:bCs/>
          <w:sz w:val="28"/>
          <w:szCs w:val="28"/>
          <w:lang w:val="en-GB" w:eastAsia="ar-SA"/>
        </w:rPr>
        <w:lastRenderedPageBreak/>
        <w:t>përvojë</w:t>
      </w:r>
      <w:r w:rsidR="00A25D31">
        <w:rPr>
          <w:bCs/>
          <w:sz w:val="28"/>
          <w:szCs w:val="28"/>
          <w:lang w:val="en-GB" w:eastAsia="ar-SA"/>
        </w:rPr>
        <w:t>n e akulumuar n</w:t>
      </w:r>
      <w:r w:rsidR="00E34D14">
        <w:rPr>
          <w:bCs/>
          <w:sz w:val="28"/>
          <w:szCs w:val="28"/>
          <w:lang w:val="en-GB" w:eastAsia="ar-SA"/>
        </w:rPr>
        <w:t>ë</w:t>
      </w:r>
      <w:r w:rsidR="00A25D31">
        <w:rPr>
          <w:bCs/>
          <w:sz w:val="28"/>
          <w:szCs w:val="28"/>
          <w:lang w:val="en-GB" w:eastAsia="ar-SA"/>
        </w:rPr>
        <w:t>p</w:t>
      </w:r>
      <w:r w:rsidR="00E34D14">
        <w:rPr>
          <w:bCs/>
          <w:sz w:val="28"/>
          <w:szCs w:val="28"/>
          <w:lang w:val="en-GB" w:eastAsia="ar-SA"/>
        </w:rPr>
        <w:t>ë</w:t>
      </w:r>
      <w:r w:rsidR="00A25D31">
        <w:rPr>
          <w:bCs/>
          <w:sz w:val="28"/>
          <w:szCs w:val="28"/>
          <w:lang w:val="en-GB" w:eastAsia="ar-SA"/>
        </w:rPr>
        <w:t>rmjet</w:t>
      </w:r>
      <w:r w:rsidRPr="00A25D31">
        <w:rPr>
          <w:bCs/>
          <w:sz w:val="28"/>
          <w:szCs w:val="28"/>
          <w:lang w:val="en-GB" w:eastAsia="ar-SA"/>
        </w:rPr>
        <w:t xml:space="preserve"> pjesëmarrje</w:t>
      </w:r>
      <w:r w:rsidR="00A25D31">
        <w:rPr>
          <w:bCs/>
          <w:sz w:val="28"/>
          <w:szCs w:val="28"/>
          <w:lang w:val="en-GB" w:eastAsia="ar-SA"/>
        </w:rPr>
        <w:t>s</w:t>
      </w:r>
      <w:r w:rsidRPr="00A25D31">
        <w:rPr>
          <w:bCs/>
          <w:sz w:val="28"/>
          <w:szCs w:val="28"/>
          <w:lang w:val="en-GB" w:eastAsia="ar-SA"/>
        </w:rPr>
        <w:t xml:space="preserve"> dhe përfshirje në procese të ndryshme të bashkëpunimit kombëtar dhe ndërkombëtar dhe me organe apo institucione publike për zhvillimin e politikave ekonomike dhe sociale apo zbatimi të programeve të ndryshme të financuar nga donatorë të ndryshëm, brenda apo jashtë vendit;</w:t>
      </w:r>
    </w:p>
    <w:p w14:paraId="6FF99981" w14:textId="0E94858A" w:rsidR="00D47D99" w:rsidRDefault="00A25D31" w:rsidP="00471ECB">
      <w:pPr>
        <w:pStyle w:val="ListParagraph"/>
        <w:numPr>
          <w:ilvl w:val="0"/>
          <w:numId w:val="6"/>
        </w:numPr>
        <w:suppressAutoHyphens/>
        <w:spacing w:line="288" w:lineRule="auto"/>
        <w:jc w:val="both"/>
        <w:rPr>
          <w:bCs/>
          <w:sz w:val="28"/>
          <w:szCs w:val="28"/>
          <w:lang w:val="en-GB" w:eastAsia="ar-SA"/>
        </w:rPr>
      </w:pPr>
      <w:r>
        <w:rPr>
          <w:bCs/>
          <w:sz w:val="28"/>
          <w:szCs w:val="28"/>
          <w:lang w:val="en-GB" w:eastAsia="ar-SA"/>
        </w:rPr>
        <w:t xml:space="preserve">evidentimin e </w:t>
      </w:r>
      <w:r w:rsidR="00D47D99" w:rsidRPr="00A25D31">
        <w:rPr>
          <w:bCs/>
          <w:sz w:val="28"/>
          <w:szCs w:val="28"/>
          <w:lang w:val="en-GB" w:eastAsia="ar-SA"/>
        </w:rPr>
        <w:t>kapacite</w:t>
      </w:r>
      <w:r>
        <w:rPr>
          <w:bCs/>
          <w:sz w:val="28"/>
          <w:szCs w:val="28"/>
          <w:lang w:val="en-GB" w:eastAsia="ar-SA"/>
        </w:rPr>
        <w:t>ve</w:t>
      </w:r>
      <w:r w:rsidR="00D47D99" w:rsidRPr="00A25D31">
        <w:rPr>
          <w:bCs/>
          <w:sz w:val="28"/>
          <w:szCs w:val="28"/>
          <w:lang w:val="en-GB" w:eastAsia="ar-SA"/>
        </w:rPr>
        <w:t xml:space="preserve"> teknike dhe organizative, duke përfshirë kualifikimet e stafit kryesor të propozuar që do të përfaqësojë subjektin në partneritet. </w:t>
      </w:r>
    </w:p>
    <w:p w14:paraId="5582D8AE" w14:textId="3C95E8FC" w:rsidR="00D47D99" w:rsidRPr="00D47D99" w:rsidRDefault="00A25D31" w:rsidP="00D47D99">
      <w:pPr>
        <w:suppressAutoHyphens/>
        <w:spacing w:line="288" w:lineRule="auto"/>
        <w:jc w:val="both"/>
        <w:rPr>
          <w:bCs/>
          <w:sz w:val="28"/>
          <w:szCs w:val="28"/>
          <w:lang w:val="en-GB" w:eastAsia="ar-SA"/>
        </w:rPr>
      </w:pPr>
      <w:r>
        <w:rPr>
          <w:bCs/>
          <w:sz w:val="28"/>
          <w:szCs w:val="28"/>
          <w:lang w:val="en-GB" w:eastAsia="ar-SA"/>
        </w:rPr>
        <w:t>N</w:t>
      </w:r>
      <w:r w:rsidR="00E34D14">
        <w:rPr>
          <w:bCs/>
          <w:sz w:val="28"/>
          <w:szCs w:val="28"/>
          <w:lang w:val="en-GB" w:eastAsia="ar-SA"/>
        </w:rPr>
        <w:t>ë</w:t>
      </w:r>
      <w:r>
        <w:rPr>
          <w:bCs/>
          <w:sz w:val="28"/>
          <w:szCs w:val="28"/>
          <w:lang w:val="en-GB" w:eastAsia="ar-SA"/>
        </w:rPr>
        <w:t xml:space="preserve"> linj</w:t>
      </w:r>
      <w:r w:rsidR="00E34D14">
        <w:rPr>
          <w:bCs/>
          <w:sz w:val="28"/>
          <w:szCs w:val="28"/>
          <w:lang w:val="en-GB" w:eastAsia="ar-SA"/>
        </w:rPr>
        <w:t>ë</w:t>
      </w:r>
      <w:r>
        <w:rPr>
          <w:bCs/>
          <w:sz w:val="28"/>
          <w:szCs w:val="28"/>
          <w:lang w:val="en-GB" w:eastAsia="ar-SA"/>
        </w:rPr>
        <w:t xml:space="preserve"> me parashikimet e Rregullores, edhe projektakti parashikon se </w:t>
      </w:r>
      <w:bookmarkStart w:id="21" w:name="_Hlk198114185"/>
      <w:bookmarkStart w:id="22" w:name="_Hlk197020907"/>
      <w:bookmarkEnd w:id="20"/>
      <w:r>
        <w:rPr>
          <w:bCs/>
          <w:sz w:val="28"/>
          <w:szCs w:val="28"/>
          <w:lang w:val="en-GB" w:eastAsia="ar-SA"/>
        </w:rPr>
        <w:t>s</w:t>
      </w:r>
      <w:r w:rsidR="00D47D99" w:rsidRPr="00D47D99">
        <w:rPr>
          <w:bCs/>
          <w:sz w:val="28"/>
          <w:szCs w:val="28"/>
          <w:lang w:val="en-GB" w:eastAsia="ar-SA"/>
        </w:rPr>
        <w:t>ubjektet mund të aplikojnë vetëm, apo të organizuar në formën e një strukture ombrellë, rrjeti apo bashkime subjektesh të ndryshëm.</w:t>
      </w:r>
      <w:r w:rsidR="00D47D99" w:rsidRPr="00D47D99">
        <w:rPr>
          <w:rFonts w:eastAsia="Bahnschrift"/>
          <w:bCs/>
          <w:sz w:val="28"/>
          <w:szCs w:val="28"/>
          <w:lang w:val="en-GB" w:eastAsia="en-US"/>
        </w:rPr>
        <w:t xml:space="preserve"> </w:t>
      </w:r>
      <w:r w:rsidR="00D47D99" w:rsidRPr="00D47D99">
        <w:rPr>
          <w:bCs/>
          <w:sz w:val="28"/>
          <w:szCs w:val="28"/>
          <w:lang w:val="en-GB" w:eastAsia="ar-SA"/>
        </w:rPr>
        <w:t>Në rastin e organizimit në formën e një strukture ombrellë, rrjeti apo bashkime subjektesh, pjesë e saj duhet të jenë të paktën 5 subjekte që ushtrojnë aktivitet në nivel kombëtar dhe/ose lokal.</w:t>
      </w:r>
      <w:bookmarkEnd w:id="21"/>
    </w:p>
    <w:p w14:paraId="17BF7DEE" w14:textId="12AE25EC" w:rsidR="00D47D99" w:rsidRPr="00D47D99" w:rsidRDefault="00D47D99" w:rsidP="00D47D99">
      <w:pPr>
        <w:suppressAutoHyphens/>
        <w:spacing w:line="288" w:lineRule="auto"/>
        <w:jc w:val="both"/>
        <w:rPr>
          <w:bCs/>
          <w:sz w:val="28"/>
          <w:szCs w:val="28"/>
          <w:lang w:val="en-GB" w:eastAsia="ar-SA"/>
        </w:rPr>
      </w:pPr>
      <w:bookmarkStart w:id="23" w:name="_Hlk198114242"/>
      <w:bookmarkEnd w:id="22"/>
      <w:r w:rsidRPr="00D47D99">
        <w:rPr>
          <w:bCs/>
          <w:sz w:val="28"/>
          <w:szCs w:val="28"/>
          <w:lang w:val="en-GB" w:eastAsia="ar-SA"/>
        </w:rPr>
        <w:t xml:space="preserve">Përzgjedhja </w:t>
      </w:r>
      <w:r w:rsidR="00A25D31">
        <w:rPr>
          <w:bCs/>
          <w:sz w:val="28"/>
          <w:szCs w:val="28"/>
          <w:lang w:val="en-GB" w:eastAsia="ar-SA"/>
        </w:rPr>
        <w:t>q</w:t>
      </w:r>
      <w:r w:rsidR="00E34D14">
        <w:rPr>
          <w:bCs/>
          <w:sz w:val="28"/>
          <w:szCs w:val="28"/>
          <w:lang w:val="en-GB" w:eastAsia="ar-SA"/>
        </w:rPr>
        <w:t>ë</w:t>
      </w:r>
      <w:r w:rsidR="00A25D31">
        <w:rPr>
          <w:bCs/>
          <w:sz w:val="28"/>
          <w:szCs w:val="28"/>
          <w:lang w:val="en-GB" w:eastAsia="ar-SA"/>
        </w:rPr>
        <w:t xml:space="preserve"> kryhet nga komisioni duhet t</w:t>
      </w:r>
      <w:r w:rsidR="00E34D14">
        <w:rPr>
          <w:bCs/>
          <w:sz w:val="28"/>
          <w:szCs w:val="28"/>
          <w:lang w:val="en-GB" w:eastAsia="ar-SA"/>
        </w:rPr>
        <w:t>ë</w:t>
      </w:r>
      <w:r w:rsidR="00A25D31">
        <w:rPr>
          <w:bCs/>
          <w:sz w:val="28"/>
          <w:szCs w:val="28"/>
          <w:lang w:val="en-GB" w:eastAsia="ar-SA"/>
        </w:rPr>
        <w:t xml:space="preserve"> </w:t>
      </w:r>
      <w:r w:rsidRPr="00D47D99">
        <w:rPr>
          <w:bCs/>
          <w:sz w:val="28"/>
          <w:szCs w:val="28"/>
          <w:lang w:val="en-GB" w:eastAsia="ar-SA"/>
        </w:rPr>
        <w:t>garant</w:t>
      </w:r>
      <w:r w:rsidR="00A25D31">
        <w:rPr>
          <w:bCs/>
          <w:sz w:val="28"/>
          <w:szCs w:val="28"/>
          <w:lang w:val="en-GB" w:eastAsia="ar-SA"/>
        </w:rPr>
        <w:t>oj</w:t>
      </w:r>
      <w:r w:rsidR="00E34D14">
        <w:rPr>
          <w:bCs/>
          <w:sz w:val="28"/>
          <w:szCs w:val="28"/>
          <w:lang w:val="en-GB" w:eastAsia="ar-SA"/>
        </w:rPr>
        <w:t>ë</w:t>
      </w:r>
      <w:r w:rsidRPr="00D47D99">
        <w:rPr>
          <w:bCs/>
          <w:sz w:val="28"/>
          <w:szCs w:val="28"/>
          <w:lang w:val="en-GB" w:eastAsia="ar-SA"/>
        </w:rPr>
        <w:t xml:space="preserve"> diversitet në fushat e veprimtarisë së subjekteve dhe interesave që ato përfaqësojnë, shpërndarje të drejtë territoriale si dhe barazi gjinore në anëtarësi.</w:t>
      </w:r>
    </w:p>
    <w:p w14:paraId="284ECA76" w14:textId="627D0AF3" w:rsidR="00D47D99" w:rsidRPr="00D47D99" w:rsidRDefault="00A25D31" w:rsidP="00D47D99">
      <w:pPr>
        <w:suppressAutoHyphens/>
        <w:spacing w:line="288" w:lineRule="auto"/>
        <w:jc w:val="both"/>
        <w:rPr>
          <w:bCs/>
          <w:sz w:val="28"/>
          <w:szCs w:val="28"/>
          <w:lang w:val="en-GB" w:eastAsia="ar-SA"/>
        </w:rPr>
      </w:pPr>
      <w:r>
        <w:rPr>
          <w:bCs/>
          <w:sz w:val="28"/>
          <w:szCs w:val="28"/>
          <w:lang w:val="en-GB" w:eastAsia="ar-SA"/>
        </w:rPr>
        <w:t>Projektakti autorizon m</w:t>
      </w:r>
      <w:r w:rsidR="00D47D99" w:rsidRPr="00D47D99">
        <w:rPr>
          <w:bCs/>
          <w:sz w:val="28"/>
          <w:szCs w:val="28"/>
          <w:lang w:val="en-GB" w:eastAsia="ar-SA"/>
        </w:rPr>
        <w:t>inistri</w:t>
      </w:r>
      <w:r>
        <w:rPr>
          <w:bCs/>
          <w:sz w:val="28"/>
          <w:szCs w:val="28"/>
          <w:lang w:val="en-GB" w:eastAsia="ar-SA"/>
        </w:rPr>
        <w:t>n</w:t>
      </w:r>
      <w:r w:rsidR="00D47D99" w:rsidRPr="00D47D99">
        <w:rPr>
          <w:bCs/>
          <w:sz w:val="28"/>
          <w:szCs w:val="28"/>
          <w:lang w:val="en-GB" w:eastAsia="ar-SA"/>
        </w:rPr>
        <w:t xml:space="preserve"> përgjegjës negociator për Kapitullin 22 </w:t>
      </w:r>
      <w:r>
        <w:rPr>
          <w:bCs/>
          <w:sz w:val="28"/>
          <w:szCs w:val="28"/>
          <w:lang w:val="en-GB" w:eastAsia="ar-SA"/>
        </w:rPr>
        <w:t>p</w:t>
      </w:r>
      <w:r w:rsidR="00E34D14">
        <w:rPr>
          <w:bCs/>
          <w:sz w:val="28"/>
          <w:szCs w:val="28"/>
          <w:lang w:val="en-GB" w:eastAsia="ar-SA"/>
        </w:rPr>
        <w:t>ë</w:t>
      </w:r>
      <w:r>
        <w:rPr>
          <w:bCs/>
          <w:sz w:val="28"/>
          <w:szCs w:val="28"/>
          <w:lang w:val="en-GB" w:eastAsia="ar-SA"/>
        </w:rPr>
        <w:t>r t</w:t>
      </w:r>
      <w:r w:rsidR="00E34D14">
        <w:rPr>
          <w:bCs/>
          <w:sz w:val="28"/>
          <w:szCs w:val="28"/>
          <w:lang w:val="en-GB" w:eastAsia="ar-SA"/>
        </w:rPr>
        <w:t>ë</w:t>
      </w:r>
      <w:r>
        <w:rPr>
          <w:bCs/>
          <w:sz w:val="28"/>
          <w:szCs w:val="28"/>
          <w:lang w:val="en-GB" w:eastAsia="ar-SA"/>
        </w:rPr>
        <w:t xml:space="preserve"> </w:t>
      </w:r>
      <w:r w:rsidR="00D47D99" w:rsidRPr="00D47D99">
        <w:rPr>
          <w:bCs/>
          <w:sz w:val="28"/>
          <w:szCs w:val="28"/>
          <w:lang w:val="en-GB" w:eastAsia="ar-SA"/>
        </w:rPr>
        <w:t>mirat</w:t>
      </w:r>
      <w:r>
        <w:rPr>
          <w:bCs/>
          <w:sz w:val="28"/>
          <w:szCs w:val="28"/>
          <w:lang w:val="en-GB" w:eastAsia="ar-SA"/>
        </w:rPr>
        <w:t>uar</w:t>
      </w:r>
      <w:r w:rsidR="00D47D99" w:rsidRPr="00D47D99">
        <w:rPr>
          <w:bCs/>
          <w:sz w:val="28"/>
          <w:szCs w:val="28"/>
          <w:lang w:val="en-GB" w:eastAsia="ar-SA"/>
        </w:rPr>
        <w:t xml:space="preserve"> Udhëzimin për metodologjinë e vlerësimit dhe pikëzimit që përfshin aspekte të shtrirjes territoriale, përvojës së krijuar, nivelin e ekspertizës, angazhimin me grupe të ndryshme të shoqërisë, kapacitetet menaxhuese si dhe qasjen gjinore. </w:t>
      </w:r>
      <w:bookmarkEnd w:id="23"/>
    </w:p>
    <w:bookmarkEnd w:id="17"/>
    <w:p w14:paraId="008B602D" w14:textId="64D1A158" w:rsidR="00D47D99" w:rsidRPr="00D47D99" w:rsidRDefault="00A25D31" w:rsidP="00D47D99">
      <w:pPr>
        <w:suppressAutoHyphens/>
        <w:spacing w:line="288" w:lineRule="auto"/>
        <w:jc w:val="both"/>
        <w:rPr>
          <w:bCs/>
          <w:sz w:val="28"/>
          <w:szCs w:val="28"/>
          <w:lang w:val="en-GB" w:eastAsia="ar-SA"/>
        </w:rPr>
      </w:pPr>
      <w:r>
        <w:rPr>
          <w:bCs/>
          <w:sz w:val="28"/>
          <w:szCs w:val="28"/>
          <w:lang w:val="en-GB" w:eastAsia="ar-SA"/>
        </w:rPr>
        <w:t xml:space="preserve">Kreu V parashikon </w:t>
      </w:r>
      <w:bookmarkStart w:id="24" w:name="_Hlk197022222"/>
      <w:r>
        <w:rPr>
          <w:bCs/>
          <w:sz w:val="28"/>
          <w:szCs w:val="28"/>
          <w:lang w:val="en-GB" w:eastAsia="ar-SA"/>
        </w:rPr>
        <w:t>“</w:t>
      </w:r>
      <w:r w:rsidR="00D47D99" w:rsidRPr="00D47D99">
        <w:rPr>
          <w:b/>
          <w:bCs/>
          <w:sz w:val="28"/>
          <w:szCs w:val="28"/>
          <w:lang w:eastAsia="ar-SA"/>
        </w:rPr>
        <w:t>KRITERET DHE PROCEDURA E PËRZGJEDHJES SË PËRFAQËSUESVE NGA RRADHËT E SHOQËRISË CIVILE</w:t>
      </w:r>
      <w:r>
        <w:rPr>
          <w:b/>
          <w:bCs/>
          <w:sz w:val="28"/>
          <w:szCs w:val="28"/>
          <w:lang w:eastAsia="ar-SA"/>
        </w:rPr>
        <w:t>”</w:t>
      </w:r>
      <w:r w:rsidRPr="00A25D31">
        <w:rPr>
          <w:sz w:val="28"/>
          <w:szCs w:val="28"/>
          <w:lang w:eastAsia="ar-SA"/>
        </w:rPr>
        <w:t>. K</w:t>
      </w:r>
      <w:r w:rsidR="00E34D14">
        <w:rPr>
          <w:sz w:val="28"/>
          <w:szCs w:val="28"/>
          <w:lang w:eastAsia="ar-SA"/>
        </w:rPr>
        <w:t>ë</w:t>
      </w:r>
      <w:r w:rsidRPr="00A25D31">
        <w:rPr>
          <w:sz w:val="28"/>
          <w:szCs w:val="28"/>
          <w:lang w:eastAsia="ar-SA"/>
        </w:rPr>
        <w:t>to parashikime jan</w:t>
      </w:r>
      <w:r w:rsidR="00E34D14">
        <w:rPr>
          <w:sz w:val="28"/>
          <w:szCs w:val="28"/>
          <w:lang w:eastAsia="ar-SA"/>
        </w:rPr>
        <w:t>ë</w:t>
      </w:r>
      <w:r w:rsidRPr="00A25D31">
        <w:rPr>
          <w:sz w:val="28"/>
          <w:szCs w:val="28"/>
          <w:lang w:eastAsia="ar-SA"/>
        </w:rPr>
        <w:t xml:space="preserve"> t</w:t>
      </w:r>
      <w:r w:rsidR="00E34D14">
        <w:rPr>
          <w:sz w:val="28"/>
          <w:szCs w:val="28"/>
          <w:lang w:eastAsia="ar-SA"/>
        </w:rPr>
        <w:t>ë</w:t>
      </w:r>
      <w:r w:rsidRPr="00A25D31">
        <w:rPr>
          <w:sz w:val="28"/>
          <w:szCs w:val="28"/>
          <w:lang w:eastAsia="ar-SA"/>
        </w:rPr>
        <w:t xml:space="preserve"> harmonizuara me legjislacionin p</w:t>
      </w:r>
      <w:r w:rsidR="00E34D14">
        <w:rPr>
          <w:sz w:val="28"/>
          <w:szCs w:val="28"/>
          <w:lang w:eastAsia="ar-SA"/>
        </w:rPr>
        <w:t>ë</w:t>
      </w:r>
      <w:r w:rsidRPr="00A25D31">
        <w:rPr>
          <w:sz w:val="28"/>
          <w:szCs w:val="28"/>
          <w:lang w:eastAsia="ar-SA"/>
        </w:rPr>
        <w:t>r organizimin dhe funksionimin e AMSHC-s</w:t>
      </w:r>
      <w:r w:rsidR="00E34D14">
        <w:rPr>
          <w:sz w:val="28"/>
          <w:szCs w:val="28"/>
          <w:lang w:eastAsia="ar-SA"/>
        </w:rPr>
        <w:t>ë</w:t>
      </w:r>
      <w:r w:rsidRPr="00A25D31">
        <w:rPr>
          <w:sz w:val="28"/>
          <w:szCs w:val="28"/>
          <w:lang w:eastAsia="ar-SA"/>
        </w:rPr>
        <w:t xml:space="preserve">. </w:t>
      </w:r>
    </w:p>
    <w:bookmarkEnd w:id="24"/>
    <w:p w14:paraId="4836D2FB" w14:textId="49734693" w:rsidR="00D47D99" w:rsidRPr="00D47D99" w:rsidRDefault="00D47D99" w:rsidP="00A843E0">
      <w:pPr>
        <w:suppressAutoHyphens/>
        <w:spacing w:line="288" w:lineRule="auto"/>
        <w:jc w:val="both"/>
        <w:rPr>
          <w:bCs/>
          <w:sz w:val="28"/>
          <w:szCs w:val="28"/>
          <w:lang w:val="en-GB" w:eastAsia="ar-SA"/>
        </w:rPr>
      </w:pPr>
      <w:r w:rsidRPr="00D47D99">
        <w:rPr>
          <w:bCs/>
          <w:sz w:val="28"/>
          <w:szCs w:val="28"/>
          <w:lang w:val="en-GB" w:eastAsia="ar-SA"/>
        </w:rPr>
        <w:t xml:space="preserve">Partnerët nga rradhët e shoqërisë civile përzgjidhen sipas një procedure transparente dhe thirrje publike që organizohet nga </w:t>
      </w:r>
      <w:bookmarkStart w:id="25" w:name="_Hlk198119391"/>
      <w:r w:rsidRPr="00D47D99">
        <w:rPr>
          <w:bCs/>
          <w:sz w:val="28"/>
          <w:szCs w:val="28"/>
          <w:lang w:val="en-GB" w:eastAsia="ar-SA"/>
        </w:rPr>
        <w:t xml:space="preserve">Agjencia për Mbështetjen e Shoqërisë Civile </w:t>
      </w:r>
      <w:bookmarkEnd w:id="25"/>
      <w:r w:rsidRPr="00D47D99">
        <w:rPr>
          <w:bCs/>
          <w:sz w:val="28"/>
          <w:szCs w:val="28"/>
          <w:lang w:val="en-GB" w:eastAsia="ar-SA"/>
        </w:rPr>
        <w:t>në përputhje me parashikimet e këtij vendimi.</w:t>
      </w:r>
      <w:r w:rsidR="00A843E0">
        <w:rPr>
          <w:bCs/>
          <w:sz w:val="28"/>
          <w:szCs w:val="28"/>
          <w:lang w:val="en-GB" w:eastAsia="ar-SA"/>
        </w:rPr>
        <w:t xml:space="preserve"> S</w:t>
      </w:r>
      <w:r w:rsidR="00E34D14">
        <w:rPr>
          <w:bCs/>
          <w:sz w:val="28"/>
          <w:szCs w:val="28"/>
          <w:lang w:val="en-GB" w:eastAsia="ar-SA"/>
        </w:rPr>
        <w:t>ë</w:t>
      </w:r>
      <w:r w:rsidR="00A843E0">
        <w:rPr>
          <w:bCs/>
          <w:sz w:val="28"/>
          <w:szCs w:val="28"/>
          <w:lang w:val="en-GB" w:eastAsia="ar-SA"/>
        </w:rPr>
        <w:t>risht edhe n</w:t>
      </w:r>
      <w:r w:rsidR="00E34D14">
        <w:rPr>
          <w:bCs/>
          <w:sz w:val="28"/>
          <w:szCs w:val="28"/>
          <w:lang w:val="en-GB" w:eastAsia="ar-SA"/>
        </w:rPr>
        <w:t>ë</w:t>
      </w:r>
      <w:r w:rsidR="00A843E0">
        <w:rPr>
          <w:bCs/>
          <w:sz w:val="28"/>
          <w:szCs w:val="28"/>
          <w:lang w:val="en-GB" w:eastAsia="ar-SA"/>
        </w:rPr>
        <w:t xml:space="preserve"> k</w:t>
      </w:r>
      <w:r w:rsidR="00E34D14">
        <w:rPr>
          <w:bCs/>
          <w:sz w:val="28"/>
          <w:szCs w:val="28"/>
          <w:lang w:val="en-GB" w:eastAsia="ar-SA"/>
        </w:rPr>
        <w:t>ë</w:t>
      </w:r>
      <w:r w:rsidR="00A843E0">
        <w:rPr>
          <w:bCs/>
          <w:sz w:val="28"/>
          <w:szCs w:val="28"/>
          <w:lang w:val="en-GB" w:eastAsia="ar-SA"/>
        </w:rPr>
        <w:t>t</w:t>
      </w:r>
      <w:r w:rsidR="00E34D14">
        <w:rPr>
          <w:bCs/>
          <w:sz w:val="28"/>
          <w:szCs w:val="28"/>
          <w:lang w:val="en-GB" w:eastAsia="ar-SA"/>
        </w:rPr>
        <w:t>ë</w:t>
      </w:r>
      <w:r w:rsidR="00A843E0">
        <w:rPr>
          <w:bCs/>
          <w:sz w:val="28"/>
          <w:szCs w:val="28"/>
          <w:lang w:val="en-GB" w:eastAsia="ar-SA"/>
        </w:rPr>
        <w:t xml:space="preserve"> rast, p</w:t>
      </w:r>
      <w:r w:rsidR="00E34D14">
        <w:rPr>
          <w:bCs/>
          <w:sz w:val="28"/>
          <w:szCs w:val="28"/>
          <w:lang w:val="en-GB" w:eastAsia="ar-SA"/>
        </w:rPr>
        <w:t>ë</w:t>
      </w:r>
      <w:r w:rsidR="00A843E0">
        <w:rPr>
          <w:bCs/>
          <w:sz w:val="28"/>
          <w:szCs w:val="28"/>
          <w:lang w:val="en-GB" w:eastAsia="ar-SA"/>
        </w:rPr>
        <w:t>rzgjedhja kryhet nga nj</w:t>
      </w:r>
      <w:r w:rsidR="00E34D14">
        <w:rPr>
          <w:bCs/>
          <w:sz w:val="28"/>
          <w:szCs w:val="28"/>
          <w:lang w:val="en-GB" w:eastAsia="ar-SA"/>
        </w:rPr>
        <w:t>ë</w:t>
      </w:r>
      <w:r w:rsidR="00A843E0">
        <w:rPr>
          <w:bCs/>
          <w:sz w:val="28"/>
          <w:szCs w:val="28"/>
          <w:lang w:val="en-GB" w:eastAsia="ar-SA"/>
        </w:rPr>
        <w:t xml:space="preserve"> komision, n</w:t>
      </w:r>
      <w:r w:rsidR="00E34D14">
        <w:rPr>
          <w:bCs/>
          <w:sz w:val="28"/>
          <w:szCs w:val="28"/>
          <w:lang w:val="en-GB" w:eastAsia="ar-SA"/>
        </w:rPr>
        <w:t>ë</w:t>
      </w:r>
      <w:r w:rsidR="00A843E0">
        <w:rPr>
          <w:bCs/>
          <w:sz w:val="28"/>
          <w:szCs w:val="28"/>
          <w:lang w:val="en-GB" w:eastAsia="ar-SA"/>
        </w:rPr>
        <w:t xml:space="preserve"> p</w:t>
      </w:r>
      <w:r w:rsidR="00E34D14">
        <w:rPr>
          <w:bCs/>
          <w:sz w:val="28"/>
          <w:szCs w:val="28"/>
          <w:lang w:val="en-GB" w:eastAsia="ar-SA"/>
        </w:rPr>
        <w:t>ë</w:t>
      </w:r>
      <w:r w:rsidR="00A843E0">
        <w:rPr>
          <w:bCs/>
          <w:sz w:val="28"/>
          <w:szCs w:val="28"/>
          <w:lang w:val="en-GB" w:eastAsia="ar-SA"/>
        </w:rPr>
        <w:t>rb</w:t>
      </w:r>
      <w:r w:rsidR="00E34D14">
        <w:rPr>
          <w:bCs/>
          <w:sz w:val="28"/>
          <w:szCs w:val="28"/>
          <w:lang w:val="en-GB" w:eastAsia="ar-SA"/>
        </w:rPr>
        <w:t>ë</w:t>
      </w:r>
      <w:r w:rsidR="00A843E0">
        <w:rPr>
          <w:bCs/>
          <w:sz w:val="28"/>
          <w:szCs w:val="28"/>
          <w:lang w:val="en-GB" w:eastAsia="ar-SA"/>
        </w:rPr>
        <w:t>rje t</w:t>
      </w:r>
      <w:r w:rsidR="00E34D14">
        <w:rPr>
          <w:bCs/>
          <w:sz w:val="28"/>
          <w:szCs w:val="28"/>
          <w:lang w:val="en-GB" w:eastAsia="ar-SA"/>
        </w:rPr>
        <w:t>ë</w:t>
      </w:r>
      <w:r w:rsidR="00A843E0">
        <w:rPr>
          <w:bCs/>
          <w:sz w:val="28"/>
          <w:szCs w:val="28"/>
          <w:lang w:val="en-GB" w:eastAsia="ar-SA"/>
        </w:rPr>
        <w:t xml:space="preserve"> t</w:t>
      </w:r>
      <w:r w:rsidR="00E34D14">
        <w:rPr>
          <w:bCs/>
          <w:sz w:val="28"/>
          <w:szCs w:val="28"/>
          <w:lang w:val="en-GB" w:eastAsia="ar-SA"/>
        </w:rPr>
        <w:t>ë</w:t>
      </w:r>
      <w:r w:rsidR="00A843E0">
        <w:rPr>
          <w:bCs/>
          <w:sz w:val="28"/>
          <w:szCs w:val="28"/>
          <w:lang w:val="en-GB" w:eastAsia="ar-SA"/>
        </w:rPr>
        <w:t xml:space="preserve"> cilit </w:t>
      </w:r>
      <w:r w:rsidR="00E34D14">
        <w:rPr>
          <w:bCs/>
          <w:sz w:val="28"/>
          <w:szCs w:val="28"/>
          <w:lang w:val="en-GB" w:eastAsia="ar-SA"/>
        </w:rPr>
        <w:t>ë</w:t>
      </w:r>
      <w:r w:rsidR="00A843E0">
        <w:rPr>
          <w:bCs/>
          <w:sz w:val="28"/>
          <w:szCs w:val="28"/>
          <w:lang w:val="en-GB" w:eastAsia="ar-SA"/>
        </w:rPr>
        <w:t>sht</w:t>
      </w:r>
      <w:r w:rsidR="00E34D14">
        <w:rPr>
          <w:bCs/>
          <w:sz w:val="28"/>
          <w:szCs w:val="28"/>
          <w:lang w:val="en-GB" w:eastAsia="ar-SA"/>
        </w:rPr>
        <w:t>ë</w:t>
      </w:r>
      <w:r w:rsidR="00A843E0">
        <w:rPr>
          <w:bCs/>
          <w:sz w:val="28"/>
          <w:szCs w:val="28"/>
          <w:lang w:val="en-GB" w:eastAsia="ar-SA"/>
        </w:rPr>
        <w:t xml:space="preserve"> edhe: </w:t>
      </w:r>
    </w:p>
    <w:p w14:paraId="3EC4D3DE" w14:textId="77777777" w:rsidR="00A843E0" w:rsidRDefault="00D47D99" w:rsidP="00471ECB">
      <w:pPr>
        <w:pStyle w:val="ListParagraph"/>
        <w:numPr>
          <w:ilvl w:val="0"/>
          <w:numId w:val="7"/>
        </w:numPr>
        <w:suppressAutoHyphens/>
        <w:spacing w:line="288" w:lineRule="auto"/>
        <w:jc w:val="both"/>
        <w:rPr>
          <w:bCs/>
          <w:sz w:val="28"/>
          <w:szCs w:val="28"/>
          <w:lang w:val="en-GB" w:eastAsia="ar-SA"/>
        </w:rPr>
      </w:pPr>
      <w:r w:rsidRPr="00A843E0">
        <w:rPr>
          <w:bCs/>
          <w:sz w:val="28"/>
          <w:szCs w:val="28"/>
          <w:lang w:val="en-GB" w:eastAsia="ar-SA"/>
        </w:rPr>
        <w:t>1 (një) përfaqësues nga Agjencia për Mbështetjen e Shoqërisë Civile;</w:t>
      </w:r>
    </w:p>
    <w:p w14:paraId="063F0D24" w14:textId="77777777" w:rsidR="00A843E0" w:rsidRDefault="00D47D99" w:rsidP="00471ECB">
      <w:pPr>
        <w:pStyle w:val="ListParagraph"/>
        <w:numPr>
          <w:ilvl w:val="0"/>
          <w:numId w:val="7"/>
        </w:numPr>
        <w:suppressAutoHyphens/>
        <w:spacing w:line="288" w:lineRule="auto"/>
        <w:jc w:val="both"/>
        <w:rPr>
          <w:bCs/>
          <w:sz w:val="28"/>
          <w:szCs w:val="28"/>
          <w:lang w:val="en-GB" w:eastAsia="ar-SA"/>
        </w:rPr>
      </w:pPr>
      <w:r w:rsidRPr="00A843E0">
        <w:rPr>
          <w:bCs/>
          <w:sz w:val="28"/>
          <w:szCs w:val="28"/>
          <w:lang w:val="en-GB" w:eastAsia="ar-SA"/>
        </w:rPr>
        <w:t>1 (një) përfaqësues nga Ministri përgjegjës për ekonominë;</w:t>
      </w:r>
    </w:p>
    <w:p w14:paraId="7E0701CA" w14:textId="3D5BCFC8" w:rsidR="00D47D99" w:rsidRPr="00A843E0" w:rsidRDefault="00D47D99" w:rsidP="00471ECB">
      <w:pPr>
        <w:pStyle w:val="ListParagraph"/>
        <w:numPr>
          <w:ilvl w:val="0"/>
          <w:numId w:val="7"/>
        </w:numPr>
        <w:suppressAutoHyphens/>
        <w:spacing w:line="288" w:lineRule="auto"/>
        <w:jc w:val="both"/>
        <w:rPr>
          <w:bCs/>
          <w:sz w:val="28"/>
          <w:szCs w:val="28"/>
          <w:lang w:val="en-GB" w:eastAsia="ar-SA"/>
        </w:rPr>
      </w:pPr>
      <w:r w:rsidRPr="00A843E0">
        <w:rPr>
          <w:bCs/>
          <w:sz w:val="28"/>
          <w:szCs w:val="28"/>
          <w:lang w:val="en-GB" w:eastAsia="ar-SA"/>
        </w:rPr>
        <w:t>1 (një) përfaqësus nga Ministri përgjegjës për pushtetin vendor.</w:t>
      </w:r>
    </w:p>
    <w:p w14:paraId="6DDC90D3" w14:textId="3937B00B" w:rsidR="00D47D99" w:rsidRDefault="00A843E0" w:rsidP="00D47D99">
      <w:pPr>
        <w:suppressAutoHyphens/>
        <w:spacing w:line="288" w:lineRule="auto"/>
        <w:jc w:val="both"/>
        <w:rPr>
          <w:bCs/>
          <w:sz w:val="28"/>
          <w:szCs w:val="28"/>
          <w:lang w:val="en-GB" w:eastAsia="ar-SA"/>
        </w:rPr>
      </w:pPr>
      <w:r>
        <w:rPr>
          <w:bCs/>
          <w:sz w:val="28"/>
          <w:szCs w:val="28"/>
          <w:lang w:val="en-GB" w:eastAsia="ar-SA"/>
        </w:rPr>
        <w:t>Kriteret q</w:t>
      </w:r>
      <w:r w:rsidR="00E34D14">
        <w:rPr>
          <w:bCs/>
          <w:sz w:val="28"/>
          <w:szCs w:val="28"/>
          <w:lang w:val="en-GB" w:eastAsia="ar-SA"/>
        </w:rPr>
        <w:t>ë</w:t>
      </w:r>
      <w:r>
        <w:rPr>
          <w:bCs/>
          <w:sz w:val="28"/>
          <w:szCs w:val="28"/>
          <w:lang w:val="en-GB" w:eastAsia="ar-SA"/>
        </w:rPr>
        <w:t xml:space="preserve"> duhet t</w:t>
      </w:r>
      <w:r w:rsidR="00E34D14">
        <w:rPr>
          <w:bCs/>
          <w:sz w:val="28"/>
          <w:szCs w:val="28"/>
          <w:lang w:val="en-GB" w:eastAsia="ar-SA"/>
        </w:rPr>
        <w:t>ë</w:t>
      </w:r>
      <w:r>
        <w:rPr>
          <w:bCs/>
          <w:sz w:val="28"/>
          <w:szCs w:val="28"/>
          <w:lang w:val="en-GB" w:eastAsia="ar-SA"/>
        </w:rPr>
        <w:t xml:space="preserve"> plot</w:t>
      </w:r>
      <w:r w:rsidR="00E34D14">
        <w:rPr>
          <w:bCs/>
          <w:sz w:val="28"/>
          <w:szCs w:val="28"/>
          <w:lang w:val="en-GB" w:eastAsia="ar-SA"/>
        </w:rPr>
        <w:t>ë</w:t>
      </w:r>
      <w:r>
        <w:rPr>
          <w:bCs/>
          <w:sz w:val="28"/>
          <w:szCs w:val="28"/>
          <w:lang w:val="en-GB" w:eastAsia="ar-SA"/>
        </w:rPr>
        <w:t>sojn</w:t>
      </w:r>
      <w:r w:rsidR="00E34D14">
        <w:rPr>
          <w:bCs/>
          <w:sz w:val="28"/>
          <w:szCs w:val="28"/>
          <w:lang w:val="en-GB" w:eastAsia="ar-SA"/>
        </w:rPr>
        <w:t>ë</w:t>
      </w:r>
      <w:r>
        <w:rPr>
          <w:bCs/>
          <w:sz w:val="28"/>
          <w:szCs w:val="28"/>
          <w:lang w:val="en-GB" w:eastAsia="ar-SA"/>
        </w:rPr>
        <w:t xml:space="preserve"> p</w:t>
      </w:r>
      <w:r w:rsidR="00D47D99" w:rsidRPr="00D47D99">
        <w:rPr>
          <w:bCs/>
          <w:sz w:val="28"/>
          <w:szCs w:val="28"/>
          <w:lang w:val="en-GB" w:eastAsia="ar-SA"/>
        </w:rPr>
        <w:t xml:space="preserve">artnerët nga rradhët </w:t>
      </w:r>
      <w:r w:rsidR="00D47D99" w:rsidRPr="00D47D99">
        <w:rPr>
          <w:bCs/>
          <w:sz w:val="28"/>
          <w:szCs w:val="28"/>
          <w:lang w:eastAsia="ar-SA"/>
        </w:rPr>
        <w:t xml:space="preserve">e shoqërisë civile </w:t>
      </w:r>
      <w:r>
        <w:rPr>
          <w:bCs/>
          <w:sz w:val="28"/>
          <w:szCs w:val="28"/>
          <w:lang w:val="en-GB" w:eastAsia="ar-SA"/>
        </w:rPr>
        <w:t>ngjasojn</w:t>
      </w:r>
      <w:r w:rsidR="00E34D14">
        <w:rPr>
          <w:bCs/>
          <w:sz w:val="28"/>
          <w:szCs w:val="28"/>
          <w:lang w:val="en-GB" w:eastAsia="ar-SA"/>
        </w:rPr>
        <w:t>ë</w:t>
      </w:r>
      <w:r>
        <w:rPr>
          <w:bCs/>
          <w:sz w:val="28"/>
          <w:szCs w:val="28"/>
          <w:lang w:val="en-GB" w:eastAsia="ar-SA"/>
        </w:rPr>
        <w:t xml:space="preserve"> me ato t</w:t>
      </w:r>
      <w:r w:rsidR="00E34D14">
        <w:rPr>
          <w:bCs/>
          <w:sz w:val="28"/>
          <w:szCs w:val="28"/>
          <w:lang w:val="en-GB" w:eastAsia="ar-SA"/>
        </w:rPr>
        <w:t>ë</w:t>
      </w:r>
      <w:r>
        <w:rPr>
          <w:bCs/>
          <w:sz w:val="28"/>
          <w:szCs w:val="28"/>
          <w:lang w:val="en-GB" w:eastAsia="ar-SA"/>
        </w:rPr>
        <w:t xml:space="preserve"> partner</w:t>
      </w:r>
      <w:r w:rsidR="00E34D14">
        <w:rPr>
          <w:bCs/>
          <w:sz w:val="28"/>
          <w:szCs w:val="28"/>
          <w:lang w:val="en-GB" w:eastAsia="ar-SA"/>
        </w:rPr>
        <w:t>ë</w:t>
      </w:r>
      <w:r>
        <w:rPr>
          <w:bCs/>
          <w:sz w:val="28"/>
          <w:szCs w:val="28"/>
          <w:lang w:val="en-GB" w:eastAsia="ar-SA"/>
        </w:rPr>
        <w:t>ve ekonomik dhe social. Ato p</w:t>
      </w:r>
      <w:r w:rsidR="00E34D14">
        <w:rPr>
          <w:bCs/>
          <w:sz w:val="28"/>
          <w:szCs w:val="28"/>
          <w:lang w:val="en-GB" w:eastAsia="ar-SA"/>
        </w:rPr>
        <w:t>ë</w:t>
      </w:r>
      <w:r>
        <w:rPr>
          <w:bCs/>
          <w:sz w:val="28"/>
          <w:szCs w:val="28"/>
          <w:lang w:val="en-GB" w:eastAsia="ar-SA"/>
        </w:rPr>
        <w:t>rfshijn</w:t>
      </w:r>
      <w:r w:rsidR="00E34D14">
        <w:rPr>
          <w:bCs/>
          <w:sz w:val="28"/>
          <w:szCs w:val="28"/>
          <w:lang w:val="en-GB" w:eastAsia="ar-SA"/>
        </w:rPr>
        <w:t>ë</w:t>
      </w:r>
      <w:r>
        <w:rPr>
          <w:bCs/>
          <w:sz w:val="28"/>
          <w:szCs w:val="28"/>
          <w:lang w:val="en-GB" w:eastAsia="ar-SA"/>
        </w:rPr>
        <w:t>:</w:t>
      </w:r>
    </w:p>
    <w:p w14:paraId="66917390" w14:textId="44CFCFA6" w:rsidR="00A843E0" w:rsidRDefault="00A843E0" w:rsidP="00471ECB">
      <w:pPr>
        <w:pStyle w:val="ListParagraph"/>
        <w:numPr>
          <w:ilvl w:val="0"/>
          <w:numId w:val="8"/>
        </w:numPr>
        <w:suppressAutoHyphens/>
        <w:spacing w:line="288" w:lineRule="auto"/>
        <w:jc w:val="both"/>
        <w:rPr>
          <w:bCs/>
          <w:sz w:val="28"/>
          <w:szCs w:val="28"/>
          <w:lang w:val="en-GB" w:eastAsia="ar-SA"/>
        </w:rPr>
      </w:pPr>
      <w:r>
        <w:rPr>
          <w:bCs/>
          <w:sz w:val="28"/>
          <w:szCs w:val="28"/>
          <w:lang w:val="en-GB" w:eastAsia="ar-SA"/>
        </w:rPr>
        <w:lastRenderedPageBreak/>
        <w:t>Vjet</w:t>
      </w:r>
      <w:r w:rsidR="00E34D14">
        <w:rPr>
          <w:bCs/>
          <w:sz w:val="28"/>
          <w:szCs w:val="28"/>
          <w:lang w:val="en-GB" w:eastAsia="ar-SA"/>
        </w:rPr>
        <w:t>ë</w:t>
      </w:r>
      <w:r>
        <w:rPr>
          <w:bCs/>
          <w:sz w:val="28"/>
          <w:szCs w:val="28"/>
          <w:lang w:val="en-GB" w:eastAsia="ar-SA"/>
        </w:rPr>
        <w:t>rin</w:t>
      </w:r>
      <w:r w:rsidR="00E34D14">
        <w:rPr>
          <w:bCs/>
          <w:sz w:val="28"/>
          <w:szCs w:val="28"/>
          <w:lang w:val="en-GB" w:eastAsia="ar-SA"/>
        </w:rPr>
        <w:t>ë</w:t>
      </w:r>
      <w:r>
        <w:rPr>
          <w:bCs/>
          <w:sz w:val="28"/>
          <w:szCs w:val="28"/>
          <w:lang w:val="en-GB" w:eastAsia="ar-SA"/>
        </w:rPr>
        <w:t xml:space="preserve"> n</w:t>
      </w:r>
      <w:r w:rsidR="00E34D14">
        <w:rPr>
          <w:bCs/>
          <w:sz w:val="28"/>
          <w:szCs w:val="28"/>
          <w:lang w:val="en-GB" w:eastAsia="ar-SA"/>
        </w:rPr>
        <w:t>ë</w:t>
      </w:r>
      <w:r>
        <w:rPr>
          <w:bCs/>
          <w:sz w:val="28"/>
          <w:szCs w:val="28"/>
          <w:lang w:val="en-GB" w:eastAsia="ar-SA"/>
        </w:rPr>
        <w:t xml:space="preserve"> treg n</w:t>
      </w:r>
      <w:r w:rsidR="00E34D14">
        <w:rPr>
          <w:bCs/>
          <w:sz w:val="28"/>
          <w:szCs w:val="28"/>
          <w:lang w:val="en-GB" w:eastAsia="ar-SA"/>
        </w:rPr>
        <w:t>ë</w:t>
      </w:r>
      <w:r>
        <w:rPr>
          <w:bCs/>
          <w:sz w:val="28"/>
          <w:szCs w:val="28"/>
          <w:lang w:val="en-GB" w:eastAsia="ar-SA"/>
        </w:rPr>
        <w:t xml:space="preserve"> </w:t>
      </w:r>
      <w:r w:rsidR="00D47D99" w:rsidRPr="00A843E0">
        <w:rPr>
          <w:bCs/>
          <w:sz w:val="28"/>
          <w:szCs w:val="28"/>
          <w:lang w:val="en-GB" w:eastAsia="ar-SA"/>
        </w:rPr>
        <w:t>ushtr</w:t>
      </w:r>
      <w:r>
        <w:rPr>
          <w:bCs/>
          <w:sz w:val="28"/>
          <w:szCs w:val="28"/>
          <w:lang w:val="en-GB" w:eastAsia="ar-SA"/>
        </w:rPr>
        <w:t>imin e</w:t>
      </w:r>
      <w:r w:rsidR="00D47D99" w:rsidRPr="00A843E0">
        <w:rPr>
          <w:bCs/>
          <w:sz w:val="28"/>
          <w:szCs w:val="28"/>
          <w:lang w:val="en-GB" w:eastAsia="ar-SA"/>
        </w:rPr>
        <w:t xml:space="preserve"> aktivitet në gjithë territorin e vendit në fushat e politikave të kohesionit të BE-së duke përfshirë por pa u kufizuar në inovacionin, digjitalizimin, konkurueshmërinë e SME-ve, klimës, energjisë dhe mjedisit, transportit dhe rrjeteve digjitale, punësimit, edukimit, përfshirjes sociale dhe shëndetësisë, zhvillimin urban dhe rural, të drejtat dhe liritë themelore, të drejtat e personave me aftësi të kufizuar si dhe barazisë gjinore;</w:t>
      </w:r>
    </w:p>
    <w:p w14:paraId="15B827CC" w14:textId="77777777" w:rsidR="00A843E0" w:rsidRDefault="00A843E0" w:rsidP="00471ECB">
      <w:pPr>
        <w:pStyle w:val="ListParagraph"/>
        <w:numPr>
          <w:ilvl w:val="0"/>
          <w:numId w:val="8"/>
        </w:numPr>
        <w:suppressAutoHyphens/>
        <w:spacing w:line="288" w:lineRule="auto"/>
        <w:jc w:val="both"/>
        <w:rPr>
          <w:bCs/>
          <w:sz w:val="28"/>
          <w:szCs w:val="28"/>
          <w:lang w:val="en-GB" w:eastAsia="ar-SA"/>
        </w:rPr>
      </w:pPr>
      <w:r w:rsidRPr="00A843E0">
        <w:rPr>
          <w:bCs/>
          <w:sz w:val="28"/>
          <w:szCs w:val="28"/>
          <w:lang w:val="en-GB" w:eastAsia="ar-SA"/>
        </w:rPr>
        <w:t>P</w:t>
      </w:r>
      <w:r w:rsidR="00D47D99" w:rsidRPr="00A843E0">
        <w:rPr>
          <w:bCs/>
          <w:sz w:val="28"/>
          <w:szCs w:val="28"/>
          <w:lang w:val="en-GB" w:eastAsia="ar-SA"/>
        </w:rPr>
        <w:t>ërvojë</w:t>
      </w:r>
      <w:r>
        <w:rPr>
          <w:bCs/>
          <w:sz w:val="28"/>
          <w:szCs w:val="28"/>
          <w:lang w:val="en-GB" w:eastAsia="ar-SA"/>
        </w:rPr>
        <w:t>n e akumuluar</w:t>
      </w:r>
      <w:r w:rsidR="00D47D99" w:rsidRPr="00A843E0">
        <w:rPr>
          <w:bCs/>
          <w:sz w:val="28"/>
          <w:szCs w:val="28"/>
          <w:lang w:val="en-GB" w:eastAsia="ar-SA"/>
        </w:rPr>
        <w:t xml:space="preserve"> me pjesëmarrje dhe përfshirje në procese të ndryshme të bashkëpunimit kombëtar dhe ndërkombëtar dhe me organe apo institucione publike për zhvillimin e politikave ekonomike dhe sociale apo zbatimi të programeve të ndryshme në fushat që përfshijnë por pa u kufizuar vetëm në promovimin e lirive dhe të drejtave themelore, barazisë gjinore, mosdiskriminimin, zhvillimin e qëndrueshëm, të financuar nga donatorë të ndryshëm, brenda apo jashtë vendit;</w:t>
      </w:r>
    </w:p>
    <w:p w14:paraId="330D0C21" w14:textId="6EA02339" w:rsidR="00D47D99" w:rsidRPr="00A843E0" w:rsidRDefault="00A843E0" w:rsidP="00471ECB">
      <w:pPr>
        <w:pStyle w:val="ListParagraph"/>
        <w:numPr>
          <w:ilvl w:val="0"/>
          <w:numId w:val="8"/>
        </w:numPr>
        <w:suppressAutoHyphens/>
        <w:spacing w:line="288" w:lineRule="auto"/>
        <w:jc w:val="both"/>
        <w:rPr>
          <w:bCs/>
          <w:sz w:val="28"/>
          <w:szCs w:val="28"/>
          <w:lang w:val="en-GB" w:eastAsia="ar-SA"/>
        </w:rPr>
      </w:pPr>
      <w:r>
        <w:rPr>
          <w:bCs/>
          <w:sz w:val="28"/>
          <w:szCs w:val="28"/>
          <w:lang w:val="en-GB" w:eastAsia="ar-SA"/>
        </w:rPr>
        <w:t>Evidentimin e</w:t>
      </w:r>
      <w:r w:rsidR="00D47D99" w:rsidRPr="00A843E0">
        <w:rPr>
          <w:bCs/>
          <w:sz w:val="28"/>
          <w:szCs w:val="28"/>
          <w:lang w:val="en-GB" w:eastAsia="ar-SA"/>
        </w:rPr>
        <w:t xml:space="preserve"> kapacitetete</w:t>
      </w:r>
      <w:r>
        <w:rPr>
          <w:bCs/>
          <w:sz w:val="28"/>
          <w:szCs w:val="28"/>
          <w:lang w:val="en-GB" w:eastAsia="ar-SA"/>
        </w:rPr>
        <w:t>ve</w:t>
      </w:r>
      <w:r w:rsidR="00D47D99" w:rsidRPr="00A843E0">
        <w:rPr>
          <w:bCs/>
          <w:sz w:val="28"/>
          <w:szCs w:val="28"/>
          <w:lang w:val="en-GB" w:eastAsia="ar-SA"/>
        </w:rPr>
        <w:t xml:space="preserve"> teknike dhe organizative, duke përfshirë kualifikimet e stafit kryesor të propozuar që do të përfaqësojë subjektin në partneritet. </w:t>
      </w:r>
    </w:p>
    <w:p w14:paraId="16970D01" w14:textId="35839754" w:rsidR="00D47D99" w:rsidRPr="00D47D99" w:rsidRDefault="00A843E0" w:rsidP="00D47D99">
      <w:pPr>
        <w:spacing w:line="288" w:lineRule="auto"/>
        <w:jc w:val="both"/>
        <w:rPr>
          <w:bCs/>
          <w:sz w:val="28"/>
          <w:szCs w:val="28"/>
          <w:lang w:val="en-GB" w:eastAsia="ar-SA"/>
        </w:rPr>
      </w:pPr>
      <w:r>
        <w:rPr>
          <w:bCs/>
          <w:sz w:val="28"/>
          <w:szCs w:val="28"/>
          <w:lang w:val="en-GB" w:eastAsia="ar-SA"/>
        </w:rPr>
        <w:t>Ngjashm</w:t>
      </w:r>
      <w:r w:rsidR="00E34D14">
        <w:rPr>
          <w:bCs/>
          <w:sz w:val="28"/>
          <w:szCs w:val="28"/>
          <w:lang w:val="en-GB" w:eastAsia="ar-SA"/>
        </w:rPr>
        <w:t>ë</w:t>
      </w:r>
      <w:r>
        <w:rPr>
          <w:bCs/>
          <w:sz w:val="28"/>
          <w:szCs w:val="28"/>
          <w:lang w:val="en-GB" w:eastAsia="ar-SA"/>
        </w:rPr>
        <w:t>risht edhe n</w:t>
      </w:r>
      <w:r w:rsidR="00E34D14">
        <w:rPr>
          <w:bCs/>
          <w:sz w:val="28"/>
          <w:szCs w:val="28"/>
          <w:lang w:val="en-GB" w:eastAsia="ar-SA"/>
        </w:rPr>
        <w:t>ë</w:t>
      </w:r>
      <w:r>
        <w:rPr>
          <w:bCs/>
          <w:sz w:val="28"/>
          <w:szCs w:val="28"/>
          <w:lang w:val="en-GB" w:eastAsia="ar-SA"/>
        </w:rPr>
        <w:t xml:space="preserve"> k</w:t>
      </w:r>
      <w:r w:rsidR="00E34D14">
        <w:rPr>
          <w:bCs/>
          <w:sz w:val="28"/>
          <w:szCs w:val="28"/>
          <w:lang w:val="en-GB" w:eastAsia="ar-SA"/>
        </w:rPr>
        <w:t>ë</w:t>
      </w:r>
      <w:r>
        <w:rPr>
          <w:bCs/>
          <w:sz w:val="28"/>
          <w:szCs w:val="28"/>
          <w:lang w:val="en-GB" w:eastAsia="ar-SA"/>
        </w:rPr>
        <w:t>t</w:t>
      </w:r>
      <w:r w:rsidR="00E34D14">
        <w:rPr>
          <w:bCs/>
          <w:sz w:val="28"/>
          <w:szCs w:val="28"/>
          <w:lang w:val="en-GB" w:eastAsia="ar-SA"/>
        </w:rPr>
        <w:t>ë</w:t>
      </w:r>
      <w:r>
        <w:rPr>
          <w:bCs/>
          <w:sz w:val="28"/>
          <w:szCs w:val="28"/>
          <w:lang w:val="en-GB" w:eastAsia="ar-SA"/>
        </w:rPr>
        <w:t xml:space="preserve"> rast, s</w:t>
      </w:r>
      <w:r w:rsidR="00D47D99" w:rsidRPr="00D47D99">
        <w:rPr>
          <w:bCs/>
          <w:sz w:val="28"/>
          <w:szCs w:val="28"/>
          <w:lang w:val="en-GB" w:eastAsia="ar-SA"/>
        </w:rPr>
        <w:t>ubjektet mund të aplikojnë vetëm, apo të organizuar në formën e një strukture ombrellë, rrjeti apo bashkime subjektesh të ndryshëm. Në rastin e organizimit në formën e një strukture ombrellë, rrjeti apo bashkime subjektesh, pjesë e saj duhet të jenë të paktën 5 subjekte që ushtrojnë aktivitet në nivel kombëtar dhe/ose lokal.</w:t>
      </w:r>
    </w:p>
    <w:p w14:paraId="3BDAAFFD" w14:textId="267B4F82" w:rsidR="00D47D99" w:rsidRPr="00D47D99" w:rsidRDefault="00A843E0" w:rsidP="00D47D99">
      <w:pPr>
        <w:numPr>
          <w:ilvl w:val="255"/>
          <w:numId w:val="0"/>
        </w:numPr>
        <w:spacing w:line="288" w:lineRule="auto"/>
        <w:jc w:val="both"/>
        <w:rPr>
          <w:rFonts w:eastAsia="Bahnschrift"/>
          <w:bCs/>
          <w:sz w:val="28"/>
          <w:szCs w:val="28"/>
          <w:lang w:val="en-GB" w:eastAsia="en-US"/>
        </w:rPr>
      </w:pPr>
      <w:bookmarkStart w:id="26" w:name="_Hlk198537131"/>
      <w:bookmarkStart w:id="27" w:name="_Hlk198393219"/>
      <w:r>
        <w:rPr>
          <w:rFonts w:eastAsia="Bahnschrift"/>
          <w:bCs/>
          <w:sz w:val="28"/>
          <w:szCs w:val="28"/>
          <w:lang w:val="en-GB" w:eastAsia="en-US"/>
        </w:rPr>
        <w:t>S</w:t>
      </w:r>
      <w:r w:rsidR="00E34D14">
        <w:rPr>
          <w:rFonts w:eastAsia="Bahnschrift"/>
          <w:bCs/>
          <w:sz w:val="28"/>
          <w:szCs w:val="28"/>
          <w:lang w:val="en-GB" w:eastAsia="en-US"/>
        </w:rPr>
        <w:t>ë</w:t>
      </w:r>
      <w:r>
        <w:rPr>
          <w:rFonts w:eastAsia="Bahnschrift"/>
          <w:bCs/>
          <w:sz w:val="28"/>
          <w:szCs w:val="28"/>
          <w:lang w:val="en-GB" w:eastAsia="en-US"/>
        </w:rPr>
        <w:t>risht, p</w:t>
      </w:r>
      <w:r w:rsidR="00D47D99" w:rsidRPr="00D47D99">
        <w:rPr>
          <w:rFonts w:eastAsia="Bahnschrift"/>
          <w:bCs/>
          <w:sz w:val="28"/>
          <w:szCs w:val="28"/>
          <w:lang w:val="en-GB" w:eastAsia="en-US"/>
        </w:rPr>
        <w:t>ërzgjedhja</w:t>
      </w:r>
      <w:r>
        <w:rPr>
          <w:rFonts w:eastAsia="Bahnschrift"/>
          <w:bCs/>
          <w:sz w:val="28"/>
          <w:szCs w:val="28"/>
          <w:lang w:val="en-GB" w:eastAsia="en-US"/>
        </w:rPr>
        <w:t xml:space="preserve"> nga ana e komisionit duhet t</w:t>
      </w:r>
      <w:r w:rsidR="00E34D14">
        <w:rPr>
          <w:rFonts w:eastAsia="Bahnschrift"/>
          <w:bCs/>
          <w:sz w:val="28"/>
          <w:szCs w:val="28"/>
          <w:lang w:val="en-GB" w:eastAsia="en-US"/>
        </w:rPr>
        <w:t>ë</w:t>
      </w:r>
      <w:r>
        <w:rPr>
          <w:rFonts w:eastAsia="Bahnschrift"/>
          <w:bCs/>
          <w:sz w:val="28"/>
          <w:szCs w:val="28"/>
          <w:lang w:val="en-GB" w:eastAsia="en-US"/>
        </w:rPr>
        <w:t xml:space="preserve"> </w:t>
      </w:r>
      <w:r w:rsidR="00D47D99" w:rsidRPr="00D47D99">
        <w:rPr>
          <w:rFonts w:eastAsia="Bahnschrift"/>
          <w:bCs/>
          <w:sz w:val="28"/>
          <w:szCs w:val="28"/>
          <w:lang w:val="en-GB" w:eastAsia="en-US"/>
        </w:rPr>
        <w:t>garant</w:t>
      </w:r>
      <w:r>
        <w:rPr>
          <w:rFonts w:eastAsia="Bahnschrift"/>
          <w:bCs/>
          <w:sz w:val="28"/>
          <w:szCs w:val="28"/>
          <w:lang w:val="en-GB" w:eastAsia="en-US"/>
        </w:rPr>
        <w:t>oj</w:t>
      </w:r>
      <w:r w:rsidR="00E34D14">
        <w:rPr>
          <w:rFonts w:eastAsia="Bahnschrift"/>
          <w:bCs/>
          <w:sz w:val="28"/>
          <w:szCs w:val="28"/>
          <w:lang w:val="en-GB" w:eastAsia="en-US"/>
        </w:rPr>
        <w:t>ë</w:t>
      </w:r>
      <w:r w:rsidR="00D47D99" w:rsidRPr="00D47D99">
        <w:rPr>
          <w:rFonts w:eastAsia="Bahnschrift"/>
          <w:bCs/>
          <w:sz w:val="28"/>
          <w:szCs w:val="28"/>
          <w:lang w:val="en-GB" w:eastAsia="en-US"/>
        </w:rPr>
        <w:t xml:space="preserve"> diversitet në fushat e veprimtarisë së subjekteve dhe interesave që ato përfaqësojnë, shpërndarje të drejtë territoriale si dhe barazi gjinore në anëtarësi.</w:t>
      </w:r>
    </w:p>
    <w:bookmarkEnd w:id="26"/>
    <w:p w14:paraId="4F9E4178" w14:textId="6BDFAE6D" w:rsidR="00D47D99" w:rsidRPr="00D47D99" w:rsidRDefault="00A843E0" w:rsidP="00D47D99">
      <w:pPr>
        <w:numPr>
          <w:ilvl w:val="255"/>
          <w:numId w:val="0"/>
        </w:numPr>
        <w:spacing w:line="288" w:lineRule="auto"/>
        <w:jc w:val="both"/>
        <w:rPr>
          <w:bCs/>
          <w:sz w:val="28"/>
          <w:szCs w:val="28"/>
          <w:lang w:val="en-GB" w:eastAsia="ar-SA"/>
        </w:rPr>
      </w:pPr>
      <w:r>
        <w:rPr>
          <w:rFonts w:eastAsia="Bahnschrift"/>
          <w:bCs/>
          <w:sz w:val="28"/>
          <w:szCs w:val="28"/>
          <w:lang w:val="en-GB" w:eastAsia="en-US"/>
        </w:rPr>
        <w:t>N</w:t>
      </w:r>
      <w:r w:rsidR="00E34D14">
        <w:rPr>
          <w:rFonts w:eastAsia="Bahnschrift"/>
          <w:bCs/>
          <w:sz w:val="28"/>
          <w:szCs w:val="28"/>
          <w:lang w:val="en-GB" w:eastAsia="en-US"/>
        </w:rPr>
        <w:t>ë</w:t>
      </w:r>
      <w:r>
        <w:rPr>
          <w:rFonts w:eastAsia="Bahnschrift"/>
          <w:bCs/>
          <w:sz w:val="28"/>
          <w:szCs w:val="28"/>
          <w:lang w:val="en-GB" w:eastAsia="en-US"/>
        </w:rPr>
        <w:t xml:space="preserve"> linj</w:t>
      </w:r>
      <w:r w:rsidR="00E34D14">
        <w:rPr>
          <w:rFonts w:eastAsia="Bahnschrift"/>
          <w:bCs/>
          <w:sz w:val="28"/>
          <w:szCs w:val="28"/>
          <w:lang w:val="en-GB" w:eastAsia="en-US"/>
        </w:rPr>
        <w:t>ë</w:t>
      </w:r>
      <w:r>
        <w:rPr>
          <w:rFonts w:eastAsia="Bahnschrift"/>
          <w:bCs/>
          <w:sz w:val="28"/>
          <w:szCs w:val="28"/>
          <w:lang w:val="en-GB" w:eastAsia="en-US"/>
        </w:rPr>
        <w:t xml:space="preserve"> me parashikimin m</w:t>
      </w:r>
      <w:r w:rsidR="00E34D14">
        <w:rPr>
          <w:rFonts w:eastAsia="Bahnschrift"/>
          <w:bCs/>
          <w:sz w:val="28"/>
          <w:szCs w:val="28"/>
          <w:lang w:val="en-GB" w:eastAsia="en-US"/>
        </w:rPr>
        <w:t>ë</w:t>
      </w:r>
      <w:r>
        <w:rPr>
          <w:rFonts w:eastAsia="Bahnschrift"/>
          <w:bCs/>
          <w:sz w:val="28"/>
          <w:szCs w:val="28"/>
          <w:lang w:val="en-GB" w:eastAsia="en-US"/>
        </w:rPr>
        <w:t xml:space="preserve"> sip</w:t>
      </w:r>
      <w:r w:rsidR="00E34D14">
        <w:rPr>
          <w:rFonts w:eastAsia="Bahnschrift"/>
          <w:bCs/>
          <w:sz w:val="28"/>
          <w:szCs w:val="28"/>
          <w:lang w:val="en-GB" w:eastAsia="en-US"/>
        </w:rPr>
        <w:t>ë</w:t>
      </w:r>
      <w:r>
        <w:rPr>
          <w:rFonts w:eastAsia="Bahnschrift"/>
          <w:bCs/>
          <w:sz w:val="28"/>
          <w:szCs w:val="28"/>
          <w:lang w:val="en-GB" w:eastAsia="en-US"/>
        </w:rPr>
        <w:t>r, edhe n</w:t>
      </w:r>
      <w:r w:rsidR="00E34D14">
        <w:rPr>
          <w:rFonts w:eastAsia="Bahnschrift"/>
          <w:bCs/>
          <w:sz w:val="28"/>
          <w:szCs w:val="28"/>
          <w:lang w:val="en-GB" w:eastAsia="en-US"/>
        </w:rPr>
        <w:t>ë</w:t>
      </w:r>
      <w:r>
        <w:rPr>
          <w:rFonts w:eastAsia="Bahnschrift"/>
          <w:bCs/>
          <w:sz w:val="28"/>
          <w:szCs w:val="28"/>
          <w:lang w:val="en-GB" w:eastAsia="en-US"/>
        </w:rPr>
        <w:t xml:space="preserve"> k</w:t>
      </w:r>
      <w:r w:rsidR="00E34D14">
        <w:rPr>
          <w:rFonts w:eastAsia="Bahnschrift"/>
          <w:bCs/>
          <w:sz w:val="28"/>
          <w:szCs w:val="28"/>
          <w:lang w:val="en-GB" w:eastAsia="en-US"/>
        </w:rPr>
        <w:t>ë</w:t>
      </w:r>
      <w:r>
        <w:rPr>
          <w:rFonts w:eastAsia="Bahnschrift"/>
          <w:bCs/>
          <w:sz w:val="28"/>
          <w:szCs w:val="28"/>
          <w:lang w:val="en-GB" w:eastAsia="en-US"/>
        </w:rPr>
        <w:t>t</w:t>
      </w:r>
      <w:r w:rsidR="00E34D14">
        <w:rPr>
          <w:rFonts w:eastAsia="Bahnschrift"/>
          <w:bCs/>
          <w:sz w:val="28"/>
          <w:szCs w:val="28"/>
          <w:lang w:val="en-GB" w:eastAsia="en-US"/>
        </w:rPr>
        <w:t>ë</w:t>
      </w:r>
      <w:r>
        <w:rPr>
          <w:rFonts w:eastAsia="Bahnschrift"/>
          <w:bCs/>
          <w:sz w:val="28"/>
          <w:szCs w:val="28"/>
          <w:lang w:val="en-GB" w:eastAsia="en-US"/>
        </w:rPr>
        <w:t xml:space="preserve"> rast projektakti autorizon </w:t>
      </w:r>
      <w:r>
        <w:rPr>
          <w:bCs/>
          <w:sz w:val="28"/>
          <w:szCs w:val="28"/>
          <w:lang w:val="en-GB" w:eastAsia="ar-SA"/>
        </w:rPr>
        <w:t>m</w:t>
      </w:r>
      <w:r w:rsidR="00D47D99" w:rsidRPr="00D47D99">
        <w:rPr>
          <w:bCs/>
          <w:sz w:val="28"/>
          <w:szCs w:val="28"/>
          <w:lang w:val="en-GB" w:eastAsia="ar-SA"/>
        </w:rPr>
        <w:t>inistri</w:t>
      </w:r>
      <w:r>
        <w:rPr>
          <w:bCs/>
          <w:sz w:val="28"/>
          <w:szCs w:val="28"/>
          <w:lang w:val="en-GB" w:eastAsia="ar-SA"/>
        </w:rPr>
        <w:t>n</w:t>
      </w:r>
      <w:r w:rsidR="00D47D99" w:rsidRPr="00D47D99">
        <w:rPr>
          <w:bCs/>
          <w:sz w:val="28"/>
          <w:szCs w:val="28"/>
          <w:lang w:val="en-GB" w:eastAsia="ar-SA"/>
        </w:rPr>
        <w:t xml:space="preserve"> përgjegjës negociator për Kapitullin 22</w:t>
      </w:r>
      <w:r>
        <w:rPr>
          <w:bCs/>
          <w:sz w:val="28"/>
          <w:szCs w:val="28"/>
          <w:lang w:val="en-GB" w:eastAsia="ar-SA"/>
        </w:rPr>
        <w:t xml:space="preserve"> p</w:t>
      </w:r>
      <w:r w:rsidR="00E34D14">
        <w:rPr>
          <w:bCs/>
          <w:sz w:val="28"/>
          <w:szCs w:val="28"/>
          <w:lang w:val="en-GB" w:eastAsia="ar-SA"/>
        </w:rPr>
        <w:t>ë</w:t>
      </w:r>
      <w:r>
        <w:rPr>
          <w:bCs/>
          <w:sz w:val="28"/>
          <w:szCs w:val="28"/>
          <w:lang w:val="en-GB" w:eastAsia="ar-SA"/>
        </w:rPr>
        <w:t>r t</w:t>
      </w:r>
      <w:r w:rsidR="00E34D14">
        <w:rPr>
          <w:bCs/>
          <w:sz w:val="28"/>
          <w:szCs w:val="28"/>
          <w:lang w:val="en-GB" w:eastAsia="ar-SA"/>
        </w:rPr>
        <w:t>ë</w:t>
      </w:r>
      <w:r w:rsidR="00D47D99" w:rsidRPr="00D47D99">
        <w:rPr>
          <w:bCs/>
          <w:sz w:val="28"/>
          <w:szCs w:val="28"/>
          <w:lang w:val="en-GB" w:eastAsia="ar-SA"/>
        </w:rPr>
        <w:t xml:space="preserve"> mirat</w:t>
      </w:r>
      <w:r>
        <w:rPr>
          <w:bCs/>
          <w:sz w:val="28"/>
          <w:szCs w:val="28"/>
          <w:lang w:val="en-GB" w:eastAsia="ar-SA"/>
        </w:rPr>
        <w:t>uar</w:t>
      </w:r>
      <w:r w:rsidR="00D47D99" w:rsidRPr="00D47D99">
        <w:rPr>
          <w:bCs/>
          <w:sz w:val="28"/>
          <w:szCs w:val="28"/>
          <w:lang w:val="en-GB" w:eastAsia="ar-SA"/>
        </w:rPr>
        <w:t xml:space="preserve"> Udhëzimin për metodologjinë e vlerësimit dhe pikëzimit që përfshin aspekte të shtrirjes territoriale, përvojës së krijuar, nivelin e ekspertizës, angazhimin me grupe të ndryshme të shoqërisë, kapacitetet menaxhuese, si dhe qasjen gjinore. </w:t>
      </w:r>
    </w:p>
    <w:p w14:paraId="05427A27" w14:textId="77777777" w:rsidR="00D47D99" w:rsidRDefault="00D47D99" w:rsidP="00D47D99">
      <w:pPr>
        <w:numPr>
          <w:ilvl w:val="255"/>
          <w:numId w:val="0"/>
        </w:numPr>
        <w:spacing w:line="288" w:lineRule="auto"/>
        <w:jc w:val="both"/>
        <w:rPr>
          <w:rFonts w:eastAsia="Bahnschrift"/>
          <w:bCs/>
          <w:sz w:val="28"/>
          <w:szCs w:val="28"/>
          <w:lang w:val="en-GB" w:eastAsia="en-US"/>
        </w:rPr>
      </w:pPr>
    </w:p>
    <w:p w14:paraId="6FA1F3C3" w14:textId="0226D9A8" w:rsidR="00D47D99" w:rsidRDefault="00A843E0" w:rsidP="00A843E0">
      <w:pPr>
        <w:numPr>
          <w:ilvl w:val="255"/>
          <w:numId w:val="0"/>
        </w:numPr>
        <w:spacing w:line="288" w:lineRule="auto"/>
        <w:jc w:val="both"/>
        <w:rPr>
          <w:bCs/>
          <w:sz w:val="28"/>
          <w:szCs w:val="28"/>
          <w:lang w:val="en-GB" w:eastAsia="ar-SA"/>
        </w:rPr>
      </w:pPr>
      <w:r>
        <w:rPr>
          <w:rFonts w:eastAsia="Bahnschrift"/>
          <w:bCs/>
          <w:sz w:val="28"/>
          <w:szCs w:val="28"/>
          <w:lang w:val="en-GB" w:eastAsia="en-US"/>
        </w:rPr>
        <w:t xml:space="preserve">Kreu VI parashikon </w:t>
      </w:r>
      <w:bookmarkEnd w:id="27"/>
      <w:r>
        <w:rPr>
          <w:rFonts w:eastAsia="Bahnschrift"/>
          <w:bCs/>
          <w:sz w:val="28"/>
          <w:szCs w:val="28"/>
          <w:lang w:val="en-GB" w:eastAsia="en-US"/>
        </w:rPr>
        <w:t>“</w:t>
      </w:r>
      <w:r w:rsidR="00D47D99" w:rsidRPr="00D47D99">
        <w:rPr>
          <w:b/>
          <w:bCs/>
          <w:sz w:val="28"/>
          <w:szCs w:val="28"/>
          <w:lang w:eastAsia="ar-SA"/>
        </w:rPr>
        <w:t>KRITERET DHE PROCEDURA E PËRZGJEDHJES SË PËRFAQËSUESVE NGA RRADHËT E INSTITUCIONEVE TË ARSIMIT TË LARTË DHE AKADEMISË SË SHKENCAVE</w:t>
      </w:r>
      <w:r>
        <w:rPr>
          <w:b/>
          <w:bCs/>
          <w:sz w:val="28"/>
          <w:szCs w:val="28"/>
          <w:lang w:eastAsia="ar-SA"/>
        </w:rPr>
        <w:t xml:space="preserve">”. </w:t>
      </w:r>
      <w:r w:rsidRPr="00E63BFA">
        <w:rPr>
          <w:sz w:val="28"/>
          <w:szCs w:val="28"/>
          <w:lang w:eastAsia="ar-SA"/>
        </w:rPr>
        <w:t>Parashikimet n</w:t>
      </w:r>
      <w:r w:rsidR="00E34D14" w:rsidRPr="00E63BFA">
        <w:rPr>
          <w:sz w:val="28"/>
          <w:szCs w:val="28"/>
          <w:lang w:eastAsia="ar-SA"/>
        </w:rPr>
        <w:t>ë</w:t>
      </w:r>
      <w:r w:rsidRPr="00E63BFA">
        <w:rPr>
          <w:sz w:val="28"/>
          <w:szCs w:val="28"/>
          <w:lang w:eastAsia="ar-SA"/>
        </w:rPr>
        <w:t xml:space="preserve"> k</w:t>
      </w:r>
      <w:r w:rsidR="00E34D14" w:rsidRPr="00E63BFA">
        <w:rPr>
          <w:sz w:val="28"/>
          <w:szCs w:val="28"/>
          <w:lang w:eastAsia="ar-SA"/>
        </w:rPr>
        <w:t>ë</w:t>
      </w:r>
      <w:r w:rsidRPr="00E63BFA">
        <w:rPr>
          <w:sz w:val="28"/>
          <w:szCs w:val="28"/>
          <w:lang w:eastAsia="ar-SA"/>
        </w:rPr>
        <w:t>t</w:t>
      </w:r>
      <w:r w:rsidR="00E34D14" w:rsidRPr="00E63BFA">
        <w:rPr>
          <w:sz w:val="28"/>
          <w:szCs w:val="28"/>
          <w:lang w:eastAsia="ar-SA"/>
        </w:rPr>
        <w:t>ë</w:t>
      </w:r>
      <w:r w:rsidRPr="00E63BFA">
        <w:rPr>
          <w:sz w:val="28"/>
          <w:szCs w:val="28"/>
          <w:lang w:eastAsia="ar-SA"/>
        </w:rPr>
        <w:t xml:space="preserve"> kre jan</w:t>
      </w:r>
      <w:r w:rsidR="00E34D14" w:rsidRPr="00E63BFA">
        <w:rPr>
          <w:sz w:val="28"/>
          <w:szCs w:val="28"/>
          <w:lang w:eastAsia="ar-SA"/>
        </w:rPr>
        <w:t>ë</w:t>
      </w:r>
      <w:r w:rsidRPr="00E63BFA">
        <w:rPr>
          <w:sz w:val="28"/>
          <w:szCs w:val="28"/>
          <w:lang w:eastAsia="ar-SA"/>
        </w:rPr>
        <w:t xml:space="preserve"> t</w:t>
      </w:r>
      <w:r w:rsidR="00E34D14" w:rsidRPr="00E63BFA">
        <w:rPr>
          <w:sz w:val="28"/>
          <w:szCs w:val="28"/>
          <w:lang w:eastAsia="ar-SA"/>
        </w:rPr>
        <w:t>ë</w:t>
      </w:r>
      <w:r w:rsidRPr="00E63BFA">
        <w:rPr>
          <w:sz w:val="28"/>
          <w:szCs w:val="28"/>
          <w:lang w:eastAsia="ar-SA"/>
        </w:rPr>
        <w:t xml:space="preserve"> harmonizuara me legjislacionin p</w:t>
      </w:r>
      <w:r w:rsidR="00E34D14" w:rsidRPr="00E63BFA">
        <w:rPr>
          <w:sz w:val="28"/>
          <w:szCs w:val="28"/>
          <w:lang w:eastAsia="ar-SA"/>
        </w:rPr>
        <w:t>ë</w:t>
      </w:r>
      <w:r w:rsidRPr="00E63BFA">
        <w:rPr>
          <w:sz w:val="28"/>
          <w:szCs w:val="28"/>
          <w:lang w:eastAsia="ar-SA"/>
        </w:rPr>
        <w:t>r arsimin e lart</w:t>
      </w:r>
      <w:r w:rsidR="00E34D14" w:rsidRPr="00E63BFA">
        <w:rPr>
          <w:sz w:val="28"/>
          <w:szCs w:val="28"/>
          <w:lang w:eastAsia="ar-SA"/>
        </w:rPr>
        <w:t>ë</w:t>
      </w:r>
      <w:r w:rsidRPr="00E63BFA">
        <w:rPr>
          <w:sz w:val="28"/>
          <w:szCs w:val="28"/>
          <w:lang w:eastAsia="ar-SA"/>
        </w:rPr>
        <w:t>. Nga ana tjet</w:t>
      </w:r>
      <w:r w:rsidR="00E34D14" w:rsidRPr="00E63BFA">
        <w:rPr>
          <w:sz w:val="28"/>
          <w:szCs w:val="28"/>
          <w:lang w:eastAsia="ar-SA"/>
        </w:rPr>
        <w:t>ë</w:t>
      </w:r>
      <w:r w:rsidRPr="00E63BFA">
        <w:rPr>
          <w:sz w:val="28"/>
          <w:szCs w:val="28"/>
          <w:lang w:eastAsia="ar-SA"/>
        </w:rPr>
        <w:t xml:space="preserve">r </w:t>
      </w:r>
      <w:r w:rsidRPr="00E63BFA">
        <w:rPr>
          <w:sz w:val="28"/>
          <w:szCs w:val="28"/>
          <w:lang w:eastAsia="ar-SA"/>
        </w:rPr>
        <w:lastRenderedPageBreak/>
        <w:t>parashikimet p</w:t>
      </w:r>
      <w:r w:rsidR="00E34D14" w:rsidRPr="00E63BFA">
        <w:rPr>
          <w:sz w:val="28"/>
          <w:szCs w:val="28"/>
          <w:lang w:eastAsia="ar-SA"/>
        </w:rPr>
        <w:t>ë</w:t>
      </w:r>
      <w:r w:rsidRPr="00E63BFA">
        <w:rPr>
          <w:sz w:val="28"/>
          <w:szCs w:val="28"/>
          <w:lang w:eastAsia="ar-SA"/>
        </w:rPr>
        <w:t>rfshijn</w:t>
      </w:r>
      <w:r w:rsidR="00E34D14" w:rsidRPr="00E63BFA">
        <w:rPr>
          <w:sz w:val="28"/>
          <w:szCs w:val="28"/>
          <w:lang w:eastAsia="ar-SA"/>
        </w:rPr>
        <w:t>ë</w:t>
      </w:r>
      <w:r w:rsidRPr="00E63BFA">
        <w:rPr>
          <w:sz w:val="28"/>
          <w:szCs w:val="28"/>
          <w:lang w:eastAsia="ar-SA"/>
        </w:rPr>
        <w:t xml:space="preserve"> edhe </w:t>
      </w:r>
      <w:r w:rsidRPr="00E63BFA">
        <w:rPr>
          <w:rFonts w:eastAsia="Bahnschrift"/>
          <w:sz w:val="28"/>
          <w:szCs w:val="28"/>
          <w:lang w:val="en-GB" w:eastAsia="en-US"/>
        </w:rPr>
        <w:t>detyrimin p</w:t>
      </w:r>
      <w:r w:rsidR="00E34D14" w:rsidRPr="00E63BFA">
        <w:rPr>
          <w:rFonts w:eastAsia="Bahnschrift"/>
          <w:sz w:val="28"/>
          <w:szCs w:val="28"/>
          <w:lang w:val="en-GB" w:eastAsia="en-US"/>
        </w:rPr>
        <w:t>ë</w:t>
      </w:r>
      <w:r w:rsidRPr="00E63BFA">
        <w:rPr>
          <w:rFonts w:eastAsia="Bahnschrift"/>
          <w:sz w:val="28"/>
          <w:szCs w:val="28"/>
          <w:lang w:val="en-GB" w:eastAsia="en-US"/>
        </w:rPr>
        <w:t>r p</w:t>
      </w:r>
      <w:r w:rsidR="00E34D14" w:rsidRPr="00E63BFA">
        <w:rPr>
          <w:rFonts w:eastAsia="Bahnschrift"/>
          <w:sz w:val="28"/>
          <w:szCs w:val="28"/>
          <w:lang w:val="en-GB" w:eastAsia="en-US"/>
        </w:rPr>
        <w:t>ë</w:t>
      </w:r>
      <w:r w:rsidRPr="00E63BFA">
        <w:rPr>
          <w:rFonts w:eastAsia="Bahnschrift"/>
          <w:sz w:val="28"/>
          <w:szCs w:val="28"/>
          <w:lang w:val="en-GB" w:eastAsia="en-US"/>
        </w:rPr>
        <w:t>rzgjedhje/</w:t>
      </w:r>
      <w:r w:rsidR="00D47D99" w:rsidRPr="00D47D99">
        <w:rPr>
          <w:sz w:val="28"/>
          <w:szCs w:val="28"/>
          <w:lang w:val="en-GB" w:eastAsia="ar-SA"/>
        </w:rPr>
        <w:t>përfaqësim nga fusha të ndryshme, duke përfshirë por pa u kufizuar vetëm në drejtësinë, ekonominë</w:t>
      </w:r>
      <w:r w:rsidR="00D47D99" w:rsidRPr="00D47D99">
        <w:rPr>
          <w:bCs/>
          <w:sz w:val="28"/>
          <w:szCs w:val="28"/>
          <w:lang w:val="en-GB" w:eastAsia="ar-SA"/>
        </w:rPr>
        <w:t>, financat, shkencat sociale, politeknike, bujqësinë si dhe shtrirje territoriale të përfaqësimit në partneritet.</w:t>
      </w:r>
      <w:r>
        <w:rPr>
          <w:bCs/>
          <w:sz w:val="28"/>
          <w:szCs w:val="28"/>
          <w:lang w:val="en-GB" w:eastAsia="ar-SA"/>
        </w:rPr>
        <w:t xml:space="preserve"> </w:t>
      </w:r>
    </w:p>
    <w:p w14:paraId="32C61EB4" w14:textId="77777777" w:rsidR="00E63BFA" w:rsidRDefault="00E63BFA" w:rsidP="00A843E0">
      <w:pPr>
        <w:numPr>
          <w:ilvl w:val="255"/>
          <w:numId w:val="0"/>
        </w:numPr>
        <w:spacing w:line="288" w:lineRule="auto"/>
        <w:jc w:val="both"/>
        <w:rPr>
          <w:bCs/>
          <w:sz w:val="28"/>
          <w:szCs w:val="28"/>
          <w:lang w:val="en-GB" w:eastAsia="ar-SA"/>
        </w:rPr>
      </w:pPr>
    </w:p>
    <w:p w14:paraId="07951EE4" w14:textId="20614EFD" w:rsidR="00D47D99" w:rsidRDefault="00A843E0" w:rsidP="00A843E0">
      <w:pPr>
        <w:numPr>
          <w:ilvl w:val="255"/>
          <w:numId w:val="0"/>
        </w:numPr>
        <w:spacing w:line="288" w:lineRule="auto"/>
        <w:jc w:val="both"/>
        <w:rPr>
          <w:bCs/>
          <w:sz w:val="28"/>
          <w:szCs w:val="28"/>
          <w:lang w:val="en-GB" w:eastAsia="ar-SA"/>
        </w:rPr>
      </w:pPr>
      <w:r>
        <w:rPr>
          <w:bCs/>
          <w:sz w:val="28"/>
          <w:szCs w:val="28"/>
          <w:lang w:val="en-GB" w:eastAsia="ar-SA"/>
        </w:rPr>
        <w:t>Edhe n</w:t>
      </w:r>
      <w:r w:rsidR="00E34D14">
        <w:rPr>
          <w:bCs/>
          <w:sz w:val="28"/>
          <w:szCs w:val="28"/>
          <w:lang w:val="en-GB" w:eastAsia="ar-SA"/>
        </w:rPr>
        <w:t>ë</w:t>
      </w:r>
      <w:r>
        <w:rPr>
          <w:bCs/>
          <w:sz w:val="28"/>
          <w:szCs w:val="28"/>
          <w:lang w:val="en-GB" w:eastAsia="ar-SA"/>
        </w:rPr>
        <w:t xml:space="preserve"> lidhje me procedur</w:t>
      </w:r>
      <w:r w:rsidR="00E34D14">
        <w:rPr>
          <w:bCs/>
          <w:sz w:val="28"/>
          <w:szCs w:val="28"/>
          <w:lang w:val="en-GB" w:eastAsia="ar-SA"/>
        </w:rPr>
        <w:t>ë</w:t>
      </w:r>
      <w:r>
        <w:rPr>
          <w:bCs/>
          <w:sz w:val="28"/>
          <w:szCs w:val="28"/>
          <w:lang w:val="en-GB" w:eastAsia="ar-SA"/>
        </w:rPr>
        <w:t>n q</w:t>
      </w:r>
      <w:r w:rsidR="00E34D14">
        <w:rPr>
          <w:bCs/>
          <w:sz w:val="28"/>
          <w:szCs w:val="28"/>
          <w:lang w:val="en-GB" w:eastAsia="ar-SA"/>
        </w:rPr>
        <w:t>ë</w:t>
      </w:r>
      <w:r>
        <w:rPr>
          <w:bCs/>
          <w:sz w:val="28"/>
          <w:szCs w:val="28"/>
          <w:lang w:val="en-GB" w:eastAsia="ar-SA"/>
        </w:rPr>
        <w:t xml:space="preserve"> do t</w:t>
      </w:r>
      <w:r w:rsidR="00E34D14">
        <w:rPr>
          <w:bCs/>
          <w:sz w:val="28"/>
          <w:szCs w:val="28"/>
          <w:lang w:val="en-GB" w:eastAsia="ar-SA"/>
        </w:rPr>
        <w:t>ë</w:t>
      </w:r>
      <w:r>
        <w:rPr>
          <w:bCs/>
          <w:sz w:val="28"/>
          <w:szCs w:val="28"/>
          <w:lang w:val="en-GB" w:eastAsia="ar-SA"/>
        </w:rPr>
        <w:t xml:space="preserve"> kryej</w:t>
      </w:r>
      <w:r w:rsidR="00E34D14">
        <w:rPr>
          <w:bCs/>
          <w:sz w:val="28"/>
          <w:szCs w:val="28"/>
          <w:lang w:val="en-GB" w:eastAsia="ar-SA"/>
        </w:rPr>
        <w:t>ë</w:t>
      </w:r>
      <w:r>
        <w:rPr>
          <w:bCs/>
          <w:sz w:val="28"/>
          <w:szCs w:val="28"/>
          <w:lang w:val="en-GB" w:eastAsia="ar-SA"/>
        </w:rPr>
        <w:t xml:space="preserve"> </w:t>
      </w:r>
      <w:r w:rsidR="00D47D99" w:rsidRPr="00D47D99">
        <w:rPr>
          <w:bCs/>
          <w:sz w:val="28"/>
          <w:szCs w:val="28"/>
          <w:lang w:val="en-GB" w:eastAsia="ar-SA"/>
        </w:rPr>
        <w:t>Akademia e Shkencave</w:t>
      </w:r>
      <w:r w:rsidR="00742E0D">
        <w:rPr>
          <w:bCs/>
          <w:sz w:val="28"/>
          <w:szCs w:val="28"/>
          <w:lang w:val="en-GB" w:eastAsia="ar-SA"/>
        </w:rPr>
        <w:t xml:space="preserve">, projektakti referon tek rregullat </w:t>
      </w:r>
      <w:r w:rsidR="00D47D99" w:rsidRPr="00D47D99">
        <w:rPr>
          <w:bCs/>
          <w:sz w:val="28"/>
          <w:szCs w:val="28"/>
          <w:lang w:val="en-GB" w:eastAsia="ar-SA"/>
        </w:rPr>
        <w:t xml:space="preserve">sipas legjislacionit që rregullon organizimin dhe funksionimin e saj. </w:t>
      </w:r>
    </w:p>
    <w:p w14:paraId="7BF591E3" w14:textId="43FF0172" w:rsidR="00742E0D" w:rsidRDefault="00742E0D" w:rsidP="00742E0D">
      <w:pPr>
        <w:numPr>
          <w:ilvl w:val="255"/>
          <w:numId w:val="0"/>
        </w:numPr>
        <w:spacing w:line="288" w:lineRule="auto"/>
        <w:jc w:val="both"/>
        <w:rPr>
          <w:b/>
          <w:bCs/>
          <w:sz w:val="28"/>
          <w:szCs w:val="28"/>
          <w:lang w:eastAsia="ar-SA"/>
        </w:rPr>
      </w:pPr>
      <w:r>
        <w:rPr>
          <w:bCs/>
          <w:sz w:val="28"/>
          <w:szCs w:val="28"/>
          <w:lang w:val="en-GB" w:eastAsia="ar-SA"/>
        </w:rPr>
        <w:t>N</w:t>
      </w:r>
      <w:r w:rsidR="00E34D14">
        <w:rPr>
          <w:bCs/>
          <w:sz w:val="28"/>
          <w:szCs w:val="28"/>
          <w:lang w:val="en-GB" w:eastAsia="ar-SA"/>
        </w:rPr>
        <w:t>ë</w:t>
      </w:r>
      <w:r>
        <w:rPr>
          <w:bCs/>
          <w:sz w:val="28"/>
          <w:szCs w:val="28"/>
          <w:lang w:val="en-GB" w:eastAsia="ar-SA"/>
        </w:rPr>
        <w:t xml:space="preserve"> Kreun VII jan</w:t>
      </w:r>
      <w:r w:rsidR="00E34D14">
        <w:rPr>
          <w:bCs/>
          <w:sz w:val="28"/>
          <w:szCs w:val="28"/>
          <w:lang w:val="en-GB" w:eastAsia="ar-SA"/>
        </w:rPr>
        <w:t>ë</w:t>
      </w:r>
      <w:r>
        <w:rPr>
          <w:bCs/>
          <w:sz w:val="28"/>
          <w:szCs w:val="28"/>
          <w:lang w:val="en-GB" w:eastAsia="ar-SA"/>
        </w:rPr>
        <w:t xml:space="preserve"> parashikuar rregullat p</w:t>
      </w:r>
      <w:r w:rsidR="00E34D14">
        <w:rPr>
          <w:bCs/>
          <w:sz w:val="28"/>
          <w:szCs w:val="28"/>
          <w:lang w:val="en-GB" w:eastAsia="ar-SA"/>
        </w:rPr>
        <w:t>ë</w:t>
      </w:r>
      <w:r>
        <w:rPr>
          <w:bCs/>
          <w:sz w:val="28"/>
          <w:szCs w:val="28"/>
          <w:lang w:val="en-GB" w:eastAsia="ar-SA"/>
        </w:rPr>
        <w:t xml:space="preserve">r </w:t>
      </w:r>
      <w:r>
        <w:rPr>
          <w:rFonts w:eastAsia="Bahnschrift"/>
          <w:bCs/>
          <w:sz w:val="28"/>
          <w:szCs w:val="28"/>
          <w:lang w:val="en-GB" w:eastAsia="en-US"/>
        </w:rPr>
        <w:t>“</w:t>
      </w:r>
      <w:r w:rsidR="00D47D99" w:rsidRPr="00D47D99">
        <w:rPr>
          <w:b/>
          <w:bCs/>
          <w:sz w:val="28"/>
          <w:szCs w:val="28"/>
          <w:lang w:eastAsia="ar-SA"/>
        </w:rPr>
        <w:t>ORGANIZIMI</w:t>
      </w:r>
      <w:r>
        <w:rPr>
          <w:b/>
          <w:bCs/>
          <w:sz w:val="28"/>
          <w:szCs w:val="28"/>
          <w:lang w:eastAsia="ar-SA"/>
        </w:rPr>
        <w:t>N</w:t>
      </w:r>
      <w:r w:rsidR="00D47D99" w:rsidRPr="00D47D99">
        <w:rPr>
          <w:b/>
          <w:bCs/>
          <w:sz w:val="28"/>
          <w:szCs w:val="28"/>
          <w:lang w:eastAsia="ar-SA"/>
        </w:rPr>
        <w:t xml:space="preserve"> DHE FUNKSIONIMI</w:t>
      </w:r>
      <w:r>
        <w:rPr>
          <w:b/>
          <w:bCs/>
          <w:sz w:val="28"/>
          <w:szCs w:val="28"/>
          <w:lang w:eastAsia="ar-SA"/>
        </w:rPr>
        <w:t>N</w:t>
      </w:r>
      <w:r w:rsidR="00D47D99" w:rsidRPr="00D47D99">
        <w:rPr>
          <w:b/>
          <w:bCs/>
          <w:sz w:val="28"/>
          <w:szCs w:val="28"/>
          <w:lang w:eastAsia="ar-SA"/>
        </w:rPr>
        <w:t xml:space="preserve"> </w:t>
      </w:r>
      <w:r>
        <w:rPr>
          <w:b/>
          <w:bCs/>
          <w:sz w:val="28"/>
          <w:szCs w:val="28"/>
          <w:lang w:eastAsia="ar-SA"/>
        </w:rPr>
        <w:t>E</w:t>
      </w:r>
      <w:r w:rsidR="00D47D99" w:rsidRPr="00D47D99">
        <w:rPr>
          <w:b/>
          <w:bCs/>
          <w:sz w:val="28"/>
          <w:szCs w:val="28"/>
          <w:lang w:eastAsia="ar-SA"/>
        </w:rPr>
        <w:t xml:space="preserve"> PARTNERITETIT</w:t>
      </w:r>
      <w:r>
        <w:rPr>
          <w:b/>
          <w:bCs/>
          <w:sz w:val="28"/>
          <w:szCs w:val="28"/>
          <w:lang w:eastAsia="ar-SA"/>
        </w:rPr>
        <w:t xml:space="preserve">”. </w:t>
      </w:r>
    </w:p>
    <w:p w14:paraId="5E5CA4D2" w14:textId="1AD4347F" w:rsidR="00D47D99" w:rsidRPr="00D47D99" w:rsidRDefault="00D47D99" w:rsidP="00742E0D">
      <w:pPr>
        <w:numPr>
          <w:ilvl w:val="255"/>
          <w:numId w:val="0"/>
        </w:numPr>
        <w:spacing w:line="288" w:lineRule="auto"/>
        <w:jc w:val="both"/>
        <w:rPr>
          <w:rFonts w:eastAsia="Bahnschrift"/>
          <w:bCs/>
          <w:sz w:val="28"/>
          <w:szCs w:val="28"/>
          <w:lang w:val="en-GB" w:eastAsia="en-US"/>
        </w:rPr>
      </w:pPr>
      <w:r w:rsidRPr="00D47D99">
        <w:rPr>
          <w:b/>
          <w:bCs/>
          <w:sz w:val="28"/>
          <w:szCs w:val="28"/>
          <w:lang w:eastAsia="ar-SA"/>
        </w:rPr>
        <w:t xml:space="preserve"> </w:t>
      </w:r>
      <w:r w:rsidRPr="00D47D99">
        <w:rPr>
          <w:sz w:val="28"/>
          <w:szCs w:val="28"/>
          <w:lang w:val="en-GB" w:eastAsia="ar-SA"/>
        </w:rPr>
        <w:t xml:space="preserve">Bashkërendimi dhe ndërveprimi në partneritet </w:t>
      </w:r>
      <w:r w:rsidR="00E34D14">
        <w:rPr>
          <w:sz w:val="28"/>
          <w:szCs w:val="28"/>
          <w:lang w:val="en-GB" w:eastAsia="ar-SA"/>
        </w:rPr>
        <w:t>ë</w:t>
      </w:r>
      <w:r w:rsidR="00742E0D">
        <w:rPr>
          <w:sz w:val="28"/>
          <w:szCs w:val="28"/>
          <w:lang w:val="en-GB" w:eastAsia="ar-SA"/>
        </w:rPr>
        <w:t>sht</w:t>
      </w:r>
      <w:r w:rsidR="00E34D14">
        <w:rPr>
          <w:sz w:val="28"/>
          <w:szCs w:val="28"/>
          <w:lang w:val="en-GB" w:eastAsia="ar-SA"/>
        </w:rPr>
        <w:t>ë</w:t>
      </w:r>
      <w:r w:rsidR="00742E0D">
        <w:rPr>
          <w:sz w:val="28"/>
          <w:szCs w:val="28"/>
          <w:lang w:val="en-GB" w:eastAsia="ar-SA"/>
        </w:rPr>
        <w:t xml:space="preserve"> konceptuar n</w:t>
      </w:r>
      <w:r w:rsidR="00E34D14">
        <w:rPr>
          <w:sz w:val="28"/>
          <w:szCs w:val="28"/>
          <w:lang w:val="en-GB" w:eastAsia="ar-SA"/>
        </w:rPr>
        <w:t>ë</w:t>
      </w:r>
      <w:r w:rsidR="00742E0D">
        <w:rPr>
          <w:sz w:val="28"/>
          <w:szCs w:val="28"/>
          <w:lang w:val="en-GB" w:eastAsia="ar-SA"/>
        </w:rPr>
        <w:t xml:space="preserve"> disa forma duke patur parasysh madh</w:t>
      </w:r>
      <w:r w:rsidR="00E34D14">
        <w:rPr>
          <w:sz w:val="28"/>
          <w:szCs w:val="28"/>
          <w:lang w:val="en-GB" w:eastAsia="ar-SA"/>
        </w:rPr>
        <w:t>ë</w:t>
      </w:r>
      <w:r w:rsidR="00742E0D">
        <w:rPr>
          <w:sz w:val="28"/>
          <w:szCs w:val="28"/>
          <w:lang w:val="en-GB" w:eastAsia="ar-SA"/>
        </w:rPr>
        <w:t>sin</w:t>
      </w:r>
      <w:r w:rsidR="00E34D14">
        <w:rPr>
          <w:sz w:val="28"/>
          <w:szCs w:val="28"/>
          <w:lang w:val="en-GB" w:eastAsia="ar-SA"/>
        </w:rPr>
        <w:t>ë</w:t>
      </w:r>
      <w:r w:rsidR="00742E0D">
        <w:rPr>
          <w:sz w:val="28"/>
          <w:szCs w:val="28"/>
          <w:lang w:val="en-GB" w:eastAsia="ar-SA"/>
        </w:rPr>
        <w:t xml:space="preserve"> e an</w:t>
      </w:r>
      <w:r w:rsidR="00E34D14">
        <w:rPr>
          <w:sz w:val="28"/>
          <w:szCs w:val="28"/>
          <w:lang w:val="en-GB" w:eastAsia="ar-SA"/>
        </w:rPr>
        <w:t>ë</w:t>
      </w:r>
      <w:r w:rsidR="00742E0D">
        <w:rPr>
          <w:sz w:val="28"/>
          <w:szCs w:val="28"/>
          <w:lang w:val="en-GB" w:eastAsia="ar-SA"/>
        </w:rPr>
        <w:t>tar</w:t>
      </w:r>
      <w:r w:rsidR="00E34D14">
        <w:rPr>
          <w:sz w:val="28"/>
          <w:szCs w:val="28"/>
          <w:lang w:val="en-GB" w:eastAsia="ar-SA"/>
        </w:rPr>
        <w:t>ë</w:t>
      </w:r>
      <w:r w:rsidR="00742E0D">
        <w:rPr>
          <w:sz w:val="28"/>
          <w:szCs w:val="28"/>
          <w:lang w:val="en-GB" w:eastAsia="ar-SA"/>
        </w:rPr>
        <w:t>sis</w:t>
      </w:r>
      <w:r w:rsidR="00E34D14">
        <w:rPr>
          <w:sz w:val="28"/>
          <w:szCs w:val="28"/>
          <w:lang w:val="en-GB" w:eastAsia="ar-SA"/>
        </w:rPr>
        <w:t>ë</w:t>
      </w:r>
      <w:r w:rsidR="00742E0D">
        <w:rPr>
          <w:sz w:val="28"/>
          <w:szCs w:val="28"/>
          <w:lang w:val="en-GB" w:eastAsia="ar-SA"/>
        </w:rPr>
        <w:t xml:space="preserve"> dhe aspektet e ndryshme t</w:t>
      </w:r>
      <w:r w:rsidR="00E34D14">
        <w:rPr>
          <w:sz w:val="28"/>
          <w:szCs w:val="28"/>
          <w:lang w:val="en-GB" w:eastAsia="ar-SA"/>
        </w:rPr>
        <w:t>ë</w:t>
      </w:r>
      <w:r w:rsidR="00742E0D">
        <w:rPr>
          <w:sz w:val="28"/>
          <w:szCs w:val="28"/>
          <w:lang w:val="en-GB" w:eastAsia="ar-SA"/>
        </w:rPr>
        <w:t xml:space="preserve"> veprimtaris</w:t>
      </w:r>
      <w:r w:rsidR="00E34D14">
        <w:rPr>
          <w:sz w:val="28"/>
          <w:szCs w:val="28"/>
          <w:lang w:val="en-GB" w:eastAsia="ar-SA"/>
        </w:rPr>
        <w:t>ë</w:t>
      </w:r>
      <w:r w:rsidR="00742E0D">
        <w:rPr>
          <w:sz w:val="28"/>
          <w:szCs w:val="28"/>
          <w:lang w:val="en-GB" w:eastAsia="ar-SA"/>
        </w:rPr>
        <w:t xml:space="preserve"> s</w:t>
      </w:r>
      <w:r w:rsidR="00E34D14">
        <w:rPr>
          <w:sz w:val="28"/>
          <w:szCs w:val="28"/>
          <w:lang w:val="en-GB" w:eastAsia="ar-SA"/>
        </w:rPr>
        <w:t>ë</w:t>
      </w:r>
      <w:r w:rsidR="00742E0D">
        <w:rPr>
          <w:sz w:val="28"/>
          <w:szCs w:val="28"/>
          <w:lang w:val="en-GB" w:eastAsia="ar-SA"/>
        </w:rPr>
        <w:t xml:space="preserve"> partneritetit. Format p</w:t>
      </w:r>
      <w:r w:rsidR="00E34D14">
        <w:rPr>
          <w:sz w:val="28"/>
          <w:szCs w:val="28"/>
          <w:lang w:val="en-GB" w:eastAsia="ar-SA"/>
        </w:rPr>
        <w:t>ë</w:t>
      </w:r>
      <w:r w:rsidR="00742E0D">
        <w:rPr>
          <w:sz w:val="28"/>
          <w:szCs w:val="28"/>
          <w:lang w:val="en-GB" w:eastAsia="ar-SA"/>
        </w:rPr>
        <w:t>rfshijn</w:t>
      </w:r>
      <w:r w:rsidR="00E34D14">
        <w:rPr>
          <w:sz w:val="28"/>
          <w:szCs w:val="28"/>
          <w:lang w:val="en-GB" w:eastAsia="ar-SA"/>
        </w:rPr>
        <w:t>ë</w:t>
      </w:r>
      <w:r w:rsidR="00742E0D">
        <w:rPr>
          <w:sz w:val="28"/>
          <w:szCs w:val="28"/>
          <w:lang w:val="en-GB" w:eastAsia="ar-SA"/>
        </w:rPr>
        <w:t>:</w:t>
      </w:r>
    </w:p>
    <w:p w14:paraId="232C0706" w14:textId="77777777" w:rsidR="00D47D99" w:rsidRPr="00D47D99" w:rsidRDefault="00D47D99" w:rsidP="00742E0D">
      <w:pPr>
        <w:suppressAutoHyphens/>
        <w:spacing w:line="288" w:lineRule="auto"/>
        <w:ind w:firstLine="720"/>
        <w:jc w:val="both"/>
        <w:rPr>
          <w:sz w:val="28"/>
          <w:szCs w:val="28"/>
          <w:lang w:val="en-GB" w:eastAsia="ar-SA"/>
        </w:rPr>
      </w:pPr>
      <w:r w:rsidRPr="00D47D99">
        <w:rPr>
          <w:sz w:val="28"/>
          <w:szCs w:val="28"/>
          <w:lang w:val="en-GB" w:eastAsia="ar-SA"/>
        </w:rPr>
        <w:t xml:space="preserve">a) konsultimit dhe komunikimit online; </w:t>
      </w:r>
    </w:p>
    <w:p w14:paraId="6B1638E2" w14:textId="77777777" w:rsidR="00D47D99" w:rsidRPr="00D47D99" w:rsidRDefault="00D47D99" w:rsidP="00742E0D">
      <w:pPr>
        <w:suppressAutoHyphens/>
        <w:spacing w:line="288" w:lineRule="auto"/>
        <w:ind w:firstLine="720"/>
        <w:jc w:val="both"/>
        <w:rPr>
          <w:sz w:val="28"/>
          <w:szCs w:val="28"/>
          <w:lang w:val="en-GB" w:eastAsia="ar-SA"/>
        </w:rPr>
      </w:pPr>
      <w:r w:rsidRPr="00D47D99">
        <w:rPr>
          <w:sz w:val="28"/>
          <w:szCs w:val="28"/>
          <w:lang w:val="en-GB" w:eastAsia="ar-SA"/>
        </w:rPr>
        <w:t>b) mbledhjeve të punës ose plenare.</w:t>
      </w:r>
    </w:p>
    <w:p w14:paraId="4E912FC9" w14:textId="227F1966" w:rsidR="00D47D99" w:rsidRPr="00D47D99" w:rsidRDefault="00742E0D" w:rsidP="00D47D99">
      <w:pPr>
        <w:suppressAutoHyphens/>
        <w:spacing w:line="288" w:lineRule="auto"/>
        <w:jc w:val="both"/>
        <w:rPr>
          <w:sz w:val="28"/>
          <w:szCs w:val="28"/>
          <w:lang w:eastAsia="ar-SA"/>
        </w:rPr>
      </w:pPr>
      <w:r>
        <w:rPr>
          <w:sz w:val="28"/>
          <w:szCs w:val="28"/>
          <w:lang w:eastAsia="ar-SA"/>
        </w:rPr>
        <w:t>Projektakti parashikon se m</w:t>
      </w:r>
      <w:r w:rsidR="00D47D99" w:rsidRPr="00D47D99">
        <w:rPr>
          <w:sz w:val="28"/>
          <w:szCs w:val="28"/>
          <w:lang w:eastAsia="ar-SA"/>
        </w:rPr>
        <w:t xml:space="preserve">bledhjet e punës dhe plenare zhvillohen, të paktën 2 herë në vit ose sa herë është e nevojshme, në prani të më shumë se gjysmës të të gjithë anëtarëve të partneritetit. Mbledhjet e partneritetit thirren dhe drejtohen nga ministri përgjegjës negociator për Kapitullin 22. Mbledhjet e partneritetit zhvillohen të hapura, përveç rasteve të veçanta kur me kërkesë të kryetarit zhvillohen të mbyllura. </w:t>
      </w:r>
    </w:p>
    <w:p w14:paraId="32E30B43" w14:textId="77777777" w:rsidR="00D47D99" w:rsidRPr="00D47D99" w:rsidRDefault="00D47D99" w:rsidP="00D47D99">
      <w:pPr>
        <w:suppressAutoHyphens/>
        <w:spacing w:line="288" w:lineRule="auto"/>
        <w:jc w:val="both"/>
        <w:rPr>
          <w:rFonts w:eastAsia="Aptos"/>
          <w:kern w:val="2"/>
          <w:sz w:val="28"/>
          <w:szCs w:val="28"/>
          <w:lang w:val="en-GB" w:eastAsia="en-US"/>
          <w14:ligatures w14:val="standardContextual"/>
        </w:rPr>
      </w:pPr>
      <w:r w:rsidRPr="00D47D99">
        <w:rPr>
          <w:sz w:val="28"/>
          <w:szCs w:val="28"/>
          <w:lang w:eastAsia="ar-SA"/>
        </w:rPr>
        <w:t xml:space="preserve">22. Me urdhër të ministrit përgjegjës negociator për Kapitullin 22 krijohen </w:t>
      </w:r>
      <w:r w:rsidRPr="00D47D99">
        <w:rPr>
          <w:sz w:val="28"/>
          <w:szCs w:val="28"/>
          <w:lang w:val="en-GB" w:eastAsia="ar-SA"/>
        </w:rPr>
        <w:t xml:space="preserve">komisione këshillimi, si struktura ad hoc për të mbuluar fusha dhe sektorë të caktuara të punës së partneritetit që lidhen me </w:t>
      </w:r>
      <w:r w:rsidRPr="00D47D99">
        <w:rPr>
          <w:bCs/>
          <w:sz w:val="28"/>
          <w:szCs w:val="28"/>
          <w:lang w:eastAsia="ar-SA"/>
        </w:rPr>
        <w:t>p</w:t>
      </w:r>
      <w:r w:rsidRPr="00D47D99">
        <w:rPr>
          <w:bCs/>
          <w:sz w:val="28"/>
          <w:szCs w:val="28"/>
          <w:lang w:val="en-GB" w:eastAsia="ar-SA"/>
        </w:rPr>
        <w:t>olitikën dhe fondet e kohezionit të BE-së.</w:t>
      </w:r>
      <w:r w:rsidRPr="00D47D99">
        <w:rPr>
          <w:sz w:val="28"/>
          <w:szCs w:val="28"/>
          <w:lang w:val="en-GB" w:eastAsia="ar-SA"/>
        </w:rPr>
        <w:t xml:space="preserve"> </w:t>
      </w:r>
      <w:r w:rsidRPr="00D47D99">
        <w:rPr>
          <w:rFonts w:eastAsia="Aptos"/>
          <w:kern w:val="2"/>
          <w:sz w:val="28"/>
          <w:szCs w:val="28"/>
          <w:lang w:val="en-GB" w:eastAsia="en-US"/>
          <w14:ligatures w14:val="standardContextual"/>
        </w:rPr>
        <w:t>Komisionet e këshillimit janë të përkohshme dhe përfundojnë funksionimin e tyre me kryerjen e detyrave që u janë ngarkuar. Në aktin e krijimit të komisioneve të këshillimit përcaktohen kryesuesi i tij, objekti dhe detyrat e ngarkuara.</w:t>
      </w:r>
    </w:p>
    <w:p w14:paraId="4B33C9A1" w14:textId="26D4A20E" w:rsidR="00D47D99" w:rsidRPr="00D47D99" w:rsidRDefault="00742E0D" w:rsidP="00D47D99">
      <w:pPr>
        <w:suppressAutoHyphens/>
        <w:spacing w:line="288" w:lineRule="auto"/>
        <w:jc w:val="both"/>
        <w:rPr>
          <w:rFonts w:eastAsia="Aptos"/>
          <w:kern w:val="2"/>
          <w:sz w:val="28"/>
          <w:szCs w:val="28"/>
          <w:lang w:val="en-GB" w:eastAsia="en-US"/>
          <w14:ligatures w14:val="standardContextual"/>
        </w:rPr>
      </w:pPr>
      <w:r>
        <w:rPr>
          <w:rFonts w:eastAsia="Aptos"/>
          <w:kern w:val="2"/>
          <w:sz w:val="28"/>
          <w:szCs w:val="28"/>
          <w:lang w:val="en-GB" w:eastAsia="en-US"/>
          <w14:ligatures w14:val="standardContextual"/>
        </w:rPr>
        <w:t>Duke patur parasysh natyr</w:t>
      </w:r>
      <w:r w:rsidR="00E34D14">
        <w:rPr>
          <w:rFonts w:eastAsia="Aptos"/>
          <w:kern w:val="2"/>
          <w:sz w:val="28"/>
          <w:szCs w:val="28"/>
          <w:lang w:val="en-GB" w:eastAsia="en-US"/>
          <w14:ligatures w14:val="standardContextual"/>
        </w:rPr>
        <w:t>ë</w:t>
      </w:r>
      <w:r>
        <w:rPr>
          <w:rFonts w:eastAsia="Aptos"/>
          <w:kern w:val="2"/>
          <w:sz w:val="28"/>
          <w:szCs w:val="28"/>
          <w:lang w:val="en-GB" w:eastAsia="en-US"/>
          <w14:ligatures w14:val="standardContextual"/>
        </w:rPr>
        <w:t>n e projekteve t</w:t>
      </w:r>
      <w:r w:rsidR="00E34D14">
        <w:rPr>
          <w:rFonts w:eastAsia="Aptos"/>
          <w:kern w:val="2"/>
          <w:sz w:val="28"/>
          <w:szCs w:val="28"/>
          <w:lang w:val="en-GB" w:eastAsia="en-US"/>
          <w14:ligatures w14:val="standardContextual"/>
        </w:rPr>
        <w:t>ë</w:t>
      </w:r>
      <w:r>
        <w:rPr>
          <w:rFonts w:eastAsia="Aptos"/>
          <w:kern w:val="2"/>
          <w:sz w:val="28"/>
          <w:szCs w:val="28"/>
          <w:lang w:val="en-GB" w:eastAsia="en-US"/>
          <w14:ligatures w14:val="standardContextual"/>
        </w:rPr>
        <w:t xml:space="preserve"> fondeve t</w:t>
      </w:r>
      <w:r w:rsidR="00E34D14">
        <w:rPr>
          <w:rFonts w:eastAsia="Aptos"/>
          <w:kern w:val="2"/>
          <w:sz w:val="28"/>
          <w:szCs w:val="28"/>
          <w:lang w:val="en-GB" w:eastAsia="en-US"/>
          <w14:ligatures w14:val="standardContextual"/>
        </w:rPr>
        <w:t>ë</w:t>
      </w:r>
      <w:r>
        <w:rPr>
          <w:rFonts w:eastAsia="Aptos"/>
          <w:kern w:val="2"/>
          <w:sz w:val="28"/>
          <w:szCs w:val="28"/>
          <w:lang w:val="en-GB" w:eastAsia="en-US"/>
          <w14:ligatures w14:val="standardContextual"/>
        </w:rPr>
        <w:t xml:space="preserve"> kohezionit dhe dimensionin q</w:t>
      </w:r>
      <w:r w:rsidR="00E34D14">
        <w:rPr>
          <w:rFonts w:eastAsia="Aptos"/>
          <w:kern w:val="2"/>
          <w:sz w:val="28"/>
          <w:szCs w:val="28"/>
          <w:lang w:val="en-GB" w:eastAsia="en-US"/>
          <w14:ligatures w14:val="standardContextual"/>
        </w:rPr>
        <w:t>ë</w:t>
      </w:r>
      <w:r>
        <w:rPr>
          <w:rFonts w:eastAsia="Aptos"/>
          <w:kern w:val="2"/>
          <w:sz w:val="28"/>
          <w:szCs w:val="28"/>
          <w:lang w:val="en-GB" w:eastAsia="en-US"/>
          <w14:ligatures w14:val="standardContextual"/>
        </w:rPr>
        <w:t xml:space="preserve"> ato kan</w:t>
      </w:r>
      <w:r w:rsidR="00E34D14">
        <w:rPr>
          <w:rFonts w:eastAsia="Aptos"/>
          <w:kern w:val="2"/>
          <w:sz w:val="28"/>
          <w:szCs w:val="28"/>
          <w:lang w:val="en-GB" w:eastAsia="en-US"/>
          <w14:ligatures w14:val="standardContextual"/>
        </w:rPr>
        <w:t>ë</w:t>
      </w:r>
      <w:r>
        <w:rPr>
          <w:rFonts w:eastAsia="Aptos"/>
          <w:kern w:val="2"/>
          <w:sz w:val="28"/>
          <w:szCs w:val="28"/>
          <w:lang w:val="en-GB" w:eastAsia="en-US"/>
          <w14:ligatures w14:val="standardContextual"/>
        </w:rPr>
        <w:t xml:space="preserve"> n</w:t>
      </w:r>
      <w:r w:rsidR="00E34D14">
        <w:rPr>
          <w:rFonts w:eastAsia="Aptos"/>
          <w:kern w:val="2"/>
          <w:sz w:val="28"/>
          <w:szCs w:val="28"/>
          <w:lang w:val="en-GB" w:eastAsia="en-US"/>
          <w14:ligatures w14:val="standardContextual"/>
        </w:rPr>
        <w:t>ë</w:t>
      </w:r>
      <w:r>
        <w:rPr>
          <w:rFonts w:eastAsia="Aptos"/>
          <w:kern w:val="2"/>
          <w:sz w:val="28"/>
          <w:szCs w:val="28"/>
          <w:lang w:val="en-GB" w:eastAsia="en-US"/>
          <w14:ligatures w14:val="standardContextual"/>
        </w:rPr>
        <w:t xml:space="preserve"> lidhje me lirit</w:t>
      </w:r>
      <w:r w:rsidR="00E34D14">
        <w:rPr>
          <w:rFonts w:eastAsia="Aptos"/>
          <w:kern w:val="2"/>
          <w:sz w:val="28"/>
          <w:szCs w:val="28"/>
          <w:lang w:val="en-GB" w:eastAsia="en-US"/>
          <w14:ligatures w14:val="standardContextual"/>
        </w:rPr>
        <w:t>ë</w:t>
      </w:r>
      <w:r>
        <w:rPr>
          <w:rFonts w:eastAsia="Aptos"/>
          <w:kern w:val="2"/>
          <w:sz w:val="28"/>
          <w:szCs w:val="28"/>
          <w:lang w:val="en-GB" w:eastAsia="en-US"/>
          <w14:ligatures w14:val="standardContextual"/>
        </w:rPr>
        <w:t xml:space="preserve"> dhe t</w:t>
      </w:r>
      <w:r w:rsidR="00E34D14">
        <w:rPr>
          <w:rFonts w:eastAsia="Aptos"/>
          <w:kern w:val="2"/>
          <w:sz w:val="28"/>
          <w:szCs w:val="28"/>
          <w:lang w:val="en-GB" w:eastAsia="en-US"/>
          <w14:ligatures w14:val="standardContextual"/>
        </w:rPr>
        <w:t>ë</w:t>
      </w:r>
      <w:r>
        <w:rPr>
          <w:rFonts w:eastAsia="Aptos"/>
          <w:kern w:val="2"/>
          <w:sz w:val="28"/>
          <w:szCs w:val="28"/>
          <w:lang w:val="en-GB" w:eastAsia="en-US"/>
          <w14:ligatures w14:val="standardContextual"/>
        </w:rPr>
        <w:t xml:space="preserve"> drejtat themelore t</w:t>
      </w:r>
      <w:r w:rsidR="00E34D14">
        <w:rPr>
          <w:rFonts w:eastAsia="Aptos"/>
          <w:kern w:val="2"/>
          <w:sz w:val="28"/>
          <w:szCs w:val="28"/>
          <w:lang w:val="en-GB" w:eastAsia="en-US"/>
          <w14:ligatures w14:val="standardContextual"/>
        </w:rPr>
        <w:t>ë</w:t>
      </w:r>
      <w:r>
        <w:rPr>
          <w:rFonts w:eastAsia="Aptos"/>
          <w:kern w:val="2"/>
          <w:sz w:val="28"/>
          <w:szCs w:val="28"/>
          <w:lang w:val="en-GB" w:eastAsia="en-US"/>
          <w14:ligatures w14:val="standardContextual"/>
        </w:rPr>
        <w:t xml:space="preserve"> njeriut, projektakti parashikon se n</w:t>
      </w:r>
      <w:r w:rsidR="00D47D99" w:rsidRPr="00D47D99">
        <w:rPr>
          <w:rFonts w:eastAsia="Aptos"/>
          <w:kern w:val="2"/>
          <w:sz w:val="28"/>
          <w:szCs w:val="28"/>
          <w:lang w:val="en-GB" w:eastAsia="en-US"/>
          <w14:ligatures w14:val="standardContextual"/>
        </w:rPr>
        <w:t xml:space="preserve">ë kuadër të veprimtarisë së partneritetit mund të organizohen, nëpërmjet sekretariatit teknik të tij, takime me përfaqësues të shtresave në nevojë, grupeve të margjinalizuara apo pakicave, apo partner të tjerë që ushtrojnë aktivitet në një pjesë të territorit të vendit dhe që përfaqësojnë interesat e këtyre shtresave/grupeve, përfaqësues të organe dhe institucione të tjera publike si dhe institucione kushtetuese dhe të pavarura të krijuara me ligj. Në kuadër të partneritetit </w:t>
      </w:r>
      <w:r w:rsidR="00D47D99" w:rsidRPr="00D47D99">
        <w:rPr>
          <w:rFonts w:eastAsia="Aptos"/>
          <w:kern w:val="2"/>
          <w:sz w:val="28"/>
          <w:szCs w:val="28"/>
          <w:lang w:val="en-GB" w:eastAsia="en-US"/>
          <w14:ligatures w14:val="standardContextual"/>
        </w:rPr>
        <w:lastRenderedPageBreak/>
        <w:t>mund të organizohen edhe forma të tjera këshillimi të cilat mund të jenë të përshtatshme sipas rastit.</w:t>
      </w:r>
    </w:p>
    <w:p w14:paraId="0DDEDE5A" w14:textId="25BAE660" w:rsidR="00742E0D" w:rsidRDefault="00D47D99" w:rsidP="00D47D99">
      <w:pPr>
        <w:suppressAutoHyphens/>
        <w:spacing w:line="288" w:lineRule="auto"/>
        <w:jc w:val="both"/>
        <w:rPr>
          <w:sz w:val="28"/>
          <w:szCs w:val="28"/>
          <w:lang w:eastAsia="ar-SA"/>
        </w:rPr>
      </w:pPr>
      <w:r w:rsidRPr="00D47D99">
        <w:rPr>
          <w:sz w:val="28"/>
          <w:szCs w:val="28"/>
          <w:lang w:val="en-GB" w:eastAsia="ar-SA"/>
        </w:rPr>
        <w:t xml:space="preserve">Agjencia për Mbështetjen e Vetëqeverisjes Vendore </w:t>
      </w:r>
      <w:r w:rsidR="00742E0D">
        <w:rPr>
          <w:sz w:val="28"/>
          <w:szCs w:val="28"/>
          <w:lang w:val="en-GB" w:eastAsia="ar-SA"/>
        </w:rPr>
        <w:t>do t</w:t>
      </w:r>
      <w:r w:rsidR="00E34D14">
        <w:rPr>
          <w:sz w:val="28"/>
          <w:szCs w:val="28"/>
          <w:lang w:val="en-GB" w:eastAsia="ar-SA"/>
        </w:rPr>
        <w:t>ë</w:t>
      </w:r>
      <w:r w:rsidR="00742E0D">
        <w:rPr>
          <w:sz w:val="28"/>
          <w:szCs w:val="28"/>
          <w:lang w:val="en-GB" w:eastAsia="ar-SA"/>
        </w:rPr>
        <w:t xml:space="preserve"> sh</w:t>
      </w:r>
      <w:r w:rsidR="00E34D14">
        <w:rPr>
          <w:sz w:val="28"/>
          <w:szCs w:val="28"/>
          <w:lang w:val="en-GB" w:eastAsia="ar-SA"/>
        </w:rPr>
        <w:t>ë</w:t>
      </w:r>
      <w:r w:rsidR="00742E0D">
        <w:rPr>
          <w:sz w:val="28"/>
          <w:szCs w:val="28"/>
          <w:lang w:val="en-GB" w:eastAsia="ar-SA"/>
        </w:rPr>
        <w:t xml:space="preserve">rbej si </w:t>
      </w:r>
      <w:r w:rsidRPr="00D47D99">
        <w:rPr>
          <w:sz w:val="28"/>
          <w:szCs w:val="28"/>
          <w:lang w:val="en-GB" w:eastAsia="ar-SA"/>
        </w:rPr>
        <w:t xml:space="preserve">sekretariat </w:t>
      </w:r>
      <w:r w:rsidR="00742E0D">
        <w:rPr>
          <w:sz w:val="28"/>
          <w:szCs w:val="28"/>
          <w:lang w:val="en-GB" w:eastAsia="ar-SA"/>
        </w:rPr>
        <w:t>teknik i partneritetit</w:t>
      </w:r>
      <w:r w:rsidRPr="00D47D99">
        <w:rPr>
          <w:sz w:val="28"/>
          <w:szCs w:val="28"/>
          <w:lang w:eastAsia="ar-SA"/>
        </w:rPr>
        <w:t xml:space="preserve">. </w:t>
      </w:r>
      <w:r w:rsidR="00742E0D">
        <w:rPr>
          <w:sz w:val="28"/>
          <w:szCs w:val="28"/>
          <w:lang w:eastAsia="ar-SA"/>
        </w:rPr>
        <w:t>Projektakti detajon detyrat e k</w:t>
      </w:r>
      <w:r w:rsidR="00E34D14">
        <w:rPr>
          <w:sz w:val="28"/>
          <w:szCs w:val="28"/>
          <w:lang w:eastAsia="ar-SA"/>
        </w:rPr>
        <w:t>ë</w:t>
      </w:r>
      <w:r w:rsidR="00742E0D">
        <w:rPr>
          <w:sz w:val="28"/>
          <w:szCs w:val="28"/>
          <w:lang w:eastAsia="ar-SA"/>
        </w:rPr>
        <w:t>tij sekretariati. Nd</w:t>
      </w:r>
      <w:r w:rsidR="00E34D14">
        <w:rPr>
          <w:sz w:val="28"/>
          <w:szCs w:val="28"/>
          <w:lang w:eastAsia="ar-SA"/>
        </w:rPr>
        <w:t>ë</w:t>
      </w:r>
      <w:r w:rsidR="00742E0D">
        <w:rPr>
          <w:sz w:val="28"/>
          <w:szCs w:val="28"/>
          <w:lang w:eastAsia="ar-SA"/>
        </w:rPr>
        <w:t>r t</w:t>
      </w:r>
      <w:r w:rsidR="00E34D14">
        <w:rPr>
          <w:sz w:val="28"/>
          <w:szCs w:val="28"/>
          <w:lang w:eastAsia="ar-SA"/>
        </w:rPr>
        <w:t>ë</w:t>
      </w:r>
      <w:r w:rsidR="00742E0D">
        <w:rPr>
          <w:sz w:val="28"/>
          <w:szCs w:val="28"/>
          <w:lang w:eastAsia="ar-SA"/>
        </w:rPr>
        <w:t xml:space="preserve"> tjera, partneriteti do t</w:t>
      </w:r>
      <w:r w:rsidR="00E34D14">
        <w:rPr>
          <w:sz w:val="28"/>
          <w:szCs w:val="28"/>
          <w:lang w:eastAsia="ar-SA"/>
        </w:rPr>
        <w:t>ë</w:t>
      </w:r>
      <w:r w:rsidR="00742E0D">
        <w:rPr>
          <w:sz w:val="28"/>
          <w:szCs w:val="28"/>
          <w:lang w:eastAsia="ar-SA"/>
        </w:rPr>
        <w:t xml:space="preserve"> ket</w:t>
      </w:r>
      <w:r w:rsidR="00E34D14">
        <w:rPr>
          <w:sz w:val="28"/>
          <w:szCs w:val="28"/>
          <w:lang w:eastAsia="ar-SA"/>
        </w:rPr>
        <w:t>ë</w:t>
      </w:r>
      <w:r w:rsidR="00742E0D">
        <w:rPr>
          <w:sz w:val="28"/>
          <w:szCs w:val="28"/>
          <w:lang w:eastAsia="ar-SA"/>
        </w:rPr>
        <w:t xml:space="preserve"> edhe faqen e vet zyrtare q</w:t>
      </w:r>
      <w:r w:rsidR="00E34D14">
        <w:rPr>
          <w:sz w:val="28"/>
          <w:szCs w:val="28"/>
          <w:lang w:eastAsia="ar-SA"/>
        </w:rPr>
        <w:t>ë</w:t>
      </w:r>
      <w:r w:rsidR="00742E0D">
        <w:rPr>
          <w:sz w:val="28"/>
          <w:szCs w:val="28"/>
          <w:lang w:eastAsia="ar-SA"/>
        </w:rPr>
        <w:t xml:space="preserve"> do t</w:t>
      </w:r>
      <w:r w:rsidR="00E34D14">
        <w:rPr>
          <w:sz w:val="28"/>
          <w:szCs w:val="28"/>
          <w:lang w:eastAsia="ar-SA"/>
        </w:rPr>
        <w:t>ë</w:t>
      </w:r>
      <w:r w:rsidR="00742E0D">
        <w:rPr>
          <w:sz w:val="28"/>
          <w:szCs w:val="28"/>
          <w:lang w:eastAsia="ar-SA"/>
        </w:rPr>
        <w:t xml:space="preserve"> p</w:t>
      </w:r>
      <w:r w:rsidR="00E34D14">
        <w:rPr>
          <w:sz w:val="28"/>
          <w:szCs w:val="28"/>
          <w:lang w:eastAsia="ar-SA"/>
        </w:rPr>
        <w:t>ë</w:t>
      </w:r>
      <w:r w:rsidR="00742E0D">
        <w:rPr>
          <w:sz w:val="28"/>
          <w:szCs w:val="28"/>
          <w:lang w:eastAsia="ar-SA"/>
        </w:rPr>
        <w:t>rdit</w:t>
      </w:r>
      <w:r w:rsidR="00E34D14">
        <w:rPr>
          <w:sz w:val="28"/>
          <w:szCs w:val="28"/>
          <w:lang w:eastAsia="ar-SA"/>
        </w:rPr>
        <w:t>ë</w:t>
      </w:r>
      <w:r w:rsidR="00742E0D">
        <w:rPr>
          <w:sz w:val="28"/>
          <w:szCs w:val="28"/>
          <w:lang w:eastAsia="ar-SA"/>
        </w:rPr>
        <w:t xml:space="preserve">sohet nga sekretariati. </w:t>
      </w:r>
    </w:p>
    <w:p w14:paraId="738442D2" w14:textId="77777777" w:rsidR="00E63BFA" w:rsidRDefault="00E63BFA" w:rsidP="00E13EDA">
      <w:pPr>
        <w:suppressAutoHyphens/>
        <w:spacing w:line="288" w:lineRule="auto"/>
        <w:jc w:val="both"/>
        <w:rPr>
          <w:sz w:val="28"/>
          <w:szCs w:val="28"/>
          <w:lang w:eastAsia="ar-SA"/>
        </w:rPr>
      </w:pPr>
    </w:p>
    <w:p w14:paraId="56C4F702" w14:textId="02578B36" w:rsidR="00D47D99" w:rsidRPr="00D47D99" w:rsidRDefault="00742E0D" w:rsidP="00E13EDA">
      <w:pPr>
        <w:suppressAutoHyphens/>
        <w:spacing w:line="288" w:lineRule="auto"/>
        <w:jc w:val="both"/>
        <w:rPr>
          <w:b/>
          <w:bCs/>
          <w:sz w:val="28"/>
          <w:szCs w:val="28"/>
          <w:lang w:eastAsia="ar-SA"/>
        </w:rPr>
      </w:pPr>
      <w:r>
        <w:rPr>
          <w:sz w:val="28"/>
          <w:szCs w:val="28"/>
          <w:lang w:eastAsia="ar-SA"/>
        </w:rPr>
        <w:t>N</w:t>
      </w:r>
      <w:r w:rsidR="00E34D14">
        <w:rPr>
          <w:sz w:val="28"/>
          <w:szCs w:val="28"/>
          <w:lang w:eastAsia="ar-SA"/>
        </w:rPr>
        <w:t>ë</w:t>
      </w:r>
      <w:r>
        <w:rPr>
          <w:sz w:val="28"/>
          <w:szCs w:val="28"/>
          <w:lang w:eastAsia="ar-SA"/>
        </w:rPr>
        <w:t xml:space="preserve"> Kreun VIII parashikohen rregulla n</w:t>
      </w:r>
      <w:r w:rsidR="00E34D14">
        <w:rPr>
          <w:sz w:val="28"/>
          <w:szCs w:val="28"/>
          <w:lang w:eastAsia="ar-SA"/>
        </w:rPr>
        <w:t>ë</w:t>
      </w:r>
      <w:r>
        <w:rPr>
          <w:sz w:val="28"/>
          <w:szCs w:val="28"/>
          <w:lang w:eastAsia="ar-SA"/>
        </w:rPr>
        <w:t xml:space="preserve"> lidhje me “</w:t>
      </w:r>
      <w:r w:rsidR="00D47D99" w:rsidRPr="00D47D99">
        <w:rPr>
          <w:b/>
          <w:bCs/>
          <w:sz w:val="28"/>
          <w:szCs w:val="28"/>
          <w:lang w:eastAsia="ar-SA"/>
        </w:rPr>
        <w:t>ANGAZHIMI</w:t>
      </w:r>
      <w:r>
        <w:rPr>
          <w:b/>
          <w:bCs/>
          <w:sz w:val="28"/>
          <w:szCs w:val="28"/>
          <w:lang w:eastAsia="ar-SA"/>
        </w:rPr>
        <w:t>N</w:t>
      </w:r>
      <w:r w:rsidR="00D47D99" w:rsidRPr="00D47D99">
        <w:rPr>
          <w:b/>
          <w:bCs/>
          <w:sz w:val="28"/>
          <w:szCs w:val="28"/>
          <w:lang w:eastAsia="ar-SA"/>
        </w:rPr>
        <w:t xml:space="preserve"> </w:t>
      </w:r>
      <w:r>
        <w:rPr>
          <w:b/>
          <w:bCs/>
          <w:sz w:val="28"/>
          <w:szCs w:val="28"/>
          <w:lang w:eastAsia="ar-SA"/>
        </w:rPr>
        <w:t>E</w:t>
      </w:r>
      <w:r w:rsidR="00D47D99" w:rsidRPr="00D47D99">
        <w:rPr>
          <w:b/>
          <w:bCs/>
          <w:sz w:val="28"/>
          <w:szCs w:val="28"/>
          <w:lang w:eastAsia="ar-SA"/>
        </w:rPr>
        <w:t xml:space="preserve"> ANËTARËVE TË PARTNERITETIT NË KOMITETET E MONITORIMIT</w:t>
      </w:r>
      <w:r>
        <w:rPr>
          <w:b/>
          <w:bCs/>
          <w:sz w:val="28"/>
          <w:szCs w:val="28"/>
          <w:lang w:eastAsia="ar-SA"/>
        </w:rPr>
        <w:t xml:space="preserve">”. </w:t>
      </w:r>
      <w:r w:rsidRPr="00742E0D">
        <w:rPr>
          <w:sz w:val="28"/>
          <w:szCs w:val="28"/>
          <w:lang w:eastAsia="ar-SA"/>
        </w:rPr>
        <w:t>K</w:t>
      </w:r>
      <w:r w:rsidR="00E34D14">
        <w:rPr>
          <w:sz w:val="28"/>
          <w:szCs w:val="28"/>
          <w:lang w:eastAsia="ar-SA"/>
        </w:rPr>
        <w:t>ë</w:t>
      </w:r>
      <w:r w:rsidRPr="00742E0D">
        <w:rPr>
          <w:sz w:val="28"/>
          <w:szCs w:val="28"/>
          <w:lang w:eastAsia="ar-SA"/>
        </w:rPr>
        <w:t>to rregulla jan</w:t>
      </w:r>
      <w:r w:rsidR="00E34D14">
        <w:rPr>
          <w:sz w:val="28"/>
          <w:szCs w:val="28"/>
          <w:lang w:eastAsia="ar-SA"/>
        </w:rPr>
        <w:t>ë</w:t>
      </w:r>
      <w:r w:rsidRPr="00742E0D">
        <w:rPr>
          <w:sz w:val="28"/>
          <w:szCs w:val="28"/>
          <w:lang w:eastAsia="ar-SA"/>
        </w:rPr>
        <w:t xml:space="preserve"> t</w:t>
      </w:r>
      <w:r w:rsidR="00E34D14">
        <w:rPr>
          <w:sz w:val="28"/>
          <w:szCs w:val="28"/>
          <w:lang w:eastAsia="ar-SA"/>
        </w:rPr>
        <w:t>ë</w:t>
      </w:r>
      <w:r w:rsidRPr="00742E0D">
        <w:rPr>
          <w:sz w:val="28"/>
          <w:szCs w:val="28"/>
          <w:lang w:eastAsia="ar-SA"/>
        </w:rPr>
        <w:t xml:space="preserve"> r</w:t>
      </w:r>
      <w:r w:rsidR="00E34D14">
        <w:rPr>
          <w:sz w:val="28"/>
          <w:szCs w:val="28"/>
          <w:lang w:eastAsia="ar-SA"/>
        </w:rPr>
        <w:t>ë</w:t>
      </w:r>
      <w:r w:rsidRPr="00742E0D">
        <w:rPr>
          <w:sz w:val="28"/>
          <w:szCs w:val="28"/>
          <w:lang w:eastAsia="ar-SA"/>
        </w:rPr>
        <w:t>nd</w:t>
      </w:r>
      <w:r w:rsidR="00E34D14">
        <w:rPr>
          <w:sz w:val="28"/>
          <w:szCs w:val="28"/>
          <w:lang w:eastAsia="ar-SA"/>
        </w:rPr>
        <w:t>ë</w:t>
      </w:r>
      <w:r w:rsidRPr="00742E0D">
        <w:rPr>
          <w:sz w:val="28"/>
          <w:szCs w:val="28"/>
          <w:lang w:eastAsia="ar-SA"/>
        </w:rPr>
        <w:t>sishme pasi n</w:t>
      </w:r>
      <w:r w:rsidR="00E34D14">
        <w:rPr>
          <w:sz w:val="28"/>
          <w:szCs w:val="28"/>
          <w:lang w:eastAsia="ar-SA"/>
        </w:rPr>
        <w:t>ë</w:t>
      </w:r>
      <w:r w:rsidRPr="00742E0D">
        <w:rPr>
          <w:sz w:val="28"/>
          <w:szCs w:val="28"/>
          <w:lang w:eastAsia="ar-SA"/>
        </w:rPr>
        <w:t xml:space="preserve"> programe t</w:t>
      </w:r>
      <w:r w:rsidR="00E34D14">
        <w:rPr>
          <w:sz w:val="28"/>
          <w:szCs w:val="28"/>
          <w:lang w:eastAsia="ar-SA"/>
        </w:rPr>
        <w:t>ë</w:t>
      </w:r>
      <w:r w:rsidRPr="00742E0D">
        <w:rPr>
          <w:sz w:val="28"/>
          <w:szCs w:val="28"/>
          <w:lang w:eastAsia="ar-SA"/>
        </w:rPr>
        <w:t xml:space="preserve"> ndryshme k</w:t>
      </w:r>
      <w:r w:rsidR="00E34D14">
        <w:rPr>
          <w:sz w:val="28"/>
          <w:szCs w:val="28"/>
          <w:lang w:eastAsia="ar-SA"/>
        </w:rPr>
        <w:t>ë</w:t>
      </w:r>
      <w:r w:rsidRPr="00742E0D">
        <w:rPr>
          <w:sz w:val="28"/>
          <w:szCs w:val="28"/>
          <w:lang w:eastAsia="ar-SA"/>
        </w:rPr>
        <w:t>rkohet p</w:t>
      </w:r>
      <w:r w:rsidR="00E34D14">
        <w:rPr>
          <w:sz w:val="28"/>
          <w:szCs w:val="28"/>
          <w:lang w:eastAsia="ar-SA"/>
        </w:rPr>
        <w:t>ë</w:t>
      </w:r>
      <w:r w:rsidRPr="00742E0D">
        <w:rPr>
          <w:sz w:val="28"/>
          <w:szCs w:val="28"/>
          <w:lang w:eastAsia="ar-SA"/>
        </w:rPr>
        <w:t>rfaq</w:t>
      </w:r>
      <w:r w:rsidR="00E34D14">
        <w:rPr>
          <w:sz w:val="28"/>
          <w:szCs w:val="28"/>
          <w:lang w:eastAsia="ar-SA"/>
        </w:rPr>
        <w:t>ë</w:t>
      </w:r>
      <w:r w:rsidRPr="00742E0D">
        <w:rPr>
          <w:sz w:val="28"/>
          <w:szCs w:val="28"/>
          <w:lang w:eastAsia="ar-SA"/>
        </w:rPr>
        <w:t>sim me num</w:t>
      </w:r>
      <w:r w:rsidR="00E34D14">
        <w:rPr>
          <w:sz w:val="28"/>
          <w:szCs w:val="28"/>
          <w:lang w:eastAsia="ar-SA"/>
        </w:rPr>
        <w:t>ë</w:t>
      </w:r>
      <w:r w:rsidRPr="00742E0D">
        <w:rPr>
          <w:sz w:val="28"/>
          <w:szCs w:val="28"/>
          <w:lang w:eastAsia="ar-SA"/>
        </w:rPr>
        <w:t>r t</w:t>
      </w:r>
      <w:r w:rsidR="00E34D14">
        <w:rPr>
          <w:sz w:val="28"/>
          <w:szCs w:val="28"/>
          <w:lang w:eastAsia="ar-SA"/>
        </w:rPr>
        <w:t>ë</w:t>
      </w:r>
      <w:r w:rsidRPr="00742E0D">
        <w:rPr>
          <w:sz w:val="28"/>
          <w:szCs w:val="28"/>
          <w:lang w:eastAsia="ar-SA"/>
        </w:rPr>
        <w:t xml:space="preserve"> vog</w:t>
      </w:r>
      <w:r w:rsidR="00E34D14">
        <w:rPr>
          <w:sz w:val="28"/>
          <w:szCs w:val="28"/>
          <w:lang w:eastAsia="ar-SA"/>
        </w:rPr>
        <w:t>ë</w:t>
      </w:r>
      <w:r w:rsidRPr="00742E0D">
        <w:rPr>
          <w:sz w:val="28"/>
          <w:szCs w:val="28"/>
          <w:lang w:eastAsia="ar-SA"/>
        </w:rPr>
        <w:t>l an</w:t>
      </w:r>
      <w:r w:rsidR="00E34D14">
        <w:rPr>
          <w:sz w:val="28"/>
          <w:szCs w:val="28"/>
          <w:lang w:eastAsia="ar-SA"/>
        </w:rPr>
        <w:t>ë</w:t>
      </w:r>
      <w:r w:rsidRPr="00742E0D">
        <w:rPr>
          <w:sz w:val="28"/>
          <w:szCs w:val="28"/>
          <w:lang w:eastAsia="ar-SA"/>
        </w:rPr>
        <w:t>tar</w:t>
      </w:r>
      <w:r w:rsidR="00E34D14">
        <w:rPr>
          <w:sz w:val="28"/>
          <w:szCs w:val="28"/>
          <w:lang w:eastAsia="ar-SA"/>
        </w:rPr>
        <w:t>ë</w:t>
      </w:r>
      <w:r w:rsidRPr="00742E0D">
        <w:rPr>
          <w:sz w:val="28"/>
          <w:szCs w:val="28"/>
          <w:lang w:eastAsia="ar-SA"/>
        </w:rPr>
        <w:t xml:space="preserve">sh nga partneriteti. Prandaj, </w:t>
      </w:r>
      <w:r w:rsidR="0009455D">
        <w:rPr>
          <w:sz w:val="28"/>
          <w:szCs w:val="28"/>
          <w:lang w:eastAsia="ar-SA"/>
        </w:rPr>
        <w:t xml:space="preserve">procedura dhe </w:t>
      </w:r>
      <w:r w:rsidRPr="00742E0D">
        <w:rPr>
          <w:sz w:val="28"/>
          <w:szCs w:val="28"/>
          <w:lang w:eastAsia="ar-SA"/>
        </w:rPr>
        <w:t>transpar</w:t>
      </w:r>
      <w:r w:rsidR="00E34D14">
        <w:rPr>
          <w:sz w:val="28"/>
          <w:szCs w:val="28"/>
          <w:lang w:eastAsia="ar-SA"/>
        </w:rPr>
        <w:t>ë</w:t>
      </w:r>
      <w:r w:rsidRPr="00742E0D">
        <w:rPr>
          <w:sz w:val="28"/>
          <w:szCs w:val="28"/>
          <w:lang w:eastAsia="ar-SA"/>
        </w:rPr>
        <w:t>nca n</w:t>
      </w:r>
      <w:r w:rsidR="00E34D14">
        <w:rPr>
          <w:sz w:val="28"/>
          <w:szCs w:val="28"/>
          <w:lang w:eastAsia="ar-SA"/>
        </w:rPr>
        <w:t>ë</w:t>
      </w:r>
      <w:r w:rsidRPr="00742E0D">
        <w:rPr>
          <w:sz w:val="28"/>
          <w:szCs w:val="28"/>
          <w:lang w:eastAsia="ar-SA"/>
        </w:rPr>
        <w:t xml:space="preserve"> p</w:t>
      </w:r>
      <w:r w:rsidR="00E34D14">
        <w:rPr>
          <w:sz w:val="28"/>
          <w:szCs w:val="28"/>
          <w:lang w:eastAsia="ar-SA"/>
        </w:rPr>
        <w:t>ë</w:t>
      </w:r>
      <w:r w:rsidRPr="00742E0D">
        <w:rPr>
          <w:sz w:val="28"/>
          <w:szCs w:val="28"/>
          <w:lang w:eastAsia="ar-SA"/>
        </w:rPr>
        <w:t>rzgjedhje midis an</w:t>
      </w:r>
      <w:r w:rsidR="00E34D14">
        <w:rPr>
          <w:sz w:val="28"/>
          <w:szCs w:val="28"/>
          <w:lang w:eastAsia="ar-SA"/>
        </w:rPr>
        <w:t>ë</w:t>
      </w:r>
      <w:r w:rsidRPr="00742E0D">
        <w:rPr>
          <w:sz w:val="28"/>
          <w:szCs w:val="28"/>
          <w:lang w:eastAsia="ar-SA"/>
        </w:rPr>
        <w:t>tar</w:t>
      </w:r>
      <w:r w:rsidR="00E34D14">
        <w:rPr>
          <w:sz w:val="28"/>
          <w:szCs w:val="28"/>
          <w:lang w:eastAsia="ar-SA"/>
        </w:rPr>
        <w:t>ë</w:t>
      </w:r>
      <w:r w:rsidRPr="00742E0D">
        <w:rPr>
          <w:sz w:val="28"/>
          <w:szCs w:val="28"/>
          <w:lang w:eastAsia="ar-SA"/>
        </w:rPr>
        <w:t>ve</w:t>
      </w:r>
      <w:r w:rsidR="0009455D">
        <w:rPr>
          <w:sz w:val="28"/>
          <w:szCs w:val="28"/>
          <w:lang w:eastAsia="ar-SA"/>
        </w:rPr>
        <w:t xml:space="preserve"> konsiderohen element</w:t>
      </w:r>
      <w:r w:rsidR="00E34D14">
        <w:rPr>
          <w:sz w:val="28"/>
          <w:szCs w:val="28"/>
          <w:lang w:eastAsia="ar-SA"/>
        </w:rPr>
        <w:t>ë</w:t>
      </w:r>
      <w:r w:rsidR="0009455D">
        <w:rPr>
          <w:sz w:val="28"/>
          <w:szCs w:val="28"/>
          <w:lang w:eastAsia="ar-SA"/>
        </w:rPr>
        <w:t xml:space="preserve"> kyç p</w:t>
      </w:r>
      <w:r w:rsidR="00E34D14">
        <w:rPr>
          <w:sz w:val="28"/>
          <w:szCs w:val="28"/>
          <w:lang w:eastAsia="ar-SA"/>
        </w:rPr>
        <w:t>ë</w:t>
      </w:r>
      <w:r w:rsidR="0009455D">
        <w:rPr>
          <w:sz w:val="28"/>
          <w:szCs w:val="28"/>
          <w:lang w:eastAsia="ar-SA"/>
        </w:rPr>
        <w:t>r tu p</w:t>
      </w:r>
      <w:r w:rsidR="00E34D14">
        <w:rPr>
          <w:sz w:val="28"/>
          <w:szCs w:val="28"/>
          <w:lang w:eastAsia="ar-SA"/>
        </w:rPr>
        <w:t>ë</w:t>
      </w:r>
      <w:r w:rsidR="0009455D">
        <w:rPr>
          <w:sz w:val="28"/>
          <w:szCs w:val="28"/>
          <w:lang w:eastAsia="ar-SA"/>
        </w:rPr>
        <w:t>rfshir</w:t>
      </w:r>
      <w:r w:rsidR="00E34D14">
        <w:rPr>
          <w:sz w:val="28"/>
          <w:szCs w:val="28"/>
          <w:lang w:eastAsia="ar-SA"/>
        </w:rPr>
        <w:t>ë</w:t>
      </w:r>
      <w:r w:rsidR="0009455D">
        <w:rPr>
          <w:sz w:val="28"/>
          <w:szCs w:val="28"/>
          <w:lang w:eastAsia="ar-SA"/>
        </w:rPr>
        <w:t xml:space="preserve"> n</w:t>
      </w:r>
      <w:r w:rsidR="00E34D14">
        <w:rPr>
          <w:sz w:val="28"/>
          <w:szCs w:val="28"/>
          <w:lang w:eastAsia="ar-SA"/>
        </w:rPr>
        <w:t>ë</w:t>
      </w:r>
      <w:r w:rsidR="0009455D">
        <w:rPr>
          <w:sz w:val="28"/>
          <w:szCs w:val="28"/>
          <w:lang w:eastAsia="ar-SA"/>
        </w:rPr>
        <w:t xml:space="preserve"> projektakt. </w:t>
      </w:r>
      <w:r w:rsidR="00E13EDA">
        <w:rPr>
          <w:sz w:val="28"/>
          <w:szCs w:val="28"/>
          <w:lang w:eastAsia="ar-SA"/>
        </w:rPr>
        <w:t>Kjo procedur</w:t>
      </w:r>
      <w:r w:rsidR="00E34D14">
        <w:rPr>
          <w:sz w:val="28"/>
          <w:szCs w:val="28"/>
          <w:lang w:eastAsia="ar-SA"/>
        </w:rPr>
        <w:t>ë</w:t>
      </w:r>
      <w:r w:rsidR="00E13EDA">
        <w:rPr>
          <w:sz w:val="28"/>
          <w:szCs w:val="28"/>
          <w:lang w:eastAsia="ar-SA"/>
        </w:rPr>
        <w:t xml:space="preserve"> lejon fleksibilitetin e nevojsh</w:t>
      </w:r>
      <w:r w:rsidR="00E34D14">
        <w:rPr>
          <w:sz w:val="28"/>
          <w:szCs w:val="28"/>
          <w:lang w:eastAsia="ar-SA"/>
        </w:rPr>
        <w:t>ë</w:t>
      </w:r>
      <w:r w:rsidR="00E13EDA">
        <w:rPr>
          <w:sz w:val="28"/>
          <w:szCs w:val="28"/>
          <w:lang w:eastAsia="ar-SA"/>
        </w:rPr>
        <w:t>m nd</w:t>
      </w:r>
      <w:r w:rsidR="00E34D14">
        <w:rPr>
          <w:sz w:val="28"/>
          <w:szCs w:val="28"/>
          <w:lang w:eastAsia="ar-SA"/>
        </w:rPr>
        <w:t>ë</w:t>
      </w:r>
      <w:r w:rsidR="00E13EDA">
        <w:rPr>
          <w:sz w:val="28"/>
          <w:szCs w:val="28"/>
          <w:lang w:eastAsia="ar-SA"/>
        </w:rPr>
        <w:t>rkoh</w:t>
      </w:r>
      <w:r w:rsidR="00E34D14">
        <w:rPr>
          <w:sz w:val="28"/>
          <w:szCs w:val="28"/>
          <w:lang w:eastAsia="ar-SA"/>
        </w:rPr>
        <w:t>ë</w:t>
      </w:r>
      <w:r w:rsidR="00E13EDA">
        <w:rPr>
          <w:sz w:val="28"/>
          <w:szCs w:val="28"/>
          <w:lang w:eastAsia="ar-SA"/>
        </w:rPr>
        <w:t xml:space="preserve"> q</w:t>
      </w:r>
      <w:r w:rsidR="00E34D14">
        <w:rPr>
          <w:sz w:val="28"/>
          <w:szCs w:val="28"/>
          <w:lang w:eastAsia="ar-SA"/>
        </w:rPr>
        <w:t>ë</w:t>
      </w:r>
      <w:r w:rsidR="00E13EDA">
        <w:rPr>
          <w:sz w:val="28"/>
          <w:szCs w:val="28"/>
          <w:lang w:eastAsia="ar-SA"/>
        </w:rPr>
        <w:t xml:space="preserve"> p</w:t>
      </w:r>
      <w:r w:rsidR="00E34D14">
        <w:rPr>
          <w:sz w:val="28"/>
          <w:szCs w:val="28"/>
          <w:lang w:eastAsia="ar-SA"/>
        </w:rPr>
        <w:t>ë</w:t>
      </w:r>
      <w:r w:rsidR="00E13EDA">
        <w:rPr>
          <w:sz w:val="28"/>
          <w:szCs w:val="28"/>
          <w:lang w:eastAsia="ar-SA"/>
        </w:rPr>
        <w:t>rmbush standartet e transparenc</w:t>
      </w:r>
      <w:r w:rsidR="00E34D14">
        <w:rPr>
          <w:sz w:val="28"/>
          <w:szCs w:val="28"/>
          <w:lang w:eastAsia="ar-SA"/>
        </w:rPr>
        <w:t>ë</w:t>
      </w:r>
      <w:r w:rsidR="00E13EDA">
        <w:rPr>
          <w:sz w:val="28"/>
          <w:szCs w:val="28"/>
          <w:lang w:eastAsia="ar-SA"/>
        </w:rPr>
        <w:t>s dhe objektivitetit n</w:t>
      </w:r>
      <w:r w:rsidR="00E34D14">
        <w:rPr>
          <w:sz w:val="28"/>
          <w:szCs w:val="28"/>
          <w:lang w:eastAsia="ar-SA"/>
        </w:rPr>
        <w:t>ë</w:t>
      </w:r>
      <w:r w:rsidR="00E13EDA">
        <w:rPr>
          <w:sz w:val="28"/>
          <w:szCs w:val="28"/>
          <w:lang w:eastAsia="ar-SA"/>
        </w:rPr>
        <w:t xml:space="preserve"> p</w:t>
      </w:r>
      <w:r w:rsidR="00E34D14">
        <w:rPr>
          <w:sz w:val="28"/>
          <w:szCs w:val="28"/>
          <w:lang w:eastAsia="ar-SA"/>
        </w:rPr>
        <w:t>ë</w:t>
      </w:r>
      <w:r w:rsidR="00E13EDA">
        <w:rPr>
          <w:sz w:val="28"/>
          <w:szCs w:val="28"/>
          <w:lang w:eastAsia="ar-SA"/>
        </w:rPr>
        <w:t>rzgjedhje.</w:t>
      </w:r>
      <w:r w:rsidR="00E13EDA">
        <w:rPr>
          <w:b/>
          <w:bCs/>
          <w:sz w:val="28"/>
          <w:szCs w:val="28"/>
          <w:lang w:eastAsia="ar-SA"/>
        </w:rPr>
        <w:t xml:space="preserve"> </w:t>
      </w:r>
      <w:r w:rsidR="00D47D99" w:rsidRPr="00D47D99">
        <w:rPr>
          <w:bCs/>
          <w:sz w:val="28"/>
          <w:szCs w:val="28"/>
          <w:lang w:val="en-GB" w:eastAsia="ar-SA"/>
        </w:rPr>
        <w:t>Ministri përgjegjës negociator për Kapitullin 22 kryen vlerësimin e aplikimeve bazuar në kritere objektive që përfshijnë përvojën e anëtarit, nivelin e ekspertizës në lidhje me këtë angazhim, kapacitetet menaxhuese, lidhjen midis këtyre kritereve dhe objektit të programit si dhe shpërndarjen e drejtë të angazhimit të anëtarëve në komitete të ndryshme.</w:t>
      </w:r>
    </w:p>
    <w:p w14:paraId="2AA06954" w14:textId="77777777" w:rsidR="00E63BFA" w:rsidRDefault="00E63BFA" w:rsidP="00A41F9B">
      <w:pPr>
        <w:suppressAutoHyphens/>
        <w:spacing w:line="288" w:lineRule="auto"/>
        <w:jc w:val="both"/>
        <w:rPr>
          <w:sz w:val="28"/>
          <w:szCs w:val="28"/>
          <w:lang w:eastAsia="ar-SA"/>
        </w:rPr>
      </w:pPr>
    </w:p>
    <w:p w14:paraId="7D1B239B" w14:textId="340478F0" w:rsidR="00A41F9B" w:rsidRDefault="00E13EDA" w:rsidP="00A41F9B">
      <w:pPr>
        <w:suppressAutoHyphens/>
        <w:spacing w:line="288" w:lineRule="auto"/>
        <w:jc w:val="both"/>
        <w:rPr>
          <w:sz w:val="28"/>
          <w:szCs w:val="28"/>
          <w:lang w:eastAsia="ar-SA"/>
        </w:rPr>
      </w:pPr>
      <w:r w:rsidRPr="00E13EDA">
        <w:rPr>
          <w:sz w:val="28"/>
          <w:szCs w:val="28"/>
          <w:lang w:eastAsia="ar-SA"/>
        </w:rPr>
        <w:t>N</w:t>
      </w:r>
      <w:r w:rsidR="00E34D14">
        <w:rPr>
          <w:sz w:val="28"/>
          <w:szCs w:val="28"/>
          <w:lang w:eastAsia="ar-SA"/>
        </w:rPr>
        <w:t>ë</w:t>
      </w:r>
      <w:r w:rsidRPr="00E13EDA">
        <w:rPr>
          <w:sz w:val="28"/>
          <w:szCs w:val="28"/>
          <w:lang w:eastAsia="ar-SA"/>
        </w:rPr>
        <w:t xml:space="preserve"> Kreun IX jan</w:t>
      </w:r>
      <w:r w:rsidR="00E34D14">
        <w:rPr>
          <w:sz w:val="28"/>
          <w:szCs w:val="28"/>
          <w:lang w:eastAsia="ar-SA"/>
        </w:rPr>
        <w:t>ë</w:t>
      </w:r>
      <w:r w:rsidRPr="00E13EDA">
        <w:rPr>
          <w:sz w:val="28"/>
          <w:szCs w:val="28"/>
          <w:lang w:eastAsia="ar-SA"/>
        </w:rPr>
        <w:t xml:space="preserve"> parashikuar</w:t>
      </w:r>
      <w:r>
        <w:rPr>
          <w:b/>
          <w:bCs/>
          <w:sz w:val="28"/>
          <w:szCs w:val="28"/>
          <w:lang w:eastAsia="ar-SA"/>
        </w:rPr>
        <w:t xml:space="preserve"> “</w:t>
      </w:r>
      <w:r w:rsidR="00D47D99" w:rsidRPr="00D47D99">
        <w:rPr>
          <w:b/>
          <w:bCs/>
          <w:sz w:val="28"/>
          <w:szCs w:val="28"/>
          <w:lang w:eastAsia="ar-SA"/>
        </w:rPr>
        <w:t>DISPOZITAT E FUNDIT</w:t>
      </w:r>
      <w:r>
        <w:rPr>
          <w:b/>
          <w:bCs/>
          <w:sz w:val="28"/>
          <w:szCs w:val="28"/>
          <w:lang w:eastAsia="ar-SA"/>
        </w:rPr>
        <w:t>”</w:t>
      </w:r>
      <w:r w:rsidR="00A41F9B">
        <w:rPr>
          <w:b/>
          <w:bCs/>
          <w:sz w:val="28"/>
          <w:szCs w:val="28"/>
          <w:lang w:eastAsia="ar-SA"/>
        </w:rPr>
        <w:t xml:space="preserve">. </w:t>
      </w:r>
      <w:r w:rsidR="00A41F9B" w:rsidRPr="00A41F9B">
        <w:rPr>
          <w:sz w:val="28"/>
          <w:szCs w:val="28"/>
          <w:lang w:eastAsia="ar-SA"/>
        </w:rPr>
        <w:t>Nisur nga numri i lart</w:t>
      </w:r>
      <w:r w:rsidR="00E34D14">
        <w:rPr>
          <w:sz w:val="28"/>
          <w:szCs w:val="28"/>
          <w:lang w:eastAsia="ar-SA"/>
        </w:rPr>
        <w:t>ë</w:t>
      </w:r>
      <w:r w:rsidR="00A41F9B" w:rsidRPr="00A41F9B">
        <w:rPr>
          <w:sz w:val="28"/>
          <w:szCs w:val="28"/>
          <w:lang w:eastAsia="ar-SA"/>
        </w:rPr>
        <w:t xml:space="preserve"> i an</w:t>
      </w:r>
      <w:r w:rsidR="00E34D14">
        <w:rPr>
          <w:sz w:val="28"/>
          <w:szCs w:val="28"/>
          <w:lang w:eastAsia="ar-SA"/>
        </w:rPr>
        <w:t>ë</w:t>
      </w:r>
      <w:r w:rsidR="00A41F9B" w:rsidRPr="00A41F9B">
        <w:rPr>
          <w:sz w:val="28"/>
          <w:szCs w:val="28"/>
          <w:lang w:eastAsia="ar-SA"/>
        </w:rPr>
        <w:t>tar</w:t>
      </w:r>
      <w:r w:rsidR="00E34D14">
        <w:rPr>
          <w:sz w:val="28"/>
          <w:szCs w:val="28"/>
          <w:lang w:eastAsia="ar-SA"/>
        </w:rPr>
        <w:t>ë</w:t>
      </w:r>
      <w:r w:rsidR="00A41F9B" w:rsidRPr="00A41F9B">
        <w:rPr>
          <w:sz w:val="28"/>
          <w:szCs w:val="28"/>
          <w:lang w:eastAsia="ar-SA"/>
        </w:rPr>
        <w:t>sis</w:t>
      </w:r>
      <w:r w:rsidR="00E34D14">
        <w:rPr>
          <w:sz w:val="28"/>
          <w:szCs w:val="28"/>
          <w:lang w:eastAsia="ar-SA"/>
        </w:rPr>
        <w:t>ë</w:t>
      </w:r>
      <w:r w:rsidR="00A41F9B" w:rsidRPr="00A41F9B">
        <w:rPr>
          <w:sz w:val="28"/>
          <w:szCs w:val="28"/>
          <w:lang w:eastAsia="ar-SA"/>
        </w:rPr>
        <w:t xml:space="preserve"> n</w:t>
      </w:r>
      <w:r w:rsidR="00E34D14">
        <w:rPr>
          <w:sz w:val="28"/>
          <w:szCs w:val="28"/>
          <w:lang w:eastAsia="ar-SA"/>
        </w:rPr>
        <w:t>ë</w:t>
      </w:r>
      <w:r w:rsidR="00A41F9B" w:rsidRPr="00A41F9B">
        <w:rPr>
          <w:sz w:val="28"/>
          <w:szCs w:val="28"/>
          <w:lang w:eastAsia="ar-SA"/>
        </w:rPr>
        <w:t xml:space="preserve"> partneritet dhe diversitetit midis tyre, </w:t>
      </w:r>
      <w:r w:rsidR="00E34D14">
        <w:rPr>
          <w:sz w:val="28"/>
          <w:szCs w:val="28"/>
          <w:lang w:eastAsia="ar-SA"/>
        </w:rPr>
        <w:t>ë</w:t>
      </w:r>
      <w:r w:rsidR="00A41F9B" w:rsidRPr="00A41F9B">
        <w:rPr>
          <w:sz w:val="28"/>
          <w:szCs w:val="28"/>
          <w:lang w:eastAsia="ar-SA"/>
        </w:rPr>
        <w:t>sht</w:t>
      </w:r>
      <w:r w:rsidR="00E34D14">
        <w:rPr>
          <w:sz w:val="28"/>
          <w:szCs w:val="28"/>
          <w:lang w:eastAsia="ar-SA"/>
        </w:rPr>
        <w:t>ë</w:t>
      </w:r>
      <w:r w:rsidR="00A41F9B" w:rsidRPr="00A41F9B">
        <w:rPr>
          <w:sz w:val="28"/>
          <w:szCs w:val="28"/>
          <w:lang w:eastAsia="ar-SA"/>
        </w:rPr>
        <w:t xml:space="preserve"> parashikuar q</w:t>
      </w:r>
      <w:r w:rsidR="00E34D14">
        <w:rPr>
          <w:sz w:val="28"/>
          <w:szCs w:val="28"/>
          <w:lang w:eastAsia="ar-SA"/>
        </w:rPr>
        <w:t>ë</w:t>
      </w:r>
      <w:r w:rsidR="00A41F9B" w:rsidRPr="00A41F9B">
        <w:rPr>
          <w:sz w:val="28"/>
          <w:szCs w:val="28"/>
          <w:lang w:eastAsia="ar-SA"/>
        </w:rPr>
        <w:t xml:space="preserve"> t</w:t>
      </w:r>
      <w:r w:rsidR="00E34D14">
        <w:rPr>
          <w:sz w:val="28"/>
          <w:szCs w:val="28"/>
          <w:lang w:eastAsia="ar-SA"/>
        </w:rPr>
        <w:t>ë</w:t>
      </w:r>
      <w:r w:rsidR="00A41F9B" w:rsidRPr="00A41F9B">
        <w:rPr>
          <w:sz w:val="28"/>
          <w:szCs w:val="28"/>
          <w:lang w:eastAsia="ar-SA"/>
        </w:rPr>
        <w:t xml:space="preserve"> miratohet nj</w:t>
      </w:r>
      <w:r w:rsidR="00E34D14">
        <w:rPr>
          <w:sz w:val="28"/>
          <w:szCs w:val="28"/>
          <w:lang w:eastAsia="ar-SA"/>
        </w:rPr>
        <w:t>ë</w:t>
      </w:r>
      <w:r w:rsidR="00A41F9B" w:rsidRPr="00A41F9B">
        <w:rPr>
          <w:sz w:val="28"/>
          <w:szCs w:val="28"/>
          <w:lang w:eastAsia="ar-SA"/>
        </w:rPr>
        <w:t xml:space="preserve"> rregullore e brendshme e organizimit dhe funksionimit.</w:t>
      </w:r>
      <w:r w:rsidR="00A41F9B">
        <w:rPr>
          <w:sz w:val="28"/>
          <w:szCs w:val="28"/>
          <w:lang w:eastAsia="ar-SA"/>
        </w:rPr>
        <w:t xml:space="preserve"> M</w:t>
      </w:r>
      <w:r w:rsidR="00E34D14">
        <w:rPr>
          <w:sz w:val="28"/>
          <w:szCs w:val="28"/>
          <w:lang w:eastAsia="ar-SA"/>
        </w:rPr>
        <w:t>ë</w:t>
      </w:r>
      <w:r w:rsidR="00A41F9B">
        <w:rPr>
          <w:sz w:val="28"/>
          <w:szCs w:val="28"/>
          <w:lang w:eastAsia="ar-SA"/>
        </w:rPr>
        <w:t xml:space="preserve"> tej </w:t>
      </w:r>
      <w:r w:rsidR="00E34D14">
        <w:rPr>
          <w:sz w:val="28"/>
          <w:szCs w:val="28"/>
          <w:lang w:eastAsia="ar-SA"/>
        </w:rPr>
        <w:t>ë</w:t>
      </w:r>
      <w:r w:rsidR="00A41F9B">
        <w:rPr>
          <w:sz w:val="28"/>
          <w:szCs w:val="28"/>
          <w:lang w:eastAsia="ar-SA"/>
        </w:rPr>
        <w:t>sht</w:t>
      </w:r>
      <w:r w:rsidR="00E34D14">
        <w:rPr>
          <w:sz w:val="28"/>
          <w:szCs w:val="28"/>
          <w:lang w:eastAsia="ar-SA"/>
        </w:rPr>
        <w:t>ë</w:t>
      </w:r>
      <w:r w:rsidR="00A41F9B">
        <w:rPr>
          <w:sz w:val="28"/>
          <w:szCs w:val="28"/>
          <w:lang w:eastAsia="ar-SA"/>
        </w:rPr>
        <w:t xml:space="preserve"> parashikuar nj</w:t>
      </w:r>
      <w:r w:rsidR="00E34D14">
        <w:rPr>
          <w:sz w:val="28"/>
          <w:szCs w:val="28"/>
          <w:lang w:eastAsia="ar-SA"/>
        </w:rPr>
        <w:t>ë</w:t>
      </w:r>
      <w:r w:rsidR="00A41F9B">
        <w:rPr>
          <w:sz w:val="28"/>
          <w:szCs w:val="28"/>
          <w:lang w:eastAsia="ar-SA"/>
        </w:rPr>
        <w:t xml:space="preserve"> afat 8 mujor p</w:t>
      </w:r>
      <w:r w:rsidR="00E34D14">
        <w:rPr>
          <w:sz w:val="28"/>
          <w:szCs w:val="28"/>
          <w:lang w:eastAsia="ar-SA"/>
        </w:rPr>
        <w:t>ë</w:t>
      </w:r>
      <w:r w:rsidR="00A41F9B">
        <w:rPr>
          <w:sz w:val="28"/>
          <w:szCs w:val="28"/>
          <w:lang w:eastAsia="ar-SA"/>
        </w:rPr>
        <w:t>r p</w:t>
      </w:r>
      <w:r w:rsidR="00E34D14">
        <w:rPr>
          <w:sz w:val="28"/>
          <w:szCs w:val="28"/>
          <w:lang w:eastAsia="ar-SA"/>
        </w:rPr>
        <w:t>ë</w:t>
      </w:r>
      <w:r w:rsidR="00A41F9B">
        <w:rPr>
          <w:sz w:val="28"/>
          <w:szCs w:val="28"/>
          <w:lang w:eastAsia="ar-SA"/>
        </w:rPr>
        <w:t>rmbylljen e p</w:t>
      </w:r>
      <w:r w:rsidR="00D47D99" w:rsidRPr="00D47D99">
        <w:rPr>
          <w:rFonts w:eastAsia="Bahnschrift"/>
          <w:bCs/>
          <w:sz w:val="28"/>
          <w:szCs w:val="28"/>
          <w:lang w:val="en-GB" w:eastAsia="en-US"/>
        </w:rPr>
        <w:t>rocesi</w:t>
      </w:r>
      <w:r w:rsidR="00A41F9B">
        <w:rPr>
          <w:rFonts w:eastAsia="Bahnschrift"/>
          <w:bCs/>
          <w:sz w:val="28"/>
          <w:szCs w:val="28"/>
          <w:lang w:val="en-GB" w:eastAsia="en-US"/>
        </w:rPr>
        <w:t>t</w:t>
      </w:r>
      <w:r w:rsidR="00D47D99" w:rsidRPr="00D47D99">
        <w:rPr>
          <w:rFonts w:eastAsia="Bahnschrift"/>
          <w:bCs/>
          <w:sz w:val="28"/>
          <w:szCs w:val="28"/>
          <w:lang w:val="en-GB" w:eastAsia="en-US"/>
        </w:rPr>
        <w:t xml:space="preserve"> </w:t>
      </w:r>
      <w:r w:rsidR="00A41F9B">
        <w:rPr>
          <w:rFonts w:eastAsia="Bahnschrift"/>
          <w:bCs/>
          <w:sz w:val="28"/>
          <w:szCs w:val="28"/>
          <w:lang w:val="en-GB" w:eastAsia="en-US"/>
        </w:rPr>
        <w:t>t</w:t>
      </w:r>
      <w:r w:rsidR="00E34D14">
        <w:rPr>
          <w:rFonts w:eastAsia="Bahnschrift"/>
          <w:bCs/>
          <w:sz w:val="28"/>
          <w:szCs w:val="28"/>
          <w:lang w:val="en-GB" w:eastAsia="en-US"/>
        </w:rPr>
        <w:t>ë</w:t>
      </w:r>
      <w:r w:rsidR="00D47D99" w:rsidRPr="00D47D99">
        <w:rPr>
          <w:rFonts w:eastAsia="Bahnschrift"/>
          <w:bCs/>
          <w:sz w:val="28"/>
          <w:szCs w:val="28"/>
          <w:lang w:val="en-GB" w:eastAsia="en-US"/>
        </w:rPr>
        <w:t xml:space="preserve"> përzgjedhjes së partnerëv</w:t>
      </w:r>
      <w:r w:rsidR="00A41F9B">
        <w:rPr>
          <w:rFonts w:eastAsia="Bahnschrift"/>
          <w:bCs/>
          <w:sz w:val="28"/>
          <w:szCs w:val="28"/>
          <w:lang w:val="en-GB" w:eastAsia="en-US"/>
        </w:rPr>
        <w:t xml:space="preserve">e. </w:t>
      </w:r>
      <w:r w:rsidR="00D47D99" w:rsidRPr="00D47D99">
        <w:rPr>
          <w:rFonts w:eastAsia="Bahnschrift"/>
          <w:bCs/>
          <w:sz w:val="28"/>
          <w:szCs w:val="28"/>
          <w:lang w:val="en-GB" w:eastAsia="en-US"/>
        </w:rPr>
        <w:t xml:space="preserve">Përfshirja e </w:t>
      </w:r>
      <w:r w:rsidR="00D47D99" w:rsidRPr="00D47D99">
        <w:rPr>
          <w:bCs/>
          <w:sz w:val="28"/>
          <w:szCs w:val="28"/>
          <w:lang w:val="en-GB" w:eastAsia="ar-SA"/>
        </w:rPr>
        <w:t xml:space="preserve">partnerëve të tjerë ekonomik dhe social, nga rradhët e shoqërisë civile, si dhe institucioneve të arsimit të lartë dhe kërkimor që mund të konsiderohet e nevojshëm në kuadër të </w:t>
      </w:r>
      <w:r w:rsidR="00D47D99" w:rsidRPr="00D47D99">
        <w:rPr>
          <w:bCs/>
          <w:sz w:val="28"/>
          <w:szCs w:val="28"/>
          <w:lang w:eastAsia="ar-SA"/>
        </w:rPr>
        <w:t xml:space="preserve">përgatitjes, zbatimit, monitorimit dhe vlerësimit të fondeve evropiane strukturore dhe të investimeve i nënshtrohet kriteteve dhe procedurave të parashikuara në këtë vendim. Në të gjitha rastet, numri i partnerëve që do të përzgjidhen nuk mund të tejkaloj dyfishin e numrit të parashikuar në pikën 5, shkronja ç), d) dhe e) të këtij vendimi. </w:t>
      </w:r>
    </w:p>
    <w:p w14:paraId="666F1F14" w14:textId="4419DE28" w:rsidR="00D47D99" w:rsidRPr="00D47D99" w:rsidRDefault="00D47D99" w:rsidP="00A41F9B">
      <w:pPr>
        <w:suppressAutoHyphens/>
        <w:spacing w:line="288" w:lineRule="auto"/>
        <w:jc w:val="both"/>
        <w:rPr>
          <w:sz w:val="28"/>
          <w:szCs w:val="28"/>
          <w:lang w:eastAsia="ar-SA"/>
        </w:rPr>
      </w:pPr>
      <w:r w:rsidRPr="00D47D99">
        <w:rPr>
          <w:bCs/>
          <w:sz w:val="28"/>
          <w:szCs w:val="28"/>
          <w:lang w:val="en-GB" w:eastAsia="ar-SA"/>
        </w:rPr>
        <w:t xml:space="preserve">Pas mbylljes së përkohshme të negociatave për Kapitullin 22, </w:t>
      </w:r>
      <w:r w:rsidR="00A41F9B">
        <w:rPr>
          <w:bCs/>
          <w:sz w:val="28"/>
          <w:szCs w:val="28"/>
          <w:lang w:val="en-GB" w:eastAsia="ar-SA"/>
        </w:rPr>
        <w:t>parashikohet q</w:t>
      </w:r>
      <w:r w:rsidR="00E34D14">
        <w:rPr>
          <w:bCs/>
          <w:sz w:val="28"/>
          <w:szCs w:val="28"/>
          <w:lang w:val="en-GB" w:eastAsia="ar-SA"/>
        </w:rPr>
        <w:t>ë</w:t>
      </w:r>
      <w:r w:rsidR="00A41F9B">
        <w:rPr>
          <w:bCs/>
          <w:sz w:val="28"/>
          <w:szCs w:val="28"/>
          <w:lang w:val="en-GB" w:eastAsia="ar-SA"/>
        </w:rPr>
        <w:t xml:space="preserve"> </w:t>
      </w:r>
      <w:r w:rsidRPr="00D47D99">
        <w:rPr>
          <w:bCs/>
          <w:sz w:val="28"/>
          <w:szCs w:val="28"/>
          <w:lang w:val="en-GB" w:eastAsia="ar-SA"/>
        </w:rPr>
        <w:t>institucioni(et) përgjegjës për koordinimin dhe menaxhimin e programeve të politikës së kohezionit të BE-së do të jenë përgjegjës për identifikimin e këtyre partnerëve në lidhje me programet e tyre përkatëse.</w:t>
      </w:r>
    </w:p>
    <w:p w14:paraId="1DD56297" w14:textId="51802E8B" w:rsidR="00DF7569" w:rsidRPr="00181911" w:rsidRDefault="00DF7569" w:rsidP="00DF7569">
      <w:pPr>
        <w:pBdr>
          <w:top w:val="nil"/>
          <w:left w:val="nil"/>
          <w:bottom w:val="nil"/>
          <w:right w:val="nil"/>
          <w:between w:val="nil"/>
        </w:pBdr>
        <w:spacing w:line="276" w:lineRule="auto"/>
        <w:jc w:val="both"/>
        <w:rPr>
          <w:b/>
          <w:bCs/>
          <w:color w:val="000000"/>
          <w:sz w:val="28"/>
          <w:szCs w:val="28"/>
        </w:rPr>
      </w:pPr>
    </w:p>
    <w:p w14:paraId="72C6263A" w14:textId="1ADF4C5B" w:rsidR="0092209C" w:rsidRPr="00181911" w:rsidRDefault="0092209C" w:rsidP="00DB4525">
      <w:pPr>
        <w:spacing w:line="276" w:lineRule="auto"/>
        <w:jc w:val="both"/>
        <w:rPr>
          <w:sz w:val="28"/>
          <w:szCs w:val="28"/>
        </w:rPr>
      </w:pPr>
      <w:r w:rsidRPr="00181911">
        <w:rPr>
          <w:sz w:val="28"/>
          <w:szCs w:val="28"/>
        </w:rPr>
        <w:t>Projektvendimi parashikon hyrjen në fuqi pas botimit në Fletoren Zyrtare.</w:t>
      </w:r>
    </w:p>
    <w:p w14:paraId="00000040" w14:textId="77777777" w:rsidR="00C117EA" w:rsidRPr="00181911" w:rsidRDefault="00C117EA" w:rsidP="00DB4525">
      <w:pPr>
        <w:spacing w:line="276" w:lineRule="auto"/>
        <w:jc w:val="both"/>
        <w:rPr>
          <w:sz w:val="28"/>
          <w:szCs w:val="28"/>
        </w:rPr>
      </w:pPr>
    </w:p>
    <w:p w14:paraId="00000042" w14:textId="6E1CFF05" w:rsidR="00C117EA" w:rsidRPr="00181911" w:rsidRDefault="00B74936">
      <w:pPr>
        <w:spacing w:line="276" w:lineRule="auto"/>
        <w:jc w:val="both"/>
        <w:rPr>
          <w:b/>
          <w:sz w:val="28"/>
          <w:szCs w:val="28"/>
        </w:rPr>
      </w:pPr>
      <w:r w:rsidRPr="00181911">
        <w:rPr>
          <w:b/>
          <w:sz w:val="28"/>
          <w:szCs w:val="28"/>
        </w:rPr>
        <w:t>VII. INSTITUCIONET DHE ORGANET QË NGARKOHEN PËR ZBATIMIN E AKTIT</w:t>
      </w:r>
    </w:p>
    <w:p w14:paraId="54D186AC" w14:textId="77777777" w:rsidR="00801274" w:rsidRPr="00181911" w:rsidRDefault="00801274">
      <w:pPr>
        <w:spacing w:line="276" w:lineRule="auto"/>
        <w:jc w:val="both"/>
        <w:rPr>
          <w:sz w:val="28"/>
          <w:szCs w:val="28"/>
        </w:rPr>
      </w:pPr>
    </w:p>
    <w:p w14:paraId="45C9E185" w14:textId="52869300" w:rsidR="00BD7C4C" w:rsidRPr="00D47D99" w:rsidRDefault="00B74936" w:rsidP="00BD7C4C">
      <w:pPr>
        <w:spacing w:line="276" w:lineRule="auto"/>
        <w:jc w:val="both"/>
        <w:rPr>
          <w:sz w:val="28"/>
          <w:szCs w:val="28"/>
          <w:lang w:val="en-GB"/>
        </w:rPr>
      </w:pPr>
      <w:r w:rsidRPr="00181911">
        <w:rPr>
          <w:sz w:val="28"/>
          <w:szCs w:val="28"/>
        </w:rPr>
        <w:t xml:space="preserve">Për zbatimin e këtij </w:t>
      </w:r>
      <w:r w:rsidR="005925BD" w:rsidRPr="00181911">
        <w:rPr>
          <w:sz w:val="28"/>
          <w:szCs w:val="28"/>
        </w:rPr>
        <w:t>projekt</w:t>
      </w:r>
      <w:r w:rsidRPr="00181911">
        <w:rPr>
          <w:sz w:val="28"/>
          <w:szCs w:val="28"/>
        </w:rPr>
        <w:t>vendimi ngarkohen</w:t>
      </w:r>
      <w:r w:rsidR="00BD7C4C">
        <w:rPr>
          <w:sz w:val="28"/>
          <w:szCs w:val="28"/>
        </w:rPr>
        <w:t xml:space="preserve"> </w:t>
      </w:r>
      <w:r w:rsidR="00BD7C4C" w:rsidRPr="00D47D99">
        <w:rPr>
          <w:bCs/>
          <w:sz w:val="28"/>
          <w:szCs w:val="28"/>
          <w:lang w:val="en-GB"/>
        </w:rPr>
        <w:t xml:space="preserve">ministri përgjegjës negociator për Kapitullin 22, </w:t>
      </w:r>
      <w:bookmarkStart w:id="28" w:name="_Hlk198540658"/>
      <w:r w:rsidR="00BD7C4C">
        <w:rPr>
          <w:bCs/>
          <w:sz w:val="28"/>
          <w:szCs w:val="28"/>
          <w:lang w:val="en-GB"/>
        </w:rPr>
        <w:t>Ministria e Energjetik</w:t>
      </w:r>
      <w:r w:rsidR="00E34D14">
        <w:rPr>
          <w:bCs/>
          <w:sz w:val="28"/>
          <w:szCs w:val="28"/>
          <w:lang w:val="en-GB"/>
        </w:rPr>
        <w:t>ë</w:t>
      </w:r>
      <w:r w:rsidR="00BD7C4C">
        <w:rPr>
          <w:bCs/>
          <w:sz w:val="28"/>
          <w:szCs w:val="28"/>
          <w:lang w:val="en-GB"/>
        </w:rPr>
        <w:t>s dhe Infrastruktur</w:t>
      </w:r>
      <w:r w:rsidR="00E34D14">
        <w:rPr>
          <w:bCs/>
          <w:sz w:val="28"/>
          <w:szCs w:val="28"/>
          <w:lang w:val="en-GB"/>
        </w:rPr>
        <w:t>ë</w:t>
      </w:r>
      <w:r w:rsidR="00BD7C4C">
        <w:rPr>
          <w:bCs/>
          <w:sz w:val="28"/>
          <w:szCs w:val="28"/>
          <w:lang w:val="en-GB"/>
        </w:rPr>
        <w:t>s, Ministria e Ekonomis</w:t>
      </w:r>
      <w:r w:rsidR="00E34D14">
        <w:rPr>
          <w:bCs/>
          <w:sz w:val="28"/>
          <w:szCs w:val="28"/>
          <w:lang w:val="en-GB"/>
        </w:rPr>
        <w:t>ë</w:t>
      </w:r>
      <w:r w:rsidR="00BD7C4C">
        <w:rPr>
          <w:bCs/>
          <w:sz w:val="28"/>
          <w:szCs w:val="28"/>
          <w:lang w:val="en-GB"/>
        </w:rPr>
        <w:t>, Kultur</w:t>
      </w:r>
      <w:r w:rsidR="00E34D14">
        <w:rPr>
          <w:bCs/>
          <w:sz w:val="28"/>
          <w:szCs w:val="28"/>
          <w:lang w:val="en-GB"/>
        </w:rPr>
        <w:t>ë</w:t>
      </w:r>
      <w:r w:rsidR="00BD7C4C">
        <w:rPr>
          <w:bCs/>
          <w:sz w:val="28"/>
          <w:szCs w:val="28"/>
          <w:lang w:val="en-GB"/>
        </w:rPr>
        <w:t xml:space="preserve">s dhe Inovacionit, </w:t>
      </w:r>
      <w:r w:rsidR="00BD7C4C" w:rsidRPr="00D47D99">
        <w:rPr>
          <w:bCs/>
          <w:sz w:val="28"/>
          <w:szCs w:val="28"/>
          <w:lang w:val="en-GB"/>
        </w:rPr>
        <w:t>Agjencia për Mbështetjen e Vetëqeverisjes Vendore, Konferenca e Rektorëve, Akademia e Shkencave, Agjencia për Mbështetjen e Shoqërisë Civile,  Fondi Shqiptar i Zhvillimit, Agjencia Shtetërore e Programimit Strategjik dhe Koordinimit të Ndihmës (</w:t>
      </w:r>
      <w:r w:rsidR="00BD7C4C" w:rsidRPr="00D47D99">
        <w:rPr>
          <w:bCs/>
          <w:sz w:val="28"/>
          <w:szCs w:val="28"/>
        </w:rPr>
        <w:t xml:space="preserve">SASPAC), Ministria e Financave, Komisioni i Prokurimit Publik, Komisioni i Ndihmës Shtetërore, </w:t>
      </w:r>
      <w:r w:rsidR="00BD7C4C" w:rsidRPr="00D47D99">
        <w:rPr>
          <w:sz w:val="28"/>
          <w:szCs w:val="28"/>
        </w:rPr>
        <w:t>S</w:t>
      </w:r>
      <w:r w:rsidR="00BD7C4C" w:rsidRPr="00D47D99">
        <w:rPr>
          <w:sz w:val="28"/>
          <w:szCs w:val="28"/>
          <w:lang w:val="en-GB"/>
        </w:rPr>
        <w:t xml:space="preserve">hoqata Kombëtare e Bashkive të Shqipërisë (SHKBSH), Shoqata e Qarqeve të Shqipërisë, </w:t>
      </w:r>
      <w:bookmarkEnd w:id="28"/>
    </w:p>
    <w:p w14:paraId="1EEC341F" w14:textId="77777777" w:rsidR="00DF7569" w:rsidRPr="00181911" w:rsidRDefault="00DF7569" w:rsidP="00DF7569">
      <w:pPr>
        <w:spacing w:line="276" w:lineRule="auto"/>
        <w:jc w:val="both"/>
        <w:rPr>
          <w:sz w:val="28"/>
          <w:szCs w:val="28"/>
        </w:rPr>
      </w:pPr>
    </w:p>
    <w:p w14:paraId="00000046" w14:textId="77777777" w:rsidR="00C117EA" w:rsidRPr="00181911" w:rsidRDefault="00B74936">
      <w:pPr>
        <w:spacing w:line="276" w:lineRule="auto"/>
        <w:jc w:val="both"/>
        <w:rPr>
          <w:b/>
          <w:sz w:val="28"/>
          <w:szCs w:val="28"/>
        </w:rPr>
      </w:pPr>
      <w:r w:rsidRPr="00181911">
        <w:rPr>
          <w:b/>
          <w:sz w:val="28"/>
          <w:szCs w:val="28"/>
        </w:rPr>
        <w:t>VIII. PERSONAT DHE INSTITUCIONET QË KANË KONTRIBUAR NË HARTIMIN E PROJEKTAKTIT</w:t>
      </w:r>
    </w:p>
    <w:p w14:paraId="00000047" w14:textId="77777777" w:rsidR="00C117EA" w:rsidRPr="00181911" w:rsidRDefault="00C117EA">
      <w:pPr>
        <w:spacing w:line="276" w:lineRule="auto"/>
        <w:jc w:val="both"/>
        <w:rPr>
          <w:b/>
          <w:sz w:val="28"/>
          <w:szCs w:val="28"/>
        </w:rPr>
      </w:pPr>
    </w:p>
    <w:p w14:paraId="0E488A12" w14:textId="731E21BD" w:rsidR="009C27A7" w:rsidRPr="00181911" w:rsidRDefault="009C27A7" w:rsidP="009C27A7">
      <w:pPr>
        <w:spacing w:after="160" w:line="259" w:lineRule="auto"/>
        <w:jc w:val="both"/>
        <w:rPr>
          <w:rFonts w:eastAsia="Bahnschrift" w:cs="Calibri"/>
          <w:bCs/>
          <w:sz w:val="28"/>
          <w:szCs w:val="28"/>
          <w:lang w:val="en-GB" w:eastAsia="en-US"/>
        </w:rPr>
      </w:pPr>
      <w:r w:rsidRPr="00181911">
        <w:rPr>
          <w:rFonts w:eastAsia="Bahnschrift" w:cs="Calibri"/>
          <w:bCs/>
          <w:sz w:val="28"/>
          <w:szCs w:val="28"/>
          <w:lang w:val="en-GB" w:eastAsia="en-US"/>
        </w:rPr>
        <w:t>Projekt</w:t>
      </w:r>
      <w:r w:rsidRPr="00181911">
        <w:rPr>
          <w:rFonts w:eastAsia="Bahnschrift" w:cs="Calibri"/>
          <w:bCs/>
          <w:sz w:val="28"/>
          <w:szCs w:val="28"/>
          <w:lang w:eastAsia="en-US"/>
        </w:rPr>
        <w:t>-</w:t>
      </w:r>
      <w:r w:rsidRPr="00181911">
        <w:rPr>
          <w:rFonts w:eastAsia="Bahnschrift" w:cs="Calibri"/>
          <w:bCs/>
          <w:sz w:val="28"/>
          <w:szCs w:val="28"/>
          <w:lang w:val="en-GB" w:eastAsia="en-US"/>
        </w:rPr>
        <w:t>vendimi është përgatitur nga</w:t>
      </w:r>
      <w:r w:rsidR="004D03CA" w:rsidRPr="00181911">
        <w:rPr>
          <w:rFonts w:eastAsia="Bahnschrift" w:cs="Calibri"/>
          <w:bCs/>
          <w:sz w:val="28"/>
          <w:szCs w:val="28"/>
          <w:lang w:val="en-GB" w:eastAsia="en-US"/>
        </w:rPr>
        <w:t xml:space="preserve"> Ministri i Shtetit p</w:t>
      </w:r>
      <w:r w:rsidR="0090544E">
        <w:rPr>
          <w:rFonts w:eastAsia="Bahnschrift" w:cs="Calibri"/>
          <w:bCs/>
          <w:sz w:val="28"/>
          <w:szCs w:val="28"/>
          <w:lang w:val="en-GB" w:eastAsia="en-US"/>
        </w:rPr>
        <w:t>ë</w:t>
      </w:r>
      <w:r w:rsidR="004D03CA" w:rsidRPr="00181911">
        <w:rPr>
          <w:rFonts w:eastAsia="Bahnschrift" w:cs="Calibri"/>
          <w:bCs/>
          <w:sz w:val="28"/>
          <w:szCs w:val="28"/>
          <w:lang w:val="en-GB" w:eastAsia="en-US"/>
        </w:rPr>
        <w:t>r Pushtetin Vendor n</w:t>
      </w:r>
      <w:r w:rsidR="0090544E">
        <w:rPr>
          <w:rFonts w:eastAsia="Bahnschrift" w:cs="Calibri"/>
          <w:bCs/>
          <w:sz w:val="28"/>
          <w:szCs w:val="28"/>
          <w:lang w:val="en-GB" w:eastAsia="en-US"/>
        </w:rPr>
        <w:t>ë</w:t>
      </w:r>
      <w:r w:rsidR="004D03CA" w:rsidRPr="00181911">
        <w:rPr>
          <w:rFonts w:eastAsia="Bahnschrift" w:cs="Calibri"/>
          <w:bCs/>
          <w:sz w:val="28"/>
          <w:szCs w:val="28"/>
          <w:lang w:val="en-GB" w:eastAsia="en-US"/>
        </w:rPr>
        <w:t xml:space="preserve"> cil</w:t>
      </w:r>
      <w:r w:rsidR="0090544E">
        <w:rPr>
          <w:rFonts w:eastAsia="Bahnschrift" w:cs="Calibri"/>
          <w:bCs/>
          <w:sz w:val="28"/>
          <w:szCs w:val="28"/>
          <w:lang w:val="en-GB" w:eastAsia="en-US"/>
        </w:rPr>
        <w:t>ë</w:t>
      </w:r>
      <w:r w:rsidR="004D03CA" w:rsidRPr="00181911">
        <w:rPr>
          <w:rFonts w:eastAsia="Bahnschrift" w:cs="Calibri"/>
          <w:bCs/>
          <w:sz w:val="28"/>
          <w:szCs w:val="28"/>
          <w:lang w:val="en-GB" w:eastAsia="en-US"/>
        </w:rPr>
        <w:t>sin</w:t>
      </w:r>
      <w:r w:rsidR="0090544E">
        <w:rPr>
          <w:rFonts w:eastAsia="Bahnschrift" w:cs="Calibri"/>
          <w:bCs/>
          <w:sz w:val="28"/>
          <w:szCs w:val="28"/>
          <w:lang w:val="en-GB" w:eastAsia="en-US"/>
        </w:rPr>
        <w:t>ë</w:t>
      </w:r>
      <w:r w:rsidR="004D03CA" w:rsidRPr="00181911">
        <w:rPr>
          <w:rFonts w:eastAsia="Bahnschrift" w:cs="Calibri"/>
          <w:bCs/>
          <w:sz w:val="28"/>
          <w:szCs w:val="28"/>
          <w:lang w:val="en-GB" w:eastAsia="en-US"/>
        </w:rPr>
        <w:t xml:space="preserve"> e</w:t>
      </w:r>
      <w:r w:rsidRPr="00181911">
        <w:rPr>
          <w:rFonts w:eastAsia="Bahnschrift" w:cs="Calibri"/>
          <w:bCs/>
          <w:sz w:val="28"/>
          <w:szCs w:val="28"/>
          <w:lang w:val="en-GB" w:eastAsia="en-US"/>
        </w:rPr>
        <w:t xml:space="preserve"> </w:t>
      </w:r>
      <w:r w:rsidR="004D03CA" w:rsidRPr="00181911">
        <w:rPr>
          <w:rFonts w:eastAsia="Bahnschrift" w:cs="Calibri"/>
          <w:bCs/>
          <w:sz w:val="28"/>
          <w:szCs w:val="28"/>
          <w:lang w:val="en-GB" w:eastAsia="en-US"/>
        </w:rPr>
        <w:t>n</w:t>
      </w:r>
      <w:r w:rsidRPr="00181911">
        <w:rPr>
          <w:rFonts w:eastAsia="Bahnschrift" w:cs="Calibri"/>
          <w:bCs/>
          <w:sz w:val="28"/>
          <w:szCs w:val="28"/>
          <w:lang w:val="en-GB" w:eastAsia="en-US"/>
        </w:rPr>
        <w:t>egociatori</w:t>
      </w:r>
      <w:r w:rsidR="004D03CA" w:rsidRPr="00181911">
        <w:rPr>
          <w:rFonts w:eastAsia="Bahnschrift" w:cs="Calibri"/>
          <w:bCs/>
          <w:sz w:val="28"/>
          <w:szCs w:val="28"/>
          <w:lang w:val="en-GB" w:eastAsia="en-US"/>
        </w:rPr>
        <w:t>t</w:t>
      </w:r>
      <w:r w:rsidRPr="00181911">
        <w:rPr>
          <w:rFonts w:eastAsia="Bahnschrift" w:cs="Calibri"/>
          <w:bCs/>
          <w:sz w:val="28"/>
          <w:szCs w:val="28"/>
          <w:lang w:val="en-GB" w:eastAsia="en-US"/>
        </w:rPr>
        <w:t xml:space="preserve"> </w:t>
      </w:r>
      <w:r w:rsidR="004D03CA" w:rsidRPr="00181911">
        <w:rPr>
          <w:rFonts w:eastAsia="Bahnschrift" w:cs="Calibri"/>
          <w:bCs/>
          <w:sz w:val="28"/>
          <w:szCs w:val="28"/>
          <w:lang w:val="en-GB" w:eastAsia="en-US"/>
        </w:rPr>
        <w:t>p</w:t>
      </w:r>
      <w:r w:rsidR="0090544E">
        <w:rPr>
          <w:rFonts w:eastAsia="Bahnschrift" w:cs="Calibri"/>
          <w:bCs/>
          <w:sz w:val="28"/>
          <w:szCs w:val="28"/>
          <w:lang w:val="en-GB" w:eastAsia="en-US"/>
        </w:rPr>
        <w:t>ë</w:t>
      </w:r>
      <w:r w:rsidR="004D03CA" w:rsidRPr="00181911">
        <w:rPr>
          <w:rFonts w:eastAsia="Bahnschrift" w:cs="Calibri"/>
          <w:bCs/>
          <w:sz w:val="28"/>
          <w:szCs w:val="28"/>
          <w:lang w:val="en-GB" w:eastAsia="en-US"/>
        </w:rPr>
        <w:t>rgjegj</w:t>
      </w:r>
      <w:r w:rsidR="0090544E">
        <w:rPr>
          <w:rFonts w:eastAsia="Bahnschrift" w:cs="Calibri"/>
          <w:bCs/>
          <w:sz w:val="28"/>
          <w:szCs w:val="28"/>
          <w:lang w:val="en-GB" w:eastAsia="en-US"/>
        </w:rPr>
        <w:t>ë</w:t>
      </w:r>
      <w:r w:rsidR="004D03CA" w:rsidRPr="00181911">
        <w:rPr>
          <w:rFonts w:eastAsia="Bahnschrift" w:cs="Calibri"/>
          <w:bCs/>
          <w:sz w:val="28"/>
          <w:szCs w:val="28"/>
          <w:lang w:val="en-GB" w:eastAsia="en-US"/>
        </w:rPr>
        <w:t xml:space="preserve">s </w:t>
      </w:r>
      <w:r w:rsidRPr="00181911">
        <w:rPr>
          <w:rFonts w:eastAsia="Bahnschrift" w:cs="Calibri"/>
          <w:bCs/>
          <w:sz w:val="28"/>
          <w:szCs w:val="28"/>
          <w:lang w:val="en-GB" w:eastAsia="en-US"/>
        </w:rPr>
        <w:t>për Kapitullin 22</w:t>
      </w:r>
      <w:r w:rsidR="004D03CA" w:rsidRPr="00181911">
        <w:rPr>
          <w:rFonts w:eastAsia="Bahnschrift" w:cs="Calibri"/>
          <w:bCs/>
          <w:sz w:val="28"/>
          <w:szCs w:val="28"/>
          <w:lang w:val="en-GB" w:eastAsia="en-US"/>
        </w:rPr>
        <w:t>. Grupi i pun</w:t>
      </w:r>
      <w:r w:rsidR="0090544E">
        <w:rPr>
          <w:rFonts w:eastAsia="Bahnschrift" w:cs="Calibri"/>
          <w:bCs/>
          <w:sz w:val="28"/>
          <w:szCs w:val="28"/>
          <w:lang w:val="en-GB" w:eastAsia="en-US"/>
        </w:rPr>
        <w:t>ë</w:t>
      </w:r>
      <w:r w:rsidR="004D03CA" w:rsidRPr="00181911">
        <w:rPr>
          <w:rFonts w:eastAsia="Bahnschrift" w:cs="Calibri"/>
          <w:bCs/>
          <w:sz w:val="28"/>
          <w:szCs w:val="28"/>
          <w:lang w:val="en-GB" w:eastAsia="en-US"/>
        </w:rPr>
        <w:t xml:space="preserve">s i </w:t>
      </w:r>
      <w:r w:rsidR="00850023" w:rsidRPr="00181911">
        <w:rPr>
          <w:rFonts w:eastAsia="Bahnschrift" w:cs="Calibri"/>
          <w:bCs/>
          <w:sz w:val="28"/>
          <w:szCs w:val="28"/>
          <w:lang w:val="en-GB" w:eastAsia="en-US"/>
        </w:rPr>
        <w:t xml:space="preserve">ngritur me Urdhrin e Kryeministrit Nr. 186/2024 </w:t>
      </w:r>
      <w:r w:rsidR="0090544E">
        <w:rPr>
          <w:rFonts w:eastAsia="Bahnschrift" w:cs="Calibri"/>
          <w:bCs/>
          <w:sz w:val="28"/>
          <w:szCs w:val="28"/>
          <w:lang w:val="en-GB" w:eastAsia="en-US"/>
        </w:rPr>
        <w:t>ë</w:t>
      </w:r>
      <w:r w:rsidR="004D03CA" w:rsidRPr="00181911">
        <w:rPr>
          <w:rFonts w:eastAsia="Bahnschrift" w:cs="Calibri"/>
          <w:bCs/>
          <w:sz w:val="28"/>
          <w:szCs w:val="28"/>
          <w:lang w:val="en-GB" w:eastAsia="en-US"/>
        </w:rPr>
        <w:t>sht</w:t>
      </w:r>
      <w:r w:rsidR="0090544E">
        <w:rPr>
          <w:rFonts w:eastAsia="Bahnschrift" w:cs="Calibri"/>
          <w:bCs/>
          <w:sz w:val="28"/>
          <w:szCs w:val="28"/>
          <w:lang w:val="en-GB" w:eastAsia="en-US"/>
        </w:rPr>
        <w:t>ë</w:t>
      </w:r>
      <w:r w:rsidR="004D03CA" w:rsidRPr="00181911">
        <w:rPr>
          <w:rFonts w:eastAsia="Bahnschrift" w:cs="Calibri"/>
          <w:bCs/>
          <w:sz w:val="28"/>
          <w:szCs w:val="28"/>
          <w:lang w:val="en-GB" w:eastAsia="en-US"/>
        </w:rPr>
        <w:t xml:space="preserve"> mb</w:t>
      </w:r>
      <w:r w:rsidR="0090544E">
        <w:rPr>
          <w:rFonts w:eastAsia="Bahnschrift" w:cs="Calibri"/>
          <w:bCs/>
          <w:sz w:val="28"/>
          <w:szCs w:val="28"/>
          <w:lang w:val="en-GB" w:eastAsia="en-US"/>
        </w:rPr>
        <w:t>ë</w:t>
      </w:r>
      <w:r w:rsidR="004D03CA" w:rsidRPr="00181911">
        <w:rPr>
          <w:rFonts w:eastAsia="Bahnschrift" w:cs="Calibri"/>
          <w:bCs/>
          <w:sz w:val="28"/>
          <w:szCs w:val="28"/>
          <w:lang w:val="en-GB" w:eastAsia="en-US"/>
        </w:rPr>
        <w:t xml:space="preserve">shtetur </w:t>
      </w:r>
      <w:r w:rsidR="00850023" w:rsidRPr="00181911">
        <w:rPr>
          <w:rFonts w:eastAsia="Bahnschrift" w:cs="Calibri"/>
          <w:bCs/>
          <w:sz w:val="28"/>
          <w:szCs w:val="28"/>
          <w:lang w:val="en-GB" w:eastAsia="en-US"/>
        </w:rPr>
        <w:t xml:space="preserve">nga </w:t>
      </w:r>
      <w:r w:rsidRPr="00181911">
        <w:rPr>
          <w:rFonts w:eastAsia="Bahnschrift" w:cs="Calibri"/>
          <w:bCs/>
          <w:sz w:val="28"/>
          <w:szCs w:val="28"/>
          <w:lang w:val="en-GB" w:eastAsia="en-US"/>
        </w:rPr>
        <w:t>asistenc</w:t>
      </w:r>
      <w:r w:rsidR="00850023" w:rsidRPr="00181911">
        <w:rPr>
          <w:rFonts w:eastAsia="Bahnschrift" w:cs="Calibri"/>
          <w:bCs/>
          <w:sz w:val="28"/>
          <w:szCs w:val="28"/>
          <w:lang w:val="en-GB" w:eastAsia="en-US"/>
        </w:rPr>
        <w:t>a</w:t>
      </w:r>
      <w:r w:rsidRPr="00181911">
        <w:rPr>
          <w:rFonts w:eastAsia="Bahnschrift" w:cs="Calibri"/>
          <w:bCs/>
          <w:sz w:val="28"/>
          <w:szCs w:val="28"/>
          <w:lang w:val="en-GB" w:eastAsia="en-US"/>
        </w:rPr>
        <w:t xml:space="preserve"> teknike financuar nga BE-ja </w:t>
      </w:r>
      <w:r w:rsidRPr="00181911">
        <w:rPr>
          <w:rFonts w:eastAsia="Bahnschrift" w:cs="Calibri"/>
          <w:bCs/>
          <w:sz w:val="28"/>
          <w:szCs w:val="28"/>
          <w:lang w:eastAsia="en-US"/>
        </w:rPr>
        <w:t>“</w:t>
      </w:r>
      <w:r w:rsidRPr="00181911">
        <w:rPr>
          <w:rFonts w:eastAsia="Bahnschrift" w:cs="Calibri"/>
          <w:bCs/>
          <w:i/>
          <w:iCs/>
          <w:sz w:val="28"/>
          <w:szCs w:val="28"/>
          <w:lang w:val="en-GB" w:eastAsia="en-US"/>
        </w:rPr>
        <w:t xml:space="preserve">Mbështetje </w:t>
      </w:r>
      <w:r w:rsidRPr="00181911">
        <w:rPr>
          <w:rFonts w:eastAsia="Bahnschrift" w:cs="Calibri"/>
          <w:bCs/>
          <w:i/>
          <w:iCs/>
          <w:sz w:val="28"/>
          <w:szCs w:val="28"/>
          <w:lang w:eastAsia="en-US"/>
        </w:rPr>
        <w:t xml:space="preserve">për </w:t>
      </w:r>
      <w:r w:rsidRPr="00181911">
        <w:rPr>
          <w:rFonts w:eastAsia="Bahnschrift" w:cs="Calibri"/>
          <w:bCs/>
          <w:i/>
          <w:iCs/>
          <w:sz w:val="28"/>
          <w:szCs w:val="28"/>
          <w:lang w:val="en-GB" w:eastAsia="en-US"/>
        </w:rPr>
        <w:t>Qeveri</w:t>
      </w:r>
      <w:r w:rsidRPr="00181911">
        <w:rPr>
          <w:rFonts w:eastAsia="Bahnschrift" w:cs="Calibri"/>
          <w:bCs/>
          <w:i/>
          <w:iCs/>
          <w:sz w:val="28"/>
          <w:szCs w:val="28"/>
          <w:lang w:eastAsia="en-US"/>
        </w:rPr>
        <w:t>n</w:t>
      </w:r>
      <w:r w:rsidRPr="00181911">
        <w:rPr>
          <w:rFonts w:eastAsia="Bahnschrift" w:cs="Calibri"/>
          <w:bCs/>
          <w:i/>
          <w:iCs/>
          <w:sz w:val="28"/>
          <w:szCs w:val="28"/>
          <w:lang w:val="en-GB" w:eastAsia="en-US"/>
        </w:rPr>
        <w:t xml:space="preserve">ë Shqiptare për forcimin e kapaciteteve të sekretariatit teknik të Kapitullit 22 </w:t>
      </w:r>
      <w:r w:rsidRPr="00181911">
        <w:rPr>
          <w:rFonts w:eastAsia="Bahnschrift" w:cs="Calibri"/>
          <w:bCs/>
          <w:i/>
          <w:iCs/>
          <w:sz w:val="28"/>
          <w:szCs w:val="28"/>
          <w:lang w:eastAsia="en-US"/>
        </w:rPr>
        <w:t>“</w:t>
      </w:r>
      <w:r w:rsidRPr="00181911">
        <w:rPr>
          <w:rFonts w:eastAsia="Bahnschrift" w:cs="Calibri"/>
          <w:bCs/>
          <w:i/>
          <w:iCs/>
          <w:sz w:val="28"/>
          <w:szCs w:val="28"/>
          <w:lang w:val="en-GB" w:eastAsia="en-US"/>
        </w:rPr>
        <w:t>Politikave Rajonale dhe Koordinimit të Instrumenteve Strukturore</w:t>
      </w:r>
      <w:r w:rsidRPr="00181911">
        <w:rPr>
          <w:rFonts w:eastAsia="Bahnschrift" w:cs="Calibri"/>
          <w:bCs/>
          <w:sz w:val="28"/>
          <w:szCs w:val="28"/>
          <w:lang w:eastAsia="en-US"/>
        </w:rPr>
        <w:t>”</w:t>
      </w:r>
      <w:r w:rsidRPr="00181911">
        <w:rPr>
          <w:rFonts w:eastAsia="Bahnschrift" w:cs="Calibri"/>
          <w:bCs/>
          <w:sz w:val="28"/>
          <w:szCs w:val="28"/>
          <w:lang w:val="en-GB" w:eastAsia="en-US"/>
        </w:rPr>
        <w:t xml:space="preserve"> </w:t>
      </w:r>
      <w:r w:rsidRPr="00181911">
        <w:rPr>
          <w:rFonts w:eastAsia="Bahnschrift" w:cs="Calibri"/>
          <w:bCs/>
          <w:i/>
          <w:iCs/>
          <w:sz w:val="28"/>
          <w:szCs w:val="28"/>
          <w:lang w:val="en-GB" w:eastAsia="en-US"/>
        </w:rPr>
        <w:t>në Shqipëri për përgatitje dhe negociata efikase dhe të qeta me BE-në</w:t>
      </w:r>
      <w:r w:rsidR="00850023" w:rsidRPr="00181911">
        <w:rPr>
          <w:rFonts w:eastAsia="Bahnschrift" w:cs="Calibri"/>
          <w:bCs/>
          <w:sz w:val="28"/>
          <w:szCs w:val="28"/>
          <w:lang w:val="en-GB" w:eastAsia="en-US"/>
        </w:rPr>
        <w:t>”. Grupi i pun</w:t>
      </w:r>
      <w:r w:rsidR="0090544E">
        <w:rPr>
          <w:rFonts w:eastAsia="Bahnschrift" w:cs="Calibri"/>
          <w:bCs/>
          <w:sz w:val="28"/>
          <w:szCs w:val="28"/>
          <w:lang w:val="en-GB" w:eastAsia="en-US"/>
        </w:rPr>
        <w:t>ë</w:t>
      </w:r>
      <w:r w:rsidR="00850023" w:rsidRPr="00181911">
        <w:rPr>
          <w:rFonts w:eastAsia="Bahnschrift" w:cs="Calibri"/>
          <w:bCs/>
          <w:sz w:val="28"/>
          <w:szCs w:val="28"/>
          <w:lang w:val="en-GB" w:eastAsia="en-US"/>
        </w:rPr>
        <w:t xml:space="preserve">s </w:t>
      </w:r>
      <w:r w:rsidRPr="00181911">
        <w:rPr>
          <w:rFonts w:eastAsia="Bahnschrift" w:cs="Calibri"/>
          <w:bCs/>
          <w:sz w:val="28"/>
          <w:szCs w:val="28"/>
          <w:lang w:val="en-GB" w:eastAsia="en-US"/>
        </w:rPr>
        <w:t>përfshi</w:t>
      </w:r>
      <w:r w:rsidR="00850023" w:rsidRPr="00181911">
        <w:rPr>
          <w:rFonts w:eastAsia="Bahnschrift" w:cs="Calibri"/>
          <w:bCs/>
          <w:sz w:val="28"/>
          <w:szCs w:val="28"/>
          <w:lang w:val="en-GB" w:eastAsia="en-US"/>
        </w:rPr>
        <w:t>n</w:t>
      </w:r>
      <w:r w:rsidRPr="00181911">
        <w:rPr>
          <w:rFonts w:eastAsia="Bahnschrift" w:cs="Calibri"/>
          <w:bCs/>
          <w:sz w:val="28"/>
          <w:szCs w:val="28"/>
          <w:lang w:val="en-GB" w:eastAsia="en-US"/>
        </w:rPr>
        <w:t xml:space="preserve"> përfaqësues nga Agjencia Shtetërore për Programim Strategjik dhe Koordinim të Ndihmës (SASPAC) dhe Agjencia për Mbështetjen e Shoqërisë Civile.</w:t>
      </w:r>
    </w:p>
    <w:p w14:paraId="43E38719" w14:textId="77777777" w:rsidR="00275388" w:rsidRPr="00181911" w:rsidRDefault="00275388" w:rsidP="00EC62B4">
      <w:pPr>
        <w:pStyle w:val="NormalWeb"/>
        <w:spacing w:before="0" w:beforeAutospacing="0" w:after="0" w:afterAutospacing="0" w:line="276" w:lineRule="auto"/>
        <w:jc w:val="both"/>
        <w:rPr>
          <w:color w:val="000000"/>
          <w:sz w:val="28"/>
          <w:szCs w:val="28"/>
        </w:rPr>
      </w:pPr>
    </w:p>
    <w:p w14:paraId="3314A21B" w14:textId="170272BB" w:rsidR="00850023" w:rsidRPr="00181911" w:rsidRDefault="00743495" w:rsidP="00850023">
      <w:pPr>
        <w:spacing w:line="276" w:lineRule="auto"/>
        <w:jc w:val="both"/>
        <w:rPr>
          <w:color w:val="000000"/>
          <w:sz w:val="28"/>
          <w:szCs w:val="28"/>
        </w:rPr>
      </w:pPr>
      <w:r w:rsidRPr="00181911">
        <w:rPr>
          <w:color w:val="000000"/>
          <w:sz w:val="28"/>
          <w:szCs w:val="28"/>
        </w:rPr>
        <w:t>Projektvendimi do t</w:t>
      </w:r>
      <w:r w:rsidR="00601321" w:rsidRPr="00181911">
        <w:rPr>
          <w:color w:val="000000"/>
          <w:sz w:val="28"/>
          <w:szCs w:val="28"/>
        </w:rPr>
        <w:t>ë</w:t>
      </w:r>
      <w:r w:rsidRPr="00181911">
        <w:rPr>
          <w:color w:val="000000"/>
          <w:sz w:val="28"/>
          <w:szCs w:val="28"/>
        </w:rPr>
        <w:t xml:space="preserve"> diskutohet edhe n</w:t>
      </w:r>
      <w:r w:rsidR="00601321" w:rsidRPr="00181911">
        <w:rPr>
          <w:color w:val="000000"/>
          <w:sz w:val="28"/>
          <w:szCs w:val="28"/>
        </w:rPr>
        <w:t>ë</w:t>
      </w:r>
      <w:r w:rsidRPr="00181911">
        <w:rPr>
          <w:color w:val="000000"/>
          <w:sz w:val="28"/>
          <w:szCs w:val="28"/>
        </w:rPr>
        <w:t xml:space="preserve"> Këshillin Konsultativ në përputhje me parashikimet e VKM nr.244, datë 17.04.2024 “</w:t>
      </w:r>
      <w:r w:rsidRPr="00181911">
        <w:rPr>
          <w:i/>
          <w:iCs/>
          <w:color w:val="000000"/>
          <w:sz w:val="28"/>
          <w:szCs w:val="28"/>
        </w:rPr>
        <w:t>Për mënyrën e organizimit e të funksionimit të Këshillit Konsultativ të qeverisjes qendrore me vetëqeverisjen vendore</w:t>
      </w:r>
      <w:r w:rsidRPr="00181911">
        <w:rPr>
          <w:color w:val="000000"/>
          <w:sz w:val="28"/>
          <w:szCs w:val="28"/>
        </w:rPr>
        <w:t>”, si dhe do t’i d</w:t>
      </w:r>
      <w:r w:rsidR="00601321" w:rsidRPr="00181911">
        <w:rPr>
          <w:color w:val="000000"/>
          <w:sz w:val="28"/>
          <w:szCs w:val="28"/>
        </w:rPr>
        <w:t>ë</w:t>
      </w:r>
      <w:r w:rsidRPr="00181911">
        <w:rPr>
          <w:color w:val="000000"/>
          <w:sz w:val="28"/>
          <w:szCs w:val="28"/>
        </w:rPr>
        <w:t>rgohet p</w:t>
      </w:r>
      <w:r w:rsidR="00601321" w:rsidRPr="00181911">
        <w:rPr>
          <w:color w:val="000000"/>
          <w:sz w:val="28"/>
          <w:szCs w:val="28"/>
        </w:rPr>
        <w:t>ë</w:t>
      </w:r>
      <w:r w:rsidRPr="00181911">
        <w:rPr>
          <w:color w:val="000000"/>
          <w:sz w:val="28"/>
          <w:szCs w:val="28"/>
        </w:rPr>
        <w:t xml:space="preserve">r mendim </w:t>
      </w:r>
      <w:bookmarkStart w:id="29" w:name="_Hlk193828915"/>
      <w:r w:rsidRPr="00181911">
        <w:rPr>
          <w:color w:val="000000"/>
          <w:sz w:val="28"/>
          <w:szCs w:val="28"/>
        </w:rPr>
        <w:t xml:space="preserve">Ministrisë së Drejtësisë, Ministrisë së Financave, </w:t>
      </w:r>
      <w:r w:rsidR="00BD7C4C">
        <w:rPr>
          <w:color w:val="000000"/>
          <w:sz w:val="28"/>
          <w:szCs w:val="28"/>
        </w:rPr>
        <w:t>Ministris</w:t>
      </w:r>
      <w:r w:rsidR="00E34D14">
        <w:rPr>
          <w:color w:val="000000"/>
          <w:sz w:val="28"/>
          <w:szCs w:val="28"/>
        </w:rPr>
        <w:t>ë</w:t>
      </w:r>
      <w:r w:rsidR="00BD7C4C">
        <w:rPr>
          <w:color w:val="000000"/>
          <w:sz w:val="28"/>
          <w:szCs w:val="28"/>
        </w:rPr>
        <w:t xml:space="preserve"> s</w:t>
      </w:r>
      <w:r w:rsidR="00E34D14">
        <w:rPr>
          <w:color w:val="000000"/>
          <w:sz w:val="28"/>
          <w:szCs w:val="28"/>
        </w:rPr>
        <w:t>ë</w:t>
      </w:r>
      <w:r w:rsidR="00BD7C4C">
        <w:rPr>
          <w:color w:val="000000"/>
          <w:sz w:val="28"/>
          <w:szCs w:val="28"/>
        </w:rPr>
        <w:t xml:space="preserve"> Energjetik</w:t>
      </w:r>
      <w:r w:rsidR="00E34D14">
        <w:rPr>
          <w:color w:val="000000"/>
          <w:sz w:val="28"/>
          <w:szCs w:val="28"/>
        </w:rPr>
        <w:t>ë</w:t>
      </w:r>
      <w:r w:rsidR="00BD7C4C">
        <w:rPr>
          <w:color w:val="000000"/>
          <w:sz w:val="28"/>
          <w:szCs w:val="28"/>
        </w:rPr>
        <w:t>s dhe Infrastruktur</w:t>
      </w:r>
      <w:r w:rsidR="00E34D14">
        <w:rPr>
          <w:color w:val="000000"/>
          <w:sz w:val="28"/>
          <w:szCs w:val="28"/>
        </w:rPr>
        <w:t>ë</w:t>
      </w:r>
      <w:r w:rsidR="00BD7C4C">
        <w:rPr>
          <w:color w:val="000000"/>
          <w:sz w:val="28"/>
          <w:szCs w:val="28"/>
        </w:rPr>
        <w:t>s, Ministris</w:t>
      </w:r>
      <w:r w:rsidR="00E34D14">
        <w:rPr>
          <w:color w:val="000000"/>
          <w:sz w:val="28"/>
          <w:szCs w:val="28"/>
        </w:rPr>
        <w:t>ë</w:t>
      </w:r>
      <w:r w:rsidR="00BD7C4C">
        <w:rPr>
          <w:color w:val="000000"/>
          <w:sz w:val="28"/>
          <w:szCs w:val="28"/>
        </w:rPr>
        <w:t xml:space="preserve"> s</w:t>
      </w:r>
      <w:r w:rsidR="00E34D14">
        <w:rPr>
          <w:color w:val="000000"/>
          <w:sz w:val="28"/>
          <w:szCs w:val="28"/>
        </w:rPr>
        <w:t>ë</w:t>
      </w:r>
      <w:r w:rsidR="00BD7C4C">
        <w:rPr>
          <w:color w:val="000000"/>
          <w:sz w:val="28"/>
          <w:szCs w:val="28"/>
        </w:rPr>
        <w:t xml:space="preserve"> Ekonomis</w:t>
      </w:r>
      <w:r w:rsidR="00E34D14">
        <w:rPr>
          <w:color w:val="000000"/>
          <w:sz w:val="28"/>
          <w:szCs w:val="28"/>
        </w:rPr>
        <w:t>ë</w:t>
      </w:r>
      <w:r w:rsidR="00BD7C4C">
        <w:rPr>
          <w:color w:val="000000"/>
          <w:sz w:val="28"/>
          <w:szCs w:val="28"/>
        </w:rPr>
        <w:t>, Kultur</w:t>
      </w:r>
      <w:r w:rsidR="00E34D14">
        <w:rPr>
          <w:color w:val="000000"/>
          <w:sz w:val="28"/>
          <w:szCs w:val="28"/>
        </w:rPr>
        <w:t>ë</w:t>
      </w:r>
      <w:r w:rsidR="00BD7C4C">
        <w:rPr>
          <w:color w:val="000000"/>
          <w:sz w:val="28"/>
          <w:szCs w:val="28"/>
        </w:rPr>
        <w:t xml:space="preserve">s dhe Inovacionit, </w:t>
      </w:r>
      <w:r w:rsidRPr="00181911">
        <w:rPr>
          <w:color w:val="000000"/>
          <w:sz w:val="28"/>
          <w:szCs w:val="28"/>
        </w:rPr>
        <w:t>Ministrit t</w:t>
      </w:r>
      <w:r w:rsidR="00601321" w:rsidRPr="00181911">
        <w:rPr>
          <w:color w:val="000000"/>
          <w:sz w:val="28"/>
          <w:szCs w:val="28"/>
        </w:rPr>
        <w:t>ë</w:t>
      </w:r>
      <w:r w:rsidRPr="00181911">
        <w:rPr>
          <w:color w:val="000000"/>
          <w:sz w:val="28"/>
          <w:szCs w:val="28"/>
        </w:rPr>
        <w:t xml:space="preserve"> Shtetit dhe Kryenegociator, </w:t>
      </w:r>
      <w:r w:rsidRPr="00181911">
        <w:rPr>
          <w:bCs/>
          <w:color w:val="000000"/>
          <w:sz w:val="28"/>
          <w:szCs w:val="28"/>
        </w:rPr>
        <w:t>Agjencis</w:t>
      </w:r>
      <w:r w:rsidR="00601321" w:rsidRPr="00181911">
        <w:rPr>
          <w:bCs/>
          <w:color w:val="000000"/>
          <w:sz w:val="28"/>
          <w:szCs w:val="28"/>
        </w:rPr>
        <w:t>ë</w:t>
      </w:r>
      <w:r w:rsidRPr="00181911">
        <w:rPr>
          <w:bCs/>
          <w:color w:val="000000"/>
          <w:sz w:val="28"/>
          <w:szCs w:val="28"/>
        </w:rPr>
        <w:t xml:space="preserve"> Shtetërore për Programimin Strategjik dhe Koordinimin e Ndihmës (SASPAC)</w:t>
      </w:r>
      <w:r w:rsidR="00850023" w:rsidRPr="00181911">
        <w:rPr>
          <w:color w:val="000000"/>
          <w:sz w:val="28"/>
          <w:szCs w:val="28"/>
        </w:rPr>
        <w:t xml:space="preserve">, </w:t>
      </w:r>
      <w:r w:rsidRPr="00181911">
        <w:rPr>
          <w:color w:val="000000"/>
          <w:sz w:val="28"/>
          <w:szCs w:val="28"/>
        </w:rPr>
        <w:t>Fondit Shqiptar t</w:t>
      </w:r>
      <w:r w:rsidR="00601321" w:rsidRPr="00181911">
        <w:rPr>
          <w:color w:val="000000"/>
          <w:sz w:val="28"/>
          <w:szCs w:val="28"/>
        </w:rPr>
        <w:t>ë</w:t>
      </w:r>
      <w:r w:rsidRPr="00181911">
        <w:rPr>
          <w:color w:val="000000"/>
          <w:sz w:val="28"/>
          <w:szCs w:val="28"/>
        </w:rPr>
        <w:t xml:space="preserve"> Zhvillimit</w:t>
      </w:r>
      <w:r w:rsidR="00850023" w:rsidRPr="00181911">
        <w:rPr>
          <w:color w:val="000000"/>
          <w:sz w:val="28"/>
          <w:szCs w:val="28"/>
        </w:rPr>
        <w:t xml:space="preserve">, </w:t>
      </w:r>
      <w:r w:rsidR="00850023" w:rsidRPr="00181911">
        <w:rPr>
          <w:bCs/>
          <w:sz w:val="28"/>
          <w:szCs w:val="28"/>
          <w:lang w:val="en-GB" w:eastAsia="ar-SA"/>
        </w:rPr>
        <w:t>Konferenc</w:t>
      </w:r>
      <w:r w:rsidR="0090544E">
        <w:rPr>
          <w:bCs/>
          <w:sz w:val="28"/>
          <w:szCs w:val="28"/>
          <w:lang w:val="en-GB" w:eastAsia="ar-SA"/>
        </w:rPr>
        <w:t>ë</w:t>
      </w:r>
      <w:r w:rsidR="00850023" w:rsidRPr="00181911">
        <w:rPr>
          <w:bCs/>
          <w:sz w:val="28"/>
          <w:szCs w:val="28"/>
          <w:lang w:val="en-GB" w:eastAsia="ar-SA"/>
        </w:rPr>
        <w:t>s s</w:t>
      </w:r>
      <w:r w:rsidR="0090544E">
        <w:rPr>
          <w:bCs/>
          <w:sz w:val="28"/>
          <w:szCs w:val="28"/>
          <w:lang w:val="en-GB" w:eastAsia="ar-SA"/>
        </w:rPr>
        <w:t>ë</w:t>
      </w:r>
      <w:r w:rsidR="00850023" w:rsidRPr="00181911">
        <w:rPr>
          <w:bCs/>
          <w:sz w:val="28"/>
          <w:szCs w:val="28"/>
          <w:lang w:val="en-GB" w:eastAsia="ar-SA"/>
        </w:rPr>
        <w:t xml:space="preserve"> Rektorëve, Akademis</w:t>
      </w:r>
      <w:r w:rsidR="0090544E">
        <w:rPr>
          <w:bCs/>
          <w:sz w:val="28"/>
          <w:szCs w:val="28"/>
          <w:lang w:val="en-GB" w:eastAsia="ar-SA"/>
        </w:rPr>
        <w:t>ë</w:t>
      </w:r>
      <w:r w:rsidR="00850023" w:rsidRPr="00181911">
        <w:rPr>
          <w:bCs/>
          <w:sz w:val="28"/>
          <w:szCs w:val="28"/>
          <w:lang w:val="en-GB" w:eastAsia="ar-SA"/>
        </w:rPr>
        <w:t xml:space="preserve"> s</w:t>
      </w:r>
      <w:r w:rsidR="0090544E">
        <w:rPr>
          <w:bCs/>
          <w:sz w:val="28"/>
          <w:szCs w:val="28"/>
          <w:lang w:val="en-GB" w:eastAsia="ar-SA"/>
        </w:rPr>
        <w:t>ë</w:t>
      </w:r>
      <w:r w:rsidR="00850023" w:rsidRPr="00181911">
        <w:rPr>
          <w:bCs/>
          <w:sz w:val="28"/>
          <w:szCs w:val="28"/>
          <w:lang w:val="en-GB" w:eastAsia="ar-SA"/>
        </w:rPr>
        <w:t xml:space="preserve"> Shkencave, </w:t>
      </w:r>
      <w:r w:rsidR="00850023" w:rsidRPr="00181911">
        <w:rPr>
          <w:bCs/>
          <w:sz w:val="28"/>
          <w:szCs w:val="28"/>
          <w:lang w:val="en-GB" w:eastAsia="ar-SA"/>
        </w:rPr>
        <w:lastRenderedPageBreak/>
        <w:t>Agjencis</w:t>
      </w:r>
      <w:r w:rsidR="0090544E">
        <w:rPr>
          <w:bCs/>
          <w:sz w:val="28"/>
          <w:szCs w:val="28"/>
          <w:lang w:val="en-GB" w:eastAsia="ar-SA"/>
        </w:rPr>
        <w:t>ë</w:t>
      </w:r>
      <w:r w:rsidR="00850023" w:rsidRPr="00181911">
        <w:rPr>
          <w:bCs/>
          <w:sz w:val="28"/>
          <w:szCs w:val="28"/>
          <w:lang w:val="en-GB" w:eastAsia="ar-SA"/>
        </w:rPr>
        <w:t xml:space="preserve"> për Mbështetjen e Shoqërisë Civile,  </w:t>
      </w:r>
      <w:r w:rsidR="00850023" w:rsidRPr="00181911">
        <w:rPr>
          <w:bCs/>
          <w:sz w:val="28"/>
          <w:szCs w:val="28"/>
          <w:lang w:eastAsia="ar-SA"/>
        </w:rPr>
        <w:t>Komisionit t</w:t>
      </w:r>
      <w:r w:rsidR="0090544E">
        <w:rPr>
          <w:bCs/>
          <w:sz w:val="28"/>
          <w:szCs w:val="28"/>
          <w:lang w:eastAsia="ar-SA"/>
        </w:rPr>
        <w:t>ë</w:t>
      </w:r>
      <w:r w:rsidR="00850023" w:rsidRPr="00181911">
        <w:rPr>
          <w:bCs/>
          <w:sz w:val="28"/>
          <w:szCs w:val="28"/>
          <w:lang w:eastAsia="ar-SA"/>
        </w:rPr>
        <w:t xml:space="preserve"> Prokurimit Publik, Komisionit t</w:t>
      </w:r>
      <w:r w:rsidR="0090544E">
        <w:rPr>
          <w:bCs/>
          <w:sz w:val="28"/>
          <w:szCs w:val="28"/>
          <w:lang w:eastAsia="ar-SA"/>
        </w:rPr>
        <w:t>ë</w:t>
      </w:r>
      <w:r w:rsidR="00850023" w:rsidRPr="00181911">
        <w:rPr>
          <w:bCs/>
          <w:sz w:val="28"/>
          <w:szCs w:val="28"/>
          <w:lang w:eastAsia="ar-SA"/>
        </w:rPr>
        <w:t xml:space="preserve"> Ndihmës Shtetërore.</w:t>
      </w:r>
    </w:p>
    <w:bookmarkEnd w:id="29"/>
    <w:p w14:paraId="25BC17D4" w14:textId="0A33E8BE" w:rsidR="00663AAD" w:rsidRPr="00181911" w:rsidRDefault="00663AAD" w:rsidP="00EC62B4">
      <w:pPr>
        <w:pStyle w:val="NormalWeb"/>
        <w:spacing w:before="0" w:beforeAutospacing="0" w:after="0" w:afterAutospacing="0" w:line="276" w:lineRule="auto"/>
        <w:jc w:val="both"/>
        <w:rPr>
          <w:sz w:val="28"/>
          <w:szCs w:val="28"/>
        </w:rPr>
      </w:pPr>
    </w:p>
    <w:p w14:paraId="0000004B" w14:textId="77777777" w:rsidR="00C117EA" w:rsidRPr="00181911" w:rsidRDefault="00B74936">
      <w:pPr>
        <w:spacing w:line="276" w:lineRule="auto"/>
        <w:jc w:val="both"/>
        <w:rPr>
          <w:b/>
          <w:sz w:val="28"/>
          <w:szCs w:val="28"/>
        </w:rPr>
      </w:pPr>
      <w:r w:rsidRPr="00181911">
        <w:rPr>
          <w:b/>
          <w:sz w:val="28"/>
          <w:szCs w:val="28"/>
        </w:rPr>
        <w:t>IX. RAPORTI I VLERËSIMIT TË TË ARDHURAVE DHE SHPENZIMEVE BUXHETORE</w:t>
      </w:r>
    </w:p>
    <w:p w14:paraId="0000004C" w14:textId="77777777" w:rsidR="00C117EA" w:rsidRPr="00181911" w:rsidRDefault="00C117EA">
      <w:pPr>
        <w:spacing w:line="276" w:lineRule="auto"/>
        <w:jc w:val="both"/>
        <w:rPr>
          <w:b/>
          <w:sz w:val="28"/>
          <w:szCs w:val="28"/>
        </w:rPr>
      </w:pPr>
    </w:p>
    <w:p w14:paraId="1EDBCE1E" w14:textId="206A9733" w:rsidR="00743495" w:rsidRPr="00181911" w:rsidRDefault="00B2685E" w:rsidP="00743495">
      <w:pPr>
        <w:spacing w:line="276" w:lineRule="auto"/>
        <w:jc w:val="both"/>
        <w:rPr>
          <w:sz w:val="28"/>
          <w:szCs w:val="28"/>
        </w:rPr>
      </w:pPr>
      <w:r w:rsidRPr="00181911">
        <w:rPr>
          <w:sz w:val="28"/>
          <w:szCs w:val="28"/>
        </w:rPr>
        <w:t xml:space="preserve">Ky Vendim </w:t>
      </w:r>
      <w:r w:rsidR="00F94CDB" w:rsidRPr="00181911">
        <w:rPr>
          <w:sz w:val="28"/>
          <w:szCs w:val="28"/>
        </w:rPr>
        <w:t xml:space="preserve">nuk </w:t>
      </w:r>
      <w:r w:rsidR="00743495" w:rsidRPr="00181911">
        <w:rPr>
          <w:sz w:val="28"/>
          <w:szCs w:val="28"/>
        </w:rPr>
        <w:t>ka efekte financiare</w:t>
      </w:r>
      <w:r w:rsidR="009F798E" w:rsidRPr="00181911">
        <w:rPr>
          <w:sz w:val="28"/>
          <w:szCs w:val="28"/>
        </w:rPr>
        <w:t xml:space="preserve"> pasi n</w:t>
      </w:r>
      <w:r w:rsidR="0090544E">
        <w:rPr>
          <w:sz w:val="28"/>
          <w:szCs w:val="28"/>
        </w:rPr>
        <w:t>ë</w:t>
      </w:r>
      <w:r w:rsidR="009F798E" w:rsidRPr="00181911">
        <w:rPr>
          <w:sz w:val="28"/>
          <w:szCs w:val="28"/>
        </w:rPr>
        <w:t>p</w:t>
      </w:r>
      <w:r w:rsidR="0090544E">
        <w:rPr>
          <w:sz w:val="28"/>
          <w:szCs w:val="28"/>
        </w:rPr>
        <w:t>ë</w:t>
      </w:r>
      <w:r w:rsidR="009F798E" w:rsidRPr="00181911">
        <w:rPr>
          <w:sz w:val="28"/>
          <w:szCs w:val="28"/>
        </w:rPr>
        <w:t>rmjet k</w:t>
      </w:r>
      <w:r w:rsidR="0090544E">
        <w:rPr>
          <w:sz w:val="28"/>
          <w:szCs w:val="28"/>
        </w:rPr>
        <w:t>ë</w:t>
      </w:r>
      <w:r w:rsidR="009F798E" w:rsidRPr="00181911">
        <w:rPr>
          <w:sz w:val="28"/>
          <w:szCs w:val="28"/>
        </w:rPr>
        <w:t>tij vendimi krijohet nj</w:t>
      </w:r>
      <w:r w:rsidR="0090544E">
        <w:rPr>
          <w:sz w:val="28"/>
          <w:szCs w:val="28"/>
        </w:rPr>
        <w:t>ë</w:t>
      </w:r>
      <w:r w:rsidR="009F798E" w:rsidRPr="00181911">
        <w:rPr>
          <w:sz w:val="28"/>
          <w:szCs w:val="28"/>
        </w:rPr>
        <w:t xml:space="preserve"> mekaniz</w:t>
      </w:r>
      <w:r w:rsidR="0090544E">
        <w:rPr>
          <w:sz w:val="28"/>
          <w:szCs w:val="28"/>
        </w:rPr>
        <w:t>ë</w:t>
      </w:r>
      <w:r w:rsidR="009F798E" w:rsidRPr="00181911">
        <w:rPr>
          <w:sz w:val="28"/>
          <w:szCs w:val="28"/>
        </w:rPr>
        <w:t>m bashk</w:t>
      </w:r>
      <w:r w:rsidR="0090544E">
        <w:rPr>
          <w:sz w:val="28"/>
          <w:szCs w:val="28"/>
        </w:rPr>
        <w:t>ë</w:t>
      </w:r>
      <w:r w:rsidR="009F798E" w:rsidRPr="00181911">
        <w:rPr>
          <w:sz w:val="28"/>
          <w:szCs w:val="28"/>
        </w:rPr>
        <w:t xml:space="preserve">rendues. </w:t>
      </w:r>
    </w:p>
    <w:p w14:paraId="50D1DDE0" w14:textId="717F14A9" w:rsidR="005925BD" w:rsidRPr="00181911" w:rsidRDefault="005925BD" w:rsidP="004B4204">
      <w:pPr>
        <w:spacing w:line="276" w:lineRule="auto"/>
        <w:jc w:val="both"/>
        <w:rPr>
          <w:b/>
          <w:bCs/>
          <w:sz w:val="28"/>
          <w:szCs w:val="28"/>
        </w:rPr>
      </w:pPr>
    </w:p>
    <w:p w14:paraId="73807BA0" w14:textId="77777777" w:rsidR="000220DF" w:rsidRPr="00181911" w:rsidRDefault="000220DF" w:rsidP="005017EB">
      <w:pPr>
        <w:spacing w:line="276" w:lineRule="auto"/>
        <w:rPr>
          <w:b/>
          <w:bCs/>
          <w:sz w:val="28"/>
          <w:szCs w:val="28"/>
        </w:rPr>
      </w:pPr>
    </w:p>
    <w:p w14:paraId="076A02F9" w14:textId="7730B330" w:rsidR="009213DB" w:rsidRPr="00181911" w:rsidRDefault="009213DB" w:rsidP="009213DB">
      <w:pPr>
        <w:spacing w:line="276" w:lineRule="auto"/>
        <w:jc w:val="center"/>
        <w:rPr>
          <w:b/>
          <w:bCs/>
          <w:sz w:val="28"/>
          <w:szCs w:val="28"/>
        </w:rPr>
      </w:pPr>
      <w:r w:rsidRPr="00181911">
        <w:rPr>
          <w:b/>
          <w:bCs/>
          <w:sz w:val="28"/>
          <w:szCs w:val="28"/>
        </w:rPr>
        <w:t xml:space="preserve">MINISTRI I SHTETIT PËR </w:t>
      </w:r>
      <w:r w:rsidR="00B2685E" w:rsidRPr="00181911">
        <w:rPr>
          <w:b/>
          <w:bCs/>
          <w:sz w:val="28"/>
          <w:szCs w:val="28"/>
        </w:rPr>
        <w:t xml:space="preserve">PUSHTETIN VENDOR </w:t>
      </w:r>
    </w:p>
    <w:p w14:paraId="0900C820" w14:textId="77777777" w:rsidR="009213DB" w:rsidRPr="00181911" w:rsidRDefault="009213DB" w:rsidP="009213DB">
      <w:pPr>
        <w:spacing w:line="276" w:lineRule="auto"/>
        <w:jc w:val="center"/>
        <w:rPr>
          <w:b/>
          <w:bCs/>
          <w:sz w:val="28"/>
          <w:szCs w:val="28"/>
        </w:rPr>
      </w:pPr>
    </w:p>
    <w:p w14:paraId="00000056" w14:textId="43438499" w:rsidR="00C117EA" w:rsidRPr="00181911" w:rsidRDefault="00B2685E" w:rsidP="009213DB">
      <w:pPr>
        <w:spacing w:line="276" w:lineRule="auto"/>
        <w:jc w:val="center"/>
        <w:rPr>
          <w:sz w:val="28"/>
          <w:szCs w:val="28"/>
        </w:rPr>
      </w:pPr>
      <w:r w:rsidRPr="00181911">
        <w:rPr>
          <w:b/>
          <w:bCs/>
          <w:sz w:val="28"/>
          <w:szCs w:val="28"/>
        </w:rPr>
        <w:t xml:space="preserve">Arbjan MAZNIKU </w:t>
      </w:r>
    </w:p>
    <w:sectPr w:rsidR="00C117EA" w:rsidRPr="00181911" w:rsidSect="005B1286">
      <w:headerReference w:type="even" r:id="rId9"/>
      <w:headerReference w:type="default" r:id="rId10"/>
      <w:footerReference w:type="even" r:id="rId11"/>
      <w:footerReference w:type="default" r:id="rId12"/>
      <w:headerReference w:type="first" r:id="rId13"/>
      <w:footerReference w:type="first" r:id="rId14"/>
      <w:pgSz w:w="12240" w:h="15840"/>
      <w:pgMar w:top="851"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5A27F" w14:textId="77777777" w:rsidR="00471ECB" w:rsidRDefault="00471ECB">
      <w:r>
        <w:separator/>
      </w:r>
    </w:p>
  </w:endnote>
  <w:endnote w:type="continuationSeparator" w:id="0">
    <w:p w14:paraId="34500B14" w14:textId="77777777" w:rsidR="00471ECB" w:rsidRDefault="0047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hnschrift">
    <w:panose1 w:val="020B0502040204020203"/>
    <w:charset w:val="00"/>
    <w:family w:val="swiss"/>
    <w:pitch w:val="variable"/>
    <w:sig w:usb0="A00002C7" w:usb1="00000002" w:usb2="00000000" w:usb3="00000000" w:csb0="0000019F" w:csb1="00000000"/>
  </w:font>
  <w:font w:name="Roboto">
    <w:altName w:val="Sitka Small"/>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A" w14:textId="77777777" w:rsidR="00C117EA" w:rsidRDefault="00B74936">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5B" w14:textId="77777777" w:rsidR="00C117EA" w:rsidRDefault="00C117EA">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877444"/>
      <w:docPartObj>
        <w:docPartGallery w:val="Page Numbers (Bottom of Page)"/>
        <w:docPartUnique/>
      </w:docPartObj>
    </w:sdtPr>
    <w:sdtEndPr>
      <w:rPr>
        <w:noProof/>
      </w:rPr>
    </w:sdtEndPr>
    <w:sdtContent>
      <w:p w14:paraId="245FC2A2" w14:textId="7FC3D5EC" w:rsidR="00880A92" w:rsidRDefault="00880A92">
        <w:pPr>
          <w:pStyle w:val="Footer"/>
          <w:jc w:val="center"/>
        </w:pPr>
        <w:r>
          <w:fldChar w:fldCharType="begin"/>
        </w:r>
        <w:r>
          <w:instrText xml:space="preserve"> PAGE   \* MERGEFORMAT </w:instrText>
        </w:r>
        <w:r>
          <w:fldChar w:fldCharType="separate"/>
        </w:r>
        <w:r w:rsidR="003E40B6">
          <w:rPr>
            <w:noProof/>
          </w:rPr>
          <w:t>2</w:t>
        </w:r>
        <w:r>
          <w:rPr>
            <w:noProof/>
          </w:rPr>
          <w:fldChar w:fldCharType="end"/>
        </w:r>
      </w:p>
    </w:sdtContent>
  </w:sdt>
  <w:p w14:paraId="0000005D" w14:textId="0010ECF9" w:rsidR="00C117EA" w:rsidRPr="00F34671" w:rsidRDefault="00C117EA" w:rsidP="00F34671">
    <w:pPr>
      <w:pBdr>
        <w:top w:val="single" w:sz="24" w:space="1" w:color="622423"/>
        <w:left w:val="nil"/>
        <w:bottom w:val="nil"/>
        <w:right w:val="nil"/>
        <w:between w:val="nil"/>
      </w:pBdr>
      <w:tabs>
        <w:tab w:val="center" w:pos="4680"/>
        <w:tab w:val="right" w:pos="9237"/>
        <w:tab w:val="right" w:pos="9360"/>
      </w:tabs>
      <w:ind w:right="360"/>
      <w:jc w:val="both"/>
      <w:rPr>
        <w:bCs/>
        <w:color w:val="000000"/>
        <w:sz w:val="22"/>
        <w:szCs w:val="22"/>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C" w14:textId="77777777" w:rsidR="00C117EA" w:rsidRDefault="00C117E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48370" w14:textId="77777777" w:rsidR="00471ECB" w:rsidRDefault="00471ECB">
      <w:r>
        <w:separator/>
      </w:r>
    </w:p>
  </w:footnote>
  <w:footnote w:type="continuationSeparator" w:id="0">
    <w:p w14:paraId="069489A0" w14:textId="77777777" w:rsidR="00471ECB" w:rsidRDefault="00471ECB">
      <w:r>
        <w:continuationSeparator/>
      </w:r>
    </w:p>
  </w:footnote>
  <w:footnote w:id="1">
    <w:p w14:paraId="6F892717" w14:textId="19DF2539" w:rsidR="006F5140" w:rsidRPr="0044501F" w:rsidRDefault="006F5140" w:rsidP="0044501F">
      <w:pPr>
        <w:pStyle w:val="FootnoteText"/>
        <w:jc w:val="both"/>
        <w:rPr>
          <w:rFonts w:ascii="Roboto" w:hAnsi="Roboto"/>
          <w:b/>
          <w:bCs/>
          <w:color w:val="333333"/>
          <w:sz w:val="21"/>
          <w:szCs w:val="21"/>
          <w:shd w:val="clear" w:color="auto" w:fill="FFFFFF"/>
        </w:rPr>
      </w:pPr>
      <w:r>
        <w:rPr>
          <w:rStyle w:val="FootnoteReference"/>
        </w:rPr>
        <w:footnoteRef/>
      </w:r>
      <w:r>
        <w:t xml:space="preserve"> </w:t>
      </w:r>
      <w:bookmarkStart w:id="7" w:name="_Hlk198540526"/>
      <w:r w:rsidRPr="006F5140">
        <w:rPr>
          <w:color w:val="333333"/>
          <w:shd w:val="clear" w:color="auto" w:fill="FFFFFF"/>
        </w:rPr>
        <w:t>Commission Delegated Regulation (EU) No 240/2014 of 7 January 2014 on the European code of conduct on partnership in the frame</w:t>
      </w:r>
      <w:r w:rsidR="0090544E">
        <w:rPr>
          <w:color w:val="333333"/>
          <w:shd w:val="clear" w:color="auto" w:fill="FFFFFF"/>
        </w:rPr>
        <w:t>ë</w:t>
      </w:r>
      <w:r w:rsidRPr="006F5140">
        <w:rPr>
          <w:color w:val="333333"/>
          <w:shd w:val="clear" w:color="auto" w:fill="FFFFFF"/>
        </w:rPr>
        <w:t>ork of the European Structural and Investment Funds</w:t>
      </w:r>
      <w:bookmarkEnd w:id="7"/>
      <w:r w:rsidRPr="006F5140">
        <w:rPr>
          <w:b/>
          <w:bCs/>
          <w:color w:val="333333"/>
          <w:sz w:val="21"/>
          <w:szCs w:val="21"/>
          <w:shd w:val="clear" w:color="auto" w:fill="FFFFFF"/>
        </w:rPr>
        <w:t xml:space="preserve">, </w:t>
      </w:r>
      <w:hyperlink r:id="rId1" w:history="1">
        <w:r w:rsidRPr="006F5140">
          <w:rPr>
            <w:rStyle w:val="Hyperlink"/>
          </w:rPr>
          <w:t>https://eur-lex.europa.eu/legal-content/EN/TXT/?uri=celex%3A32014R0240</w:t>
        </w:r>
      </w:hyperlink>
    </w:p>
  </w:footnote>
  <w:footnote w:id="2">
    <w:p w14:paraId="5956BD9D" w14:textId="43C38164" w:rsidR="0099501D" w:rsidRDefault="0099501D" w:rsidP="0099501D">
      <w:pPr>
        <w:pStyle w:val="FootnoteText"/>
        <w:jc w:val="both"/>
      </w:pPr>
      <w:r>
        <w:rPr>
          <w:rStyle w:val="FootnoteReference"/>
        </w:rPr>
        <w:footnoteRef/>
      </w:r>
      <w:hyperlink r:id="rId2" w:history="1">
        <w:r w:rsidRPr="00545F79">
          <w:rPr>
            <w:rStyle w:val="Hyperlink"/>
          </w:rPr>
          <w:t>https://enlargement.ec.europa.eu/document/do</w:t>
        </w:r>
        <w:r w:rsidR="0090544E">
          <w:rPr>
            <w:rStyle w:val="Hyperlink"/>
          </w:rPr>
          <w:t>ë</w:t>
        </w:r>
        <w:r w:rsidRPr="00545F79">
          <w:rPr>
            <w:rStyle w:val="Hyperlink"/>
          </w:rPr>
          <w:t>nload/a8eec3f9-b2ec-4cb1-8748-9058854dbc68_en?filename=Albania%20Report%202024.pdf</w:t>
        </w:r>
      </w:hyperlink>
    </w:p>
  </w:footnote>
  <w:footnote w:id="3">
    <w:p w14:paraId="78D8FD6F" w14:textId="2B60A7D4" w:rsidR="00617B2C" w:rsidRDefault="00617B2C" w:rsidP="00617B2C">
      <w:pPr>
        <w:pStyle w:val="FootnoteText"/>
        <w:jc w:val="both"/>
      </w:pPr>
      <w:r>
        <w:rPr>
          <w:rStyle w:val="FootnoteReference"/>
        </w:rPr>
        <w:footnoteRef/>
      </w:r>
      <w:r>
        <w:t xml:space="preserve"> Ligji nr. 30/2017, datë 17 mars 2016, “Për ratifikimin e Marrëveshjes Sektoriale ndërmjet Republikës së Shqipërisë dhe Komisionit Europian për dispozitat për menaxhimin dhe zbatimin e asistencës financiare të Bashkimit për Republikën e Shqipërisë në kuadër të Instrumentit të Asistencës së Para-Aderimit në fushën e politikave “Bujqësia dhe zhvillimi rural” (IPARD II).</w:t>
      </w:r>
      <w:r w:rsidR="0044501F">
        <w:t xml:space="preserve"> </w:t>
      </w:r>
      <w:r>
        <w:t>Ligji nr. 97/2022, datë 6 janar 2023, “Për ratifikimin e Marrëveshjes Sektoriale ndërmjet Këshillit të Ministrave dhe Komisionit Europian për dispozitat për menaxhimin dhe zbatimin e asistencës financiare të Bashkimit për Republikën e Shqipërisë në kuadër të Instrumentit të Asistencës së Para-Aderimit në fushën e politikave “Bujqësia dhe zhvillimi rural” (IPARD III).</w:t>
      </w:r>
    </w:p>
  </w:footnote>
  <w:footnote w:id="4">
    <w:p w14:paraId="1CA3C92E" w14:textId="77777777" w:rsidR="00617B2C" w:rsidRDefault="00617B2C" w:rsidP="00617B2C">
      <w:pPr>
        <w:pStyle w:val="FootnoteText"/>
      </w:pPr>
      <w:r>
        <w:rPr>
          <w:rStyle w:val="FootnoteReference"/>
        </w:rPr>
        <w:footnoteRef/>
      </w:r>
      <w:r>
        <w:t xml:space="preserve"> </w:t>
      </w:r>
      <w:hyperlink r:id="rId3" w:history="1">
        <w:r w:rsidRPr="00617B2C">
          <w:rPr>
            <w:rStyle w:val="Hyperlink"/>
            <w:color w:val="000000"/>
          </w:rPr>
          <w:t>https://neighbourhood-enlargement.ec.europa.eu/system/files/2022-01/C_2021_8914_COMMISSION_IMPLEMENTING_DECISION_EN.pdf</w:t>
        </w:r>
      </w:hyperlink>
      <w:r w:rsidRPr="00617B2C">
        <w:rPr>
          <w:color w:val="000000"/>
        </w:rPr>
        <w:t xml:space="preserve"> p.21.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8" w14:textId="77777777" w:rsidR="00C117EA" w:rsidRDefault="00C117E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7" w14:textId="77777777" w:rsidR="00C117EA" w:rsidRDefault="00C117EA">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9" w14:textId="77777777" w:rsidR="00C117EA" w:rsidRDefault="00C117E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31E8"/>
    <w:multiLevelType w:val="hybridMultilevel"/>
    <w:tmpl w:val="AE06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B2B72"/>
    <w:multiLevelType w:val="hybridMultilevel"/>
    <w:tmpl w:val="F5F0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337BF"/>
    <w:multiLevelType w:val="hybridMultilevel"/>
    <w:tmpl w:val="9B126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0D1168"/>
    <w:multiLevelType w:val="hybridMultilevel"/>
    <w:tmpl w:val="0D721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3F379C"/>
    <w:multiLevelType w:val="hybridMultilevel"/>
    <w:tmpl w:val="206AE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7477B8"/>
    <w:multiLevelType w:val="hybridMultilevel"/>
    <w:tmpl w:val="5BE26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CD08BC"/>
    <w:multiLevelType w:val="hybridMultilevel"/>
    <w:tmpl w:val="83BA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92A09"/>
    <w:multiLevelType w:val="hybridMultilevel"/>
    <w:tmpl w:val="94A27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0"/>
  </w:num>
  <w:num w:numId="6">
    <w:abstractNumId w:val="1"/>
  </w:num>
  <w:num w:numId="7">
    <w:abstractNumId w:val="2"/>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EA"/>
    <w:rsid w:val="00012A0E"/>
    <w:rsid w:val="00015796"/>
    <w:rsid w:val="000220DF"/>
    <w:rsid w:val="000236B1"/>
    <w:rsid w:val="00034357"/>
    <w:rsid w:val="00040B0F"/>
    <w:rsid w:val="00042563"/>
    <w:rsid w:val="0004256E"/>
    <w:rsid w:val="00057FBC"/>
    <w:rsid w:val="00060869"/>
    <w:rsid w:val="00065D12"/>
    <w:rsid w:val="00070111"/>
    <w:rsid w:val="000705AF"/>
    <w:rsid w:val="000805CD"/>
    <w:rsid w:val="00086880"/>
    <w:rsid w:val="00086EE0"/>
    <w:rsid w:val="0009455D"/>
    <w:rsid w:val="00097844"/>
    <w:rsid w:val="000A7595"/>
    <w:rsid w:val="000B05F0"/>
    <w:rsid w:val="000C5CA2"/>
    <w:rsid w:val="000E3670"/>
    <w:rsid w:val="000E5FBF"/>
    <w:rsid w:val="000F053B"/>
    <w:rsid w:val="000F63CE"/>
    <w:rsid w:val="001008B6"/>
    <w:rsid w:val="00101C74"/>
    <w:rsid w:val="00102D54"/>
    <w:rsid w:val="00130C40"/>
    <w:rsid w:val="00144A9D"/>
    <w:rsid w:val="00146692"/>
    <w:rsid w:val="00147C9A"/>
    <w:rsid w:val="00154B4A"/>
    <w:rsid w:val="001669E2"/>
    <w:rsid w:val="00167A56"/>
    <w:rsid w:val="0017113C"/>
    <w:rsid w:val="00181911"/>
    <w:rsid w:val="00186BB3"/>
    <w:rsid w:val="001A1649"/>
    <w:rsid w:val="001A285A"/>
    <w:rsid w:val="001A39D2"/>
    <w:rsid w:val="001C10E8"/>
    <w:rsid w:val="001C1FB5"/>
    <w:rsid w:val="001C49AB"/>
    <w:rsid w:val="001D1190"/>
    <w:rsid w:val="001D3210"/>
    <w:rsid w:val="001D5933"/>
    <w:rsid w:val="001E3189"/>
    <w:rsid w:val="001E6F74"/>
    <w:rsid w:val="001F0A6B"/>
    <w:rsid w:val="001F26F2"/>
    <w:rsid w:val="00202698"/>
    <w:rsid w:val="00202873"/>
    <w:rsid w:val="00210AB5"/>
    <w:rsid w:val="00211A92"/>
    <w:rsid w:val="00224FC9"/>
    <w:rsid w:val="00234451"/>
    <w:rsid w:val="00235146"/>
    <w:rsid w:val="00240671"/>
    <w:rsid w:val="00240904"/>
    <w:rsid w:val="002442B8"/>
    <w:rsid w:val="002456E9"/>
    <w:rsid w:val="00246AD9"/>
    <w:rsid w:val="00247DCD"/>
    <w:rsid w:val="00250F0A"/>
    <w:rsid w:val="00257E78"/>
    <w:rsid w:val="00265A36"/>
    <w:rsid w:val="0026668A"/>
    <w:rsid w:val="00266A68"/>
    <w:rsid w:val="00275388"/>
    <w:rsid w:val="002823FC"/>
    <w:rsid w:val="00285233"/>
    <w:rsid w:val="002915D4"/>
    <w:rsid w:val="00293C52"/>
    <w:rsid w:val="00295FA5"/>
    <w:rsid w:val="002A56AD"/>
    <w:rsid w:val="002C09C6"/>
    <w:rsid w:val="002C0FC3"/>
    <w:rsid w:val="002C5A47"/>
    <w:rsid w:val="002D0C65"/>
    <w:rsid w:val="002D651D"/>
    <w:rsid w:val="00305D8B"/>
    <w:rsid w:val="00316B82"/>
    <w:rsid w:val="0032079D"/>
    <w:rsid w:val="0032654C"/>
    <w:rsid w:val="003268C8"/>
    <w:rsid w:val="003317C5"/>
    <w:rsid w:val="003325DF"/>
    <w:rsid w:val="00336663"/>
    <w:rsid w:val="00336E36"/>
    <w:rsid w:val="00337252"/>
    <w:rsid w:val="003447CF"/>
    <w:rsid w:val="00345EC7"/>
    <w:rsid w:val="00346857"/>
    <w:rsid w:val="00354C8B"/>
    <w:rsid w:val="0036117C"/>
    <w:rsid w:val="003635BB"/>
    <w:rsid w:val="00365492"/>
    <w:rsid w:val="0036565A"/>
    <w:rsid w:val="00370062"/>
    <w:rsid w:val="00371991"/>
    <w:rsid w:val="00394323"/>
    <w:rsid w:val="003975E2"/>
    <w:rsid w:val="003A0D76"/>
    <w:rsid w:val="003A5A67"/>
    <w:rsid w:val="003A61EC"/>
    <w:rsid w:val="003A6569"/>
    <w:rsid w:val="003C3AB7"/>
    <w:rsid w:val="003C4A6A"/>
    <w:rsid w:val="003C587A"/>
    <w:rsid w:val="003C7D6B"/>
    <w:rsid w:val="003E40B6"/>
    <w:rsid w:val="003E71BE"/>
    <w:rsid w:val="003F2263"/>
    <w:rsid w:val="003F2700"/>
    <w:rsid w:val="003F2BDA"/>
    <w:rsid w:val="003F524E"/>
    <w:rsid w:val="003F7652"/>
    <w:rsid w:val="00400194"/>
    <w:rsid w:val="00410919"/>
    <w:rsid w:val="00412D11"/>
    <w:rsid w:val="00423F87"/>
    <w:rsid w:val="004247CF"/>
    <w:rsid w:val="00425C79"/>
    <w:rsid w:val="00425F37"/>
    <w:rsid w:val="00431D92"/>
    <w:rsid w:val="004351D1"/>
    <w:rsid w:val="00441F71"/>
    <w:rsid w:val="0044501F"/>
    <w:rsid w:val="004507F1"/>
    <w:rsid w:val="00452B63"/>
    <w:rsid w:val="00456C96"/>
    <w:rsid w:val="00464745"/>
    <w:rsid w:val="00471CEE"/>
    <w:rsid w:val="00471ECB"/>
    <w:rsid w:val="0047213A"/>
    <w:rsid w:val="0047737A"/>
    <w:rsid w:val="00477C23"/>
    <w:rsid w:val="00481E37"/>
    <w:rsid w:val="00483FB0"/>
    <w:rsid w:val="00486956"/>
    <w:rsid w:val="00493F0A"/>
    <w:rsid w:val="0049791A"/>
    <w:rsid w:val="004A4004"/>
    <w:rsid w:val="004B1AFB"/>
    <w:rsid w:val="004B4204"/>
    <w:rsid w:val="004B61B0"/>
    <w:rsid w:val="004B707E"/>
    <w:rsid w:val="004C107D"/>
    <w:rsid w:val="004D03CA"/>
    <w:rsid w:val="004D1707"/>
    <w:rsid w:val="004E0C8B"/>
    <w:rsid w:val="004E18AF"/>
    <w:rsid w:val="004E1D8E"/>
    <w:rsid w:val="004E4DA0"/>
    <w:rsid w:val="004F0198"/>
    <w:rsid w:val="005017EB"/>
    <w:rsid w:val="00504D0D"/>
    <w:rsid w:val="00506548"/>
    <w:rsid w:val="005075AA"/>
    <w:rsid w:val="005078D8"/>
    <w:rsid w:val="0051546A"/>
    <w:rsid w:val="00515528"/>
    <w:rsid w:val="00516E3A"/>
    <w:rsid w:val="005252F2"/>
    <w:rsid w:val="00526286"/>
    <w:rsid w:val="0052681B"/>
    <w:rsid w:val="00536F41"/>
    <w:rsid w:val="00537463"/>
    <w:rsid w:val="005417F2"/>
    <w:rsid w:val="0054591C"/>
    <w:rsid w:val="0055446C"/>
    <w:rsid w:val="00556369"/>
    <w:rsid w:val="0055640D"/>
    <w:rsid w:val="00561936"/>
    <w:rsid w:val="00574F1D"/>
    <w:rsid w:val="00576AEB"/>
    <w:rsid w:val="005878B7"/>
    <w:rsid w:val="005925BD"/>
    <w:rsid w:val="00593736"/>
    <w:rsid w:val="00593A71"/>
    <w:rsid w:val="005A50BC"/>
    <w:rsid w:val="005B1177"/>
    <w:rsid w:val="005B1286"/>
    <w:rsid w:val="005B596C"/>
    <w:rsid w:val="005C2C33"/>
    <w:rsid w:val="005D1179"/>
    <w:rsid w:val="005D4B90"/>
    <w:rsid w:val="005F2B13"/>
    <w:rsid w:val="005F3405"/>
    <w:rsid w:val="005F65F9"/>
    <w:rsid w:val="00601321"/>
    <w:rsid w:val="0060185C"/>
    <w:rsid w:val="00602539"/>
    <w:rsid w:val="00616E18"/>
    <w:rsid w:val="00617B2C"/>
    <w:rsid w:val="006207DB"/>
    <w:rsid w:val="00630FDD"/>
    <w:rsid w:val="006316DE"/>
    <w:rsid w:val="00635D15"/>
    <w:rsid w:val="00646859"/>
    <w:rsid w:val="006563D8"/>
    <w:rsid w:val="00656C80"/>
    <w:rsid w:val="0065749F"/>
    <w:rsid w:val="00661612"/>
    <w:rsid w:val="00663AAD"/>
    <w:rsid w:val="00666D1D"/>
    <w:rsid w:val="00674BBA"/>
    <w:rsid w:val="00676F41"/>
    <w:rsid w:val="0068209F"/>
    <w:rsid w:val="006849A8"/>
    <w:rsid w:val="00686114"/>
    <w:rsid w:val="006879E3"/>
    <w:rsid w:val="00690635"/>
    <w:rsid w:val="00695721"/>
    <w:rsid w:val="006A663F"/>
    <w:rsid w:val="006B360D"/>
    <w:rsid w:val="006B673D"/>
    <w:rsid w:val="006D3F49"/>
    <w:rsid w:val="006D6326"/>
    <w:rsid w:val="006F5140"/>
    <w:rsid w:val="006F6624"/>
    <w:rsid w:val="00711913"/>
    <w:rsid w:val="00712F61"/>
    <w:rsid w:val="00713C0C"/>
    <w:rsid w:val="00714266"/>
    <w:rsid w:val="00724E76"/>
    <w:rsid w:val="00732171"/>
    <w:rsid w:val="00735D9A"/>
    <w:rsid w:val="00742E0D"/>
    <w:rsid w:val="00743495"/>
    <w:rsid w:val="00746B5B"/>
    <w:rsid w:val="007501BC"/>
    <w:rsid w:val="007563F7"/>
    <w:rsid w:val="007706B6"/>
    <w:rsid w:val="007718F8"/>
    <w:rsid w:val="0077514F"/>
    <w:rsid w:val="007A5E23"/>
    <w:rsid w:val="007B5301"/>
    <w:rsid w:val="007B6150"/>
    <w:rsid w:val="007C1577"/>
    <w:rsid w:val="007C2011"/>
    <w:rsid w:val="007C5682"/>
    <w:rsid w:val="007C7100"/>
    <w:rsid w:val="007D10A2"/>
    <w:rsid w:val="007D126C"/>
    <w:rsid w:val="007D3A58"/>
    <w:rsid w:val="007E2669"/>
    <w:rsid w:val="007E30B8"/>
    <w:rsid w:val="007E51B9"/>
    <w:rsid w:val="007E6719"/>
    <w:rsid w:val="007F621F"/>
    <w:rsid w:val="00801274"/>
    <w:rsid w:val="00802B5F"/>
    <w:rsid w:val="00803482"/>
    <w:rsid w:val="008042D3"/>
    <w:rsid w:val="00804746"/>
    <w:rsid w:val="008142E8"/>
    <w:rsid w:val="0081447C"/>
    <w:rsid w:val="0081547F"/>
    <w:rsid w:val="008227C4"/>
    <w:rsid w:val="0082386A"/>
    <w:rsid w:val="00833BC1"/>
    <w:rsid w:val="00844015"/>
    <w:rsid w:val="00850023"/>
    <w:rsid w:val="0086053B"/>
    <w:rsid w:val="008644B7"/>
    <w:rsid w:val="00867124"/>
    <w:rsid w:val="00880A92"/>
    <w:rsid w:val="00882BD3"/>
    <w:rsid w:val="00882EB4"/>
    <w:rsid w:val="00885CD0"/>
    <w:rsid w:val="008867F6"/>
    <w:rsid w:val="00887808"/>
    <w:rsid w:val="008879E8"/>
    <w:rsid w:val="00887E53"/>
    <w:rsid w:val="008B43B0"/>
    <w:rsid w:val="008B4C2D"/>
    <w:rsid w:val="008C1EC9"/>
    <w:rsid w:val="008C3A19"/>
    <w:rsid w:val="008C70C8"/>
    <w:rsid w:val="008D024B"/>
    <w:rsid w:val="008D1A21"/>
    <w:rsid w:val="008D28E6"/>
    <w:rsid w:val="008D7448"/>
    <w:rsid w:val="008E1738"/>
    <w:rsid w:val="008E5C4C"/>
    <w:rsid w:val="008F2173"/>
    <w:rsid w:val="008F60CF"/>
    <w:rsid w:val="008F713B"/>
    <w:rsid w:val="00900F94"/>
    <w:rsid w:val="00902EE0"/>
    <w:rsid w:val="009051BC"/>
    <w:rsid w:val="0090544E"/>
    <w:rsid w:val="0091082C"/>
    <w:rsid w:val="00911FA0"/>
    <w:rsid w:val="00916467"/>
    <w:rsid w:val="009213DB"/>
    <w:rsid w:val="0092209C"/>
    <w:rsid w:val="009250D6"/>
    <w:rsid w:val="00926DB6"/>
    <w:rsid w:val="009271FA"/>
    <w:rsid w:val="009449B3"/>
    <w:rsid w:val="0094664F"/>
    <w:rsid w:val="009476A4"/>
    <w:rsid w:val="009476FD"/>
    <w:rsid w:val="00950609"/>
    <w:rsid w:val="00951059"/>
    <w:rsid w:val="00963A3D"/>
    <w:rsid w:val="00966AC9"/>
    <w:rsid w:val="00970980"/>
    <w:rsid w:val="00984EB8"/>
    <w:rsid w:val="00990C59"/>
    <w:rsid w:val="0099501D"/>
    <w:rsid w:val="00995634"/>
    <w:rsid w:val="00997421"/>
    <w:rsid w:val="009A125F"/>
    <w:rsid w:val="009A228D"/>
    <w:rsid w:val="009A2CBB"/>
    <w:rsid w:val="009A5119"/>
    <w:rsid w:val="009A57F7"/>
    <w:rsid w:val="009A6E75"/>
    <w:rsid w:val="009B34E3"/>
    <w:rsid w:val="009C27A7"/>
    <w:rsid w:val="009C5052"/>
    <w:rsid w:val="009D449D"/>
    <w:rsid w:val="009E50E8"/>
    <w:rsid w:val="009E7665"/>
    <w:rsid w:val="009F22E0"/>
    <w:rsid w:val="009F6927"/>
    <w:rsid w:val="009F76B1"/>
    <w:rsid w:val="009F798E"/>
    <w:rsid w:val="009F7E0A"/>
    <w:rsid w:val="00A006F4"/>
    <w:rsid w:val="00A070CF"/>
    <w:rsid w:val="00A14A2B"/>
    <w:rsid w:val="00A1560D"/>
    <w:rsid w:val="00A15B22"/>
    <w:rsid w:val="00A209D5"/>
    <w:rsid w:val="00A256C0"/>
    <w:rsid w:val="00A25D31"/>
    <w:rsid w:val="00A31795"/>
    <w:rsid w:val="00A34599"/>
    <w:rsid w:val="00A41F9B"/>
    <w:rsid w:val="00A46731"/>
    <w:rsid w:val="00A523E2"/>
    <w:rsid w:val="00A6312B"/>
    <w:rsid w:val="00A639CB"/>
    <w:rsid w:val="00A63A6C"/>
    <w:rsid w:val="00A7339E"/>
    <w:rsid w:val="00A75F27"/>
    <w:rsid w:val="00A7712A"/>
    <w:rsid w:val="00A843E0"/>
    <w:rsid w:val="00A870C5"/>
    <w:rsid w:val="00A97CD5"/>
    <w:rsid w:val="00AA6224"/>
    <w:rsid w:val="00AB109A"/>
    <w:rsid w:val="00AB5428"/>
    <w:rsid w:val="00AC40B6"/>
    <w:rsid w:val="00AC5A3F"/>
    <w:rsid w:val="00AD6605"/>
    <w:rsid w:val="00AD6BB9"/>
    <w:rsid w:val="00AD735B"/>
    <w:rsid w:val="00AD7C5C"/>
    <w:rsid w:val="00AE49A4"/>
    <w:rsid w:val="00AF1E45"/>
    <w:rsid w:val="00AF586A"/>
    <w:rsid w:val="00AF6761"/>
    <w:rsid w:val="00B04A93"/>
    <w:rsid w:val="00B04CBB"/>
    <w:rsid w:val="00B10E07"/>
    <w:rsid w:val="00B203D1"/>
    <w:rsid w:val="00B21FB7"/>
    <w:rsid w:val="00B2280E"/>
    <w:rsid w:val="00B229F3"/>
    <w:rsid w:val="00B25EAF"/>
    <w:rsid w:val="00B2685E"/>
    <w:rsid w:val="00B41E67"/>
    <w:rsid w:val="00B518E3"/>
    <w:rsid w:val="00B67F23"/>
    <w:rsid w:val="00B701F7"/>
    <w:rsid w:val="00B74936"/>
    <w:rsid w:val="00B77F81"/>
    <w:rsid w:val="00B840DF"/>
    <w:rsid w:val="00B90825"/>
    <w:rsid w:val="00B92810"/>
    <w:rsid w:val="00B92C50"/>
    <w:rsid w:val="00B93EF1"/>
    <w:rsid w:val="00B94217"/>
    <w:rsid w:val="00B964EE"/>
    <w:rsid w:val="00BA2FE6"/>
    <w:rsid w:val="00BA4F2F"/>
    <w:rsid w:val="00BA7229"/>
    <w:rsid w:val="00BD1FFD"/>
    <w:rsid w:val="00BD7C4C"/>
    <w:rsid w:val="00BE590C"/>
    <w:rsid w:val="00BE5959"/>
    <w:rsid w:val="00BE6338"/>
    <w:rsid w:val="00BF28E1"/>
    <w:rsid w:val="00BF4CA9"/>
    <w:rsid w:val="00BF50F2"/>
    <w:rsid w:val="00C01AE8"/>
    <w:rsid w:val="00C01B2C"/>
    <w:rsid w:val="00C030E5"/>
    <w:rsid w:val="00C04968"/>
    <w:rsid w:val="00C117EA"/>
    <w:rsid w:val="00C1290D"/>
    <w:rsid w:val="00C21027"/>
    <w:rsid w:val="00C224DA"/>
    <w:rsid w:val="00C23BCA"/>
    <w:rsid w:val="00C24E5C"/>
    <w:rsid w:val="00C26A8B"/>
    <w:rsid w:val="00C27098"/>
    <w:rsid w:val="00C37BDD"/>
    <w:rsid w:val="00C40C00"/>
    <w:rsid w:val="00C4242B"/>
    <w:rsid w:val="00C43471"/>
    <w:rsid w:val="00C47279"/>
    <w:rsid w:val="00C47DF9"/>
    <w:rsid w:val="00C507EF"/>
    <w:rsid w:val="00C54F9C"/>
    <w:rsid w:val="00C55836"/>
    <w:rsid w:val="00C57275"/>
    <w:rsid w:val="00C62BD8"/>
    <w:rsid w:val="00C6428A"/>
    <w:rsid w:val="00C67C02"/>
    <w:rsid w:val="00C71B82"/>
    <w:rsid w:val="00C8057A"/>
    <w:rsid w:val="00C810BF"/>
    <w:rsid w:val="00C82969"/>
    <w:rsid w:val="00C82ED5"/>
    <w:rsid w:val="00C856F0"/>
    <w:rsid w:val="00C85EE4"/>
    <w:rsid w:val="00C87184"/>
    <w:rsid w:val="00C875B5"/>
    <w:rsid w:val="00C93C4B"/>
    <w:rsid w:val="00C93F41"/>
    <w:rsid w:val="00CA0A6F"/>
    <w:rsid w:val="00CA2C7B"/>
    <w:rsid w:val="00CA31C9"/>
    <w:rsid w:val="00CA4645"/>
    <w:rsid w:val="00CA6154"/>
    <w:rsid w:val="00CA6EF2"/>
    <w:rsid w:val="00CB6830"/>
    <w:rsid w:val="00CC3D3E"/>
    <w:rsid w:val="00CC63D8"/>
    <w:rsid w:val="00CC6FC7"/>
    <w:rsid w:val="00CC71CA"/>
    <w:rsid w:val="00CD148A"/>
    <w:rsid w:val="00CD5A71"/>
    <w:rsid w:val="00CE154A"/>
    <w:rsid w:val="00CE2233"/>
    <w:rsid w:val="00CE4986"/>
    <w:rsid w:val="00CE6754"/>
    <w:rsid w:val="00CF445C"/>
    <w:rsid w:val="00CF4BD6"/>
    <w:rsid w:val="00CF700B"/>
    <w:rsid w:val="00D05662"/>
    <w:rsid w:val="00D06051"/>
    <w:rsid w:val="00D062FD"/>
    <w:rsid w:val="00D12A5D"/>
    <w:rsid w:val="00D20405"/>
    <w:rsid w:val="00D23B03"/>
    <w:rsid w:val="00D37886"/>
    <w:rsid w:val="00D40AF5"/>
    <w:rsid w:val="00D45905"/>
    <w:rsid w:val="00D47D99"/>
    <w:rsid w:val="00D513F3"/>
    <w:rsid w:val="00D53AF2"/>
    <w:rsid w:val="00D571F5"/>
    <w:rsid w:val="00D6387F"/>
    <w:rsid w:val="00D6604A"/>
    <w:rsid w:val="00D6673A"/>
    <w:rsid w:val="00D747BF"/>
    <w:rsid w:val="00D7494D"/>
    <w:rsid w:val="00D769C9"/>
    <w:rsid w:val="00D805D6"/>
    <w:rsid w:val="00D83E14"/>
    <w:rsid w:val="00D846A7"/>
    <w:rsid w:val="00D918BA"/>
    <w:rsid w:val="00D91D5D"/>
    <w:rsid w:val="00D928FB"/>
    <w:rsid w:val="00D92D45"/>
    <w:rsid w:val="00D95B05"/>
    <w:rsid w:val="00D96507"/>
    <w:rsid w:val="00D97214"/>
    <w:rsid w:val="00D9733B"/>
    <w:rsid w:val="00DA0F3E"/>
    <w:rsid w:val="00DA16B0"/>
    <w:rsid w:val="00DA3D52"/>
    <w:rsid w:val="00DA3F60"/>
    <w:rsid w:val="00DB1B9A"/>
    <w:rsid w:val="00DB1FEF"/>
    <w:rsid w:val="00DB4525"/>
    <w:rsid w:val="00DB6708"/>
    <w:rsid w:val="00DC1573"/>
    <w:rsid w:val="00DC1D8E"/>
    <w:rsid w:val="00DC49EC"/>
    <w:rsid w:val="00DE0DF1"/>
    <w:rsid w:val="00DE2330"/>
    <w:rsid w:val="00DE2C0D"/>
    <w:rsid w:val="00DE478B"/>
    <w:rsid w:val="00DE4AE4"/>
    <w:rsid w:val="00DE7F93"/>
    <w:rsid w:val="00DF616B"/>
    <w:rsid w:val="00DF63C0"/>
    <w:rsid w:val="00DF7569"/>
    <w:rsid w:val="00DF7F33"/>
    <w:rsid w:val="00E01F25"/>
    <w:rsid w:val="00E11CFB"/>
    <w:rsid w:val="00E13EDA"/>
    <w:rsid w:val="00E14380"/>
    <w:rsid w:val="00E14404"/>
    <w:rsid w:val="00E165E2"/>
    <w:rsid w:val="00E27010"/>
    <w:rsid w:val="00E3448F"/>
    <w:rsid w:val="00E34D14"/>
    <w:rsid w:val="00E35B36"/>
    <w:rsid w:val="00E404C3"/>
    <w:rsid w:val="00E4064F"/>
    <w:rsid w:val="00E4109B"/>
    <w:rsid w:val="00E45D9F"/>
    <w:rsid w:val="00E57489"/>
    <w:rsid w:val="00E62BC1"/>
    <w:rsid w:val="00E63BFA"/>
    <w:rsid w:val="00E70400"/>
    <w:rsid w:val="00E72913"/>
    <w:rsid w:val="00E81C32"/>
    <w:rsid w:val="00E82382"/>
    <w:rsid w:val="00E95523"/>
    <w:rsid w:val="00E96675"/>
    <w:rsid w:val="00EA21D6"/>
    <w:rsid w:val="00EA459F"/>
    <w:rsid w:val="00EB09DA"/>
    <w:rsid w:val="00EC049B"/>
    <w:rsid w:val="00EC62B4"/>
    <w:rsid w:val="00ED2847"/>
    <w:rsid w:val="00ED716B"/>
    <w:rsid w:val="00EE012B"/>
    <w:rsid w:val="00EE12CA"/>
    <w:rsid w:val="00EE2BDB"/>
    <w:rsid w:val="00EE2FD3"/>
    <w:rsid w:val="00EF0007"/>
    <w:rsid w:val="00EF0F2F"/>
    <w:rsid w:val="00F00075"/>
    <w:rsid w:val="00F0228F"/>
    <w:rsid w:val="00F037CC"/>
    <w:rsid w:val="00F03D1D"/>
    <w:rsid w:val="00F0405F"/>
    <w:rsid w:val="00F16D25"/>
    <w:rsid w:val="00F34406"/>
    <w:rsid w:val="00F34671"/>
    <w:rsid w:val="00F44EF0"/>
    <w:rsid w:val="00F47103"/>
    <w:rsid w:val="00F47705"/>
    <w:rsid w:val="00F60EDB"/>
    <w:rsid w:val="00F75D8B"/>
    <w:rsid w:val="00F827EE"/>
    <w:rsid w:val="00F939D3"/>
    <w:rsid w:val="00F94CDB"/>
    <w:rsid w:val="00F971F5"/>
    <w:rsid w:val="00FA3AA7"/>
    <w:rsid w:val="00FA41C0"/>
    <w:rsid w:val="00FB109A"/>
    <w:rsid w:val="00FB2D87"/>
    <w:rsid w:val="00FB7F3B"/>
    <w:rsid w:val="00FC2447"/>
    <w:rsid w:val="00FC7405"/>
    <w:rsid w:val="00FD2EF9"/>
    <w:rsid w:val="00FD59BD"/>
    <w:rsid w:val="00FF2E6F"/>
    <w:rsid w:val="00FF6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0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q-AL"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7F2"/>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D47D99"/>
    <w:pPr>
      <w:keepNext/>
      <w:keepLines/>
      <w:spacing w:before="40"/>
      <w:outlineLvl w:val="6"/>
    </w:pPr>
    <w:rPr>
      <w:color w:val="595959"/>
      <w:lang w:val="en-GB"/>
    </w:rPr>
  </w:style>
  <w:style w:type="paragraph" w:styleId="Heading8">
    <w:name w:val="heading 8"/>
    <w:basedOn w:val="Normal"/>
    <w:next w:val="Normal"/>
    <w:link w:val="Heading8Char"/>
    <w:uiPriority w:val="9"/>
    <w:semiHidden/>
    <w:unhideWhenUsed/>
    <w:qFormat/>
    <w:rsid w:val="00D47D99"/>
    <w:pPr>
      <w:keepNext/>
      <w:keepLines/>
      <w:spacing w:before="40"/>
      <w:outlineLvl w:val="7"/>
    </w:pPr>
    <w:rPr>
      <w:i/>
      <w:iCs/>
      <w:color w:val="272727"/>
      <w:lang w:val="en-GB"/>
    </w:rPr>
  </w:style>
  <w:style w:type="paragraph" w:styleId="Heading9">
    <w:name w:val="heading 9"/>
    <w:basedOn w:val="Normal"/>
    <w:next w:val="Normal"/>
    <w:link w:val="Heading9Char"/>
    <w:uiPriority w:val="9"/>
    <w:semiHidden/>
    <w:unhideWhenUsed/>
    <w:qFormat/>
    <w:rsid w:val="00D47D99"/>
    <w:pPr>
      <w:keepNext/>
      <w:keepLines/>
      <w:spacing w:before="40"/>
      <w:outlineLvl w:val="8"/>
    </w:pPr>
    <w:rPr>
      <w:color w:val="2727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2A56AD"/>
  </w:style>
  <w:style w:type="character" w:styleId="CommentReference">
    <w:name w:val="annotation reference"/>
    <w:basedOn w:val="DefaultParagraphFont"/>
    <w:uiPriority w:val="99"/>
    <w:semiHidden/>
    <w:unhideWhenUsed/>
    <w:rsid w:val="002A56AD"/>
    <w:rPr>
      <w:sz w:val="16"/>
      <w:szCs w:val="16"/>
    </w:rPr>
  </w:style>
  <w:style w:type="paragraph" w:styleId="CommentText">
    <w:name w:val="annotation text"/>
    <w:basedOn w:val="Normal"/>
    <w:link w:val="CommentTextChar"/>
    <w:uiPriority w:val="99"/>
    <w:semiHidden/>
    <w:unhideWhenUsed/>
    <w:rsid w:val="002A56AD"/>
    <w:rPr>
      <w:sz w:val="20"/>
      <w:szCs w:val="20"/>
    </w:rPr>
  </w:style>
  <w:style w:type="character" w:customStyle="1" w:styleId="CommentTextChar">
    <w:name w:val="Comment Text Char"/>
    <w:basedOn w:val="DefaultParagraphFont"/>
    <w:link w:val="CommentText"/>
    <w:uiPriority w:val="99"/>
    <w:semiHidden/>
    <w:rsid w:val="002A56AD"/>
    <w:rPr>
      <w:sz w:val="20"/>
      <w:szCs w:val="20"/>
    </w:rPr>
  </w:style>
  <w:style w:type="paragraph" w:styleId="CommentSubject">
    <w:name w:val="annotation subject"/>
    <w:basedOn w:val="CommentText"/>
    <w:next w:val="CommentText"/>
    <w:link w:val="CommentSubjectChar"/>
    <w:uiPriority w:val="99"/>
    <w:semiHidden/>
    <w:unhideWhenUsed/>
    <w:rsid w:val="002A56AD"/>
    <w:rPr>
      <w:b/>
      <w:bCs/>
    </w:rPr>
  </w:style>
  <w:style w:type="character" w:customStyle="1" w:styleId="CommentSubjectChar">
    <w:name w:val="Comment Subject Char"/>
    <w:basedOn w:val="CommentTextChar"/>
    <w:link w:val="CommentSubject"/>
    <w:uiPriority w:val="99"/>
    <w:semiHidden/>
    <w:rsid w:val="002A56AD"/>
    <w:rPr>
      <w:b/>
      <w:bCs/>
      <w:sz w:val="20"/>
      <w:szCs w:val="20"/>
    </w:rPr>
  </w:style>
  <w:style w:type="table" w:styleId="TableGrid">
    <w:name w:val="Table Grid"/>
    <w:basedOn w:val="TableNormal"/>
    <w:uiPriority w:val="39"/>
    <w:rsid w:val="00E40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064F"/>
    <w:pPr>
      <w:ind w:left="720"/>
      <w:contextualSpacing/>
    </w:pPr>
  </w:style>
  <w:style w:type="paragraph" w:customStyle="1" w:styleId="Default">
    <w:name w:val="Default"/>
    <w:rsid w:val="00C93C4B"/>
    <w:pPr>
      <w:autoSpaceDE w:val="0"/>
      <w:autoSpaceDN w:val="0"/>
      <w:adjustRightInd w:val="0"/>
    </w:pPr>
    <w:rPr>
      <w:rFonts w:eastAsia="Aptos"/>
      <w:color w:val="000000"/>
      <w:lang w:val="en-US" w:eastAsia="en-US"/>
      <w14:ligatures w14:val="standardContextual"/>
    </w:rPr>
  </w:style>
  <w:style w:type="paragraph" w:customStyle="1" w:styleId="elementtoproof">
    <w:name w:val="elementtoproof"/>
    <w:basedOn w:val="Normal"/>
    <w:rsid w:val="00BD1FFD"/>
    <w:pPr>
      <w:spacing w:before="100" w:beforeAutospacing="1" w:after="100" w:afterAutospacing="1"/>
    </w:pPr>
  </w:style>
  <w:style w:type="paragraph" w:styleId="NormalWeb">
    <w:name w:val="Normal (Web)"/>
    <w:basedOn w:val="Normal"/>
    <w:uiPriority w:val="99"/>
    <w:semiHidden/>
    <w:unhideWhenUsed/>
    <w:rsid w:val="00BD1FFD"/>
    <w:pPr>
      <w:spacing w:before="100" w:beforeAutospacing="1" w:after="100" w:afterAutospacing="1"/>
    </w:pPr>
  </w:style>
  <w:style w:type="character" w:customStyle="1" w:styleId="apple-converted-space">
    <w:name w:val="apple-converted-space"/>
    <w:basedOn w:val="DefaultParagraphFont"/>
    <w:rsid w:val="00BD1FFD"/>
  </w:style>
  <w:style w:type="paragraph" w:styleId="Footer">
    <w:name w:val="footer"/>
    <w:basedOn w:val="Normal"/>
    <w:link w:val="FooterChar"/>
    <w:uiPriority w:val="99"/>
    <w:unhideWhenUsed/>
    <w:rsid w:val="00880A92"/>
    <w:pPr>
      <w:tabs>
        <w:tab w:val="center" w:pos="4680"/>
        <w:tab w:val="right" w:pos="9360"/>
      </w:tabs>
    </w:pPr>
    <w:rPr>
      <w:rFonts w:asciiTheme="minorHAnsi" w:eastAsiaTheme="minorEastAsia" w:hAnsiTheme="minorHAnsi"/>
      <w:sz w:val="22"/>
      <w:szCs w:val="22"/>
      <w:lang w:val="en-US" w:eastAsia="en-US"/>
    </w:rPr>
  </w:style>
  <w:style w:type="character" w:customStyle="1" w:styleId="FooterChar">
    <w:name w:val="Footer Char"/>
    <w:basedOn w:val="DefaultParagraphFont"/>
    <w:link w:val="Footer"/>
    <w:uiPriority w:val="99"/>
    <w:rsid w:val="00880A92"/>
    <w:rPr>
      <w:rFonts w:asciiTheme="minorHAnsi" w:eastAsiaTheme="minorEastAsia" w:hAnsiTheme="minorHAnsi"/>
      <w:sz w:val="22"/>
      <w:szCs w:val="22"/>
      <w:lang w:val="en-US" w:eastAsia="en-US"/>
    </w:rPr>
  </w:style>
  <w:style w:type="paragraph" w:styleId="FootnoteText">
    <w:name w:val="footnote text"/>
    <w:basedOn w:val="Normal"/>
    <w:link w:val="FootnoteTextChar"/>
    <w:uiPriority w:val="99"/>
    <w:semiHidden/>
    <w:unhideWhenUsed/>
    <w:rsid w:val="000C5CA2"/>
    <w:rPr>
      <w:sz w:val="20"/>
      <w:szCs w:val="20"/>
    </w:rPr>
  </w:style>
  <w:style w:type="character" w:customStyle="1" w:styleId="FootnoteTextChar">
    <w:name w:val="Footnote Text Char"/>
    <w:basedOn w:val="DefaultParagraphFont"/>
    <w:link w:val="FootnoteText"/>
    <w:uiPriority w:val="99"/>
    <w:semiHidden/>
    <w:rsid w:val="000C5CA2"/>
    <w:rPr>
      <w:sz w:val="20"/>
      <w:szCs w:val="20"/>
    </w:rPr>
  </w:style>
  <w:style w:type="character" w:styleId="FootnoteReference">
    <w:name w:val="footnote reference"/>
    <w:basedOn w:val="DefaultParagraphFont"/>
    <w:unhideWhenUsed/>
    <w:rsid w:val="000C5CA2"/>
    <w:rPr>
      <w:vertAlign w:val="superscript"/>
    </w:rPr>
  </w:style>
  <w:style w:type="character" w:styleId="Hyperlink">
    <w:name w:val="Hyperlink"/>
    <w:basedOn w:val="DefaultParagraphFont"/>
    <w:uiPriority w:val="99"/>
    <w:unhideWhenUsed/>
    <w:rsid w:val="00DF7569"/>
    <w:rPr>
      <w:color w:val="0000FF" w:themeColor="hyperlink"/>
      <w:u w:val="single"/>
    </w:rPr>
  </w:style>
  <w:style w:type="character" w:customStyle="1" w:styleId="UnresolvedMention">
    <w:name w:val="Unresolved Mention"/>
    <w:basedOn w:val="DefaultParagraphFont"/>
    <w:uiPriority w:val="99"/>
    <w:semiHidden/>
    <w:unhideWhenUsed/>
    <w:rsid w:val="00DF7569"/>
    <w:rPr>
      <w:color w:val="605E5C"/>
      <w:shd w:val="clear" w:color="auto" w:fill="E1DFDD"/>
    </w:rPr>
  </w:style>
  <w:style w:type="paragraph" w:customStyle="1" w:styleId="Heading71">
    <w:name w:val="Heading 71"/>
    <w:basedOn w:val="Normal"/>
    <w:next w:val="Normal"/>
    <w:uiPriority w:val="9"/>
    <w:semiHidden/>
    <w:unhideWhenUsed/>
    <w:qFormat/>
    <w:rsid w:val="00D47D99"/>
    <w:pPr>
      <w:keepNext/>
      <w:keepLines/>
      <w:spacing w:before="40" w:line="259" w:lineRule="auto"/>
      <w:outlineLvl w:val="6"/>
    </w:pPr>
    <w:rPr>
      <w:rFonts w:ascii="Aptos" w:hAnsi="Aptos"/>
      <w:color w:val="595959"/>
      <w:kern w:val="2"/>
      <w:sz w:val="22"/>
      <w:szCs w:val="22"/>
      <w:lang w:val="en-GB" w:eastAsia="en-US"/>
      <w14:ligatures w14:val="standardContextual"/>
    </w:rPr>
  </w:style>
  <w:style w:type="paragraph" w:customStyle="1" w:styleId="Heading81">
    <w:name w:val="Heading 81"/>
    <w:basedOn w:val="Normal"/>
    <w:next w:val="Normal"/>
    <w:uiPriority w:val="9"/>
    <w:semiHidden/>
    <w:unhideWhenUsed/>
    <w:qFormat/>
    <w:rsid w:val="00D47D99"/>
    <w:pPr>
      <w:keepNext/>
      <w:keepLines/>
      <w:spacing w:line="259" w:lineRule="auto"/>
      <w:outlineLvl w:val="7"/>
    </w:pPr>
    <w:rPr>
      <w:rFonts w:ascii="Aptos" w:hAnsi="Aptos"/>
      <w:i/>
      <w:iCs/>
      <w:color w:val="272727"/>
      <w:kern w:val="2"/>
      <w:sz w:val="22"/>
      <w:szCs w:val="22"/>
      <w:lang w:val="en-GB" w:eastAsia="en-US"/>
      <w14:ligatures w14:val="standardContextual"/>
    </w:rPr>
  </w:style>
  <w:style w:type="paragraph" w:customStyle="1" w:styleId="Heading91">
    <w:name w:val="Heading 91"/>
    <w:basedOn w:val="Normal"/>
    <w:next w:val="Normal"/>
    <w:uiPriority w:val="9"/>
    <w:semiHidden/>
    <w:unhideWhenUsed/>
    <w:qFormat/>
    <w:rsid w:val="00D47D99"/>
    <w:pPr>
      <w:keepNext/>
      <w:keepLines/>
      <w:spacing w:line="259" w:lineRule="auto"/>
      <w:outlineLvl w:val="8"/>
    </w:pPr>
    <w:rPr>
      <w:rFonts w:ascii="Aptos" w:hAnsi="Aptos"/>
      <w:color w:val="272727"/>
      <w:kern w:val="2"/>
      <w:sz w:val="22"/>
      <w:szCs w:val="22"/>
      <w:lang w:val="en-GB" w:eastAsia="en-US"/>
      <w14:ligatures w14:val="standardContextual"/>
    </w:rPr>
  </w:style>
  <w:style w:type="numbering" w:customStyle="1" w:styleId="NoList1">
    <w:name w:val="No List1"/>
    <w:next w:val="NoList"/>
    <w:uiPriority w:val="99"/>
    <w:semiHidden/>
    <w:unhideWhenUsed/>
    <w:rsid w:val="00D47D99"/>
  </w:style>
  <w:style w:type="character" w:customStyle="1" w:styleId="Heading1Char">
    <w:name w:val="Heading 1 Char"/>
    <w:basedOn w:val="DefaultParagraphFont"/>
    <w:link w:val="Heading1"/>
    <w:uiPriority w:val="9"/>
    <w:rsid w:val="00D47D99"/>
    <w:rPr>
      <w:b/>
      <w:sz w:val="48"/>
      <w:szCs w:val="48"/>
    </w:rPr>
  </w:style>
  <w:style w:type="character" w:customStyle="1" w:styleId="Heading2Char">
    <w:name w:val="Heading 2 Char"/>
    <w:basedOn w:val="DefaultParagraphFont"/>
    <w:link w:val="Heading2"/>
    <w:uiPriority w:val="9"/>
    <w:semiHidden/>
    <w:rsid w:val="00D47D99"/>
    <w:rPr>
      <w:b/>
      <w:sz w:val="36"/>
      <w:szCs w:val="36"/>
    </w:rPr>
  </w:style>
  <w:style w:type="character" w:customStyle="1" w:styleId="Heading3Char">
    <w:name w:val="Heading 3 Char"/>
    <w:basedOn w:val="DefaultParagraphFont"/>
    <w:link w:val="Heading3"/>
    <w:uiPriority w:val="9"/>
    <w:semiHidden/>
    <w:rsid w:val="00D47D99"/>
    <w:rPr>
      <w:b/>
      <w:sz w:val="28"/>
      <w:szCs w:val="28"/>
    </w:rPr>
  </w:style>
  <w:style w:type="character" w:customStyle="1" w:styleId="Heading4Char">
    <w:name w:val="Heading 4 Char"/>
    <w:basedOn w:val="DefaultParagraphFont"/>
    <w:link w:val="Heading4"/>
    <w:uiPriority w:val="9"/>
    <w:semiHidden/>
    <w:rsid w:val="00D47D99"/>
    <w:rPr>
      <w:b/>
    </w:rPr>
  </w:style>
  <w:style w:type="character" w:customStyle="1" w:styleId="Heading5Char">
    <w:name w:val="Heading 5 Char"/>
    <w:basedOn w:val="DefaultParagraphFont"/>
    <w:link w:val="Heading5"/>
    <w:uiPriority w:val="9"/>
    <w:semiHidden/>
    <w:rsid w:val="00D47D99"/>
    <w:rPr>
      <w:b/>
      <w:sz w:val="22"/>
      <w:szCs w:val="22"/>
    </w:rPr>
  </w:style>
  <w:style w:type="character" w:customStyle="1" w:styleId="Heading6Char">
    <w:name w:val="Heading 6 Char"/>
    <w:basedOn w:val="DefaultParagraphFont"/>
    <w:link w:val="Heading6"/>
    <w:uiPriority w:val="9"/>
    <w:semiHidden/>
    <w:rsid w:val="00D47D99"/>
    <w:rPr>
      <w:b/>
      <w:sz w:val="20"/>
      <w:szCs w:val="20"/>
    </w:rPr>
  </w:style>
  <w:style w:type="character" w:customStyle="1" w:styleId="Heading7Char">
    <w:name w:val="Heading 7 Char"/>
    <w:basedOn w:val="DefaultParagraphFont"/>
    <w:link w:val="Heading7"/>
    <w:uiPriority w:val="9"/>
    <w:semiHidden/>
    <w:rsid w:val="00D47D99"/>
    <w:rPr>
      <w:rFonts w:eastAsia="Times New Roman" w:cs="Times New Roman"/>
      <w:color w:val="595959"/>
      <w:lang w:val="en-GB"/>
    </w:rPr>
  </w:style>
  <w:style w:type="character" w:customStyle="1" w:styleId="Heading8Char">
    <w:name w:val="Heading 8 Char"/>
    <w:basedOn w:val="DefaultParagraphFont"/>
    <w:link w:val="Heading8"/>
    <w:uiPriority w:val="9"/>
    <w:semiHidden/>
    <w:rsid w:val="00D47D99"/>
    <w:rPr>
      <w:rFonts w:eastAsia="Times New Roman" w:cs="Times New Roman"/>
      <w:i/>
      <w:iCs/>
      <w:color w:val="272727"/>
      <w:lang w:val="en-GB"/>
    </w:rPr>
  </w:style>
  <w:style w:type="character" w:customStyle="1" w:styleId="Heading9Char">
    <w:name w:val="Heading 9 Char"/>
    <w:basedOn w:val="DefaultParagraphFont"/>
    <w:link w:val="Heading9"/>
    <w:uiPriority w:val="9"/>
    <w:semiHidden/>
    <w:rsid w:val="00D47D99"/>
    <w:rPr>
      <w:rFonts w:eastAsia="Times New Roman" w:cs="Times New Roman"/>
      <w:color w:val="272727"/>
      <w:lang w:val="en-GB"/>
    </w:rPr>
  </w:style>
  <w:style w:type="character" w:customStyle="1" w:styleId="TitleChar">
    <w:name w:val="Title Char"/>
    <w:basedOn w:val="DefaultParagraphFont"/>
    <w:link w:val="Title"/>
    <w:uiPriority w:val="10"/>
    <w:rsid w:val="00D47D99"/>
    <w:rPr>
      <w:b/>
      <w:sz w:val="72"/>
      <w:szCs w:val="72"/>
    </w:rPr>
  </w:style>
  <w:style w:type="character" w:customStyle="1" w:styleId="SubtitleChar">
    <w:name w:val="Subtitle Char"/>
    <w:basedOn w:val="DefaultParagraphFont"/>
    <w:link w:val="Subtitle"/>
    <w:uiPriority w:val="11"/>
    <w:rsid w:val="00D47D99"/>
    <w:rPr>
      <w:rFonts w:ascii="Georgia" w:eastAsia="Georgia" w:hAnsi="Georgia" w:cs="Georgia"/>
      <w:i/>
      <w:color w:val="666666"/>
      <w:sz w:val="48"/>
      <w:szCs w:val="48"/>
    </w:rPr>
  </w:style>
  <w:style w:type="paragraph" w:customStyle="1" w:styleId="Quote1">
    <w:name w:val="Quote1"/>
    <w:basedOn w:val="Normal"/>
    <w:next w:val="Normal"/>
    <w:uiPriority w:val="29"/>
    <w:qFormat/>
    <w:rsid w:val="00D47D99"/>
    <w:pPr>
      <w:spacing w:before="160" w:after="160" w:line="259" w:lineRule="auto"/>
      <w:jc w:val="center"/>
    </w:pPr>
    <w:rPr>
      <w:rFonts w:ascii="Aptos" w:eastAsia="Aptos" w:hAnsi="Aptos"/>
      <w:i/>
      <w:iCs/>
      <w:color w:val="404040"/>
      <w:kern w:val="2"/>
      <w:sz w:val="22"/>
      <w:szCs w:val="22"/>
      <w:lang w:val="en-GB" w:eastAsia="en-US"/>
      <w14:ligatures w14:val="standardContextual"/>
    </w:rPr>
  </w:style>
  <w:style w:type="character" w:customStyle="1" w:styleId="QuoteChar">
    <w:name w:val="Quote Char"/>
    <w:basedOn w:val="DefaultParagraphFont"/>
    <w:link w:val="Quote"/>
    <w:uiPriority w:val="29"/>
    <w:rsid w:val="00D47D99"/>
    <w:rPr>
      <w:i/>
      <w:iCs/>
      <w:color w:val="404040"/>
      <w:lang w:val="en-GB"/>
    </w:rPr>
  </w:style>
  <w:style w:type="character" w:customStyle="1" w:styleId="IntenseEmphasis1">
    <w:name w:val="Intense Emphasis1"/>
    <w:basedOn w:val="DefaultParagraphFont"/>
    <w:uiPriority w:val="21"/>
    <w:qFormat/>
    <w:rsid w:val="00D47D99"/>
    <w:rPr>
      <w:i/>
      <w:iCs/>
      <w:color w:val="0F4761"/>
    </w:rPr>
  </w:style>
  <w:style w:type="paragraph" w:customStyle="1" w:styleId="IntenseQuote1">
    <w:name w:val="Intense Quote1"/>
    <w:basedOn w:val="Normal"/>
    <w:next w:val="Normal"/>
    <w:uiPriority w:val="30"/>
    <w:qFormat/>
    <w:rsid w:val="00D47D99"/>
    <w:pPr>
      <w:pBdr>
        <w:top w:val="single" w:sz="4" w:space="10" w:color="0F4761"/>
        <w:bottom w:val="single" w:sz="4" w:space="10" w:color="0F4761"/>
      </w:pBdr>
      <w:spacing w:before="360" w:after="360" w:line="259" w:lineRule="auto"/>
      <w:ind w:left="864" w:right="864"/>
      <w:jc w:val="center"/>
    </w:pPr>
    <w:rPr>
      <w:rFonts w:ascii="Aptos" w:eastAsia="Aptos" w:hAnsi="Aptos"/>
      <w:i/>
      <w:iCs/>
      <w:color w:val="0F4761"/>
      <w:kern w:val="2"/>
      <w:sz w:val="22"/>
      <w:szCs w:val="22"/>
      <w:lang w:val="en-GB" w:eastAsia="en-US"/>
      <w14:ligatures w14:val="standardContextual"/>
    </w:rPr>
  </w:style>
  <w:style w:type="character" w:customStyle="1" w:styleId="IntenseQuoteChar">
    <w:name w:val="Intense Quote Char"/>
    <w:basedOn w:val="DefaultParagraphFont"/>
    <w:link w:val="IntenseQuote"/>
    <w:uiPriority w:val="30"/>
    <w:rsid w:val="00D47D99"/>
    <w:rPr>
      <w:i/>
      <w:iCs/>
      <w:color w:val="0F4761"/>
      <w:lang w:val="en-GB"/>
    </w:rPr>
  </w:style>
  <w:style w:type="character" w:customStyle="1" w:styleId="IntenseReference1">
    <w:name w:val="Intense Reference1"/>
    <w:basedOn w:val="DefaultParagraphFont"/>
    <w:uiPriority w:val="32"/>
    <w:qFormat/>
    <w:rsid w:val="00D47D99"/>
    <w:rPr>
      <w:b/>
      <w:bCs/>
      <w:smallCaps/>
      <w:color w:val="0F4761"/>
      <w:spacing w:val="5"/>
    </w:rPr>
  </w:style>
  <w:style w:type="paragraph" w:styleId="Header">
    <w:name w:val="header"/>
    <w:basedOn w:val="Normal"/>
    <w:link w:val="HeaderChar"/>
    <w:uiPriority w:val="99"/>
    <w:unhideWhenUsed/>
    <w:rsid w:val="00D47D99"/>
    <w:pPr>
      <w:tabs>
        <w:tab w:val="center" w:pos="4680"/>
        <w:tab w:val="right" w:pos="9360"/>
      </w:tabs>
    </w:pPr>
    <w:rPr>
      <w:rFonts w:ascii="Aptos" w:eastAsia="Aptos" w:hAnsi="Aptos"/>
      <w:kern w:val="2"/>
      <w:sz w:val="22"/>
      <w:szCs w:val="22"/>
      <w:lang w:val="en-GB" w:eastAsia="en-US"/>
      <w14:ligatures w14:val="standardContextual"/>
    </w:rPr>
  </w:style>
  <w:style w:type="character" w:customStyle="1" w:styleId="HeaderChar">
    <w:name w:val="Header Char"/>
    <w:basedOn w:val="DefaultParagraphFont"/>
    <w:link w:val="Header"/>
    <w:uiPriority w:val="99"/>
    <w:rsid w:val="00D47D99"/>
    <w:rPr>
      <w:rFonts w:ascii="Aptos" w:eastAsia="Aptos" w:hAnsi="Aptos"/>
      <w:kern w:val="2"/>
      <w:sz w:val="22"/>
      <w:szCs w:val="22"/>
      <w:lang w:val="en-GB" w:eastAsia="en-US"/>
      <w14:ligatures w14:val="standardContextual"/>
    </w:rPr>
  </w:style>
  <w:style w:type="character" w:customStyle="1" w:styleId="Heading7Char1">
    <w:name w:val="Heading 7 Char1"/>
    <w:basedOn w:val="DefaultParagraphFont"/>
    <w:uiPriority w:val="9"/>
    <w:semiHidden/>
    <w:rsid w:val="00D47D99"/>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D47D9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D47D99"/>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qFormat/>
    <w:rsid w:val="00D47D99"/>
    <w:pPr>
      <w:spacing w:before="200" w:after="160"/>
      <w:ind w:left="864" w:right="864"/>
      <w:jc w:val="center"/>
    </w:pPr>
    <w:rPr>
      <w:i/>
      <w:iCs/>
      <w:color w:val="404040"/>
      <w:lang w:val="en-GB"/>
    </w:rPr>
  </w:style>
  <w:style w:type="character" w:customStyle="1" w:styleId="QuoteChar1">
    <w:name w:val="Quote Char1"/>
    <w:basedOn w:val="DefaultParagraphFont"/>
    <w:uiPriority w:val="29"/>
    <w:rsid w:val="00D47D99"/>
    <w:rPr>
      <w:i/>
      <w:iCs/>
      <w:color w:val="404040" w:themeColor="text1" w:themeTint="BF"/>
    </w:rPr>
  </w:style>
  <w:style w:type="character" w:styleId="IntenseEmphasis">
    <w:name w:val="Intense Emphasis"/>
    <w:basedOn w:val="DefaultParagraphFont"/>
    <w:uiPriority w:val="21"/>
    <w:qFormat/>
    <w:rsid w:val="00D47D99"/>
    <w:rPr>
      <w:i/>
      <w:iCs/>
      <w:color w:val="4F81BD" w:themeColor="accent1"/>
    </w:rPr>
  </w:style>
  <w:style w:type="paragraph" w:styleId="IntenseQuote">
    <w:name w:val="Intense Quote"/>
    <w:basedOn w:val="Normal"/>
    <w:next w:val="Normal"/>
    <w:link w:val="IntenseQuoteChar"/>
    <w:uiPriority w:val="30"/>
    <w:qFormat/>
    <w:rsid w:val="00D47D99"/>
    <w:pPr>
      <w:pBdr>
        <w:top w:val="single" w:sz="4" w:space="10" w:color="4F81BD" w:themeColor="accent1"/>
        <w:bottom w:val="single" w:sz="4" w:space="10" w:color="4F81BD" w:themeColor="accent1"/>
      </w:pBdr>
      <w:spacing w:before="360" w:after="360"/>
      <w:ind w:left="864" w:right="864"/>
      <w:jc w:val="center"/>
    </w:pPr>
    <w:rPr>
      <w:i/>
      <w:iCs/>
      <w:color w:val="0F4761"/>
      <w:lang w:val="en-GB"/>
    </w:rPr>
  </w:style>
  <w:style w:type="character" w:customStyle="1" w:styleId="IntenseQuoteChar1">
    <w:name w:val="Intense Quote Char1"/>
    <w:basedOn w:val="DefaultParagraphFont"/>
    <w:uiPriority w:val="30"/>
    <w:rsid w:val="00D47D99"/>
    <w:rPr>
      <w:i/>
      <w:iCs/>
      <w:color w:val="4F81BD" w:themeColor="accent1"/>
    </w:rPr>
  </w:style>
  <w:style w:type="character" w:styleId="IntenseReference">
    <w:name w:val="Intense Reference"/>
    <w:basedOn w:val="DefaultParagraphFont"/>
    <w:uiPriority w:val="32"/>
    <w:qFormat/>
    <w:rsid w:val="00D47D99"/>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5991">
      <w:bodyDiv w:val="1"/>
      <w:marLeft w:val="0"/>
      <w:marRight w:val="0"/>
      <w:marTop w:val="0"/>
      <w:marBottom w:val="0"/>
      <w:divBdr>
        <w:top w:val="none" w:sz="0" w:space="0" w:color="auto"/>
        <w:left w:val="none" w:sz="0" w:space="0" w:color="auto"/>
        <w:bottom w:val="none" w:sz="0" w:space="0" w:color="auto"/>
        <w:right w:val="none" w:sz="0" w:space="0" w:color="auto"/>
      </w:divBdr>
    </w:div>
    <w:div w:id="65929819">
      <w:bodyDiv w:val="1"/>
      <w:marLeft w:val="0"/>
      <w:marRight w:val="0"/>
      <w:marTop w:val="0"/>
      <w:marBottom w:val="0"/>
      <w:divBdr>
        <w:top w:val="none" w:sz="0" w:space="0" w:color="auto"/>
        <w:left w:val="none" w:sz="0" w:space="0" w:color="auto"/>
        <w:bottom w:val="none" w:sz="0" w:space="0" w:color="auto"/>
        <w:right w:val="none" w:sz="0" w:space="0" w:color="auto"/>
      </w:divBdr>
    </w:div>
    <w:div w:id="345718740">
      <w:bodyDiv w:val="1"/>
      <w:marLeft w:val="0"/>
      <w:marRight w:val="0"/>
      <w:marTop w:val="0"/>
      <w:marBottom w:val="0"/>
      <w:divBdr>
        <w:top w:val="none" w:sz="0" w:space="0" w:color="auto"/>
        <w:left w:val="none" w:sz="0" w:space="0" w:color="auto"/>
        <w:bottom w:val="none" w:sz="0" w:space="0" w:color="auto"/>
        <w:right w:val="none" w:sz="0" w:space="0" w:color="auto"/>
      </w:divBdr>
      <w:divsChild>
        <w:div w:id="1675181021">
          <w:marLeft w:val="547"/>
          <w:marRight w:val="0"/>
          <w:marTop w:val="0"/>
          <w:marBottom w:val="0"/>
          <w:divBdr>
            <w:top w:val="none" w:sz="0" w:space="0" w:color="auto"/>
            <w:left w:val="none" w:sz="0" w:space="0" w:color="auto"/>
            <w:bottom w:val="none" w:sz="0" w:space="0" w:color="auto"/>
            <w:right w:val="none" w:sz="0" w:space="0" w:color="auto"/>
          </w:divBdr>
        </w:div>
      </w:divsChild>
    </w:div>
    <w:div w:id="834028735">
      <w:bodyDiv w:val="1"/>
      <w:marLeft w:val="0"/>
      <w:marRight w:val="0"/>
      <w:marTop w:val="0"/>
      <w:marBottom w:val="0"/>
      <w:divBdr>
        <w:top w:val="none" w:sz="0" w:space="0" w:color="auto"/>
        <w:left w:val="none" w:sz="0" w:space="0" w:color="auto"/>
        <w:bottom w:val="none" w:sz="0" w:space="0" w:color="auto"/>
        <w:right w:val="none" w:sz="0" w:space="0" w:color="auto"/>
      </w:divBdr>
    </w:div>
    <w:div w:id="937106220">
      <w:bodyDiv w:val="1"/>
      <w:marLeft w:val="0"/>
      <w:marRight w:val="0"/>
      <w:marTop w:val="0"/>
      <w:marBottom w:val="0"/>
      <w:divBdr>
        <w:top w:val="none" w:sz="0" w:space="0" w:color="auto"/>
        <w:left w:val="none" w:sz="0" w:space="0" w:color="auto"/>
        <w:bottom w:val="none" w:sz="0" w:space="0" w:color="auto"/>
        <w:right w:val="none" w:sz="0" w:space="0" w:color="auto"/>
      </w:divBdr>
    </w:div>
    <w:div w:id="1041394584">
      <w:bodyDiv w:val="1"/>
      <w:marLeft w:val="0"/>
      <w:marRight w:val="0"/>
      <w:marTop w:val="0"/>
      <w:marBottom w:val="0"/>
      <w:divBdr>
        <w:top w:val="none" w:sz="0" w:space="0" w:color="auto"/>
        <w:left w:val="none" w:sz="0" w:space="0" w:color="auto"/>
        <w:bottom w:val="none" w:sz="0" w:space="0" w:color="auto"/>
        <w:right w:val="none" w:sz="0" w:space="0" w:color="auto"/>
      </w:divBdr>
    </w:div>
    <w:div w:id="1068764428">
      <w:bodyDiv w:val="1"/>
      <w:marLeft w:val="0"/>
      <w:marRight w:val="0"/>
      <w:marTop w:val="0"/>
      <w:marBottom w:val="0"/>
      <w:divBdr>
        <w:top w:val="none" w:sz="0" w:space="0" w:color="auto"/>
        <w:left w:val="none" w:sz="0" w:space="0" w:color="auto"/>
        <w:bottom w:val="none" w:sz="0" w:space="0" w:color="auto"/>
        <w:right w:val="none" w:sz="0" w:space="0" w:color="auto"/>
      </w:divBdr>
    </w:div>
    <w:div w:id="1151171240">
      <w:bodyDiv w:val="1"/>
      <w:marLeft w:val="0"/>
      <w:marRight w:val="0"/>
      <w:marTop w:val="0"/>
      <w:marBottom w:val="0"/>
      <w:divBdr>
        <w:top w:val="none" w:sz="0" w:space="0" w:color="auto"/>
        <w:left w:val="none" w:sz="0" w:space="0" w:color="auto"/>
        <w:bottom w:val="none" w:sz="0" w:space="0" w:color="auto"/>
        <w:right w:val="none" w:sz="0" w:space="0" w:color="auto"/>
      </w:divBdr>
    </w:div>
    <w:div w:id="1334645147">
      <w:bodyDiv w:val="1"/>
      <w:marLeft w:val="0"/>
      <w:marRight w:val="0"/>
      <w:marTop w:val="0"/>
      <w:marBottom w:val="0"/>
      <w:divBdr>
        <w:top w:val="none" w:sz="0" w:space="0" w:color="auto"/>
        <w:left w:val="none" w:sz="0" w:space="0" w:color="auto"/>
        <w:bottom w:val="none" w:sz="0" w:space="0" w:color="auto"/>
        <w:right w:val="none" w:sz="0" w:space="0" w:color="auto"/>
      </w:divBdr>
    </w:div>
    <w:div w:id="1374647317">
      <w:bodyDiv w:val="1"/>
      <w:marLeft w:val="0"/>
      <w:marRight w:val="0"/>
      <w:marTop w:val="0"/>
      <w:marBottom w:val="0"/>
      <w:divBdr>
        <w:top w:val="none" w:sz="0" w:space="0" w:color="auto"/>
        <w:left w:val="none" w:sz="0" w:space="0" w:color="auto"/>
        <w:bottom w:val="none" w:sz="0" w:space="0" w:color="auto"/>
        <w:right w:val="none" w:sz="0" w:space="0" w:color="auto"/>
      </w:divBdr>
    </w:div>
    <w:div w:id="1464225589">
      <w:bodyDiv w:val="1"/>
      <w:marLeft w:val="0"/>
      <w:marRight w:val="0"/>
      <w:marTop w:val="0"/>
      <w:marBottom w:val="0"/>
      <w:divBdr>
        <w:top w:val="none" w:sz="0" w:space="0" w:color="auto"/>
        <w:left w:val="none" w:sz="0" w:space="0" w:color="auto"/>
        <w:bottom w:val="none" w:sz="0" w:space="0" w:color="auto"/>
        <w:right w:val="none" w:sz="0" w:space="0" w:color="auto"/>
      </w:divBdr>
    </w:div>
    <w:div w:id="1493523031">
      <w:bodyDiv w:val="1"/>
      <w:marLeft w:val="0"/>
      <w:marRight w:val="0"/>
      <w:marTop w:val="0"/>
      <w:marBottom w:val="0"/>
      <w:divBdr>
        <w:top w:val="none" w:sz="0" w:space="0" w:color="auto"/>
        <w:left w:val="none" w:sz="0" w:space="0" w:color="auto"/>
        <w:bottom w:val="none" w:sz="0" w:space="0" w:color="auto"/>
        <w:right w:val="none" w:sz="0" w:space="0" w:color="auto"/>
      </w:divBdr>
      <w:divsChild>
        <w:div w:id="1172066492">
          <w:marLeft w:val="547"/>
          <w:marRight w:val="0"/>
          <w:marTop w:val="0"/>
          <w:marBottom w:val="0"/>
          <w:divBdr>
            <w:top w:val="none" w:sz="0" w:space="0" w:color="auto"/>
            <w:left w:val="none" w:sz="0" w:space="0" w:color="auto"/>
            <w:bottom w:val="none" w:sz="0" w:space="0" w:color="auto"/>
            <w:right w:val="none" w:sz="0" w:space="0" w:color="auto"/>
          </w:divBdr>
        </w:div>
      </w:divsChild>
    </w:div>
    <w:div w:id="1609268774">
      <w:bodyDiv w:val="1"/>
      <w:marLeft w:val="0"/>
      <w:marRight w:val="0"/>
      <w:marTop w:val="0"/>
      <w:marBottom w:val="0"/>
      <w:divBdr>
        <w:top w:val="none" w:sz="0" w:space="0" w:color="auto"/>
        <w:left w:val="none" w:sz="0" w:space="0" w:color="auto"/>
        <w:bottom w:val="none" w:sz="0" w:space="0" w:color="auto"/>
        <w:right w:val="none" w:sz="0" w:space="0" w:color="auto"/>
      </w:divBdr>
      <w:divsChild>
        <w:div w:id="1962108577">
          <w:marLeft w:val="547"/>
          <w:marRight w:val="0"/>
          <w:marTop w:val="0"/>
          <w:marBottom w:val="0"/>
          <w:divBdr>
            <w:top w:val="none" w:sz="0" w:space="0" w:color="auto"/>
            <w:left w:val="none" w:sz="0" w:space="0" w:color="auto"/>
            <w:bottom w:val="none" w:sz="0" w:space="0" w:color="auto"/>
            <w:right w:val="none" w:sz="0" w:space="0" w:color="auto"/>
          </w:divBdr>
        </w:div>
      </w:divsChild>
    </w:div>
    <w:div w:id="1658071016">
      <w:bodyDiv w:val="1"/>
      <w:marLeft w:val="0"/>
      <w:marRight w:val="0"/>
      <w:marTop w:val="0"/>
      <w:marBottom w:val="0"/>
      <w:divBdr>
        <w:top w:val="none" w:sz="0" w:space="0" w:color="auto"/>
        <w:left w:val="none" w:sz="0" w:space="0" w:color="auto"/>
        <w:bottom w:val="none" w:sz="0" w:space="0" w:color="auto"/>
        <w:right w:val="none" w:sz="0" w:space="0" w:color="auto"/>
      </w:divBdr>
    </w:div>
    <w:div w:id="166785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neighbourhood-enlargement.ec.europa.eu/system/files/2022-01/C_2021_8914_COMMISSION_IMPLEMENTING_DECISION_EN.pdf" TargetMode="External"/><Relationship Id="rId2" Type="http://schemas.openxmlformats.org/officeDocument/2006/relationships/hyperlink" Target="https://enlargement.ec.europa.eu/document/download/a8eec3f9-b2ec-4cb1-8748-9058854dbc68_en?filename=Albania%20Report%202024.pdf" TargetMode="External"/><Relationship Id="rId1" Type="http://schemas.openxmlformats.org/officeDocument/2006/relationships/hyperlink" Target="https://eur-lex.europa.eu/legal-content/EN/TXT/?uri=celex%3A32014R02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B4821-A3D7-442C-AA75-32E4AB971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3632</Words>
  <Characters>20708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2025-05-28T14:34:00Z</dcterms:created>
  <dcterms:modified xsi:type="dcterms:W3CDTF">2025-05-28T14:34:00Z</dcterms:modified>
  <cp:category/>
</cp:coreProperties>
</file>