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737C" w14:textId="41BD9C5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bookmarkStart w:id="0" w:name="_GoBack"/>
      <w:bookmarkEnd w:id="0"/>
      <w:r w:rsidRPr="00A749DF">
        <w:rPr>
          <w:rFonts w:ascii="Times New Roman" w:eastAsia="Batang" w:hAnsi="Times New Roman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22238FC9" wp14:editId="64FC62D4">
            <wp:simplePos x="0" y="0"/>
            <wp:positionH relativeFrom="column">
              <wp:posOffset>-809625</wp:posOffset>
            </wp:positionH>
            <wp:positionV relativeFrom="paragraph">
              <wp:posOffset>-776288</wp:posOffset>
            </wp:positionV>
            <wp:extent cx="7560945" cy="1352550"/>
            <wp:effectExtent l="0" t="0" r="0" b="0"/>
            <wp:wrapNone/>
            <wp:docPr id="3" name="image3.png" descr="Leter me koke Keshilli i ministrave-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ter me koke Keshilli i ministrave-1-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38CDA0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57BE6B31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43194905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45FBD426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205FD1D0" w14:textId="3C13283F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P R O J E K T V E N D I M</w:t>
      </w:r>
    </w:p>
    <w:p w14:paraId="1700CB71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14896E58" w14:textId="1984B132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Nr._____, datë____/____/202</w:t>
      </w:r>
      <w:r w:rsidR="007E3601" w:rsidRPr="00A74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5</w:t>
      </w:r>
    </w:p>
    <w:p w14:paraId="775AD399" w14:textId="77777777" w:rsidR="00E73117" w:rsidRPr="00A749DF" w:rsidRDefault="00E73117" w:rsidP="00FB669C">
      <w:pPr>
        <w:keepNext/>
        <w:widowControl w:val="0"/>
        <w:spacing w:after="0" w:line="288" w:lineRule="auto"/>
        <w:outlineLvl w:val="2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bookmarkStart w:id="1" w:name="_Hlk509304613"/>
    </w:p>
    <w:p w14:paraId="4F850328" w14:textId="77777777" w:rsidR="00FB669C" w:rsidRPr="00A749DF" w:rsidRDefault="00E73117" w:rsidP="00FB669C">
      <w:pPr>
        <w:keepNext/>
        <w:widowControl w:val="0"/>
        <w:spacing w:after="0" w:line="288" w:lineRule="auto"/>
        <w:jc w:val="center"/>
        <w:outlineLvl w:val="2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" w:name="_Toc183716473"/>
      <w:bookmarkStart w:id="3" w:name="_Hlk198898164"/>
      <w:r w:rsidRPr="00A749DF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“</w:t>
      </w:r>
      <w:bookmarkStart w:id="4" w:name="_Hlk198119222"/>
      <w:bookmarkEnd w:id="1"/>
      <w:r w:rsidR="00FB669C" w:rsidRPr="00A749D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PËR </w:t>
      </w:r>
    </w:p>
    <w:p w14:paraId="3CD6F717" w14:textId="4525D85E" w:rsidR="00FB669C" w:rsidRPr="00FB669C" w:rsidRDefault="00FB669C" w:rsidP="00FB669C">
      <w:pPr>
        <w:keepNext/>
        <w:widowControl w:val="0"/>
        <w:spacing w:after="0" w:line="288" w:lineRule="auto"/>
        <w:jc w:val="center"/>
        <w:outlineLvl w:val="2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PËR METODOLOGJINË E KRIJIMIT TË PARTNER</w:t>
      </w:r>
      <w:r w:rsidR="00ED0E9B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="00ED0E9B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T</w:t>
      </w:r>
      <w:r w:rsidR="00ED0E9B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IT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PËR PËRGATITJEN, </w:t>
      </w:r>
    </w:p>
    <w:p w14:paraId="1DD1F3DE" w14:textId="77777777" w:rsidR="00FB669C" w:rsidRPr="00FB669C" w:rsidRDefault="00FB669C" w:rsidP="00FB669C">
      <w:pPr>
        <w:keepNext/>
        <w:widowControl w:val="0"/>
        <w:spacing w:after="0" w:line="288" w:lineRule="auto"/>
        <w:jc w:val="center"/>
        <w:outlineLvl w:val="2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ZBATIMIN, MONITORIMIN DHE VLERËSIMIN E FONDEVE TË POLITIKAVE </w:t>
      </w:r>
    </w:p>
    <w:p w14:paraId="7274862C" w14:textId="758BDBD4" w:rsidR="00E73117" w:rsidRPr="00A749DF" w:rsidRDefault="00FB669C" w:rsidP="00FB669C">
      <w:pPr>
        <w:keepNext/>
        <w:widowControl w:val="0"/>
        <w:spacing w:after="0" w:line="288" w:lineRule="auto"/>
        <w:jc w:val="center"/>
        <w:outlineLvl w:val="2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TË KOHEZIONIT 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TË 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B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E-</w:t>
      </w:r>
      <w:r w:rsidRPr="00A749DF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S</w:t>
      </w:r>
      <w:r w:rsidR="00717F55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Ë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NË </w:t>
      </w:r>
      <w:r w:rsidRPr="00A749D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REPUBLIK</w:t>
      </w:r>
      <w:r w:rsidR="00717F55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Ë</w:t>
      </w:r>
      <w:r w:rsidRPr="00A749D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N E </w:t>
      </w:r>
      <w:r w:rsidRPr="00FB669C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SHQIPËRI</w:t>
      </w:r>
      <w:r w:rsidRPr="00A749DF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717F55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Ë</w:t>
      </w:r>
      <w:bookmarkEnd w:id="4"/>
      <w:r w:rsidR="00E73117" w:rsidRPr="00A749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q-AL" w:eastAsia="ar-SA"/>
          <w14:ligatures w14:val="none"/>
        </w:rPr>
        <w:t>”</w:t>
      </w:r>
      <w:bookmarkEnd w:id="2"/>
    </w:p>
    <w:bookmarkEnd w:id="3"/>
    <w:p w14:paraId="7B4C2DE8" w14:textId="77777777" w:rsidR="00E73117" w:rsidRPr="00A749DF" w:rsidRDefault="00E73117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348A1B16" w14:textId="11072710" w:rsidR="00E73117" w:rsidRPr="00A749DF" w:rsidRDefault="00E73117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Në mbështetje të nenit 100 të Kushtetutës dhe të </w:t>
      </w:r>
      <w:r w:rsidR="007E3601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nenit 110 t</w:t>
      </w:r>
      <w:r w:rsidR="0026312E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E3601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Ligjit nr.9590, dat</w:t>
      </w:r>
      <w:r w:rsidR="0026312E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E3601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27.07.2006 “</w:t>
      </w:r>
      <w:r w:rsidR="007E360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Për ratifikimin e “Marrëveshjes së Stabilizim-Asociimit ndërmjet Republikës së Shqipërisë dhe Komuniteteve Europiane e shteteve të tyre anëtare”</w:t>
      </w:r>
      <w:r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,</w:t>
      </w:r>
      <w:r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me propozimin e Ministrit të Shtetit për Pushtetin Vendor, Këshilli i Ministrave: </w:t>
      </w:r>
    </w:p>
    <w:p w14:paraId="313DF3EF" w14:textId="77777777" w:rsidR="00E73117" w:rsidRPr="00A749DF" w:rsidRDefault="00E73117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30C3E29B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>V E N D O S I:</w:t>
      </w:r>
    </w:p>
    <w:p w14:paraId="7CE35DCD" w14:textId="77777777" w:rsidR="000B2979" w:rsidRDefault="000B2979" w:rsidP="00FB669C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</w:pPr>
    </w:p>
    <w:p w14:paraId="0470E860" w14:textId="25252887" w:rsidR="008F5A2E" w:rsidRPr="00A749DF" w:rsidRDefault="00CA043D" w:rsidP="00FB669C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 xml:space="preserve">KREU </w:t>
      </w:r>
      <w:r w:rsidR="00F12F79" w:rsidRPr="00A749DF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>:</w:t>
      </w:r>
      <w:r w:rsidR="00F12F79" w:rsidRPr="00A749DF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 xml:space="preserve"> DISPOZITA T</w:t>
      </w:r>
      <w:r w:rsidR="00717F55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>Ë</w:t>
      </w:r>
      <w:r w:rsidR="00F12F79" w:rsidRPr="00A749DF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717F55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>Ë</w:t>
      </w:r>
      <w:r w:rsidR="00F12F79" w:rsidRPr="00A749DF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>RGJITHSHME</w:t>
      </w:r>
    </w:p>
    <w:p w14:paraId="09497BDE" w14:textId="57EA69C9" w:rsidR="00FB669C" w:rsidRPr="00A749DF" w:rsidRDefault="0082381F" w:rsidP="00C137B3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1. </w:t>
      </w:r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Krijimin</w:t>
      </w:r>
      <w:r w:rsidR="00B76BA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8F5A2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e mekanizimit 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kombëtar </w:t>
      </w:r>
      <w:r w:rsidR="008F5A2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8F5A2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partneritetit 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(në vijim “partneriteti”) 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midis qeverisjes qend</w:t>
      </w:r>
      <w:r w:rsidR="00E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ore, nj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sive 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vet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qeverisjes vendore, partner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ve ekonomik dhe social, organizatave 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shoq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ris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civile si dhe institucioneve 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arsimit 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lart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dhe ato k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B297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rkimore </w:t>
      </w:r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r </w:t>
      </w:r>
      <w:bookmarkStart w:id="5" w:name="_Hlk198116140"/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rgatitjen, zbatimin, monitorimin dhe vler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simin e fondeve</w:t>
      </w:r>
      <w:r w:rsidR="00DC267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evropiane</w:t>
      </w:r>
      <w:r w:rsidR="00F12F79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DC267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strukturore dhe t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DC267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investimeve</w:t>
      </w:r>
      <w:r w:rsidR="00667D3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(n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667D3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vijim “fondet e kohezionit”)</w:t>
      </w:r>
      <w:r w:rsidR="007E75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</w:t>
      </w:r>
      <w:bookmarkStart w:id="6" w:name="_Hlk197019949"/>
    </w:p>
    <w:bookmarkEnd w:id="5"/>
    <w:bookmarkEnd w:id="6"/>
    <w:p w14:paraId="21C7BD66" w14:textId="1C756178" w:rsidR="001A5DAA" w:rsidRDefault="00F12F79" w:rsidP="001A5DA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2. 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Partneriteti është një strukturë </w:t>
      </w:r>
      <w:r w:rsidR="001A5DA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bashkërenduese e perhershme,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veprimtaria e të cilit </w:t>
      </w:r>
      <w:r w:rsid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drejtohet, 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koordinohet dhe realizohet në nivel qendror përmes </w:t>
      </w:r>
      <w:r w:rsid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ministrit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rgjegj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 </w:t>
      </w:r>
      <w:r w:rsidR="001A5DAA" w:rsidRP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negociator për Kapitullin 22 n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5DAA" w:rsidRP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5DAA" w:rsidRP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rputhje me parashikimet e k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5DAA" w:rsidRP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tij vendimi. </w:t>
      </w:r>
    </w:p>
    <w:p w14:paraId="6DAF16D9" w14:textId="33F4F2D9" w:rsidR="004471A7" w:rsidRDefault="001A5DAA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3. 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Objekt i partneritetit sipas këtij vendimi 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sht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C66051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gjith</w:t>
      </w:r>
      <w:r w:rsidR="00717F55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cikli </w:t>
      </w:r>
      <w:r w:rsidR="00D67002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</w:t>
      </w:r>
      <w:r w:rsidR="0012726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programimit q</w:t>
      </w:r>
      <w:r w:rsidR="001F3EE0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rgatitjen, zbatimin, monitorimin e vler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simin 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kuad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bookmarkStart w:id="7" w:name="_Hlk196992191"/>
      <w:bookmarkStart w:id="8" w:name="_Hlk198107673"/>
      <w:r w:rsidR="00C66051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fondeve evropiane strukturore dhe investimeve</w:t>
      </w:r>
      <w:bookmarkEnd w:id="7"/>
      <w:r w:rsid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bookmarkEnd w:id="8"/>
      <w:r w:rsid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dhe veçan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risht:</w:t>
      </w:r>
    </w:p>
    <w:p w14:paraId="70CFA8D0" w14:textId="2D3BD4E0" w:rsidR="004471A7" w:rsidRDefault="00D65BB9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a)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rgatitj</w:t>
      </w:r>
      <w:r w:rsid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programeve duke 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analiz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 identifikimin e nevojave</w:t>
      </w:r>
      <w:r w:rsid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3732469B" w14:textId="59339E28" w:rsidR="004471A7" w:rsidRDefault="004471A7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b) 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rkufizimi dhe 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rzgjedhj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prioriteteve dhe objektivave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specifike;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6652EDEC" w14:textId="456F0FF5" w:rsidR="004471A7" w:rsidRDefault="004471A7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c) 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shp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rndarj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fondeve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2A15B16A" w14:textId="6C09A79E" w:rsidR="004471A7" w:rsidRDefault="004471A7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ç) 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rcaktim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indikator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specifik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programeve;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4EAB59EB" w14:textId="610A9805" w:rsidR="004471A7" w:rsidRDefault="004471A7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d) 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zbatimi 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parimeve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rgjithshme 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horizontal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r administrimin e fondeve </w:t>
      </w:r>
      <w:r w:rsidR="00667D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667D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kohezionit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sipas </w:t>
      </w:r>
      <w:r w:rsidRPr="00D0296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ar-SA"/>
          <w14:ligatures w14:val="none"/>
        </w:rPr>
        <w:t>aquis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BE-s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029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</w:p>
    <w:p w14:paraId="61486D51" w14:textId="0F30C73F" w:rsidR="004471A7" w:rsidRDefault="00D02964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 xml:space="preserve">e) 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rb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rj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komiteve t</w:t>
      </w:r>
      <w:r w:rsidR="00717F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monitorimit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</w:p>
    <w:p w14:paraId="3B7C60EE" w14:textId="1159A0D7" w:rsidR="00CA043D" w:rsidRPr="00FB669C" w:rsidRDefault="00D02964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f</w:t>
      </w:r>
      <w:r w:rsidR="00CD516B" w:rsidRP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</w:t>
      </w:r>
      <w:r w:rsidR="00CA043D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4471A7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nd</w:t>
      </w:r>
      <w:r w:rsidR="001A5DAA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4471A7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rveprimi midis an</w:t>
      </w:r>
      <w:r w:rsidR="001A5DAA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4471A7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tar</w:t>
      </w:r>
      <w:r w:rsidR="001A5DAA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4471A7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ve n</w:t>
      </w:r>
      <w:r w:rsidR="001A5DAA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4471A7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partneritet dhe </w:t>
      </w:r>
      <w:r w:rsidR="00CA043D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rritja e kapaciteveve </w:t>
      </w:r>
      <w:r w:rsidR="004471A7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t</w:t>
      </w:r>
      <w:r w:rsidR="001A5DAA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4471A7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tyre </w:t>
      </w:r>
      <w:r w:rsidR="00CA043D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</w:t>
      </w:r>
      <w:r w:rsidR="00717F55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CA043D" w:rsidRPr="004471A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r </w:t>
      </w:r>
      <w:r w:rsidR="00CA043D" w:rsidRP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</w:t>
      </w:r>
      <w:r w:rsidR="00717F55" w:rsidRP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A043D"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përmbushur</w:t>
      </w:r>
      <w:r w:rsid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me efektivitet</w:t>
      </w:r>
      <w:r w:rsidR="00CA043D"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4471A7" w:rsidRP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rolin e tyre sipas k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471A7" w:rsidRP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tij vendimi</w:t>
      </w:r>
      <w:r w:rsidR="00B76BA4" w:rsidRPr="004471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5CE4C405" w14:textId="77777777" w:rsidR="00D65BB9" w:rsidRPr="00D65BB9" w:rsidRDefault="00D65BB9" w:rsidP="00D65BB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en-US"/>
          <w14:ligatures w14:val="none"/>
        </w:rPr>
      </w:pPr>
    </w:p>
    <w:p w14:paraId="7EA8CEA7" w14:textId="77777777" w:rsidR="00D65BB9" w:rsidRPr="00D65BB9" w:rsidRDefault="00D65BB9" w:rsidP="00D65BB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val="en-US"/>
          <w14:ligatures w14:val="none"/>
        </w:rPr>
      </w:pPr>
    </w:p>
    <w:p w14:paraId="0D53BB97" w14:textId="77777777" w:rsidR="00D65BB9" w:rsidRPr="00A749DF" w:rsidRDefault="00D65BB9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1EB83CD1" w14:textId="1740A8E4" w:rsidR="00686E6E" w:rsidRPr="00A749DF" w:rsidRDefault="00CA043D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KREU II</w:t>
      </w:r>
      <w:r w:rsidR="001D65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: </w:t>
      </w:r>
      <w:r w:rsidR="00686E6E" w:rsidRPr="00A749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PARIMET E PARTNERITETIT </w:t>
      </w:r>
    </w:p>
    <w:p w14:paraId="06695033" w14:textId="1E584EF2" w:rsidR="00F12F79" w:rsidRPr="00A749DF" w:rsidRDefault="00FB4FBC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4</w:t>
      </w:r>
      <w:r w:rsidR="00CD516B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</w:t>
      </w:r>
      <w:r w:rsidR="00B76BA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P</w:t>
      </w:r>
      <w:r w:rsidR="00CD516B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artneriteti</w:t>
      </w:r>
      <w:r w:rsidR="00B76BA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sipas k</w:t>
      </w:r>
      <w:r w:rsidR="008752D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76BA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tij vendimi</w:t>
      </w:r>
      <w:r w:rsidR="00CD516B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bazohet n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D516B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:</w:t>
      </w:r>
    </w:p>
    <w:p w14:paraId="6D526C34" w14:textId="0094A9AF" w:rsidR="00A749DF" w:rsidRPr="00B76BA4" w:rsidRDefault="00CD516B" w:rsidP="00FB669C">
      <w:pPr>
        <w:suppressAutoHyphens/>
        <w:spacing w:after="0" w:line="288" w:lineRule="auto"/>
        <w:jc w:val="both"/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</w:pPr>
      <w:r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a) </w:t>
      </w:r>
      <w:r w:rsidR="00B76BA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</w:t>
      </w:r>
      <w:r w:rsidR="00A749DF" w:rsidRPr="00A749DF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arimin e informimit n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A749DF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A749DF" w:rsidRPr="00A749D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rmjet </w:t>
      </w:r>
      <w:r w:rsidR="00A749DF" w:rsidRPr="00A749DF">
        <w:rPr>
          <w:rFonts w:ascii="Times New Roman" w:hAnsi="Times New Roman" w:cs="Times New Roman"/>
          <w:sz w:val="24"/>
          <w:szCs w:val="24"/>
        </w:rPr>
        <w:t>njoftimit dhe vënies në dispozicion të projektligjeve, projektvendimeve, projektpolitikave ose projektstrategjive që propozohen nga qeverisja qendrore</w:t>
      </w:r>
      <w:r w:rsidR="00B76BA4">
        <w:rPr>
          <w:rFonts w:ascii="Times New Roman" w:hAnsi="Times New Roman" w:cs="Times New Roman"/>
          <w:sz w:val="24"/>
          <w:szCs w:val="24"/>
        </w:rPr>
        <w:t xml:space="preserve"> dhe q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 w:rsidR="00B76BA4">
        <w:rPr>
          <w:rFonts w:ascii="Times New Roman" w:hAnsi="Times New Roman" w:cs="Times New Roman"/>
          <w:sz w:val="24"/>
          <w:szCs w:val="24"/>
        </w:rPr>
        <w:t xml:space="preserve"> kan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 w:rsidR="00B76BA4">
        <w:rPr>
          <w:rFonts w:ascii="Times New Roman" w:hAnsi="Times New Roman" w:cs="Times New Roman"/>
          <w:sz w:val="24"/>
          <w:szCs w:val="24"/>
        </w:rPr>
        <w:t xml:space="preserve"> lidhje me politik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 w:rsidR="00B76BA4">
        <w:rPr>
          <w:rFonts w:ascii="Times New Roman" w:hAnsi="Times New Roman" w:cs="Times New Roman"/>
          <w:sz w:val="24"/>
          <w:szCs w:val="24"/>
        </w:rPr>
        <w:t>n e kohezionit t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 w:rsidR="00B76BA4">
        <w:rPr>
          <w:rFonts w:ascii="Times New Roman" w:hAnsi="Times New Roman" w:cs="Times New Roman"/>
          <w:sz w:val="24"/>
          <w:szCs w:val="24"/>
        </w:rPr>
        <w:t xml:space="preserve"> BE-s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 w:rsidR="00A749DF" w:rsidRPr="00A749D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C165B0" w14:textId="1450370A" w:rsidR="00A749DF" w:rsidRPr="00A749DF" w:rsidRDefault="00B76BA4" w:rsidP="00FB669C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749DF" w:rsidRPr="00A749DF">
        <w:rPr>
          <w:rFonts w:ascii="Times New Roman" w:hAnsi="Times New Roman" w:cs="Times New Roman"/>
          <w:sz w:val="24"/>
          <w:szCs w:val="24"/>
        </w:rPr>
        <w:t>) parimin e konsultimit, nëpërmjet shkëmbimit të mendimeve, komenteve, vërejtjeve dhe propozimeve për projektligjet, projektaktet nënligjore, projektpolitikat ose projektstrategjitë të propozuara nga qeverisja qendrore dhe q</w:t>
      </w:r>
      <w:r w:rsidR="00717F55">
        <w:rPr>
          <w:rFonts w:ascii="Times New Roman" w:hAnsi="Times New Roman" w:cs="Times New Roman"/>
          <w:sz w:val="24"/>
          <w:szCs w:val="24"/>
        </w:rPr>
        <w:t>ë</w:t>
      </w:r>
      <w:r w:rsidR="00A749DF" w:rsidRPr="00A749DF">
        <w:rPr>
          <w:rFonts w:ascii="Times New Roman" w:hAnsi="Times New Roman" w:cs="Times New Roman"/>
          <w:sz w:val="24"/>
          <w:szCs w:val="24"/>
        </w:rPr>
        <w:t xml:space="preserve"> lidhen me </w:t>
      </w:r>
      <w:bookmarkStart w:id="9" w:name="_Hlk198107746"/>
      <w:r w:rsidR="00A749DF" w:rsidRPr="00A749DF">
        <w:rPr>
          <w:rFonts w:ascii="Times New Roman" w:hAnsi="Times New Roman" w:cs="Times New Roman"/>
          <w:bCs/>
          <w:sz w:val="24"/>
          <w:szCs w:val="24"/>
        </w:rPr>
        <w:t>fondet</w:t>
      </w:r>
      <w:bookmarkEnd w:id="9"/>
      <w:r w:rsidR="00667D3A">
        <w:rPr>
          <w:rFonts w:ascii="Times New Roman" w:hAnsi="Times New Roman" w:cs="Times New Roman"/>
          <w:bCs/>
          <w:sz w:val="24"/>
          <w:szCs w:val="24"/>
        </w:rPr>
        <w:t xml:space="preserve"> e kohezionit</w:t>
      </w:r>
      <w:r w:rsidR="00A749DF" w:rsidRPr="00A749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2E64A4" w14:textId="652B45BC" w:rsidR="00A749DF" w:rsidRPr="00A749DF" w:rsidRDefault="00B76BA4" w:rsidP="00FB669C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49DF" w:rsidRPr="00A749DF">
        <w:rPr>
          <w:rFonts w:ascii="Times New Roman" w:hAnsi="Times New Roman" w:cs="Times New Roman"/>
          <w:sz w:val="24"/>
          <w:szCs w:val="24"/>
        </w:rPr>
        <w:t xml:space="preserve">) parimin e angazhimit të shoqatave përfaqësuese të njësive të vetëqeverisjes vendore dhe të vetë këtyre njësive,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BE3">
        <w:rPr>
          <w:rFonts w:ascii="Times New Roman" w:hAnsi="Times New Roman" w:cs="Times New Roman"/>
          <w:sz w:val="24"/>
          <w:szCs w:val="24"/>
        </w:rPr>
        <w:t>partnerëve ekonomik dhe social, t</w:t>
      </w:r>
      <w:r w:rsidR="001F4768">
        <w:rPr>
          <w:rFonts w:ascii="Times New Roman" w:hAnsi="Times New Roman" w:cs="Times New Roman"/>
          <w:sz w:val="24"/>
          <w:szCs w:val="24"/>
        </w:rPr>
        <w:t>ë</w:t>
      </w:r>
      <w:r w:rsidR="00777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shoq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ris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civile </w:t>
      </w:r>
      <w:r w:rsidR="00A749DF" w:rsidRPr="00A749DF">
        <w:rPr>
          <w:rFonts w:ascii="Times New Roman" w:hAnsi="Times New Roman" w:cs="Times New Roman"/>
          <w:sz w:val="24"/>
          <w:szCs w:val="24"/>
        </w:rPr>
        <w:t xml:space="preserve">nëpërmjet përfshirjes së tyre në </w:t>
      </w:r>
      <w:r>
        <w:rPr>
          <w:rFonts w:ascii="Times New Roman" w:hAnsi="Times New Roman" w:cs="Times New Roman"/>
          <w:sz w:val="24"/>
          <w:szCs w:val="24"/>
        </w:rPr>
        <w:t xml:space="preserve">gjitha </w:t>
      </w:r>
      <w:r w:rsidR="00A749DF" w:rsidRPr="00A749DF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>et q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lidhen me politik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667D3A">
        <w:rPr>
          <w:rFonts w:ascii="Times New Roman" w:hAnsi="Times New Roman" w:cs="Times New Roman"/>
          <w:sz w:val="24"/>
          <w:szCs w:val="24"/>
        </w:rPr>
        <w:t xml:space="preserve">dhe fondet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F7F25">
        <w:rPr>
          <w:rFonts w:ascii="Times New Roman" w:hAnsi="Times New Roman" w:cs="Times New Roman"/>
          <w:sz w:val="24"/>
          <w:szCs w:val="24"/>
        </w:rPr>
        <w:t>kohezionit t</w:t>
      </w:r>
      <w:r w:rsidR="008752DD">
        <w:rPr>
          <w:rFonts w:ascii="Times New Roman" w:hAnsi="Times New Roman" w:cs="Times New Roman"/>
          <w:sz w:val="24"/>
          <w:szCs w:val="24"/>
        </w:rPr>
        <w:t>ë</w:t>
      </w:r>
      <w:r w:rsidR="008F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BE-</w:t>
      </w:r>
      <w:r w:rsidR="00667D3A">
        <w:rPr>
          <w:rFonts w:ascii="Times New Roman" w:hAnsi="Times New Roman" w:cs="Times New Roman"/>
          <w:sz w:val="24"/>
          <w:szCs w:val="24"/>
        </w:rPr>
        <w:t>s</w:t>
      </w:r>
      <w:r w:rsidR="001F4768">
        <w:rPr>
          <w:rFonts w:ascii="Times New Roman" w:hAnsi="Times New Roman" w:cs="Times New Roman"/>
          <w:sz w:val="24"/>
          <w:szCs w:val="24"/>
        </w:rPr>
        <w:t>ë</w:t>
      </w:r>
      <w:r w:rsidR="001D6580">
        <w:rPr>
          <w:rFonts w:ascii="Times New Roman" w:hAnsi="Times New Roman" w:cs="Times New Roman"/>
          <w:sz w:val="24"/>
          <w:szCs w:val="24"/>
        </w:rPr>
        <w:t>.</w:t>
      </w:r>
      <w:r w:rsidR="00A749DF" w:rsidRPr="00A74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296EA" w14:textId="77777777" w:rsidR="00CA043D" w:rsidRDefault="00CA043D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6EEA2DE8" w14:textId="2BB1A417" w:rsidR="00CA043D" w:rsidRPr="00452FAA" w:rsidRDefault="00CA043D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452F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KREU III: </w:t>
      </w:r>
      <w:r w:rsidR="00127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AN</w:t>
      </w:r>
      <w:r w:rsidR="001F3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TAR</w:t>
      </w:r>
      <w:r w:rsidR="001F3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SIA</w:t>
      </w:r>
      <w:r w:rsidRPr="00452F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1272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N</w:t>
      </w:r>
      <w:r w:rsidR="001F3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452F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PARTNERITET</w:t>
      </w:r>
    </w:p>
    <w:p w14:paraId="2495CDA9" w14:textId="55658B19" w:rsidR="00CA043D" w:rsidRDefault="00FB4FBC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5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. Partneriteti do t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rfshij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rfaq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sim me an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tar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</w:t>
      </w:r>
      <w:r w:rsidR="00667D3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ga subjekte t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667D3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ndryshme publike </w:t>
      </w:r>
      <w:r w:rsidR="0068186C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dhe private</w:t>
      </w:r>
      <w:r w:rsidR="004474D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si vijon</w:t>
      </w:r>
      <w:r w:rsid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:</w:t>
      </w:r>
    </w:p>
    <w:p w14:paraId="728C838E" w14:textId="457BDD85" w:rsidR="00E3205E" w:rsidRDefault="00CA043D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a) 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organ</w:t>
      </w:r>
      <w:r w:rsidR="00FB4FBC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e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ose institucion publik</w:t>
      </w:r>
      <w:r w:rsidR="00FB4FBC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e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q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,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sipas kuadrit ligjor n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fuqi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,</w:t>
      </w:r>
      <w:r w:rsidR="0064323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q</w:t>
      </w:r>
      <w:r w:rsidR="00A04F5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kan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fush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 e p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rgjegj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sis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 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aspekte thelb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F399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sore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q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D6580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lidhen </w:t>
      </w:r>
      <w:r w:rsidR="001D65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me </w:t>
      </w:r>
      <w:r w:rsidR="002F39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realizimi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</w:t>
      </w:r>
      <w:r w:rsidR="002F39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</w:t>
      </w:r>
      <w:bookmarkStart w:id="10" w:name="_Hlk198114991"/>
      <w:r w:rsidR="001D65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p</w:t>
      </w:r>
      <w:r w:rsidR="00E3205E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olitikë</w:t>
      </w:r>
      <w:r w:rsidR="002F39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</w:t>
      </w:r>
      <w:r w:rsidR="00E3205E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573C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dhe fondeve t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D658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</w:t>
      </w:r>
      <w:r w:rsidR="00E3205E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ohezionit të BE-së</w:t>
      </w:r>
      <w:r w:rsidR="007878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bookmarkEnd w:id="10"/>
      <w:r w:rsidR="002F39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dhe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specifikisht</w:t>
      </w:r>
      <w:r w:rsidR="009F62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:</w:t>
      </w:r>
    </w:p>
    <w:p w14:paraId="5F98D97E" w14:textId="1AAA90B0" w:rsidR="009F6268" w:rsidRDefault="009F6268" w:rsidP="009F62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11" w:name="_Hlk198537257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i)</w:t>
      </w:r>
      <w:r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 (nj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sues nga </w:t>
      </w:r>
      <w:r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Fondi Shqiptar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i </w:t>
      </w:r>
      <w:r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Zhvillimit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</w:p>
    <w:p w14:paraId="5DA97BEB" w14:textId="1F428E2E" w:rsidR="009F6268" w:rsidRDefault="009F6268" w:rsidP="009F626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ii) 1 (nj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sues nga </w:t>
      </w:r>
      <w:r w:rsidRPr="009F62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Agjenci</w:t>
      </w:r>
      <w:r w:rsid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Pr="009F62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Shtetërore </w:t>
      </w:r>
      <w:r w:rsid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</w:t>
      </w:r>
      <w:r w:rsidRPr="009F62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Programimit Strategjik dhe Koordinimit të Ndihmës (</w:t>
      </w:r>
      <w:r w:rsidRPr="009F626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SASPAC)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;</w:t>
      </w:r>
    </w:p>
    <w:p w14:paraId="3FAE1BEF" w14:textId="3555092D" w:rsidR="009F6268" w:rsidRDefault="009F6268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iii) 1 (nj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)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sues nga </w:t>
      </w:r>
      <w:r w:rsidRPr="009F626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Agjenci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a</w:t>
      </w:r>
      <w:r w:rsidRPr="009F626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për Mbështetjen e Vetëqeverisjes Vendore (AMVV);</w:t>
      </w:r>
    </w:p>
    <w:p w14:paraId="290565B4" w14:textId="1F5023D2" w:rsidR="00DC75D5" w:rsidRDefault="00DC75D5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iv) 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1 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nj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sues nga Ministria e Financave</w:t>
      </w:r>
      <w:r w:rsidR="00003A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, q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003A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ushtron funksione</w:t>
      </w:r>
      <w:r w:rsid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pran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003A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Zyrtarit Komb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003A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tar t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003A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Autorizuar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;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</w:t>
      </w:r>
    </w:p>
    <w:p w14:paraId="3FFF3853" w14:textId="05DB38AE" w:rsidR="00D5712A" w:rsidRDefault="00DC75D5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</w:pPr>
      <w:r w:rsidRPr="00573C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v) </w:t>
      </w:r>
      <w:r w:rsidR="00D049A7" w:rsidRPr="00573C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1 (</w:t>
      </w:r>
      <w:r w:rsidR="00D5712A" w:rsidRPr="00573C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nj</w:t>
      </w:r>
      <w:r w:rsidR="008752DD" w:rsidRPr="00573C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)</w:t>
      </w:r>
      <w:r w:rsidR="00D571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D571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D5712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sues nga Komisioni i Prokurimit Publik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;</w:t>
      </w:r>
    </w:p>
    <w:p w14:paraId="400450E9" w14:textId="461A15EC" w:rsidR="00DC75D5" w:rsidRDefault="00D5712A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vi) 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1 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nj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D049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sues nga </w:t>
      </w:r>
      <w:r w:rsidR="00B676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Komisioni i Ndihm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B676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s Shtet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B6762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rore.</w:t>
      </w:r>
    </w:p>
    <w:p w14:paraId="1B924C24" w14:textId="2534ED16" w:rsidR="00573CCA" w:rsidRPr="009F6268" w:rsidRDefault="00573CCA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P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suesit nga organet dhe institucionet publike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duhet t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jen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573CCA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në nivel Drejtor Departamenti/i Përgjithshëm apo pozicione të ngjashme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>.</w:t>
      </w:r>
    </w:p>
    <w:p w14:paraId="6B5E3E7B" w14:textId="524391CF" w:rsidR="00CA043D" w:rsidRPr="00CA043D" w:rsidRDefault="00CA043D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b) 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10</w:t>
      </w:r>
      <w:r w:rsidR="000E222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(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dhjet</w:t>
      </w:r>
      <w:r w:rsidR="00BB489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E222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rfaq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sues, kryetar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bashkie, 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rfaq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sues </w:t>
      </w:r>
      <w:r w:rsidRPr="00CA043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të zgjedhur nga s</w:t>
      </w:r>
      <w:r w:rsidRPr="00CA04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hoqata Kombëtare e Bashkive të Shqipërisë (SHKBSH), duke garantuar pluralitet politik dhe përfaqësim gjeografik dhe territorial.</w:t>
      </w:r>
    </w:p>
    <w:p w14:paraId="198FE441" w14:textId="24CAB1F6" w:rsidR="00CA043D" w:rsidRDefault="000E2222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c) 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gjasht</w:t>
      </w:r>
      <w:r w:rsidR="00BB48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</w:t>
      </w:r>
      <w:r w:rsidR="00CA043D" w:rsidRPr="00CA04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përfaqësues i zgjedhur nga shoqata e Qarqeve</w:t>
      </w:r>
      <w:bookmarkEnd w:id="11"/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duke garantuar pluralitet politik dhe p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rfaq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sim gjeografik dhe territorial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CC2D049" w14:textId="734B807E" w:rsidR="000E2222" w:rsidRDefault="000E2222" w:rsidP="00CA043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ç) 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dhjet</w:t>
      </w:r>
      <w:r w:rsidR="00BB48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rfaq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sues t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zgjedhur nga rradh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 e partner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ve ekonomik dhe social</w:t>
      </w:r>
      <w:r w:rsidR="00D049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q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D049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ushtrojn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D049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aktivitet 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fushat e p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rcaktuara n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</w:t>
      </w:r>
      <w:r w:rsidR="001F3EE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vendim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;</w:t>
      </w:r>
    </w:p>
    <w:p w14:paraId="1AF9C516" w14:textId="749889B4" w:rsidR="000E2222" w:rsidRDefault="000E2222" w:rsidP="00CA043D">
      <w:pPr>
        <w:suppressAutoHyphens/>
        <w:spacing w:after="0" w:line="288" w:lineRule="auto"/>
        <w:jc w:val="both"/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d) 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(</w:t>
      </w:r>
      <w:r w:rsidR="006E195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dhjet</w:t>
      </w:r>
      <w:r w:rsidR="00BB48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p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rfaq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sues t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zgjedhur nga rradh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 e organizatave jo fitimprur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se q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ushtrojn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veprimtarin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fush</w:t>
      </w:r>
      <w:r w:rsidR="00717F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 e </w:t>
      </w:r>
      <w:r w:rsidRPr="00FB669C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përfshirjes sociale, të drejtat themelore, të drejtat e personave me aftësi të kufizuara, barazinë gjinore dhe mosdiskriminimin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C48FF77" w14:textId="4545D909" w:rsidR="000E2222" w:rsidRDefault="000E2222" w:rsidP="00CA043D">
      <w:pPr>
        <w:suppressAutoHyphens/>
        <w:spacing w:after="0" w:line="288" w:lineRule="auto"/>
        <w:jc w:val="both"/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e) </w:t>
      </w:r>
      <w:r w:rsidR="006E195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10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(</w:t>
      </w:r>
      <w:r w:rsidR="006E195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dhjet</w:t>
      </w:r>
      <w:r w:rsidR="00BB4891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) p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rfaq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sues nga Institucione</w:t>
      </w:r>
      <w:r w:rsidR="00452FAA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t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e Arsimit t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Lart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2726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t</w:t>
      </w:r>
      <w:r w:rsidR="001F3EE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2726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Start w:id="12" w:name="_Hlk198203956"/>
      <w:r w:rsidR="0012726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</w:t>
      </w:r>
      <w:r w:rsidR="001F3EE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2726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rzgjedhur </w:t>
      </w:r>
      <w:r w:rsidR="0076043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sipas parashikimeve t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76043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legjislacionit p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76043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r arsimin e lart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76043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dhe t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76043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k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76043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tij vendimi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bookmarkEnd w:id="12"/>
    <w:p w14:paraId="406184B2" w14:textId="2035CB95" w:rsidR="000E2222" w:rsidRPr="00CA043D" w:rsidRDefault="000E2222" w:rsidP="00CA043D">
      <w:pPr>
        <w:suppressAutoHyphens/>
        <w:spacing w:after="0" w:line="288" w:lineRule="auto"/>
        <w:jc w:val="both"/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f) 1 (nj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) p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rfaq</w:t>
      </w:r>
      <w:r w:rsidR="00717F55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sues </w:t>
      </w:r>
      <w:r w:rsidR="0012726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</w:t>
      </w:r>
      <w:r w:rsidR="001F3EE0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2726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rzgjedhur 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nga Akademia e Shkencave</w:t>
      </w:r>
      <w:r w:rsid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t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A45F2" w:rsidRP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përzgjedhur sipas parashikimeve t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A45F2" w:rsidRP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legjislacionit </w:t>
      </w:r>
      <w:r w:rsid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r organizimin dhe funksionimin e Akademis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s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Shkencave</w:t>
      </w:r>
      <w:r w:rsidR="001A45F2" w:rsidRP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dhe t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A45F2" w:rsidRP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k</w:t>
      </w:r>
      <w:r w:rsidR="001F4768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 w:rsidR="001A45F2" w:rsidRPr="001A45F2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tij vendimi. </w:t>
      </w:r>
    </w:p>
    <w:p w14:paraId="57D01734" w14:textId="77777777" w:rsidR="00984E5C" w:rsidRPr="00FB4FBC" w:rsidRDefault="00984E5C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bookmarkStart w:id="13" w:name="_Hlk197019204"/>
    </w:p>
    <w:p w14:paraId="0A7C2542" w14:textId="7C72B67F" w:rsidR="00452FAA" w:rsidRPr="00452FAA" w:rsidRDefault="00452FAA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KREU IV: KRITERET DHE PROCEDURA E P</w:t>
      </w:r>
      <w:r w:rsidR="008752DD"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RZGJEDHJES S</w:t>
      </w:r>
      <w:r w:rsidR="008752DD"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8752DD"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8752DD"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SUESVE NGA RRADH</w:t>
      </w:r>
      <w:r w:rsidR="008752DD"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T E PARTNER</w:t>
      </w:r>
      <w:r w:rsidR="008752DD"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FB4F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VE EKONOMIK DHE SOCIAL </w:t>
      </w:r>
    </w:p>
    <w:p w14:paraId="05252795" w14:textId="3169B97C" w:rsidR="005A3CFF" w:rsidRDefault="00FB4FBC" w:rsidP="005A3CF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14" w:name="_Hlk197019394"/>
      <w:bookmarkEnd w:id="13"/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6</w:t>
      </w:r>
      <w:r w:rsidR="00452FA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.</w:t>
      </w:r>
      <w:r w:rsidR="00452FAA" w:rsidRPr="00452FAA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Start w:id="15" w:name="_Hlk198113752"/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Partner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t ekonomik dhe social 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rzgjidhen sipas nj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procedure transparente 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dhe thirrje publike që organizohet nga Sekretariati Teknik pranë </w:t>
      </w:r>
      <w:bookmarkStart w:id="16" w:name="_Hlk198110029"/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negociatorit përgjegjës për Kapitullin 22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rputhje me parashikimet e k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tij vendimi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bookmarkEnd w:id="15"/>
    </w:p>
    <w:bookmarkEnd w:id="16"/>
    <w:p w14:paraId="64153BF7" w14:textId="7194D849" w:rsidR="005A3CFF" w:rsidRPr="005A3CFF" w:rsidRDefault="00420EC9" w:rsidP="005A3CF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7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Vlerësimi i aplikimeve bëhet nga Komisioni i vlerësimit që përbëhet nga:</w:t>
      </w:r>
    </w:p>
    <w:p w14:paraId="1DAA5916" w14:textId="58978DAB" w:rsidR="005A3CFF" w:rsidRPr="00643234" w:rsidRDefault="005A3CFF" w:rsidP="005A3CF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 1 (një) përfaqësues nga Ministri përgjegjës për ekonomin</w:t>
      </w:r>
      <w:r w:rsidR="001A5DA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:</w:t>
      </w:r>
    </w:p>
    <w:p w14:paraId="2B28591D" w14:textId="377B277F" w:rsidR="005A3CFF" w:rsidRPr="005A3CFF" w:rsidRDefault="005A3CFF" w:rsidP="005A3CF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b) 1 (një) përfaqësues nga Ministri përgjegjës për </w:t>
      </w:r>
      <w:r w:rsidR="00043AC6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energjin</w:t>
      </w:r>
      <w:r w:rsidR="00D67002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43AC6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dhe infrastruktur</w:t>
      </w:r>
      <w:r w:rsidR="00D67002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43AC6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  <w:r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45EF893F" w14:textId="52A8F768" w:rsidR="005A3CFF" w:rsidRPr="005A3CFF" w:rsidRDefault="005A3CFF" w:rsidP="005A3CF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c)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 (</w:t>
      </w:r>
      <w:r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një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</w:t>
      </w:r>
      <w:r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përfaqësus nga Ministri përgjegjës për pushtetin vendor.</w:t>
      </w:r>
    </w:p>
    <w:p w14:paraId="51175F2B" w14:textId="375ACF34" w:rsidR="00452FAA" w:rsidRPr="00FB669C" w:rsidRDefault="00420EC9" w:rsidP="0055332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8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 Partner</w:t>
      </w:r>
      <w:r w:rsidR="001A5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t ekonomik dhe social 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plot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sojn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to kritere mund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aplikojn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dhe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jen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pjes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A327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partneritetit</w:t>
      </w:r>
      <w:r w:rsidR="00452FAA"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:</w:t>
      </w:r>
    </w:p>
    <w:p w14:paraId="08AACC84" w14:textId="2CB45862" w:rsidR="00452FAA" w:rsidRDefault="00A3277A" w:rsidP="00452FA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a) </w:t>
      </w:r>
      <w:bookmarkStart w:id="17" w:name="_Hlk198113924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jan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persona juridik privat, sipas 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legjislacionit 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fuqi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E958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8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regjistruar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8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pakt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8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3 vjet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8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rpara </w:t>
      </w:r>
      <w:r w:rsidR="00E9586D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publikimit t</w:t>
      </w:r>
      <w:r w:rsidR="008752DD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86D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thirrjes, </w:t>
      </w:r>
      <w:r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q</w:t>
      </w:r>
      <w:r w:rsidR="008752DD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ushtrojn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aktivitet n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9B46F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gjith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territorin e vendit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452FA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në</w:t>
      </w:r>
      <w:r w:rsidR="00452FAA" w:rsidRPr="00452F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fushat e politikave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kohesionit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BE-s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duke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por pa u kufizuar 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vet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m 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inovacionin, digjitalizimin, konkurueshm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rin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SME-ve, klim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s, energjis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dhe mjedisit, transportit dhe rrjeteve digjitale, pun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simit, eduk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mit,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rfshirjes sociale dhe sh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ndet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FB4F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zhvillimin urban dhe rural</w:t>
      </w:r>
      <w:r w:rsidR="00452FAA" w:rsidRPr="00452F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  <w:bookmarkEnd w:id="17"/>
    </w:p>
    <w:p w14:paraId="3FFA6FB2" w14:textId="36C26654" w:rsidR="00E9586D" w:rsidRDefault="00E9586D" w:rsidP="00452FA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18" w:name="_Hlk198113983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b)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kan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rvoj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me 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pjes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marrj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e 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dhe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rfshirj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procese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ndryshme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bashk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punimit komb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tar dhe nd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rkomb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tar dhe me</w:t>
      </w:r>
      <w:r w:rsidR="001272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organe apo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institucione publike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A04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 zhvillimin e politikave ekonomike dhe sociale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apo zbatimi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programeve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ndryshme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financuar nga donator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m, brenda apo jasht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B46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vendit;</w:t>
      </w:r>
    </w:p>
    <w:p w14:paraId="68BF2E5C" w14:textId="575E40F0" w:rsidR="00E9586D" w:rsidRPr="00643234" w:rsidRDefault="009B46F4" w:rsidP="00452FA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c) </w:t>
      </w:r>
      <w:r w:rsidR="00C050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kan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050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kapacitetet teknike dhe organizative, duke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kualifikimet e stafit kryesor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propozuar 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do t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soj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subjektin n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partneritet. </w:t>
      </w:r>
    </w:p>
    <w:p w14:paraId="19C25465" w14:textId="29A8BC91" w:rsidR="00D241CE" w:rsidRPr="00755B1A" w:rsidRDefault="00420EC9" w:rsidP="00452FA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19" w:name="_Hlk197020907"/>
      <w:bookmarkEnd w:id="18"/>
      <w:r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9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bookmarkStart w:id="20" w:name="_Hlk198114185"/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Subjektet 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 parashikuara n</w:t>
      </w:r>
      <w:r w:rsidR="00D67002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pik</w:t>
      </w:r>
      <w:r w:rsidR="00D67002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7 t</w:t>
      </w:r>
      <w:r w:rsidR="00D67002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</w:t>
      </w:r>
      <w:r w:rsidR="00D67002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tij vendimi 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mund t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aplikojn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vet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m, apo t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organizuar n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form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e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nj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strukture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ombrell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rrjet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apo bashkime subjektesh t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D241CE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m.</w:t>
      </w:r>
      <w:r w:rsidR="00EB62A4" w:rsidRPr="00643234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Në rastin e organizimit n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form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e nj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755B1A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strukture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ombrell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rrjeti apo bashkime subjektesh, pjes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saj duhet t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jen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të paktën 5 subjekte q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ushtrojn</w:t>
      </w:r>
      <w:r w:rsidR="008752DD" w:rsidRPr="0064323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aktivitet n</w:t>
      </w:r>
      <w:r w:rsidR="008752DD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nivel komb</w:t>
      </w:r>
      <w:r w:rsidR="008752DD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B62A4" w:rsidRPr="00755B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tar dhe/ose lokal.</w:t>
      </w:r>
      <w:bookmarkEnd w:id="20"/>
    </w:p>
    <w:bookmarkEnd w:id="19"/>
    <w:p w14:paraId="1D875B0E" w14:textId="74CF7DE8" w:rsidR="004822E7" w:rsidRDefault="00420EC9" w:rsidP="005A3CF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10</w:t>
      </w:r>
      <w:r w:rsidR="001A0489" w:rsidRP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bookmarkStart w:id="21" w:name="_Hlk198114242"/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rzgjedhja garanton diversitet n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fushat e veprimtaris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subjekteve dhe interesave q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ato p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sojn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shp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rndarje t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drejt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territoriale si dhe barazi gjinore n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an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tar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822E7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si.</w:t>
      </w:r>
    </w:p>
    <w:p w14:paraId="664F93D2" w14:textId="1FCF0B78" w:rsidR="005A3CFF" w:rsidRPr="005A3CFF" w:rsidRDefault="004822E7" w:rsidP="005A3CF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11. </w:t>
      </w:r>
      <w:r w:rsidR="005A3CFF" w:rsidRP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Ministri 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përgjegjës negociator për Kapitullin 22 miraton Udhëzimin për metodologjinë e vlerësimit dhe pikëzimit që përfshin aspekte të shtrirjes territoriale, përvojës së krijuar, nivelin e 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 xml:space="preserve">ekspertizës,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angazhimin me grupe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ndryshme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shoq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ris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kapacitet</w:t>
      </w:r>
      <w:r w:rsidR="00C050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et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menaxhuese si dhe qasje</w:t>
      </w:r>
      <w:r w:rsidR="00C050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</w:t>
      </w:r>
      <w:r w:rsidR="005A3CFF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gjinore. </w:t>
      </w:r>
      <w:bookmarkEnd w:id="21"/>
    </w:p>
    <w:bookmarkEnd w:id="14"/>
    <w:p w14:paraId="1E5740FF" w14:textId="77777777" w:rsidR="00925878" w:rsidRDefault="00925878" w:rsidP="00452FA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C0F3675" w14:textId="5F5A2776" w:rsidR="00925878" w:rsidRPr="00925878" w:rsidRDefault="00925878" w:rsidP="0092587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bookmarkStart w:id="22" w:name="_Hlk197022222"/>
      <w:r w:rsidRPr="00925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KREU V: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KRITERET DHE PROCEDURA E P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RZGJEDHJES S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SUESVE NGA RRADH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T 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SHOQ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RIS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CIVILE 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</w:t>
      </w:r>
    </w:p>
    <w:bookmarkEnd w:id="22"/>
    <w:p w14:paraId="5C5EBAEF" w14:textId="110B0A1B" w:rsidR="00420EC9" w:rsidRDefault="00043AC6" w:rsidP="0092587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  <w:r w:rsidR="00925878" w:rsidRPr="0092587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420E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Partnerët nga rradh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20E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 e shoq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20E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ris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20E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civile përzgjidhen sipas një procedure transparente </w:t>
      </w:r>
      <w:r w:rsidR="00420EC9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dhe thirrje publike që organizohet nga </w:t>
      </w:r>
      <w:bookmarkStart w:id="23" w:name="_Hlk198119391"/>
      <w:r w:rsidR="00420EC9"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Agjencia për Mbështetjen e Shoqërisë Civile</w:t>
      </w:r>
      <w:r w:rsidR="00420E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bookmarkEnd w:id="23"/>
      <w:r w:rsidR="00420E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në përputhje me parashikimet e këtij vendimi</w:t>
      </w:r>
      <w:r w:rsidR="00420EC9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4F366C48" w14:textId="6ABC3D61" w:rsidR="007850C2" w:rsidRPr="00925878" w:rsidRDefault="007850C2" w:rsidP="007850C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Vler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simi i aplikimeve b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het nga Komisioni q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rb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het nga:</w:t>
      </w:r>
    </w:p>
    <w:p w14:paraId="75E4E935" w14:textId="37162923" w:rsidR="007850C2" w:rsidRPr="007850C2" w:rsidRDefault="007850C2" w:rsidP="007850C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a)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 (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një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përfaqësues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nga 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Agjencia për Mbështetjen e Shoqërisë Civile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</w:p>
    <w:p w14:paraId="69D39B66" w14:textId="122B51A0" w:rsidR="007850C2" w:rsidRPr="007850C2" w:rsidRDefault="007850C2" w:rsidP="007850C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b)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 (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një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përfaqësues nga Ministri përgjegjës për ekonominë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</w:p>
    <w:p w14:paraId="75FD8FB6" w14:textId="2FA3378A" w:rsidR="007850C2" w:rsidRPr="007850C2" w:rsidRDefault="007850C2" w:rsidP="007850C2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c)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 (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një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)</w:t>
      </w:r>
      <w:r w:rsidRP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përfaqësus nga Ministri përgjegjës për pushtetin vendor.</w:t>
      </w:r>
    </w:p>
    <w:p w14:paraId="3318D1CB" w14:textId="3949C982" w:rsidR="00925878" w:rsidRPr="00FB669C" w:rsidRDefault="007850C2" w:rsidP="0092587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13. Partner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 nga rradh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t </w:t>
      </w:r>
      <w:r w:rsid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e shoq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ris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civile 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plot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sojn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to kritere mund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aplikojn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dhe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jen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pjes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25878"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partneritetit</w:t>
      </w:r>
      <w:r w:rsidR="00925878"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:</w:t>
      </w:r>
    </w:p>
    <w:p w14:paraId="32C5BE2A" w14:textId="6036DB9C" w:rsidR="000B159C" w:rsidRDefault="00925878" w:rsidP="0092587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a) jan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persona juridik privat, 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sipas legjislacionit 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fuqi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regjistruar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pakt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3 vjet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rpara publikimit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thirrjes, 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ushtrojn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aktivitet 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gjith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territorin e vendit në 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fushat e politikave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kohesionit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BE-s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duke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por pa u kufizuar 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inovacionin, digjitalizimin, konkurueshm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rin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 SME-ve, klim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s, energjis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dhe mjedisit, transportit dhe rrjeteve digjitale, pun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simit, eduk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mit,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rfshirjes sociale dhe sh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ndet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785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zhvillimin urban dhe rural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drejtat dhe lirit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themelore,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drejtat e personave me aft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kufizuar si dhe barazis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gjinore</w:t>
      </w:r>
      <w:r w:rsidR="007850C2" w:rsidRPr="00452F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;</w:t>
      </w:r>
    </w:p>
    <w:p w14:paraId="08F5DB24" w14:textId="4956D833" w:rsidR="000B159C" w:rsidRDefault="000B159C" w:rsidP="000B15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b)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kan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përvoj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me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pjesëmarrj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dhe përfshirj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në procese të ndryshme të bashkëpunimit kombëtar dhe ndërkombëtar dhe me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organe apo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institucione publike për zhvillimin e politikave ekonomike dhe sociale apo zbatimi të programeve të ndryshme 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fushat q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rfshijn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por pa u kufizuar vet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 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promovimin e lirive dhe 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drejtave themelore, barazis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gjinore, mosdi</w:t>
      </w:r>
      <w:r w:rsid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kriminimin, zhvillimin e q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ndruesh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m, të financuar nga donatorë të ndryshëm, brenda apo jashtë vendit;</w:t>
      </w:r>
    </w:p>
    <w:p w14:paraId="5AE4A4B5" w14:textId="01EB986B" w:rsidR="000B159C" w:rsidRDefault="000B159C" w:rsidP="000B15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c) 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kan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kapacitetet</w:t>
      </w:r>
      <w:r w:rsid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teknike dhe organizative, duke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kualifikimet e stafit kryesor të propozuar që do të përfaqësojë subjektin në partneritet. </w:t>
      </w:r>
    </w:p>
    <w:p w14:paraId="263842B8" w14:textId="42EDAFC5" w:rsidR="00925878" w:rsidRDefault="000B159C" w:rsidP="000B159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14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r w:rsidR="00925878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Subjektet e parashikuara n</w:t>
      </w:r>
      <w:r w:rsidR="00D67002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pik</w:t>
      </w:r>
      <w:r w:rsidR="00D67002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13 t</w:t>
      </w:r>
      <w:r w:rsidR="00D67002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</w:t>
      </w:r>
      <w:r w:rsidR="00D67002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tij vendimi mund të aplikojnë vetëm, apo të organizuar në formën e një strukture ombrellë, rrjeti apo bashkime subjektesh të ndryshëm. Në rastin e organizimit në formën e një strukture ombrellë, rrjeti apo bashkime subjektesh, pjesë e saj duhet të jenë të paktën 5 subjekte që</w:t>
      </w:r>
      <w:r w:rsidRPr="000B15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ushtrojnë aktivitet në nivel kombëtar dhe/ose lokal.</w:t>
      </w:r>
    </w:p>
    <w:p w14:paraId="5D222F26" w14:textId="480BD736" w:rsidR="004822E7" w:rsidRDefault="000B159C" w:rsidP="00154AB1">
      <w:pPr>
        <w:numPr>
          <w:ilvl w:val="255"/>
          <w:numId w:val="0"/>
        </w:numPr>
        <w:spacing w:after="0" w:line="288" w:lineRule="auto"/>
        <w:jc w:val="both"/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15. </w:t>
      </w:r>
      <w:bookmarkStart w:id="24" w:name="_Hlk198537131"/>
      <w:bookmarkStart w:id="25" w:name="_Hlk198393219"/>
      <w:r w:rsidR="004822E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Përzgjedhja garanton diversitet në fushat e veprimtarisë së subjekteve dhe interesave që ato përfaqësojnë, shpërndarje të drejtë territoriale si dhe barazi gjinore në anëtarësi.</w:t>
      </w:r>
    </w:p>
    <w:bookmarkEnd w:id="24"/>
    <w:p w14:paraId="584A9026" w14:textId="2FD39A01" w:rsidR="00154AB1" w:rsidRPr="00154AB1" w:rsidRDefault="004822E7" w:rsidP="00154AB1">
      <w:pPr>
        <w:numPr>
          <w:ilvl w:val="255"/>
          <w:numId w:val="0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16. </w:t>
      </w:r>
      <w:r w:rsidR="000B159C"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Ministri përgjegjës negociator për Kapitullin 22 miraton Udhëzimin për metodologjinë e vlerësimit dhe pikëzimit që përfshin aspekte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të shtrirjes territoriale, përvojës së krijuar, nivelin e ekspertizës, angazhimin me grupe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ndryshme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shoq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ris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kapacitetet menaxhuese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si dhe qasjen gjinore. </w:t>
      </w:r>
    </w:p>
    <w:p w14:paraId="3157C538" w14:textId="77777777" w:rsidR="000B159C" w:rsidRPr="00FB669C" w:rsidRDefault="000B159C" w:rsidP="00D241CE">
      <w:pPr>
        <w:numPr>
          <w:ilvl w:val="255"/>
          <w:numId w:val="0"/>
        </w:numPr>
        <w:spacing w:after="0" w:line="288" w:lineRule="auto"/>
        <w:jc w:val="both"/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</w:pPr>
    </w:p>
    <w:bookmarkEnd w:id="25"/>
    <w:p w14:paraId="511A413E" w14:textId="4D11AE01" w:rsidR="00417C28" w:rsidRPr="00925878" w:rsidRDefault="00417C28" w:rsidP="00417C2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925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KREU V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9258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KRITERET DHE PROCEDURA E P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RZGJEDHJES S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SUESVE NGA RRADH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925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T 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INSTITUCIONEVE T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ARSIMIT T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LART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DHE AKADEMIS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S</w:t>
      </w:r>
      <w:r w:rsidR="00875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SHKENCAVE</w:t>
      </w:r>
    </w:p>
    <w:p w14:paraId="4B1C2632" w14:textId="51528CDD" w:rsidR="00154AB1" w:rsidRPr="00154AB1" w:rsidRDefault="00EF06F8" w:rsidP="00452FAA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7</w:t>
      </w:r>
      <w:r w:rsidR="00417C2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bookmarkStart w:id="26" w:name="_Hlk198119318"/>
      <w:r w:rsidR="000B73D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Konferenca e Rektor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73D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ve </w:t>
      </w:r>
      <w:bookmarkEnd w:id="26"/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rzgjedh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suesit nga institucionet e arsimit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lart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rputhje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legjislacionin p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 arsimin e lart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dhe 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me parashikimet e k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tij vendimi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duke garantuar 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sim nga fusha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ndryshme</w:t>
      </w:r>
      <w:r w:rsidR="00FC0F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duke p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rfshir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9E33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por pa</w:t>
      </w:r>
      <w:r w:rsidR="00777B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</w:t>
      </w:r>
      <w:r w:rsidR="009E33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kufizuar vet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E33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 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E33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drejt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ekonomin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E955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financat, shkencat sociale, </w:t>
      </w:r>
      <w:r w:rsidR="009E33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politeknike, bujq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E33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E33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si dhe 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shtrirje territoriale t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4A20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simit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</w:t>
      </w:r>
      <w:r w:rsidR="00D670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partneritet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111BEC60" w14:textId="0EC04A48" w:rsidR="00154AB1" w:rsidRPr="00154AB1" w:rsidRDefault="00C67CE1" w:rsidP="00E9586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8</w:t>
      </w:r>
      <w:r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suesit nga institucionet e arsimit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lart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duhet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plot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sojn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kushtet e m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154AB1" w:rsidRPr="00154A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poshtme:</w:t>
      </w:r>
    </w:p>
    <w:p w14:paraId="44C3B6F0" w14:textId="2C0B7F57" w:rsidR="00154AB1" w:rsidRPr="00154AB1" w:rsidRDefault="00154AB1" w:rsidP="00E9586D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B1">
        <w:rPr>
          <w:rFonts w:ascii="Times New Roman" w:hAnsi="Times New Roman" w:cs="Times New Roman"/>
          <w:sz w:val="24"/>
          <w:szCs w:val="24"/>
        </w:rPr>
        <w:t>a) të jenë personel akademik të kategorisë “profesor” ose “lektor”;</w:t>
      </w:r>
    </w:p>
    <w:p w14:paraId="18DF7031" w14:textId="25A5F736" w:rsidR="00154AB1" w:rsidRPr="00154AB1" w:rsidRDefault="00154AB1" w:rsidP="00E9586D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B1">
        <w:rPr>
          <w:rFonts w:ascii="Times New Roman" w:hAnsi="Times New Roman" w:cs="Times New Roman"/>
          <w:sz w:val="24"/>
          <w:szCs w:val="24"/>
        </w:rPr>
        <w:t>b) të jenë pedagogë me kohë të plotë jo më pak se 5 vjet në fakultetin p</w:t>
      </w:r>
      <w:r w:rsidR="001F3EE0">
        <w:rPr>
          <w:rFonts w:ascii="Times New Roman" w:hAnsi="Times New Roman" w:cs="Times New Roman"/>
          <w:sz w:val="24"/>
          <w:szCs w:val="24"/>
        </w:rPr>
        <w:t>ë</w:t>
      </w:r>
      <w:r w:rsidRPr="00154AB1">
        <w:rPr>
          <w:rFonts w:ascii="Times New Roman" w:hAnsi="Times New Roman" w:cs="Times New Roman"/>
          <w:sz w:val="24"/>
          <w:szCs w:val="24"/>
        </w:rPr>
        <w:t>rkat</w:t>
      </w:r>
      <w:r w:rsidR="001F3EE0">
        <w:rPr>
          <w:rFonts w:ascii="Times New Roman" w:hAnsi="Times New Roman" w:cs="Times New Roman"/>
          <w:sz w:val="24"/>
          <w:szCs w:val="24"/>
        </w:rPr>
        <w:t>ë</w:t>
      </w:r>
      <w:r w:rsidRPr="00154AB1">
        <w:rPr>
          <w:rFonts w:ascii="Times New Roman" w:hAnsi="Times New Roman" w:cs="Times New Roman"/>
          <w:sz w:val="24"/>
          <w:szCs w:val="24"/>
        </w:rPr>
        <w:t>s t</w:t>
      </w:r>
      <w:r w:rsidR="001F3EE0">
        <w:rPr>
          <w:rFonts w:ascii="Times New Roman" w:hAnsi="Times New Roman" w:cs="Times New Roman"/>
          <w:sz w:val="24"/>
          <w:szCs w:val="24"/>
        </w:rPr>
        <w:t>ë</w:t>
      </w:r>
      <w:r w:rsidRPr="00154AB1">
        <w:rPr>
          <w:rFonts w:ascii="Times New Roman" w:hAnsi="Times New Roman" w:cs="Times New Roman"/>
          <w:sz w:val="24"/>
          <w:szCs w:val="24"/>
        </w:rPr>
        <w:t xml:space="preserve"> institucionit të arsimit të lartë;</w:t>
      </w:r>
    </w:p>
    <w:p w14:paraId="073F92B9" w14:textId="30142452" w:rsidR="00E9586D" w:rsidRDefault="009E3355" w:rsidP="00E9586D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Akademia e Shkencave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rzgjedh p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rfaq</w:t>
      </w:r>
      <w:r w:rsidR="008752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C67CE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suesin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midis an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tar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ve t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asambles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saj </w:t>
      </w:r>
      <w:r w:rsidR="008A4B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sipas legjislacionit q</w:t>
      </w:r>
      <w:r w:rsidR="001F3E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8A4B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rregullon organizimin dhe funksionimin e saj. </w:t>
      </w:r>
    </w:p>
    <w:p w14:paraId="1EE59F31" w14:textId="22042F90" w:rsidR="00CA043D" w:rsidRPr="00FB669C" w:rsidRDefault="00CA043D" w:rsidP="00CA043D">
      <w:pPr>
        <w:spacing w:after="0" w:line="288" w:lineRule="auto"/>
        <w:jc w:val="both"/>
        <w:rPr>
          <w:rFonts w:ascii="Times New Roman" w:eastAsia="Bahnschrift" w:hAnsi="Times New Roman" w:cs="Times New Roman"/>
          <w:b/>
          <w:kern w:val="0"/>
          <w:sz w:val="24"/>
          <w:szCs w:val="24"/>
          <w14:ligatures w14:val="none"/>
        </w:rPr>
      </w:pPr>
    </w:p>
    <w:p w14:paraId="14F7EABF" w14:textId="3E34EFE8" w:rsidR="00CA043D" w:rsidRPr="00A12DA8" w:rsidRDefault="00D55B1E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A12D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KREU VII: ORGANIZIMI DHE FUNKSIONIMI I PARTNERITETIT </w:t>
      </w:r>
    </w:p>
    <w:p w14:paraId="2F199FF0" w14:textId="5AA8ACC7" w:rsidR="00D71F12" w:rsidRDefault="004822E7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20</w:t>
      </w:r>
      <w:r w:rsidR="00D55B1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</w:t>
      </w:r>
      <w:r w:rsid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Bashk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EF06F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rendimi</w:t>
      </w:r>
      <w:r w:rsid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dhe nd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rveprimi n</w:t>
      </w:r>
      <w:r w:rsidR="001A5DA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partneritet </w:t>
      </w:r>
      <w:r w:rsidR="00D71F12" w:rsidRP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zhvillo</w:t>
      </w:r>
      <w:r w:rsid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het </w:t>
      </w:r>
      <w:r w:rsidR="00D71F12" w:rsidRP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nëpërmjet: </w:t>
      </w:r>
    </w:p>
    <w:p w14:paraId="41213459" w14:textId="77777777" w:rsidR="00D71F12" w:rsidRDefault="00D71F12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a) konsultimit dhe komunikimit online; </w:t>
      </w:r>
    </w:p>
    <w:p w14:paraId="4845CCF9" w14:textId="25C9C1A8" w:rsidR="006660D4" w:rsidRDefault="00D71F12" w:rsidP="00FB669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b) mbledhjeve të punës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ose</w:t>
      </w:r>
      <w:r w:rsidRPr="00D71F1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plenare.</w:t>
      </w:r>
    </w:p>
    <w:p w14:paraId="7F60BEB5" w14:textId="7C9725A8" w:rsidR="001816DE" w:rsidRPr="006660D4" w:rsidRDefault="006660D4" w:rsidP="001816DE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2</w:t>
      </w:r>
      <w:r w:rsidR="004822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</w:t>
      </w:r>
      <w:r w:rsidR="001816DE" w:rsidRPr="006660D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Mbledhjet e punës dhe plenare zhvillohen</w:t>
      </w:r>
      <w:r w:rsidR="001816D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, të paktën 2 herë në vit ose sa herë është e nevojshme,</w:t>
      </w:r>
      <w:r w:rsidR="001816DE" w:rsidRPr="006660D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në prani të më shumë se gjysmës të të gjithë anëtarëve të </w:t>
      </w:r>
      <w:r w:rsidR="001816D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partneritetit</w:t>
      </w:r>
      <w:r w:rsidR="001816DE" w:rsidRPr="006660D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</w:t>
      </w:r>
      <w:r w:rsidR="001816D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Mbledhjet e partneritetit </w:t>
      </w:r>
      <w:r w:rsidR="00A04F5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thirren dhe </w:t>
      </w:r>
      <w:r w:rsidR="001816D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drejtohen nga ministri p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816D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rgjegj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816D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 negociator p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1816D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r Kapitullin 22. 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Mbledhjet e partneritetit zhvillohen t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hapura, p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rveç rasteve t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veçanta kur me k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rkes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t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kryetarit zhvillohen t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C30CB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mbyllura. </w:t>
      </w:r>
    </w:p>
    <w:p w14:paraId="764106F1" w14:textId="6CAEAD42" w:rsidR="006E4CF8" w:rsidRDefault="001816DE" w:rsidP="00220695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22. 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Me urdh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 t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ministrit p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rgjegj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 negociator p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r Kapitullin 22 krijohen </w:t>
      </w:r>
      <w:r w:rsidR="00094C1A" w:rsidRP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komisione këshillimi, si struktura ad hoc për të mbuluar fusha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dhe sektor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t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caktuara t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pun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 s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partneritetit q</w:t>
      </w:r>
      <w:r w:rsidR="00D670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lidhen me </w:t>
      </w:r>
      <w:r w:rsidR="00094C1A" w:rsidRPr="00094C1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p</w:t>
      </w:r>
      <w:r w:rsidR="00094C1A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olitikë</w:t>
      </w:r>
      <w:r w:rsidR="00094C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n </w:t>
      </w:r>
      <w:r w:rsidR="00FC0F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dhe fondet </w:t>
      </w:r>
      <w:r w:rsidR="00094C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</w:t>
      </w:r>
      <w:r w:rsidR="00094C1A" w:rsidRPr="00094C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</w:t>
      </w:r>
      <w:r w:rsidR="00094C1A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ohezionit të BE-së</w:t>
      </w:r>
      <w:r w:rsidR="00094C1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  <w:r w:rsidR="00094C1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E4CF8" w:rsidRPr="006E4CF8">
        <w:rPr>
          <w:rFonts w:ascii="Times New Roman" w:hAnsi="Times New Roman" w:cs="Times New Roman"/>
          <w:sz w:val="24"/>
          <w:szCs w:val="24"/>
        </w:rPr>
        <w:t>Komisionet e këshillimit janë të përkohshme dhe përfundojnë funksionimin e tyre me kryerjen e detyrave që u janë ngarkuar. Në aktin e krijimit të komisioneve të këshillimit përcaktohen kryesuesi i tij</w:t>
      </w:r>
      <w:r w:rsidR="00FC0F5C">
        <w:rPr>
          <w:rFonts w:ascii="Times New Roman" w:hAnsi="Times New Roman" w:cs="Times New Roman"/>
          <w:sz w:val="24"/>
          <w:szCs w:val="24"/>
        </w:rPr>
        <w:t>, objekti</w:t>
      </w:r>
      <w:r w:rsidR="006E4CF8" w:rsidRPr="006E4CF8">
        <w:rPr>
          <w:rFonts w:ascii="Times New Roman" w:hAnsi="Times New Roman" w:cs="Times New Roman"/>
          <w:sz w:val="24"/>
          <w:szCs w:val="24"/>
        </w:rPr>
        <w:t xml:space="preserve"> dhe detyrat e ngarkuara.</w:t>
      </w:r>
    </w:p>
    <w:p w14:paraId="4A9900E5" w14:textId="43CDE3E3" w:rsidR="00094C1A" w:rsidRPr="00F75275" w:rsidRDefault="006660D4" w:rsidP="0022069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16DE">
        <w:rPr>
          <w:rFonts w:ascii="Times New Roman" w:hAnsi="Times New Roman" w:cs="Times New Roman"/>
          <w:sz w:val="24"/>
          <w:szCs w:val="24"/>
        </w:rPr>
        <w:t>3</w:t>
      </w:r>
      <w:r w:rsidR="00094C1A" w:rsidRPr="006660D4">
        <w:rPr>
          <w:rFonts w:ascii="Times New Roman" w:hAnsi="Times New Roman" w:cs="Times New Roman"/>
          <w:sz w:val="24"/>
          <w:szCs w:val="24"/>
        </w:rPr>
        <w:t>. N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kuad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>r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veprimtaris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s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partneritetit mund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organizohen, n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>p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>rmjet sekretariatit teknik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tij, takime me </w:t>
      </w:r>
      <w:r w:rsidR="005F60D4">
        <w:rPr>
          <w:rFonts w:ascii="Times New Roman" w:hAnsi="Times New Roman" w:cs="Times New Roman"/>
          <w:sz w:val="24"/>
          <w:szCs w:val="24"/>
        </w:rPr>
        <w:t>p</w:t>
      </w:r>
      <w:r w:rsidR="004822E7">
        <w:rPr>
          <w:rFonts w:ascii="Times New Roman" w:hAnsi="Times New Roman" w:cs="Times New Roman"/>
          <w:sz w:val="24"/>
          <w:szCs w:val="24"/>
        </w:rPr>
        <w:t>ë</w:t>
      </w:r>
      <w:r w:rsidR="005F60D4">
        <w:rPr>
          <w:rFonts w:ascii="Times New Roman" w:hAnsi="Times New Roman" w:cs="Times New Roman"/>
          <w:sz w:val="24"/>
          <w:szCs w:val="24"/>
        </w:rPr>
        <w:t>rfaq</w:t>
      </w:r>
      <w:r w:rsidR="004822E7">
        <w:rPr>
          <w:rFonts w:ascii="Times New Roman" w:hAnsi="Times New Roman" w:cs="Times New Roman"/>
          <w:sz w:val="24"/>
          <w:szCs w:val="24"/>
        </w:rPr>
        <w:t>ë</w:t>
      </w:r>
      <w:r w:rsidR="005F60D4">
        <w:rPr>
          <w:rFonts w:ascii="Times New Roman" w:hAnsi="Times New Roman" w:cs="Times New Roman"/>
          <w:sz w:val="24"/>
          <w:szCs w:val="24"/>
        </w:rPr>
        <w:t>sues t</w:t>
      </w:r>
      <w:r w:rsidR="004822E7">
        <w:rPr>
          <w:rFonts w:ascii="Times New Roman" w:hAnsi="Times New Roman" w:cs="Times New Roman"/>
          <w:sz w:val="24"/>
          <w:szCs w:val="24"/>
        </w:rPr>
        <w:t>ë</w:t>
      </w:r>
      <w:r w:rsidR="005F60D4">
        <w:rPr>
          <w:rFonts w:ascii="Times New Roman" w:hAnsi="Times New Roman" w:cs="Times New Roman"/>
          <w:sz w:val="24"/>
          <w:szCs w:val="24"/>
        </w:rPr>
        <w:t xml:space="preserve"> shtresave n</w:t>
      </w:r>
      <w:r w:rsidR="004822E7">
        <w:rPr>
          <w:rFonts w:ascii="Times New Roman" w:hAnsi="Times New Roman" w:cs="Times New Roman"/>
          <w:sz w:val="24"/>
          <w:szCs w:val="24"/>
        </w:rPr>
        <w:t>ë</w:t>
      </w:r>
      <w:r w:rsidR="005F60D4">
        <w:rPr>
          <w:rFonts w:ascii="Times New Roman" w:hAnsi="Times New Roman" w:cs="Times New Roman"/>
          <w:sz w:val="24"/>
          <w:szCs w:val="24"/>
        </w:rPr>
        <w:t xml:space="preserve"> nevoj</w:t>
      </w:r>
      <w:r w:rsidR="004822E7">
        <w:rPr>
          <w:rFonts w:ascii="Times New Roman" w:hAnsi="Times New Roman" w:cs="Times New Roman"/>
          <w:sz w:val="24"/>
          <w:szCs w:val="24"/>
        </w:rPr>
        <w:t>ë</w:t>
      </w:r>
      <w:r w:rsidR="005F60D4">
        <w:rPr>
          <w:rFonts w:ascii="Times New Roman" w:hAnsi="Times New Roman" w:cs="Times New Roman"/>
          <w:sz w:val="24"/>
          <w:szCs w:val="24"/>
        </w:rPr>
        <w:t>, grupeve</w:t>
      </w:r>
      <w:r w:rsidR="005F60D4" w:rsidRPr="005F60D4">
        <w:rPr>
          <w:rFonts w:ascii="Times New Roman" w:hAnsi="Times New Roman" w:cs="Times New Roman"/>
          <w:sz w:val="24"/>
          <w:szCs w:val="24"/>
        </w:rPr>
        <w:t xml:space="preserve"> </w:t>
      </w:r>
      <w:r w:rsidR="005F60D4">
        <w:rPr>
          <w:rFonts w:ascii="Times New Roman" w:hAnsi="Times New Roman" w:cs="Times New Roman"/>
          <w:sz w:val="24"/>
          <w:szCs w:val="24"/>
        </w:rPr>
        <w:t>të margjinalizuara apo pakicave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60D4">
        <w:rPr>
          <w:rFonts w:ascii="Times New Roman" w:hAnsi="Times New Roman" w:cs="Times New Roman"/>
          <w:sz w:val="24"/>
          <w:szCs w:val="24"/>
        </w:rPr>
        <w:t xml:space="preserve"> apo</w:t>
      </w:r>
      <w:r w:rsidR="00A04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tjer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ushtrojn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aktivitet n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territorit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vendit </w:t>
      </w:r>
      <w:r w:rsidR="005F60D4">
        <w:rPr>
          <w:rFonts w:ascii="Times New Roman" w:hAnsi="Times New Roman" w:cs="Times New Roman"/>
          <w:sz w:val="24"/>
          <w:szCs w:val="24"/>
        </w:rPr>
        <w:t xml:space="preserve">dhe </w:t>
      </w:r>
      <w:r>
        <w:rPr>
          <w:rFonts w:ascii="Times New Roman" w:hAnsi="Times New Roman" w:cs="Times New Roman"/>
          <w:sz w:val="24"/>
          <w:szCs w:val="24"/>
        </w:rPr>
        <w:t>q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sojn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interesat e</w:t>
      </w:r>
      <w:r w:rsidR="005F60D4">
        <w:rPr>
          <w:rFonts w:ascii="Times New Roman" w:hAnsi="Times New Roman" w:cs="Times New Roman"/>
          <w:sz w:val="24"/>
          <w:szCs w:val="24"/>
        </w:rPr>
        <w:t xml:space="preserve"> k</w:t>
      </w:r>
      <w:r w:rsidR="004822E7">
        <w:rPr>
          <w:rFonts w:ascii="Times New Roman" w:hAnsi="Times New Roman" w:cs="Times New Roman"/>
          <w:sz w:val="24"/>
          <w:szCs w:val="24"/>
        </w:rPr>
        <w:t>ë</w:t>
      </w:r>
      <w:r w:rsidR="005F60D4">
        <w:rPr>
          <w:rFonts w:ascii="Times New Roman" w:hAnsi="Times New Roman" w:cs="Times New Roman"/>
          <w:sz w:val="24"/>
          <w:szCs w:val="24"/>
        </w:rPr>
        <w:t>tyre shtresave/</w:t>
      </w:r>
      <w:r>
        <w:rPr>
          <w:rFonts w:ascii="Times New Roman" w:hAnsi="Times New Roman" w:cs="Times New Roman"/>
          <w:sz w:val="24"/>
          <w:szCs w:val="24"/>
        </w:rPr>
        <w:t xml:space="preserve">grupeve, </w:t>
      </w:r>
      <w:r w:rsidR="00B83013">
        <w:rPr>
          <w:rFonts w:ascii="Times New Roman" w:hAnsi="Times New Roman" w:cs="Times New Roman"/>
          <w:sz w:val="24"/>
          <w:szCs w:val="24"/>
        </w:rPr>
        <w:t>p</w:t>
      </w:r>
      <w:r w:rsidR="000B63E6">
        <w:rPr>
          <w:rFonts w:ascii="Times New Roman" w:hAnsi="Times New Roman" w:cs="Times New Roman"/>
          <w:sz w:val="24"/>
          <w:szCs w:val="24"/>
        </w:rPr>
        <w:t>ë</w:t>
      </w:r>
      <w:r w:rsidR="00B83013">
        <w:rPr>
          <w:rFonts w:ascii="Times New Roman" w:hAnsi="Times New Roman" w:cs="Times New Roman"/>
          <w:sz w:val="24"/>
          <w:szCs w:val="24"/>
        </w:rPr>
        <w:t>rfaq</w:t>
      </w:r>
      <w:r w:rsidR="000B63E6">
        <w:rPr>
          <w:rFonts w:ascii="Times New Roman" w:hAnsi="Times New Roman" w:cs="Times New Roman"/>
          <w:sz w:val="24"/>
          <w:szCs w:val="24"/>
        </w:rPr>
        <w:t>ë</w:t>
      </w:r>
      <w:r w:rsidR="00B83013">
        <w:rPr>
          <w:rFonts w:ascii="Times New Roman" w:hAnsi="Times New Roman" w:cs="Times New Roman"/>
          <w:sz w:val="24"/>
          <w:szCs w:val="24"/>
        </w:rPr>
        <w:t>sues t</w:t>
      </w:r>
      <w:r w:rsidR="000B63E6">
        <w:rPr>
          <w:rFonts w:ascii="Times New Roman" w:hAnsi="Times New Roman" w:cs="Times New Roman"/>
          <w:sz w:val="24"/>
          <w:szCs w:val="24"/>
        </w:rPr>
        <w:t>ë</w:t>
      </w:r>
      <w:r w:rsidR="00B83013">
        <w:rPr>
          <w:rFonts w:ascii="Times New Roman" w:hAnsi="Times New Roman" w:cs="Times New Roman"/>
          <w:sz w:val="24"/>
          <w:szCs w:val="24"/>
        </w:rPr>
        <w:t xml:space="preserve"> </w:t>
      </w:r>
      <w:r w:rsidR="00094C1A" w:rsidRPr="006660D4">
        <w:rPr>
          <w:rFonts w:ascii="Times New Roman" w:hAnsi="Times New Roman" w:cs="Times New Roman"/>
          <w:sz w:val="24"/>
          <w:szCs w:val="24"/>
        </w:rPr>
        <w:t>organe dhe institucione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tjera publike si dhe institucione</w:t>
      </w:r>
      <w:r w:rsidR="008A4B89">
        <w:rPr>
          <w:rFonts w:ascii="Times New Roman" w:hAnsi="Times New Roman" w:cs="Times New Roman"/>
          <w:sz w:val="24"/>
          <w:szCs w:val="24"/>
        </w:rPr>
        <w:t xml:space="preserve"> kushtetuese dhe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="00094C1A" w:rsidRPr="006660D4">
        <w:rPr>
          <w:rFonts w:ascii="Times New Roman" w:hAnsi="Times New Roman" w:cs="Times New Roman"/>
          <w:sz w:val="24"/>
          <w:szCs w:val="24"/>
        </w:rPr>
        <w:t xml:space="preserve"> pavarura</w:t>
      </w:r>
      <w:r w:rsidRPr="006660D4">
        <w:rPr>
          <w:rFonts w:ascii="Times New Roman" w:hAnsi="Times New Roman" w:cs="Times New Roman"/>
          <w:sz w:val="24"/>
          <w:szCs w:val="24"/>
        </w:rPr>
        <w:t xml:space="preserve">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Pr="006660D4">
        <w:rPr>
          <w:rFonts w:ascii="Times New Roman" w:hAnsi="Times New Roman" w:cs="Times New Roman"/>
          <w:sz w:val="24"/>
          <w:szCs w:val="24"/>
        </w:rPr>
        <w:t xml:space="preserve"> krijuara me ligj. N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Pr="006660D4">
        <w:rPr>
          <w:rFonts w:ascii="Times New Roman" w:hAnsi="Times New Roman" w:cs="Times New Roman"/>
          <w:sz w:val="24"/>
          <w:szCs w:val="24"/>
        </w:rPr>
        <w:t xml:space="preserve"> kuad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Pr="006660D4">
        <w:rPr>
          <w:rFonts w:ascii="Times New Roman" w:hAnsi="Times New Roman" w:cs="Times New Roman"/>
          <w:sz w:val="24"/>
          <w:szCs w:val="24"/>
        </w:rPr>
        <w:t>r t</w:t>
      </w:r>
      <w:r w:rsidR="00D67002">
        <w:rPr>
          <w:rFonts w:ascii="Times New Roman" w:hAnsi="Times New Roman" w:cs="Times New Roman"/>
          <w:sz w:val="24"/>
          <w:szCs w:val="24"/>
        </w:rPr>
        <w:t>ë</w:t>
      </w:r>
      <w:r w:rsidRPr="006660D4">
        <w:rPr>
          <w:rFonts w:ascii="Times New Roman" w:hAnsi="Times New Roman" w:cs="Times New Roman"/>
          <w:sz w:val="24"/>
          <w:szCs w:val="24"/>
        </w:rPr>
        <w:t xml:space="preserve"> partneritetit mund </w:t>
      </w:r>
      <w:r w:rsidRPr="00F75275">
        <w:rPr>
          <w:rFonts w:ascii="Times New Roman" w:hAnsi="Times New Roman" w:cs="Times New Roman"/>
          <w:sz w:val="24"/>
          <w:szCs w:val="24"/>
        </w:rPr>
        <w:t>t</w:t>
      </w:r>
      <w:r w:rsidR="00D67002" w:rsidRPr="00F75275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 xml:space="preserve"> organizohen edhe forma t</w:t>
      </w:r>
      <w:r w:rsidR="00D67002" w:rsidRPr="00F75275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 xml:space="preserve"> tjera k</w:t>
      </w:r>
      <w:r w:rsidR="00D67002" w:rsidRPr="00F75275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 xml:space="preserve">shillimi </w:t>
      </w:r>
      <w:r w:rsidR="00094C1A" w:rsidRPr="00F75275">
        <w:rPr>
          <w:rFonts w:ascii="Times New Roman" w:hAnsi="Times New Roman" w:cs="Times New Roman"/>
          <w:sz w:val="24"/>
          <w:szCs w:val="24"/>
        </w:rPr>
        <w:t>të cilat mund të jenë të përshtatshme sipas rastit.</w:t>
      </w:r>
    </w:p>
    <w:p w14:paraId="719B12B6" w14:textId="7106598F" w:rsidR="00425AA9" w:rsidRPr="00F75275" w:rsidRDefault="006660D4" w:rsidP="006660D4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2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4</w:t>
      </w:r>
      <w:r w:rsidRPr="00F7527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</w:t>
      </w:r>
      <w:r w:rsidRPr="00F752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Agjencia për Mbështetjen e Vetëqeverisjes Vendore kryen funksione ndihmëse dhe administrative në rolin e sekretariatit teknik</w:t>
      </w:r>
      <w:r w:rsidRPr="00F7527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Për kryerjen e funksioneve të sekretariatit teknik, AMVV-ja mund të mbështetet edhe nga donacione të ndryshme, si dhe nga çdo burim tjetër financiar i ligjshëm. </w:t>
      </w:r>
    </w:p>
    <w:p w14:paraId="1773D997" w14:textId="6646502C" w:rsidR="000D421F" w:rsidRPr="00F75275" w:rsidRDefault="00425AA9" w:rsidP="000D421F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>2</w:t>
      </w:r>
      <w:r w:rsidR="005F637E">
        <w:rPr>
          <w:rFonts w:ascii="Times New Roman" w:hAnsi="Times New Roman" w:cs="Times New Roman"/>
          <w:sz w:val="24"/>
          <w:szCs w:val="24"/>
        </w:rPr>
        <w:t>5</w:t>
      </w:r>
      <w:r w:rsidRPr="00F75275">
        <w:rPr>
          <w:rFonts w:ascii="Times New Roman" w:hAnsi="Times New Roman" w:cs="Times New Roman"/>
          <w:sz w:val="24"/>
          <w:szCs w:val="24"/>
        </w:rPr>
        <w:t xml:space="preserve">. </w:t>
      </w:r>
      <w:r w:rsidR="000D421F" w:rsidRPr="00F75275">
        <w:rPr>
          <w:rFonts w:ascii="Times New Roman" w:hAnsi="Times New Roman" w:cs="Times New Roman"/>
          <w:sz w:val="24"/>
          <w:szCs w:val="24"/>
        </w:rPr>
        <w:t xml:space="preserve">Sekretariati Teknik kryen këto detyra: </w:t>
      </w:r>
    </w:p>
    <w:p w14:paraId="2CDB8DF4" w14:textId="77777777" w:rsidR="000D421F" w:rsidRPr="00F75275" w:rsidRDefault="000D421F" w:rsidP="000D421F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>a) Administron faqen zyrtare të internetit të partneriteti;</w:t>
      </w:r>
    </w:p>
    <w:p w14:paraId="6B8B1039" w14:textId="177C50D1" w:rsidR="000D421F" w:rsidRPr="00F75275" w:rsidRDefault="000D421F" w:rsidP="000D421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F75275">
        <w:rPr>
          <w:rFonts w:ascii="Times New Roman" w:hAnsi="Times New Roman" w:cs="Times New Roman"/>
          <w:sz w:val="24"/>
          <w:szCs w:val="24"/>
        </w:rPr>
        <w:lastRenderedPageBreak/>
        <w:t>b) Grumbullon dhe përpunon komentet, vërejtjet, sugjerimet dhe propozimet e anëtarëve të partneritetit në procesin e konsultimit;</w:t>
      </w:r>
    </w:p>
    <w:p w14:paraId="309DC1CF" w14:textId="4CAC6291" w:rsidR="0010572C" w:rsidRPr="00F75275" w:rsidRDefault="000D421F" w:rsidP="006660D4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>c) U d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>rgon an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>tar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>ve t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 xml:space="preserve"> partneritetit 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informacionin e përpunuar dhe dokumentacionin shoqërues; ç) Ndihmon dhe mbështet </w:t>
      </w:r>
      <w:r w:rsidRPr="00F75275">
        <w:rPr>
          <w:rFonts w:ascii="Times New Roman" w:hAnsi="Times New Roman" w:cs="Times New Roman"/>
          <w:sz w:val="24"/>
          <w:szCs w:val="24"/>
        </w:rPr>
        <w:t>ministrin p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>rgjegj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>s negociator p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Pr="00F75275">
        <w:rPr>
          <w:rFonts w:ascii="Times New Roman" w:hAnsi="Times New Roman" w:cs="Times New Roman"/>
          <w:sz w:val="24"/>
          <w:szCs w:val="24"/>
        </w:rPr>
        <w:t xml:space="preserve">r Kapitullin 22 me 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analizën ligjore dhe teknike në lidhje me </w:t>
      </w:r>
      <w:r w:rsidR="0010572C" w:rsidRPr="00F75275">
        <w:rPr>
          <w:rFonts w:ascii="Times New Roman" w:hAnsi="Times New Roman" w:cs="Times New Roman"/>
          <w:sz w:val="24"/>
          <w:szCs w:val="24"/>
        </w:rPr>
        <w:t>mbar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="0010572C" w:rsidRPr="00F75275">
        <w:rPr>
          <w:rFonts w:ascii="Times New Roman" w:hAnsi="Times New Roman" w:cs="Times New Roman"/>
          <w:sz w:val="24"/>
          <w:szCs w:val="24"/>
        </w:rPr>
        <w:t>vajtjen e takimeve dhe veprimtaris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="0010572C" w:rsidRPr="00F75275">
        <w:rPr>
          <w:rFonts w:ascii="Times New Roman" w:hAnsi="Times New Roman" w:cs="Times New Roman"/>
          <w:sz w:val="24"/>
          <w:szCs w:val="24"/>
        </w:rPr>
        <w:t xml:space="preserve"> s</w:t>
      </w:r>
      <w:r w:rsidR="00FC5720">
        <w:rPr>
          <w:rFonts w:ascii="Times New Roman" w:hAnsi="Times New Roman" w:cs="Times New Roman"/>
          <w:sz w:val="24"/>
          <w:szCs w:val="24"/>
        </w:rPr>
        <w:t>ë</w:t>
      </w:r>
      <w:r w:rsidR="0010572C" w:rsidRPr="00F75275">
        <w:rPr>
          <w:rFonts w:ascii="Times New Roman" w:hAnsi="Times New Roman" w:cs="Times New Roman"/>
          <w:sz w:val="24"/>
          <w:szCs w:val="24"/>
        </w:rPr>
        <w:t xml:space="preserve"> partneritetit</w:t>
      </w:r>
      <w:r w:rsidR="00A04F5D">
        <w:rPr>
          <w:rFonts w:ascii="Times New Roman" w:hAnsi="Times New Roman" w:cs="Times New Roman"/>
          <w:sz w:val="24"/>
          <w:szCs w:val="24"/>
        </w:rPr>
        <w:t>;</w:t>
      </w:r>
    </w:p>
    <w:p w14:paraId="054A0BA8" w14:textId="37CA150E" w:rsidR="0010572C" w:rsidRPr="00F75275" w:rsidRDefault="00425AA9" w:rsidP="006660D4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 xml:space="preserve">d) Ndihmon dhe mbështet </w:t>
      </w:r>
      <w:r w:rsidR="0010572C" w:rsidRPr="00F75275">
        <w:rPr>
          <w:rFonts w:ascii="Times New Roman" w:hAnsi="Times New Roman" w:cs="Times New Roman"/>
          <w:sz w:val="24"/>
          <w:szCs w:val="24"/>
        </w:rPr>
        <w:t>partneritetin</w:t>
      </w:r>
      <w:r w:rsidRPr="00F75275">
        <w:rPr>
          <w:rFonts w:ascii="Times New Roman" w:hAnsi="Times New Roman" w:cs="Times New Roman"/>
          <w:sz w:val="24"/>
          <w:szCs w:val="24"/>
        </w:rPr>
        <w:t xml:space="preserve"> duke organizuar mbledhje</w:t>
      </w:r>
      <w:r w:rsidR="00A04F5D">
        <w:rPr>
          <w:rFonts w:ascii="Times New Roman" w:hAnsi="Times New Roman" w:cs="Times New Roman"/>
          <w:sz w:val="24"/>
          <w:szCs w:val="24"/>
        </w:rPr>
        <w:t>, takime konsultuese apo organizime të ngjashme</w:t>
      </w:r>
      <w:r w:rsidRPr="00F752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D781D1" w14:textId="3FF29AD5" w:rsidR="00F75275" w:rsidRPr="00F75275" w:rsidRDefault="0010572C" w:rsidP="006660D4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>dh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) Kujdeset për mbajtjen e procesverbaleve të mbledhjeve të punës dhe mbledhjeve plenare të </w:t>
      </w:r>
      <w:r w:rsidRPr="00F75275">
        <w:rPr>
          <w:rFonts w:ascii="Times New Roman" w:hAnsi="Times New Roman" w:cs="Times New Roman"/>
          <w:sz w:val="24"/>
          <w:szCs w:val="24"/>
        </w:rPr>
        <w:t xml:space="preserve"> partneritetit 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dhe i publikon </w:t>
      </w:r>
      <w:r w:rsidR="00ED0E9B">
        <w:rPr>
          <w:rFonts w:ascii="Times New Roman" w:hAnsi="Times New Roman" w:cs="Times New Roman"/>
          <w:sz w:val="24"/>
          <w:szCs w:val="24"/>
        </w:rPr>
        <w:t>vendimet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 në faqen e internetit;</w:t>
      </w:r>
    </w:p>
    <w:p w14:paraId="0C2884CB" w14:textId="77777777" w:rsidR="00F75275" w:rsidRPr="00F75275" w:rsidRDefault="00F75275" w:rsidP="006660D4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>e</w:t>
      </w:r>
      <w:r w:rsidR="00425AA9" w:rsidRPr="00F75275">
        <w:rPr>
          <w:rFonts w:ascii="Times New Roman" w:hAnsi="Times New Roman" w:cs="Times New Roman"/>
          <w:sz w:val="24"/>
          <w:szCs w:val="24"/>
        </w:rPr>
        <w:t>) Përgatit informacion periodik për veprimtarinë e</w:t>
      </w:r>
      <w:r w:rsidRPr="00F75275">
        <w:rPr>
          <w:rFonts w:ascii="Times New Roman" w:hAnsi="Times New Roman" w:cs="Times New Roman"/>
          <w:sz w:val="24"/>
          <w:szCs w:val="24"/>
        </w:rPr>
        <w:t xml:space="preserve"> partneritetit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B0517F" w14:textId="77777777" w:rsidR="00F75275" w:rsidRPr="00F75275" w:rsidRDefault="00F75275" w:rsidP="006660D4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>ë</w:t>
      </w:r>
      <w:r w:rsidR="00425AA9" w:rsidRPr="00F75275">
        <w:rPr>
          <w:rFonts w:ascii="Times New Roman" w:hAnsi="Times New Roman" w:cs="Times New Roman"/>
          <w:sz w:val="24"/>
          <w:szCs w:val="24"/>
        </w:rPr>
        <w:t>) Është përgjegjës për kryerjen e njoftimeve për anëtarët e</w:t>
      </w:r>
      <w:r w:rsidRPr="00F75275">
        <w:rPr>
          <w:rFonts w:ascii="Times New Roman" w:hAnsi="Times New Roman" w:cs="Times New Roman"/>
          <w:sz w:val="24"/>
          <w:szCs w:val="24"/>
        </w:rPr>
        <w:t xml:space="preserve"> partneriteti</w:t>
      </w:r>
      <w:r w:rsidR="00425AA9" w:rsidRPr="00F752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D02EF5" w14:textId="68AA37FE" w:rsidR="00425AA9" w:rsidRPr="00F75275" w:rsidRDefault="00F75275" w:rsidP="006660D4">
      <w:p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75">
        <w:rPr>
          <w:rFonts w:ascii="Times New Roman" w:hAnsi="Times New Roman" w:cs="Times New Roman"/>
          <w:sz w:val="24"/>
          <w:szCs w:val="24"/>
        </w:rPr>
        <w:t xml:space="preserve">f) </w:t>
      </w:r>
      <w:r w:rsidR="00425AA9" w:rsidRPr="00F75275">
        <w:rPr>
          <w:rFonts w:ascii="Times New Roman" w:hAnsi="Times New Roman" w:cs="Times New Roman"/>
          <w:sz w:val="24"/>
          <w:szCs w:val="24"/>
        </w:rPr>
        <w:t>Kryen detyra të tjera të përcaktuara nga</w:t>
      </w:r>
      <w:r w:rsidR="000B63E6">
        <w:rPr>
          <w:rFonts w:ascii="Times New Roman" w:hAnsi="Times New Roman" w:cs="Times New Roman"/>
          <w:sz w:val="24"/>
          <w:szCs w:val="24"/>
        </w:rPr>
        <w:t xml:space="preserve"> ministri p</w:t>
      </w:r>
      <w:r w:rsidR="001F3EE0">
        <w:rPr>
          <w:rFonts w:ascii="Times New Roman" w:hAnsi="Times New Roman" w:cs="Times New Roman"/>
          <w:sz w:val="24"/>
          <w:szCs w:val="24"/>
        </w:rPr>
        <w:t>ë</w:t>
      </w:r>
      <w:r w:rsidR="000B63E6">
        <w:rPr>
          <w:rFonts w:ascii="Times New Roman" w:hAnsi="Times New Roman" w:cs="Times New Roman"/>
          <w:sz w:val="24"/>
          <w:szCs w:val="24"/>
        </w:rPr>
        <w:t>rgjegj</w:t>
      </w:r>
      <w:r w:rsidR="001F3EE0">
        <w:rPr>
          <w:rFonts w:ascii="Times New Roman" w:hAnsi="Times New Roman" w:cs="Times New Roman"/>
          <w:sz w:val="24"/>
          <w:szCs w:val="24"/>
        </w:rPr>
        <w:t>ë</w:t>
      </w:r>
      <w:r w:rsidR="000B63E6">
        <w:rPr>
          <w:rFonts w:ascii="Times New Roman" w:hAnsi="Times New Roman" w:cs="Times New Roman"/>
          <w:sz w:val="24"/>
          <w:szCs w:val="24"/>
        </w:rPr>
        <w:t>s negociator p</w:t>
      </w:r>
      <w:r w:rsidR="001F3EE0">
        <w:rPr>
          <w:rFonts w:ascii="Times New Roman" w:hAnsi="Times New Roman" w:cs="Times New Roman"/>
          <w:sz w:val="24"/>
          <w:szCs w:val="24"/>
        </w:rPr>
        <w:t>ë</w:t>
      </w:r>
      <w:r w:rsidR="000B63E6">
        <w:rPr>
          <w:rFonts w:ascii="Times New Roman" w:hAnsi="Times New Roman" w:cs="Times New Roman"/>
          <w:sz w:val="24"/>
          <w:szCs w:val="24"/>
        </w:rPr>
        <w:t>r Kapitullin</w:t>
      </w:r>
      <w:r w:rsidR="00ED0E9B">
        <w:rPr>
          <w:rFonts w:ascii="Times New Roman" w:hAnsi="Times New Roman" w:cs="Times New Roman"/>
          <w:sz w:val="24"/>
          <w:szCs w:val="24"/>
        </w:rPr>
        <w:t xml:space="preserve"> 22.</w:t>
      </w:r>
    </w:p>
    <w:p w14:paraId="19720C62" w14:textId="66D07345" w:rsidR="006E4CF8" w:rsidRDefault="006E4CF8" w:rsidP="0022069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52A5F37A" w14:textId="2B4954CD" w:rsidR="008A4B89" w:rsidRPr="00B97335" w:rsidRDefault="00D67002" w:rsidP="0022069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KREU VIII: </w:t>
      </w:r>
      <w:r w:rsidR="008A4945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ANGAZHIMI</w:t>
      </w:r>
      <w:r w:rsidR="008A4B89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I AN</w:t>
      </w:r>
      <w:r w:rsidR="001F3EE0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8A4B89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TAR</w:t>
      </w:r>
      <w:r w:rsidR="001F3EE0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8A4B89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VE T</w:t>
      </w:r>
      <w:r w:rsidR="001F3EE0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8A4B89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PARTNERITETIT N</w:t>
      </w:r>
      <w:r w:rsidR="001F3EE0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8A4B89" w:rsidRPr="00B973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KOMITETET E MONITORIMIT </w:t>
      </w:r>
    </w:p>
    <w:p w14:paraId="60AE407B" w14:textId="3F23F554" w:rsidR="00B97335" w:rsidRDefault="008A4B89" w:rsidP="00B9733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2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6</w:t>
      </w:r>
      <w:r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.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Angazhimi i an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tar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ve t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rzgjedhur </w:t>
      </w:r>
      <w:r w:rsid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partneritet, 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 an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tar n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komitetet e monitorimit apo t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vler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simit </w:t>
      </w:r>
      <w:r w:rsid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programeve, 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kryhet bazuar n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nj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procedur</w:t>
      </w:r>
      <w:r w:rsidR="001F4768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97335" w:rsidRPr="00B97335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transparente </w:t>
      </w:r>
      <w:r w:rsidR="00B97335" w:rsidRPr="00B97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dhe thirrje publike që organizohet nga sekretariati </w:t>
      </w:r>
      <w:r w:rsidR="00B97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</w:t>
      </w:r>
      <w:r w:rsidR="00B97335" w:rsidRPr="00B97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eknik në përputhje me parashikimet e këtij vendimi.</w:t>
      </w:r>
    </w:p>
    <w:p w14:paraId="7C0C1909" w14:textId="210F4485" w:rsidR="008A4B89" w:rsidRPr="008A4B89" w:rsidRDefault="00B97335" w:rsidP="00B97335">
      <w:pPr>
        <w:numPr>
          <w:ilvl w:val="255"/>
          <w:numId w:val="0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="005F63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r w:rsidRPr="005A3C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Ministri përgjegjës negociator për Kapitullin 22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kryen vler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simin e aplikimeve bazuar n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kritere objektive q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rfshijn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rvoj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 e an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tarit, nivelin e ekspertiz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 n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lidhje me k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angazhim, kapacitetet menaxhuese</w:t>
      </w:r>
      <w:r w:rsidR="005F60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 lidhjen midis k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F60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tyre kritereve dhe objektit t</w:t>
      </w:r>
      <w:r w:rsid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5F60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programit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si dhe shp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rndarjen e drejt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angazhimit t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an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tar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ve n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komitete t</w:t>
      </w:r>
      <w:r w:rsidR="001F476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ndryshme.</w:t>
      </w:r>
    </w:p>
    <w:p w14:paraId="55073C7B" w14:textId="77777777" w:rsidR="008A4B89" w:rsidRDefault="008A4B89" w:rsidP="0022069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10C0F9E1" w14:textId="053D616E" w:rsidR="00D67002" w:rsidRPr="00D67002" w:rsidRDefault="008A4B89" w:rsidP="0022069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KREU IX: </w:t>
      </w:r>
      <w:r w:rsidR="00D67002" w:rsidRPr="00D67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DISPOZITAT E FUNDIT </w:t>
      </w:r>
    </w:p>
    <w:p w14:paraId="1B16DFB3" w14:textId="493243D5" w:rsidR="00A12DA8" w:rsidRDefault="00D67002" w:rsidP="00220695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2</w:t>
      </w:r>
      <w:r w:rsidR="005F637E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. Ministri përgjegjës negociator për Kapitullin 22 miraton rregulloren e brendshme të organizimit dhe funksionimit të partneritetit. </w:t>
      </w:r>
    </w:p>
    <w:p w14:paraId="743E48A4" w14:textId="32646C6B" w:rsidR="005411DF" w:rsidRDefault="005411DF" w:rsidP="005411DF">
      <w:pPr>
        <w:tabs>
          <w:tab w:val="left" w:pos="425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2</w:t>
      </w:r>
      <w:r w:rsidR="005F637E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9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. Procesi i përzgjedhjes së p</w:t>
      </w:r>
      <w:r w:rsidRPr="00FB669C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artnerë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ve në përputhje me parashikimet e këtij vendimi përmbyllet brenda 8 muajve nga hyrja në fuqi e këtij vendimi.</w:t>
      </w:r>
      <w:r w:rsidRPr="00FB669C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P</w:t>
      </w:r>
      <w:r w:rsidR="00DC6F77"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>ë</w:t>
      </w:r>
      <w:r>
        <w:rPr>
          <w:rFonts w:ascii="Times New Roman" w:eastAsia="Bahnschrift" w:hAnsi="Times New Roman" w:cs="Times New Roman"/>
          <w:bCs/>
          <w:kern w:val="0"/>
          <w:sz w:val="24"/>
          <w:szCs w:val="24"/>
          <w14:ligatures w14:val="none"/>
        </w:rPr>
        <w:t xml:space="preserve">rfshirja 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partner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ve t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tjer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ekonomik dhe social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nga rradh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 e shoqëris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civile,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si dhe institucioneve të arsimit të lartë dhe kërkimor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që mund të konsiderohet e nevojshëm n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kuad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 t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përgatitje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s</w:t>
      </w:r>
      <w:r w:rsidRP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, zbatimi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t</w:t>
      </w:r>
      <w:r w:rsidRP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, monitorimi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t</w:t>
      </w:r>
      <w:r w:rsidRP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dhe vlerësimi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t</w:t>
      </w:r>
      <w:r w:rsidRP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t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fondeve evropiane strukturore dhe të investimeve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i n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nshtrohet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kriteteve dhe procedurave të parashikuara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në këtë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vendim. N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t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gjitha rastet, numri i partner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ve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që do të përzgjidhen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nuk mund t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tejkaloj dyfishin e numrit t</w:t>
      </w:r>
      <w:r w:rsidR="00DC6F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parashikuar n</w:t>
      </w:r>
      <w:r w:rsidR="00DC6F77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pik</w:t>
      </w:r>
      <w:r w:rsidR="00B83013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="00F13D58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n 5, shkronja ç), d) dhe e)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t</w:t>
      </w:r>
      <w:r w:rsidR="00DC6F77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 k</w:t>
      </w:r>
      <w:r w:rsidR="00DC6F77"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ë</w:t>
      </w:r>
      <w:r w:rsidRPr="00A04F5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tij vendimi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. </w:t>
      </w:r>
    </w:p>
    <w:p w14:paraId="51709609" w14:textId="7D9E4564" w:rsidR="005411DF" w:rsidRDefault="005F637E" w:rsidP="005411DF">
      <w:pPr>
        <w:tabs>
          <w:tab w:val="left" w:pos="425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30</w:t>
      </w:r>
      <w:r w:rsid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. Pas </w:t>
      </w:r>
      <w:r w:rsidR="005411DF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mbylljes së përkohshme </w:t>
      </w:r>
      <w:r w:rsid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të negociatave për</w:t>
      </w:r>
      <w:r w:rsidR="005411DF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Kapitulli</w:t>
      </w:r>
      <w:r w:rsidR="005411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n</w:t>
      </w:r>
      <w:r w:rsidR="005411DF" w:rsidRPr="00E320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22, institucioni(et) përgjegjës për koordinimin dhe menaxhimin e programeve të politikës së kohezionit të BE-së do të jenë përgjegjës për identifikimin e këtyre partnerëve në lidhje me programet e tyre përkatëse.</w:t>
      </w:r>
    </w:p>
    <w:p w14:paraId="4579A18C" w14:textId="2CD69429" w:rsidR="000B63E6" w:rsidRPr="004822E7" w:rsidRDefault="004822E7" w:rsidP="005411DF">
      <w:pPr>
        <w:tabs>
          <w:tab w:val="left" w:pos="425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3</w:t>
      </w:r>
      <w:r w:rsidR="005F637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 Ngar</w:t>
      </w:r>
      <w:r w:rsidR="0094444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k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ohet ministri p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rgjegj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 negociator p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r Kapitullin 22, </w:t>
      </w:r>
      <w:bookmarkStart w:id="27" w:name="_Hlk198540658"/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Agjencia p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 Mb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shtetjen e Vet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0B63E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qeverisjes Vendore, Konferenca e Rektorëve, Akademia e Shkencave, </w:t>
      </w:r>
      <w:r w:rsidR="00944446"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Agjencia për Mbështetjen e Shoqërisë Civile</w:t>
      </w:r>
      <w:r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 </w:t>
      </w:r>
      <w:r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Fondi Shqiptar </w:t>
      </w:r>
      <w:r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i </w:t>
      </w:r>
      <w:r w:rsidRPr="00FB66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Zhvillimit</w:t>
      </w:r>
      <w:r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, Agjencia Shtetërore e Programimit </w:t>
      </w:r>
      <w:r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>Strategjik dhe Koordinimit të Ndihmës (</w:t>
      </w:r>
      <w:r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 xml:space="preserve">SASPAC), Ministria e Financave, Komisioni i Prokurimit Publik, Komisioni i Ndihmës Shtetërore, </w:t>
      </w:r>
      <w:r w:rsidRPr="004822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</w:t>
      </w:r>
      <w:r w:rsidRPr="004822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hoqata Kombëtare e Bashkive të Shqipërisë (SHKBSH), S</w:t>
      </w:r>
      <w:r w:rsidRPr="00CA04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hoqata e Qarqeve</w:t>
      </w:r>
      <w:r w:rsidRPr="004822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Pr="004822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Shqip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Pr="004822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Pr="004822E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bookmarkEnd w:id="27"/>
      <w:r w:rsidR="0094444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4444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r zbatimin e k</w:t>
      </w:r>
      <w:r w:rsidR="001F3EE0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ë</w:t>
      </w:r>
      <w:r w:rsidR="00944446" w:rsidRPr="0048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tij vendimi.</w:t>
      </w:r>
      <w:r w:rsidR="009444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6738C616" w14:textId="77777777" w:rsidR="005411DF" w:rsidRDefault="005411DF" w:rsidP="005411DF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70CB67EA" w14:textId="00D33AAD" w:rsidR="00425AA9" w:rsidRPr="00425AA9" w:rsidRDefault="00425AA9" w:rsidP="00425AA9">
      <w:pPr>
        <w:suppressAutoHyphens/>
        <w:spacing w:after="0" w:line="288" w:lineRule="auto"/>
        <w:jc w:val="both"/>
        <w:rPr>
          <w:rFonts w:ascii="Times New Roman" w:eastAsia="Bahnschrift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425AA9">
        <w:rPr>
          <w:rFonts w:ascii="Times New Roman" w:eastAsia="Bahnschrift" w:hAnsi="Times New Roman" w:cs="Times New Roman"/>
          <w:bCs/>
          <w:kern w:val="0"/>
          <w:sz w:val="24"/>
          <w:szCs w:val="24"/>
          <w:lang w:val="sq-AL"/>
          <w14:ligatures w14:val="none"/>
        </w:rPr>
        <w:t>Ky vendim hyn në fuqi pas botimit në “Fletoren Zyrtare”.</w:t>
      </w:r>
    </w:p>
    <w:p w14:paraId="08142CA3" w14:textId="465E80EE" w:rsidR="005411DF" w:rsidRPr="00C92C84" w:rsidRDefault="005411DF" w:rsidP="005411DF">
      <w:pPr>
        <w:suppressAutoHyphens/>
        <w:spacing w:after="0" w:line="288" w:lineRule="auto"/>
        <w:jc w:val="both"/>
        <w:rPr>
          <w:rFonts w:ascii="Times New Roman" w:eastAsia="Bahnschrift" w:hAnsi="Times New Roman" w:cs="Times New Roman"/>
          <w:b/>
          <w:kern w:val="0"/>
          <w:sz w:val="24"/>
          <w:szCs w:val="24"/>
          <w14:ligatures w14:val="none"/>
        </w:rPr>
      </w:pPr>
    </w:p>
    <w:p w14:paraId="7BAD9324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   K R Y E M I N I S T R I</w:t>
      </w:r>
    </w:p>
    <w:p w14:paraId="4CF2D3EC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1AB8EAB7" w14:textId="77777777" w:rsidR="00E73117" w:rsidRPr="00A749DF" w:rsidRDefault="00E73117" w:rsidP="00FB669C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A74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EDI RAMA</w:t>
      </w:r>
    </w:p>
    <w:p w14:paraId="194D2151" w14:textId="77777777" w:rsidR="00E52794" w:rsidRPr="00A749DF" w:rsidRDefault="00E52794" w:rsidP="00FB669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52794" w:rsidRPr="00A749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A529" w14:textId="77777777" w:rsidR="00FA71A8" w:rsidRDefault="00FA71A8" w:rsidP="003C0D15">
      <w:pPr>
        <w:spacing w:after="0" w:line="240" w:lineRule="auto"/>
      </w:pPr>
      <w:r>
        <w:separator/>
      </w:r>
    </w:p>
  </w:endnote>
  <w:endnote w:type="continuationSeparator" w:id="0">
    <w:p w14:paraId="783C7077" w14:textId="77777777" w:rsidR="00FA71A8" w:rsidRDefault="00FA71A8" w:rsidP="003C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283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7E057" w14:textId="02D30B75" w:rsidR="00846C9F" w:rsidRDefault="00846C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9A0C0" w14:textId="77777777" w:rsidR="00846C9F" w:rsidRDefault="00846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EF620" w14:textId="77777777" w:rsidR="00FA71A8" w:rsidRDefault="00FA71A8" w:rsidP="003C0D15">
      <w:pPr>
        <w:spacing w:after="0" w:line="240" w:lineRule="auto"/>
      </w:pPr>
      <w:r>
        <w:separator/>
      </w:r>
    </w:p>
  </w:footnote>
  <w:footnote w:type="continuationSeparator" w:id="0">
    <w:p w14:paraId="48851B51" w14:textId="77777777" w:rsidR="00FA71A8" w:rsidRDefault="00FA71A8" w:rsidP="003C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185475"/>
    <w:multiLevelType w:val="singleLevel"/>
    <w:tmpl w:val="86185475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0E0591D"/>
    <w:multiLevelType w:val="multilevel"/>
    <w:tmpl w:val="B0E0591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4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8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125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16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251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2935"/>
      </w:pPr>
      <w:rPr>
        <w:rFonts w:hint="default"/>
      </w:rPr>
    </w:lvl>
  </w:abstractNum>
  <w:abstractNum w:abstractNumId="2" w15:restartNumberingAfterBreak="0">
    <w:nsid w:val="B817E517"/>
    <w:multiLevelType w:val="multilevel"/>
    <w:tmpl w:val="B817E5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C13578CE"/>
    <w:multiLevelType w:val="multilevel"/>
    <w:tmpl w:val="C13578C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 w15:restartNumberingAfterBreak="0">
    <w:nsid w:val="C9246C84"/>
    <w:multiLevelType w:val="singleLevel"/>
    <w:tmpl w:val="C9246C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CFAA16CF"/>
    <w:multiLevelType w:val="multilevel"/>
    <w:tmpl w:val="CFAA16C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 w15:restartNumberingAfterBreak="0">
    <w:nsid w:val="DEAC4FEE"/>
    <w:multiLevelType w:val="multilevel"/>
    <w:tmpl w:val="DEAC4FE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 w15:restartNumberingAfterBreak="0">
    <w:nsid w:val="E2CF65BA"/>
    <w:multiLevelType w:val="singleLevel"/>
    <w:tmpl w:val="E2CF65BA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E9B03D6E"/>
    <w:multiLevelType w:val="multilevel"/>
    <w:tmpl w:val="E9B03D6E"/>
    <w:lvl w:ilvl="0">
      <w:start w:val="1"/>
      <w:numFmt w:val="lowerRoman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5"/>
        </w:tabs>
        <w:ind w:left="845" w:hanging="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845"/>
        </w:tabs>
        <w:ind w:left="845" w:firstLine="4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845"/>
        </w:tabs>
        <w:ind w:left="845" w:firstLine="8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845"/>
        </w:tabs>
        <w:ind w:left="845" w:firstLine="125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845"/>
        </w:tabs>
        <w:ind w:left="845" w:firstLine="16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845"/>
        </w:tabs>
        <w:ind w:left="845" w:firstLine="20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845"/>
        </w:tabs>
        <w:ind w:left="845" w:firstLine="251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845"/>
        </w:tabs>
        <w:ind w:left="845" w:firstLine="2935"/>
      </w:pPr>
      <w:rPr>
        <w:rFonts w:hint="default"/>
      </w:rPr>
    </w:lvl>
  </w:abstractNum>
  <w:abstractNum w:abstractNumId="9" w15:restartNumberingAfterBreak="0">
    <w:nsid w:val="02C76AF3"/>
    <w:multiLevelType w:val="multilevel"/>
    <w:tmpl w:val="02C76A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0" w15:restartNumberingAfterBreak="0">
    <w:nsid w:val="12E265A5"/>
    <w:multiLevelType w:val="multilevel"/>
    <w:tmpl w:val="12E265A5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4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8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125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16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251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2935"/>
      </w:pPr>
      <w:rPr>
        <w:rFonts w:hint="default"/>
      </w:rPr>
    </w:lvl>
  </w:abstractNum>
  <w:abstractNum w:abstractNumId="11" w15:restartNumberingAfterBreak="0">
    <w:nsid w:val="183A295F"/>
    <w:multiLevelType w:val="multilevel"/>
    <w:tmpl w:val="BFF6DA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D80DA"/>
    <w:multiLevelType w:val="multilevel"/>
    <w:tmpl w:val="246D8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 w15:restartNumberingAfterBreak="0">
    <w:nsid w:val="2CB3DC2A"/>
    <w:multiLevelType w:val="singleLevel"/>
    <w:tmpl w:val="2CB3DC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2CFE41C9"/>
    <w:multiLevelType w:val="hybridMultilevel"/>
    <w:tmpl w:val="72E06AAA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1F086"/>
    <w:multiLevelType w:val="singleLevel"/>
    <w:tmpl w:val="3611F0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3B1F47BE"/>
    <w:multiLevelType w:val="multilevel"/>
    <w:tmpl w:val="2BA6C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C16CB"/>
    <w:multiLevelType w:val="multilevel"/>
    <w:tmpl w:val="4B0E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61338"/>
    <w:multiLevelType w:val="multilevel"/>
    <w:tmpl w:val="1B200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63D56"/>
    <w:multiLevelType w:val="singleLevel"/>
    <w:tmpl w:val="5D063D5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61D571A8"/>
    <w:multiLevelType w:val="hybridMultilevel"/>
    <w:tmpl w:val="8FAC604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9444B"/>
    <w:multiLevelType w:val="singleLevel"/>
    <w:tmpl w:val="648944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6B3D6280"/>
    <w:multiLevelType w:val="multilevel"/>
    <w:tmpl w:val="43AC9D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6B3981"/>
    <w:multiLevelType w:val="multilevel"/>
    <w:tmpl w:val="B6347D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1"/>
  </w:num>
  <w:num w:numId="5">
    <w:abstractNumId w:val="20"/>
  </w:num>
  <w:num w:numId="6">
    <w:abstractNumId w:val="22"/>
  </w:num>
  <w:num w:numId="7">
    <w:abstractNumId w:val="23"/>
  </w:num>
  <w:num w:numId="8">
    <w:abstractNumId w:val="19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21"/>
  </w:num>
  <w:num w:numId="18">
    <w:abstractNumId w:val="5"/>
  </w:num>
  <w:num w:numId="19">
    <w:abstractNumId w:val="10"/>
  </w:num>
  <w:num w:numId="20">
    <w:abstractNumId w:val="8"/>
  </w:num>
  <w:num w:numId="21">
    <w:abstractNumId w:val="1"/>
  </w:num>
  <w:num w:numId="22">
    <w:abstractNumId w:val="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17"/>
    <w:rsid w:val="00000F97"/>
    <w:rsid w:val="00003AFC"/>
    <w:rsid w:val="00043AC6"/>
    <w:rsid w:val="00065D12"/>
    <w:rsid w:val="00094C1A"/>
    <w:rsid w:val="000957D5"/>
    <w:rsid w:val="000A4647"/>
    <w:rsid w:val="000B159C"/>
    <w:rsid w:val="000B2979"/>
    <w:rsid w:val="000B63E6"/>
    <w:rsid w:val="000B73DE"/>
    <w:rsid w:val="000C73EA"/>
    <w:rsid w:val="000D222A"/>
    <w:rsid w:val="000D3E76"/>
    <w:rsid w:val="000D421F"/>
    <w:rsid w:val="000E2222"/>
    <w:rsid w:val="00104C2C"/>
    <w:rsid w:val="0010572C"/>
    <w:rsid w:val="00121725"/>
    <w:rsid w:val="00127264"/>
    <w:rsid w:val="00151142"/>
    <w:rsid w:val="00154AB1"/>
    <w:rsid w:val="001816DE"/>
    <w:rsid w:val="00192B84"/>
    <w:rsid w:val="001A0489"/>
    <w:rsid w:val="001A45F2"/>
    <w:rsid w:val="001A5DAA"/>
    <w:rsid w:val="001D6580"/>
    <w:rsid w:val="001F3EE0"/>
    <w:rsid w:val="001F4768"/>
    <w:rsid w:val="002059C0"/>
    <w:rsid w:val="00206C3E"/>
    <w:rsid w:val="00216697"/>
    <w:rsid w:val="00220695"/>
    <w:rsid w:val="00227BB7"/>
    <w:rsid w:val="00234F20"/>
    <w:rsid w:val="0026312E"/>
    <w:rsid w:val="00287EDE"/>
    <w:rsid w:val="002F399E"/>
    <w:rsid w:val="003B6E7E"/>
    <w:rsid w:val="003C0D15"/>
    <w:rsid w:val="00400E45"/>
    <w:rsid w:val="00417C28"/>
    <w:rsid w:val="00420EC9"/>
    <w:rsid w:val="00425AA9"/>
    <w:rsid w:val="004447CF"/>
    <w:rsid w:val="004471A7"/>
    <w:rsid w:val="004474D7"/>
    <w:rsid w:val="00452FAA"/>
    <w:rsid w:val="0045753C"/>
    <w:rsid w:val="00457F01"/>
    <w:rsid w:val="004822E7"/>
    <w:rsid w:val="00487708"/>
    <w:rsid w:val="004A2042"/>
    <w:rsid w:val="004E0F54"/>
    <w:rsid w:val="005411DF"/>
    <w:rsid w:val="00543C67"/>
    <w:rsid w:val="00553325"/>
    <w:rsid w:val="00573CCA"/>
    <w:rsid w:val="005743BE"/>
    <w:rsid w:val="005824C9"/>
    <w:rsid w:val="005A3CFF"/>
    <w:rsid w:val="005B2374"/>
    <w:rsid w:val="005C4170"/>
    <w:rsid w:val="005D56FE"/>
    <w:rsid w:val="005E09DB"/>
    <w:rsid w:val="005F60D4"/>
    <w:rsid w:val="005F637E"/>
    <w:rsid w:val="00627B44"/>
    <w:rsid w:val="006409CB"/>
    <w:rsid w:val="00643234"/>
    <w:rsid w:val="006660D4"/>
    <w:rsid w:val="00667D3A"/>
    <w:rsid w:val="0068186C"/>
    <w:rsid w:val="00686E6E"/>
    <w:rsid w:val="006E1952"/>
    <w:rsid w:val="006E4CF8"/>
    <w:rsid w:val="00717F55"/>
    <w:rsid w:val="00755B1A"/>
    <w:rsid w:val="00760430"/>
    <w:rsid w:val="00771B58"/>
    <w:rsid w:val="00777BE3"/>
    <w:rsid w:val="007850C2"/>
    <w:rsid w:val="00787869"/>
    <w:rsid w:val="007937AE"/>
    <w:rsid w:val="007C246A"/>
    <w:rsid w:val="007D1EAC"/>
    <w:rsid w:val="007E3601"/>
    <w:rsid w:val="007E757E"/>
    <w:rsid w:val="0082058B"/>
    <w:rsid w:val="0082381F"/>
    <w:rsid w:val="00846C9F"/>
    <w:rsid w:val="008752DD"/>
    <w:rsid w:val="00887898"/>
    <w:rsid w:val="008A4945"/>
    <w:rsid w:val="008A4B89"/>
    <w:rsid w:val="008F5A2E"/>
    <w:rsid w:val="008F7F25"/>
    <w:rsid w:val="009253DE"/>
    <w:rsid w:val="00925878"/>
    <w:rsid w:val="00944446"/>
    <w:rsid w:val="00946939"/>
    <w:rsid w:val="0095626F"/>
    <w:rsid w:val="00966300"/>
    <w:rsid w:val="00966C09"/>
    <w:rsid w:val="00984E5C"/>
    <w:rsid w:val="00991CDE"/>
    <w:rsid w:val="009B46F4"/>
    <w:rsid w:val="009E3355"/>
    <w:rsid w:val="009E6DFD"/>
    <w:rsid w:val="009F6268"/>
    <w:rsid w:val="00A04F5D"/>
    <w:rsid w:val="00A12DA8"/>
    <w:rsid w:val="00A3277A"/>
    <w:rsid w:val="00A44222"/>
    <w:rsid w:val="00A46DD7"/>
    <w:rsid w:val="00A749DF"/>
    <w:rsid w:val="00AA33FF"/>
    <w:rsid w:val="00AA7A6A"/>
    <w:rsid w:val="00B43A48"/>
    <w:rsid w:val="00B67628"/>
    <w:rsid w:val="00B76BA4"/>
    <w:rsid w:val="00B82359"/>
    <w:rsid w:val="00B83013"/>
    <w:rsid w:val="00B97335"/>
    <w:rsid w:val="00BB4891"/>
    <w:rsid w:val="00BC4CD6"/>
    <w:rsid w:val="00BC4DCF"/>
    <w:rsid w:val="00BE4AD9"/>
    <w:rsid w:val="00C0504B"/>
    <w:rsid w:val="00C137B3"/>
    <w:rsid w:val="00C30CB5"/>
    <w:rsid w:val="00C62DCB"/>
    <w:rsid w:val="00C66051"/>
    <w:rsid w:val="00C67CE1"/>
    <w:rsid w:val="00C73FD7"/>
    <w:rsid w:val="00C76F15"/>
    <w:rsid w:val="00C92C84"/>
    <w:rsid w:val="00CA043D"/>
    <w:rsid w:val="00CA32C7"/>
    <w:rsid w:val="00CA33AF"/>
    <w:rsid w:val="00CD516B"/>
    <w:rsid w:val="00D02964"/>
    <w:rsid w:val="00D049A7"/>
    <w:rsid w:val="00D241CE"/>
    <w:rsid w:val="00D431CF"/>
    <w:rsid w:val="00D47D11"/>
    <w:rsid w:val="00D55B1E"/>
    <w:rsid w:val="00D5712A"/>
    <w:rsid w:val="00D57FB4"/>
    <w:rsid w:val="00D65BB9"/>
    <w:rsid w:val="00D67002"/>
    <w:rsid w:val="00D71F12"/>
    <w:rsid w:val="00D865E9"/>
    <w:rsid w:val="00DC2671"/>
    <w:rsid w:val="00DC6F77"/>
    <w:rsid w:val="00DC75D5"/>
    <w:rsid w:val="00DE6A3E"/>
    <w:rsid w:val="00E05D5A"/>
    <w:rsid w:val="00E3205E"/>
    <w:rsid w:val="00E3269C"/>
    <w:rsid w:val="00E36A40"/>
    <w:rsid w:val="00E405A7"/>
    <w:rsid w:val="00E52794"/>
    <w:rsid w:val="00E54E46"/>
    <w:rsid w:val="00E57E6C"/>
    <w:rsid w:val="00E65486"/>
    <w:rsid w:val="00E73117"/>
    <w:rsid w:val="00E95530"/>
    <w:rsid w:val="00E9586D"/>
    <w:rsid w:val="00EB62A4"/>
    <w:rsid w:val="00ED0E9B"/>
    <w:rsid w:val="00EE2136"/>
    <w:rsid w:val="00EF06F8"/>
    <w:rsid w:val="00EF1247"/>
    <w:rsid w:val="00EF73E5"/>
    <w:rsid w:val="00F012EB"/>
    <w:rsid w:val="00F12F79"/>
    <w:rsid w:val="00F13D58"/>
    <w:rsid w:val="00F445CC"/>
    <w:rsid w:val="00F75275"/>
    <w:rsid w:val="00F95533"/>
    <w:rsid w:val="00FA4255"/>
    <w:rsid w:val="00FA71A8"/>
    <w:rsid w:val="00FA77BD"/>
    <w:rsid w:val="00FB4FBC"/>
    <w:rsid w:val="00FB669C"/>
    <w:rsid w:val="00FB671E"/>
    <w:rsid w:val="00FC0200"/>
    <w:rsid w:val="00FC0F5C"/>
    <w:rsid w:val="00FC5720"/>
    <w:rsid w:val="00FE3EAA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D9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1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1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1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1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1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1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1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1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1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73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11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1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7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11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73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1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731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15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6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69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rsid w:val="00FB6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2025-05-28T14:35:00Z</dcterms:created>
  <dcterms:modified xsi:type="dcterms:W3CDTF">2025-05-28T14:35:00Z</dcterms:modified>
</cp:coreProperties>
</file>