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B137B" w14:textId="75365876" w:rsidR="00CA2C7B" w:rsidRPr="009A6E75" w:rsidRDefault="00CA2C7B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9A6E75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hidden="0" allowOverlap="1" wp14:anchorId="40EC9AC8" wp14:editId="09B3408A">
            <wp:simplePos x="0" y="0"/>
            <wp:positionH relativeFrom="column">
              <wp:posOffset>-787940</wp:posOffset>
            </wp:positionH>
            <wp:positionV relativeFrom="paragraph">
              <wp:posOffset>-525928</wp:posOffset>
            </wp:positionV>
            <wp:extent cx="7560945" cy="1352550"/>
            <wp:effectExtent l="0" t="0" r="0" b="0"/>
            <wp:wrapNone/>
            <wp:docPr id="3" name="image3.png" descr="Leter me koke Keshilli i ministrave-1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eter me koke Keshilli i ministrave-1-0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EED1DD" w14:textId="77777777" w:rsidR="00CA2C7B" w:rsidRPr="009A6E75" w:rsidRDefault="00CA2C7B">
      <w:pPr>
        <w:spacing w:line="276" w:lineRule="auto"/>
        <w:jc w:val="center"/>
        <w:rPr>
          <w:b/>
          <w:sz w:val="28"/>
          <w:szCs w:val="28"/>
        </w:rPr>
      </w:pPr>
    </w:p>
    <w:p w14:paraId="72BEF09B" w14:textId="77777777" w:rsidR="00CA2C7B" w:rsidRPr="009A6E75" w:rsidRDefault="00CA2C7B">
      <w:pPr>
        <w:spacing w:line="276" w:lineRule="auto"/>
        <w:jc w:val="center"/>
        <w:rPr>
          <w:b/>
          <w:sz w:val="28"/>
          <w:szCs w:val="28"/>
        </w:rPr>
      </w:pPr>
    </w:p>
    <w:p w14:paraId="758D2617" w14:textId="77777777" w:rsidR="00CA2C7B" w:rsidRPr="009A6E75" w:rsidRDefault="00CA2C7B">
      <w:pPr>
        <w:spacing w:line="276" w:lineRule="auto"/>
        <w:jc w:val="center"/>
        <w:rPr>
          <w:b/>
          <w:sz w:val="28"/>
          <w:szCs w:val="28"/>
        </w:rPr>
      </w:pPr>
    </w:p>
    <w:p w14:paraId="3D1C11EF" w14:textId="77777777" w:rsidR="00CA2C7B" w:rsidRPr="009A6E75" w:rsidRDefault="00CA2C7B">
      <w:pPr>
        <w:spacing w:line="276" w:lineRule="auto"/>
        <w:jc w:val="center"/>
        <w:rPr>
          <w:b/>
          <w:sz w:val="28"/>
          <w:szCs w:val="28"/>
        </w:rPr>
      </w:pPr>
    </w:p>
    <w:p w14:paraId="1E4BB37C" w14:textId="77777777" w:rsidR="00CA2C7B" w:rsidRPr="009A6E75" w:rsidRDefault="00CA2C7B">
      <w:pPr>
        <w:spacing w:line="276" w:lineRule="auto"/>
        <w:jc w:val="center"/>
        <w:rPr>
          <w:b/>
          <w:sz w:val="28"/>
          <w:szCs w:val="28"/>
        </w:rPr>
      </w:pPr>
    </w:p>
    <w:p w14:paraId="00000001" w14:textId="3CBF9F36" w:rsidR="00C117EA" w:rsidRPr="009A6E75" w:rsidRDefault="00B74936">
      <w:pPr>
        <w:spacing w:line="276" w:lineRule="auto"/>
        <w:jc w:val="center"/>
        <w:rPr>
          <w:b/>
          <w:sz w:val="28"/>
          <w:szCs w:val="28"/>
        </w:rPr>
      </w:pPr>
      <w:r w:rsidRPr="009A6E75">
        <w:rPr>
          <w:b/>
          <w:sz w:val="28"/>
          <w:szCs w:val="28"/>
        </w:rPr>
        <w:t xml:space="preserve">RELACION </w:t>
      </w:r>
    </w:p>
    <w:p w14:paraId="17059348" w14:textId="77777777" w:rsidR="00A256C0" w:rsidRPr="009A6E75" w:rsidRDefault="00A256C0">
      <w:pPr>
        <w:spacing w:line="276" w:lineRule="auto"/>
        <w:jc w:val="center"/>
        <w:rPr>
          <w:b/>
          <w:sz w:val="28"/>
          <w:szCs w:val="28"/>
        </w:rPr>
      </w:pPr>
    </w:p>
    <w:p w14:paraId="00000002" w14:textId="77777777" w:rsidR="00C117EA" w:rsidRPr="009A6E75" w:rsidRDefault="00B74936">
      <w:pPr>
        <w:spacing w:line="276" w:lineRule="auto"/>
        <w:jc w:val="center"/>
        <w:rPr>
          <w:b/>
          <w:sz w:val="28"/>
          <w:szCs w:val="28"/>
        </w:rPr>
      </w:pPr>
      <w:r w:rsidRPr="009A6E75">
        <w:rPr>
          <w:b/>
          <w:sz w:val="28"/>
          <w:szCs w:val="28"/>
        </w:rPr>
        <w:t>PËR PROJEKTVENDIMIN</w:t>
      </w:r>
    </w:p>
    <w:p w14:paraId="77D921D5" w14:textId="77777777" w:rsidR="00FF6D21" w:rsidRPr="009A6E75" w:rsidRDefault="00FF6D21" w:rsidP="00FF6D21">
      <w:pPr>
        <w:keepNext/>
        <w:widowControl w:val="0"/>
        <w:spacing w:line="288" w:lineRule="auto"/>
        <w:jc w:val="center"/>
        <w:outlineLvl w:val="2"/>
        <w:rPr>
          <w:rFonts w:eastAsia="MS Mincho"/>
          <w:b/>
          <w:bCs/>
          <w:sz w:val="28"/>
          <w:szCs w:val="28"/>
          <w:lang w:eastAsia="en-US"/>
        </w:rPr>
      </w:pPr>
      <w:bookmarkStart w:id="1" w:name="_Toc183716473"/>
    </w:p>
    <w:p w14:paraId="2BC2C5E0" w14:textId="77B863CA" w:rsidR="00FF6D21" w:rsidRPr="00FF6D21" w:rsidRDefault="00FF6D21" w:rsidP="00FF6D21">
      <w:pPr>
        <w:keepNext/>
        <w:widowControl w:val="0"/>
        <w:spacing w:line="288" w:lineRule="auto"/>
        <w:jc w:val="center"/>
        <w:outlineLvl w:val="2"/>
        <w:rPr>
          <w:rFonts w:eastAsia="MS Mincho"/>
          <w:b/>
          <w:bCs/>
          <w:sz w:val="28"/>
          <w:szCs w:val="28"/>
          <w:lang w:eastAsia="en-US"/>
        </w:rPr>
      </w:pPr>
      <w:r w:rsidRPr="00FF6D21">
        <w:rPr>
          <w:rFonts w:eastAsia="MS Mincho"/>
          <w:b/>
          <w:bCs/>
          <w:sz w:val="28"/>
          <w:szCs w:val="28"/>
          <w:lang w:eastAsia="en-US"/>
        </w:rPr>
        <w:t>“PËR NGRITJEN E KOMITETIT KOMBËTAR PËR BASHKËPUNIMIN TERRITORIAL EVROPIAN</w:t>
      </w:r>
      <w:r w:rsidRPr="00FF6D21">
        <w:rPr>
          <w:b/>
          <w:bCs/>
          <w:color w:val="000000"/>
          <w:sz w:val="28"/>
          <w:szCs w:val="28"/>
          <w:lang w:eastAsia="ar-SA"/>
        </w:rPr>
        <w:t>”</w:t>
      </w:r>
      <w:bookmarkEnd w:id="1"/>
    </w:p>
    <w:p w14:paraId="14C3745C" w14:textId="77777777" w:rsidR="00E4064F" w:rsidRPr="009A6E75" w:rsidRDefault="00E4064F">
      <w:pPr>
        <w:spacing w:line="276" w:lineRule="auto"/>
        <w:jc w:val="both"/>
        <w:rPr>
          <w:b/>
          <w:sz w:val="28"/>
          <w:szCs w:val="28"/>
        </w:rPr>
      </w:pPr>
    </w:p>
    <w:p w14:paraId="00000005" w14:textId="77777777" w:rsidR="00C117EA" w:rsidRPr="009A6E75" w:rsidRDefault="00B74936">
      <w:pPr>
        <w:spacing w:line="276" w:lineRule="auto"/>
        <w:jc w:val="both"/>
        <w:rPr>
          <w:b/>
          <w:sz w:val="28"/>
          <w:szCs w:val="28"/>
        </w:rPr>
      </w:pPr>
      <w:r w:rsidRPr="009A6E75">
        <w:rPr>
          <w:b/>
          <w:sz w:val="28"/>
          <w:szCs w:val="28"/>
        </w:rPr>
        <w:t>I. QËLLIMI I PROJEKTAKTIT DHE OBJEKTIVAT QË SYNOHEN TË ARRIHEN</w:t>
      </w:r>
    </w:p>
    <w:p w14:paraId="07A0E3F4" w14:textId="4F18E7E7" w:rsidR="00A63A6C" w:rsidRPr="009A6E75" w:rsidRDefault="00B74936" w:rsidP="00A63A6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color w:val="000000"/>
          <w:sz w:val="28"/>
          <w:szCs w:val="28"/>
        </w:rPr>
      </w:pPr>
      <w:r w:rsidRPr="009A6E75">
        <w:rPr>
          <w:color w:val="000000"/>
          <w:sz w:val="28"/>
          <w:szCs w:val="28"/>
        </w:rPr>
        <w:t>Ministri i Shtetit për</w:t>
      </w:r>
      <w:r w:rsidR="00AF6761" w:rsidRPr="009A6E75">
        <w:rPr>
          <w:color w:val="000000"/>
          <w:sz w:val="28"/>
          <w:szCs w:val="28"/>
        </w:rPr>
        <w:t xml:space="preserve"> Pushtetin Vendor </w:t>
      </w:r>
      <w:r w:rsidR="00167A56" w:rsidRPr="009A6E75">
        <w:rPr>
          <w:color w:val="000000"/>
          <w:sz w:val="28"/>
          <w:szCs w:val="28"/>
        </w:rPr>
        <w:t>ë</w:t>
      </w:r>
      <w:r w:rsidR="00AF6761" w:rsidRPr="009A6E75">
        <w:rPr>
          <w:color w:val="000000"/>
          <w:sz w:val="28"/>
          <w:szCs w:val="28"/>
        </w:rPr>
        <w:t>sht</w:t>
      </w:r>
      <w:r w:rsidR="00167A56" w:rsidRPr="009A6E75">
        <w:rPr>
          <w:color w:val="000000"/>
          <w:sz w:val="28"/>
          <w:szCs w:val="28"/>
        </w:rPr>
        <w:t>ë</w:t>
      </w:r>
      <w:r w:rsidR="00AF6761" w:rsidRPr="009A6E75">
        <w:rPr>
          <w:color w:val="000000"/>
          <w:sz w:val="28"/>
          <w:szCs w:val="28"/>
        </w:rPr>
        <w:t xml:space="preserve"> angazhuar n</w:t>
      </w:r>
      <w:r w:rsidR="00167A56" w:rsidRPr="009A6E75">
        <w:rPr>
          <w:color w:val="000000"/>
          <w:sz w:val="28"/>
          <w:szCs w:val="28"/>
        </w:rPr>
        <w:t>ë</w:t>
      </w:r>
      <w:r w:rsidR="00AF6761" w:rsidRPr="009A6E75">
        <w:rPr>
          <w:color w:val="000000"/>
          <w:sz w:val="28"/>
          <w:szCs w:val="28"/>
        </w:rPr>
        <w:t xml:space="preserve"> p</w:t>
      </w:r>
      <w:r w:rsidR="00167A56" w:rsidRPr="009A6E75">
        <w:rPr>
          <w:color w:val="000000"/>
          <w:sz w:val="28"/>
          <w:szCs w:val="28"/>
        </w:rPr>
        <w:t>ë</w:t>
      </w:r>
      <w:r w:rsidR="00AF6761" w:rsidRPr="009A6E75">
        <w:rPr>
          <w:color w:val="000000"/>
          <w:sz w:val="28"/>
          <w:szCs w:val="28"/>
        </w:rPr>
        <w:t>rgatitjen e k</w:t>
      </w:r>
      <w:r w:rsidR="00167A56" w:rsidRPr="009A6E75">
        <w:rPr>
          <w:color w:val="000000"/>
          <w:sz w:val="28"/>
          <w:szCs w:val="28"/>
        </w:rPr>
        <w:t>ë</w:t>
      </w:r>
      <w:r w:rsidR="00AF6761" w:rsidRPr="009A6E75">
        <w:rPr>
          <w:color w:val="000000"/>
          <w:sz w:val="28"/>
          <w:szCs w:val="28"/>
        </w:rPr>
        <w:t xml:space="preserve">tij </w:t>
      </w:r>
      <w:r w:rsidRPr="009A6E75">
        <w:rPr>
          <w:color w:val="000000"/>
          <w:sz w:val="28"/>
          <w:szCs w:val="28"/>
        </w:rPr>
        <w:t xml:space="preserve">projektvendimi në përputhje me fushën e veprimtarisë shtetërore </w:t>
      </w:r>
      <w:r w:rsidR="00735D9A" w:rsidRPr="009A6E75">
        <w:rPr>
          <w:color w:val="000000"/>
          <w:sz w:val="28"/>
          <w:szCs w:val="28"/>
        </w:rPr>
        <w:t>si negociator përgjegjës për Kapitullin 22</w:t>
      </w:r>
      <w:r w:rsidR="00735D9A">
        <w:rPr>
          <w:color w:val="000000"/>
          <w:sz w:val="28"/>
          <w:szCs w:val="28"/>
        </w:rPr>
        <w:t xml:space="preserve"> parashikuar n</w:t>
      </w:r>
      <w:r w:rsidR="00506548">
        <w:rPr>
          <w:color w:val="000000"/>
          <w:sz w:val="28"/>
          <w:szCs w:val="28"/>
        </w:rPr>
        <w:t>ë</w:t>
      </w:r>
      <w:r w:rsidR="00224FC9" w:rsidRPr="009A6E75">
        <w:rPr>
          <w:color w:val="000000"/>
          <w:sz w:val="28"/>
          <w:szCs w:val="28"/>
        </w:rPr>
        <w:t xml:space="preserve"> </w:t>
      </w:r>
      <w:bookmarkStart w:id="2" w:name="_Hlk154648502"/>
      <w:r w:rsidR="00A63A6C" w:rsidRPr="009A6E75">
        <w:rPr>
          <w:color w:val="000000"/>
          <w:sz w:val="28"/>
          <w:szCs w:val="28"/>
        </w:rPr>
        <w:t>VKM-në nr.775, datë 13.12.2024 “</w:t>
      </w:r>
      <w:r w:rsidR="00A63A6C" w:rsidRPr="009A6E75">
        <w:rPr>
          <w:i/>
          <w:iCs/>
          <w:color w:val="000000"/>
          <w:sz w:val="28"/>
          <w:szCs w:val="28"/>
        </w:rPr>
        <w:t>Për përbërjen, rregullat e funksionimit dhe trajtimin financiar të grupit negociator dhe detyrat e Kryenegociatorit për zhvillimin e negociatave të aderimit të Republikës së Shqipërise në Bashkimin Evropian</w:t>
      </w:r>
      <w:r w:rsidR="00A63A6C" w:rsidRPr="009A6E75">
        <w:rPr>
          <w:color w:val="000000"/>
          <w:sz w:val="28"/>
          <w:szCs w:val="28"/>
        </w:rPr>
        <w:t>”</w:t>
      </w:r>
      <w:r w:rsidR="00735D9A">
        <w:rPr>
          <w:color w:val="000000"/>
          <w:sz w:val="28"/>
          <w:szCs w:val="28"/>
        </w:rPr>
        <w:t>.</w:t>
      </w:r>
      <w:r w:rsidR="00A63A6C" w:rsidRPr="009A6E75">
        <w:rPr>
          <w:color w:val="000000"/>
          <w:sz w:val="28"/>
          <w:szCs w:val="28"/>
        </w:rPr>
        <w:t xml:space="preserve"> </w:t>
      </w:r>
    </w:p>
    <w:bookmarkEnd w:id="2"/>
    <w:p w14:paraId="40CB7F6E" w14:textId="77777777" w:rsidR="00A63A6C" w:rsidRPr="009A6E75" w:rsidRDefault="00B74936" w:rsidP="00A63A6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color w:val="000000"/>
          <w:sz w:val="28"/>
          <w:szCs w:val="28"/>
        </w:rPr>
      </w:pPr>
      <w:r w:rsidRPr="009A6E75">
        <w:rPr>
          <w:color w:val="000000"/>
          <w:sz w:val="28"/>
          <w:szCs w:val="28"/>
        </w:rPr>
        <w:t xml:space="preserve">Objekt i këtij </w:t>
      </w:r>
      <w:r w:rsidR="00D7494D" w:rsidRPr="009A6E75">
        <w:rPr>
          <w:color w:val="000000"/>
          <w:sz w:val="28"/>
          <w:szCs w:val="28"/>
        </w:rPr>
        <w:t>projekt</w:t>
      </w:r>
      <w:r w:rsidRPr="009A6E75">
        <w:rPr>
          <w:color w:val="000000"/>
          <w:sz w:val="28"/>
          <w:szCs w:val="28"/>
        </w:rPr>
        <w:t>vendimi</w:t>
      </w:r>
      <w:r w:rsidR="00E4064F" w:rsidRPr="009A6E75">
        <w:rPr>
          <w:color w:val="000000"/>
          <w:sz w:val="28"/>
          <w:szCs w:val="28"/>
        </w:rPr>
        <w:t xml:space="preserve"> </w:t>
      </w:r>
      <w:r w:rsidR="005B596C" w:rsidRPr="009A6E75">
        <w:rPr>
          <w:color w:val="000000"/>
          <w:sz w:val="28"/>
          <w:szCs w:val="28"/>
        </w:rPr>
        <w:t>ë</w:t>
      </w:r>
      <w:r w:rsidR="00E4064F" w:rsidRPr="009A6E75">
        <w:rPr>
          <w:color w:val="000000"/>
          <w:sz w:val="28"/>
          <w:szCs w:val="28"/>
        </w:rPr>
        <w:t>sht</w:t>
      </w:r>
      <w:r w:rsidR="005B596C" w:rsidRPr="009A6E75">
        <w:rPr>
          <w:color w:val="000000"/>
          <w:sz w:val="28"/>
          <w:szCs w:val="28"/>
        </w:rPr>
        <w:t>ë</w:t>
      </w:r>
      <w:r w:rsidR="00E4064F" w:rsidRPr="009A6E75">
        <w:rPr>
          <w:color w:val="000000"/>
          <w:sz w:val="28"/>
          <w:szCs w:val="28"/>
        </w:rPr>
        <w:t>:</w:t>
      </w:r>
      <w:r w:rsidRPr="009A6E75">
        <w:rPr>
          <w:color w:val="000000"/>
          <w:sz w:val="28"/>
          <w:szCs w:val="28"/>
        </w:rPr>
        <w:t xml:space="preserve"> </w:t>
      </w:r>
    </w:p>
    <w:p w14:paraId="31B12197" w14:textId="537A738B" w:rsidR="00A63A6C" w:rsidRPr="009A6E75" w:rsidRDefault="00A63A6C" w:rsidP="00A63A6C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color w:val="000000"/>
          <w:sz w:val="28"/>
          <w:szCs w:val="28"/>
        </w:rPr>
      </w:pPr>
      <w:r w:rsidRPr="009A6E75">
        <w:rPr>
          <w:color w:val="000000"/>
          <w:sz w:val="28"/>
          <w:szCs w:val="28"/>
        </w:rPr>
        <w:t>Krijimi i nj</w:t>
      </w:r>
      <w:r w:rsidR="00601321">
        <w:rPr>
          <w:color w:val="000000"/>
          <w:sz w:val="28"/>
          <w:szCs w:val="28"/>
        </w:rPr>
        <w:t>ë</w:t>
      </w:r>
      <w:r w:rsidRPr="009A6E75">
        <w:rPr>
          <w:color w:val="000000"/>
          <w:sz w:val="28"/>
          <w:szCs w:val="28"/>
        </w:rPr>
        <w:t xml:space="preserve"> mekanizimi koordinues dhe konsultues p</w:t>
      </w:r>
      <w:r w:rsidR="00601321">
        <w:rPr>
          <w:color w:val="000000"/>
          <w:sz w:val="28"/>
          <w:szCs w:val="28"/>
        </w:rPr>
        <w:t>ë</w:t>
      </w:r>
      <w:r w:rsidRPr="009A6E75">
        <w:rPr>
          <w:color w:val="000000"/>
          <w:sz w:val="28"/>
          <w:szCs w:val="28"/>
        </w:rPr>
        <w:t>r pjesëmarrjen e nj</w:t>
      </w:r>
      <w:r w:rsidR="00601321">
        <w:rPr>
          <w:color w:val="000000"/>
          <w:sz w:val="28"/>
          <w:szCs w:val="28"/>
        </w:rPr>
        <w:t>ë</w:t>
      </w:r>
      <w:r w:rsidRPr="009A6E75">
        <w:rPr>
          <w:color w:val="000000"/>
          <w:sz w:val="28"/>
          <w:szCs w:val="28"/>
        </w:rPr>
        <w:t>sive t</w:t>
      </w:r>
      <w:r w:rsidR="00601321">
        <w:rPr>
          <w:color w:val="000000"/>
          <w:sz w:val="28"/>
          <w:szCs w:val="28"/>
        </w:rPr>
        <w:t>ë</w:t>
      </w:r>
      <w:r w:rsidRPr="009A6E75">
        <w:rPr>
          <w:color w:val="000000"/>
          <w:sz w:val="28"/>
          <w:szCs w:val="28"/>
        </w:rPr>
        <w:t xml:space="preserve"> vet</w:t>
      </w:r>
      <w:r w:rsidR="00601321">
        <w:rPr>
          <w:color w:val="000000"/>
          <w:sz w:val="28"/>
          <w:szCs w:val="28"/>
        </w:rPr>
        <w:t>ë</w:t>
      </w:r>
      <w:r w:rsidRPr="009A6E75">
        <w:rPr>
          <w:color w:val="000000"/>
          <w:sz w:val="28"/>
          <w:szCs w:val="28"/>
        </w:rPr>
        <w:t xml:space="preserve">qeverisjes vendore shqiptare në programimin të gjitha programet e Bashkëpunimit Territorial Evropian (të njohura si Programet INTERREG dhe IPA), </w:t>
      </w:r>
      <w:r w:rsidR="00735D9A">
        <w:rPr>
          <w:color w:val="000000"/>
          <w:sz w:val="28"/>
          <w:szCs w:val="28"/>
        </w:rPr>
        <w:t xml:space="preserve">si </w:t>
      </w:r>
      <w:r w:rsidRPr="009A6E75">
        <w:rPr>
          <w:color w:val="000000"/>
          <w:sz w:val="28"/>
          <w:szCs w:val="28"/>
        </w:rPr>
        <w:t xml:space="preserve">pjesë e Politikës së Kohezionit të BE-së; </w:t>
      </w:r>
    </w:p>
    <w:p w14:paraId="360CCC37" w14:textId="77777777" w:rsidR="00735D9A" w:rsidRPr="00735D9A" w:rsidRDefault="00A63A6C" w:rsidP="00A63A6C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sz w:val="28"/>
          <w:szCs w:val="28"/>
        </w:rPr>
      </w:pPr>
      <w:r w:rsidRPr="009A6E75">
        <w:rPr>
          <w:color w:val="000000"/>
          <w:sz w:val="28"/>
          <w:szCs w:val="28"/>
        </w:rPr>
        <w:t>Rritjen e angazhimit të nj</w:t>
      </w:r>
      <w:r w:rsidR="00601321">
        <w:rPr>
          <w:color w:val="000000"/>
          <w:sz w:val="28"/>
          <w:szCs w:val="28"/>
        </w:rPr>
        <w:t>ë</w:t>
      </w:r>
      <w:r w:rsidRPr="009A6E75">
        <w:rPr>
          <w:color w:val="000000"/>
          <w:sz w:val="28"/>
          <w:szCs w:val="28"/>
        </w:rPr>
        <w:t>sive t</w:t>
      </w:r>
      <w:r w:rsidR="00601321">
        <w:rPr>
          <w:color w:val="000000"/>
          <w:sz w:val="28"/>
          <w:szCs w:val="28"/>
        </w:rPr>
        <w:t>ë</w:t>
      </w:r>
      <w:r w:rsidRPr="009A6E75">
        <w:rPr>
          <w:color w:val="000000"/>
          <w:sz w:val="28"/>
          <w:szCs w:val="28"/>
        </w:rPr>
        <w:t xml:space="preserve"> vet</w:t>
      </w:r>
      <w:r w:rsidR="00601321">
        <w:rPr>
          <w:color w:val="000000"/>
          <w:sz w:val="28"/>
          <w:szCs w:val="28"/>
        </w:rPr>
        <w:t>ë</w:t>
      </w:r>
      <w:r w:rsidRPr="009A6E75">
        <w:rPr>
          <w:color w:val="000000"/>
          <w:sz w:val="28"/>
          <w:szCs w:val="28"/>
        </w:rPr>
        <w:t>qeverisjes vendore dhe institucioneve t</w:t>
      </w:r>
      <w:r w:rsidR="00601321">
        <w:rPr>
          <w:color w:val="000000"/>
          <w:sz w:val="28"/>
          <w:szCs w:val="28"/>
        </w:rPr>
        <w:t>ë</w:t>
      </w:r>
      <w:r w:rsidRPr="009A6E75">
        <w:rPr>
          <w:color w:val="000000"/>
          <w:sz w:val="28"/>
          <w:szCs w:val="28"/>
        </w:rPr>
        <w:t xml:space="preserve"> tjera vendase n</w:t>
      </w:r>
      <w:r w:rsidR="00601321">
        <w:rPr>
          <w:color w:val="000000"/>
          <w:sz w:val="28"/>
          <w:szCs w:val="28"/>
        </w:rPr>
        <w:t>ë</w:t>
      </w:r>
      <w:r w:rsidRPr="009A6E75">
        <w:rPr>
          <w:color w:val="000000"/>
          <w:sz w:val="28"/>
          <w:szCs w:val="28"/>
        </w:rPr>
        <w:t xml:space="preserve"> lidhje me Strategjinë e BE-së për Rajonin Adriatiko-Jonian (EUSAIR); </w:t>
      </w:r>
    </w:p>
    <w:p w14:paraId="75E14064" w14:textId="5CF71BF2" w:rsidR="0091082C" w:rsidRPr="009A6E75" w:rsidRDefault="0091082C" w:rsidP="0091082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sz w:val="28"/>
          <w:szCs w:val="28"/>
          <w:highlight w:val="yellow"/>
        </w:rPr>
      </w:pPr>
      <w:r w:rsidRPr="009A6E75">
        <w:rPr>
          <w:sz w:val="28"/>
          <w:szCs w:val="28"/>
        </w:rPr>
        <w:tab/>
      </w:r>
    </w:p>
    <w:p w14:paraId="0000000A" w14:textId="77777777" w:rsidR="00C117EA" w:rsidRPr="009A6E75" w:rsidRDefault="00B7493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b/>
          <w:color w:val="000000"/>
          <w:sz w:val="28"/>
          <w:szCs w:val="28"/>
        </w:rPr>
      </w:pPr>
      <w:r w:rsidRPr="009A6E75">
        <w:rPr>
          <w:b/>
          <w:color w:val="000000"/>
          <w:sz w:val="28"/>
          <w:szCs w:val="28"/>
        </w:rPr>
        <w:t>II. VLERËSIMI I PROJEKTAKTIT NË RAPORT ME PROGRAMIN POLITIK TË KËSHILLIT TË MINISTRAVE, ME PROGRAMIN ANALITIK TË AKTEVE DHE DOKUMENTEVE TË TJERA POLITIKE</w:t>
      </w:r>
    </w:p>
    <w:p w14:paraId="4B029208" w14:textId="77777777" w:rsidR="001D1190" w:rsidRPr="009A6E75" w:rsidRDefault="001D119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b/>
          <w:color w:val="000000"/>
          <w:sz w:val="28"/>
          <w:szCs w:val="28"/>
        </w:rPr>
      </w:pPr>
    </w:p>
    <w:p w14:paraId="69333FAC" w14:textId="77777777" w:rsidR="00A63A6C" w:rsidRPr="00A63A6C" w:rsidRDefault="00A63A6C" w:rsidP="00A63A6C">
      <w:pPr>
        <w:spacing w:line="276" w:lineRule="auto"/>
        <w:jc w:val="both"/>
        <w:rPr>
          <w:sz w:val="28"/>
          <w:szCs w:val="28"/>
        </w:rPr>
      </w:pPr>
      <w:r w:rsidRPr="00A63A6C">
        <w:rPr>
          <w:sz w:val="28"/>
          <w:szCs w:val="28"/>
        </w:rPr>
        <w:t>Miratimi i këtij vendimi parashikohet në Planin Kombëtar për Integrimin Evropian 2025–2027.</w:t>
      </w:r>
    </w:p>
    <w:p w14:paraId="46A4C9FC" w14:textId="77777777" w:rsidR="001A39D2" w:rsidRDefault="001A39D2">
      <w:pPr>
        <w:spacing w:line="276" w:lineRule="auto"/>
        <w:jc w:val="both"/>
        <w:rPr>
          <w:sz w:val="28"/>
          <w:szCs w:val="28"/>
        </w:rPr>
      </w:pPr>
    </w:p>
    <w:p w14:paraId="0C7845DF" w14:textId="62829541" w:rsidR="009A228D" w:rsidRDefault="00B74936">
      <w:pPr>
        <w:spacing w:line="276" w:lineRule="auto"/>
        <w:jc w:val="both"/>
        <w:rPr>
          <w:sz w:val="28"/>
          <w:szCs w:val="28"/>
        </w:rPr>
      </w:pPr>
      <w:r w:rsidRPr="009A6E75">
        <w:rPr>
          <w:sz w:val="28"/>
          <w:szCs w:val="28"/>
        </w:rPr>
        <w:t>Ky projektvendim është në përputhje me “Programin e Qeverisë 2021-2025”.</w:t>
      </w:r>
    </w:p>
    <w:p w14:paraId="672BA9A5" w14:textId="77777777" w:rsidR="003A6569" w:rsidRDefault="003A6569" w:rsidP="003A6569">
      <w:pPr>
        <w:spacing w:line="276" w:lineRule="auto"/>
        <w:jc w:val="both"/>
        <w:rPr>
          <w:bCs/>
          <w:iCs/>
          <w:sz w:val="28"/>
          <w:szCs w:val="28"/>
        </w:rPr>
      </w:pPr>
    </w:p>
    <w:p w14:paraId="4C2657FB" w14:textId="4C9F9A9B" w:rsidR="003A6569" w:rsidRPr="003A6569" w:rsidRDefault="003A6569" w:rsidP="003A6569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Ky projektvendim </w:t>
      </w:r>
      <w:r w:rsidR="00601321">
        <w:rPr>
          <w:bCs/>
          <w:iCs/>
          <w:sz w:val="28"/>
          <w:szCs w:val="28"/>
        </w:rPr>
        <w:t>ë</w:t>
      </w:r>
      <w:r>
        <w:rPr>
          <w:bCs/>
          <w:iCs/>
          <w:sz w:val="28"/>
          <w:szCs w:val="28"/>
        </w:rPr>
        <w:t>sht</w:t>
      </w:r>
      <w:r w:rsidR="00601321">
        <w:rPr>
          <w:bCs/>
          <w:iCs/>
          <w:sz w:val="28"/>
          <w:szCs w:val="28"/>
        </w:rPr>
        <w:t>ë</w:t>
      </w:r>
      <w:r>
        <w:rPr>
          <w:bCs/>
          <w:iCs/>
          <w:sz w:val="28"/>
          <w:szCs w:val="28"/>
        </w:rPr>
        <w:t xml:space="preserve"> n</w:t>
      </w:r>
      <w:r w:rsidR="00601321">
        <w:rPr>
          <w:bCs/>
          <w:iCs/>
          <w:sz w:val="28"/>
          <w:szCs w:val="28"/>
        </w:rPr>
        <w:t>ë</w:t>
      </w:r>
      <w:r>
        <w:rPr>
          <w:bCs/>
          <w:iCs/>
          <w:sz w:val="28"/>
          <w:szCs w:val="28"/>
        </w:rPr>
        <w:t xml:space="preserve"> p</w:t>
      </w:r>
      <w:r w:rsidR="00601321">
        <w:rPr>
          <w:bCs/>
          <w:iCs/>
          <w:sz w:val="28"/>
          <w:szCs w:val="28"/>
        </w:rPr>
        <w:t>ë</w:t>
      </w:r>
      <w:r>
        <w:rPr>
          <w:bCs/>
          <w:iCs/>
          <w:sz w:val="28"/>
          <w:szCs w:val="28"/>
        </w:rPr>
        <w:t xml:space="preserve">rputhje edhe me </w:t>
      </w:r>
      <w:r w:rsidRPr="003A6569">
        <w:rPr>
          <w:bCs/>
          <w:iCs/>
          <w:sz w:val="28"/>
          <w:szCs w:val="28"/>
        </w:rPr>
        <w:t>Strategji</w:t>
      </w:r>
      <w:r>
        <w:rPr>
          <w:bCs/>
          <w:iCs/>
          <w:sz w:val="28"/>
          <w:szCs w:val="28"/>
        </w:rPr>
        <w:t>n</w:t>
      </w:r>
      <w:r w:rsidR="00601321">
        <w:rPr>
          <w:bCs/>
          <w:iCs/>
          <w:sz w:val="28"/>
          <w:szCs w:val="28"/>
        </w:rPr>
        <w:t>ë</w:t>
      </w:r>
      <w:r w:rsidRPr="003A6569">
        <w:rPr>
          <w:bCs/>
          <w:iCs/>
          <w:sz w:val="28"/>
          <w:szCs w:val="28"/>
        </w:rPr>
        <w:t xml:space="preserve"> Kombëtare për Zhvillim dhe Integrim Evropian 2030 (SKZHI), miratuar me vendimin nr.88, datë 22.02.2023, të Këshillit të Ministrave</w:t>
      </w:r>
      <w:r w:rsidR="00735D9A">
        <w:rPr>
          <w:bCs/>
          <w:iCs/>
          <w:sz w:val="28"/>
          <w:szCs w:val="28"/>
        </w:rPr>
        <w:t xml:space="preserve"> (</w:t>
      </w:r>
      <w:r w:rsidRPr="003A6569">
        <w:rPr>
          <w:bCs/>
          <w:iCs/>
          <w:sz w:val="28"/>
          <w:szCs w:val="28"/>
        </w:rPr>
        <w:t>përfshirj</w:t>
      </w:r>
      <w:r w:rsidR="00735D9A">
        <w:rPr>
          <w:bCs/>
          <w:iCs/>
          <w:sz w:val="28"/>
          <w:szCs w:val="28"/>
        </w:rPr>
        <w:t>a</w:t>
      </w:r>
      <w:r w:rsidRPr="003A6569">
        <w:rPr>
          <w:bCs/>
          <w:iCs/>
          <w:sz w:val="28"/>
          <w:szCs w:val="28"/>
        </w:rPr>
        <w:t xml:space="preserve"> e dimensionit të zhvillimit vendor</w:t>
      </w:r>
      <w:r w:rsidR="00735D9A">
        <w:rPr>
          <w:bCs/>
          <w:iCs/>
          <w:sz w:val="28"/>
          <w:szCs w:val="28"/>
        </w:rPr>
        <w:t xml:space="preserve"> n</w:t>
      </w:r>
      <w:r w:rsidR="00506548">
        <w:rPr>
          <w:bCs/>
          <w:iCs/>
          <w:sz w:val="28"/>
          <w:szCs w:val="28"/>
        </w:rPr>
        <w:t>ë</w:t>
      </w:r>
      <w:r w:rsidR="00735D9A">
        <w:rPr>
          <w:bCs/>
          <w:iCs/>
          <w:sz w:val="28"/>
          <w:szCs w:val="28"/>
        </w:rPr>
        <w:t>p</w:t>
      </w:r>
      <w:r w:rsidR="00506548">
        <w:rPr>
          <w:bCs/>
          <w:iCs/>
          <w:sz w:val="28"/>
          <w:szCs w:val="28"/>
        </w:rPr>
        <w:t>ë</w:t>
      </w:r>
      <w:r w:rsidR="00735D9A">
        <w:rPr>
          <w:bCs/>
          <w:iCs/>
          <w:sz w:val="28"/>
          <w:szCs w:val="28"/>
        </w:rPr>
        <w:t xml:space="preserve">rmjet </w:t>
      </w:r>
      <w:r w:rsidRPr="003A6569">
        <w:rPr>
          <w:bCs/>
          <w:iCs/>
          <w:sz w:val="28"/>
          <w:szCs w:val="28"/>
        </w:rPr>
        <w:t>rritje</w:t>
      </w:r>
      <w:r w:rsidR="00735D9A">
        <w:rPr>
          <w:bCs/>
          <w:iCs/>
          <w:sz w:val="28"/>
          <w:szCs w:val="28"/>
        </w:rPr>
        <w:t>s</w:t>
      </w:r>
      <w:r w:rsidRPr="003A6569">
        <w:rPr>
          <w:bCs/>
          <w:iCs/>
          <w:sz w:val="28"/>
          <w:szCs w:val="28"/>
        </w:rPr>
        <w:t xml:space="preserve"> të bashkëpunimit dhe koordinimit me njësitë e qeverisjes vendore</w:t>
      </w:r>
      <w:r w:rsidR="00735D9A">
        <w:rPr>
          <w:bCs/>
          <w:iCs/>
          <w:sz w:val="28"/>
          <w:szCs w:val="28"/>
        </w:rPr>
        <w:t>)</w:t>
      </w:r>
      <w:r w:rsidRPr="003A6569">
        <w:rPr>
          <w:bCs/>
          <w:iCs/>
          <w:sz w:val="28"/>
          <w:szCs w:val="28"/>
        </w:rPr>
        <w:t>.</w:t>
      </w:r>
    </w:p>
    <w:p w14:paraId="54118702" w14:textId="77777777" w:rsidR="00AD7C5C" w:rsidRPr="009A6E75" w:rsidRDefault="00AD7C5C">
      <w:pPr>
        <w:spacing w:line="276" w:lineRule="auto"/>
        <w:jc w:val="both"/>
        <w:rPr>
          <w:sz w:val="28"/>
          <w:szCs w:val="28"/>
        </w:rPr>
      </w:pPr>
    </w:p>
    <w:p w14:paraId="0000000F" w14:textId="36163191" w:rsidR="00C117EA" w:rsidRPr="009A6E75" w:rsidRDefault="00B74936" w:rsidP="009A6E75">
      <w:pPr>
        <w:spacing w:line="276" w:lineRule="auto"/>
        <w:rPr>
          <w:b/>
          <w:sz w:val="28"/>
          <w:szCs w:val="28"/>
        </w:rPr>
      </w:pPr>
      <w:r w:rsidRPr="009A6E75">
        <w:rPr>
          <w:b/>
          <w:sz w:val="28"/>
          <w:szCs w:val="28"/>
        </w:rPr>
        <w:t>III. ARGUMENTIMI I PROJEKTAKTIT LIDHUR ME PËRPARËSITË, PROBLEMATIKAT, EFEKTET E PRITSHME</w:t>
      </w:r>
    </w:p>
    <w:p w14:paraId="75D95F68" w14:textId="77777777" w:rsidR="00602539" w:rsidRDefault="00602539" w:rsidP="00C82969">
      <w:pPr>
        <w:spacing w:line="288" w:lineRule="auto"/>
        <w:contextualSpacing/>
        <w:jc w:val="both"/>
        <w:rPr>
          <w:bCs/>
          <w:sz w:val="28"/>
          <w:szCs w:val="28"/>
          <w:lang w:eastAsia="sq-AL"/>
        </w:rPr>
      </w:pPr>
    </w:p>
    <w:p w14:paraId="2A1AC50A" w14:textId="789310C6" w:rsidR="00DF7569" w:rsidRDefault="009A6E75" w:rsidP="00C82969">
      <w:pPr>
        <w:spacing w:line="288" w:lineRule="auto"/>
        <w:contextualSpacing/>
        <w:jc w:val="both"/>
        <w:rPr>
          <w:bCs/>
          <w:sz w:val="28"/>
          <w:szCs w:val="28"/>
          <w:lang w:eastAsia="sq-AL"/>
        </w:rPr>
      </w:pPr>
      <w:r w:rsidRPr="009A6E75">
        <w:rPr>
          <w:bCs/>
          <w:sz w:val="28"/>
          <w:szCs w:val="28"/>
          <w:lang w:eastAsia="sq-AL"/>
        </w:rPr>
        <w:t>N</w:t>
      </w:r>
      <w:r w:rsidR="00601321">
        <w:rPr>
          <w:bCs/>
          <w:sz w:val="28"/>
          <w:szCs w:val="28"/>
          <w:lang w:eastAsia="sq-AL"/>
        </w:rPr>
        <w:t>ë</w:t>
      </w:r>
      <w:r w:rsidRPr="009A6E75">
        <w:rPr>
          <w:bCs/>
          <w:sz w:val="28"/>
          <w:szCs w:val="28"/>
          <w:lang w:eastAsia="sq-AL"/>
        </w:rPr>
        <w:t>p</w:t>
      </w:r>
      <w:r w:rsidR="00601321">
        <w:rPr>
          <w:bCs/>
          <w:sz w:val="28"/>
          <w:szCs w:val="28"/>
          <w:lang w:eastAsia="sq-AL"/>
        </w:rPr>
        <w:t>ë</w:t>
      </w:r>
      <w:r w:rsidRPr="009A6E75">
        <w:rPr>
          <w:bCs/>
          <w:sz w:val="28"/>
          <w:szCs w:val="28"/>
          <w:lang w:eastAsia="sq-AL"/>
        </w:rPr>
        <w:t>rmjet k</w:t>
      </w:r>
      <w:r w:rsidR="00601321">
        <w:rPr>
          <w:bCs/>
          <w:sz w:val="28"/>
          <w:szCs w:val="28"/>
          <w:lang w:eastAsia="sq-AL"/>
        </w:rPr>
        <w:t>ë</w:t>
      </w:r>
      <w:r w:rsidRPr="009A6E75">
        <w:rPr>
          <w:bCs/>
          <w:sz w:val="28"/>
          <w:szCs w:val="28"/>
          <w:lang w:eastAsia="sq-AL"/>
        </w:rPr>
        <w:t xml:space="preserve">tij projektvendimi parashikohet krijimi i Komitetit Kombëtar për Bashkëpunimin Territorial Evropian. Ky komitet synon të garantojë zbatimin e parimit të qeverisjes në shumë nivele në kuadër të Bashkëpunimit Territorial Evropian dhe Strategjisë së Bashkimit Evropian për Rajonin Adriatiko-Jonian (EUSAIR), si dhe të formalizojë </w:t>
      </w:r>
      <w:r w:rsidR="00735D9A">
        <w:rPr>
          <w:bCs/>
          <w:sz w:val="28"/>
          <w:szCs w:val="28"/>
          <w:lang w:eastAsia="sq-AL"/>
        </w:rPr>
        <w:t>m</w:t>
      </w:r>
      <w:r w:rsidR="00506548">
        <w:rPr>
          <w:bCs/>
          <w:sz w:val="28"/>
          <w:szCs w:val="28"/>
          <w:lang w:eastAsia="sq-AL"/>
        </w:rPr>
        <w:t>ë</w:t>
      </w:r>
      <w:r w:rsidR="00735D9A">
        <w:rPr>
          <w:bCs/>
          <w:sz w:val="28"/>
          <w:szCs w:val="28"/>
          <w:lang w:eastAsia="sq-AL"/>
        </w:rPr>
        <w:t xml:space="preserve"> tej </w:t>
      </w:r>
      <w:r w:rsidRPr="009A6E75">
        <w:rPr>
          <w:bCs/>
          <w:sz w:val="28"/>
          <w:szCs w:val="28"/>
          <w:lang w:eastAsia="sq-AL"/>
        </w:rPr>
        <w:t xml:space="preserve">rolin konsultativ të </w:t>
      </w:r>
      <w:r w:rsidR="00DF7569">
        <w:rPr>
          <w:bCs/>
          <w:sz w:val="28"/>
          <w:szCs w:val="28"/>
          <w:lang w:eastAsia="sq-AL"/>
        </w:rPr>
        <w:t>nj</w:t>
      </w:r>
      <w:r w:rsidR="00601321">
        <w:rPr>
          <w:bCs/>
          <w:sz w:val="28"/>
          <w:szCs w:val="28"/>
          <w:lang w:eastAsia="sq-AL"/>
        </w:rPr>
        <w:t>ë</w:t>
      </w:r>
      <w:r w:rsidR="00DF7569">
        <w:rPr>
          <w:bCs/>
          <w:sz w:val="28"/>
          <w:szCs w:val="28"/>
          <w:lang w:eastAsia="sq-AL"/>
        </w:rPr>
        <w:t>sive t</w:t>
      </w:r>
      <w:r w:rsidR="00601321">
        <w:rPr>
          <w:bCs/>
          <w:sz w:val="28"/>
          <w:szCs w:val="28"/>
          <w:lang w:eastAsia="sq-AL"/>
        </w:rPr>
        <w:t>ë</w:t>
      </w:r>
      <w:r w:rsidR="00DF7569">
        <w:rPr>
          <w:bCs/>
          <w:sz w:val="28"/>
          <w:szCs w:val="28"/>
          <w:lang w:eastAsia="sq-AL"/>
        </w:rPr>
        <w:t xml:space="preserve"> vet</w:t>
      </w:r>
      <w:r w:rsidR="00601321">
        <w:rPr>
          <w:bCs/>
          <w:sz w:val="28"/>
          <w:szCs w:val="28"/>
          <w:lang w:eastAsia="sq-AL"/>
        </w:rPr>
        <w:t>ë</w:t>
      </w:r>
      <w:r w:rsidR="00DF7569">
        <w:rPr>
          <w:bCs/>
          <w:sz w:val="28"/>
          <w:szCs w:val="28"/>
          <w:lang w:eastAsia="sq-AL"/>
        </w:rPr>
        <w:t xml:space="preserve">qeverisjes vendore </w:t>
      </w:r>
      <w:r w:rsidR="00B518E3">
        <w:rPr>
          <w:bCs/>
          <w:sz w:val="28"/>
          <w:szCs w:val="28"/>
          <w:lang w:eastAsia="sq-AL"/>
        </w:rPr>
        <w:t xml:space="preserve">me </w:t>
      </w:r>
      <w:r w:rsidR="00DF7569">
        <w:rPr>
          <w:bCs/>
          <w:sz w:val="28"/>
          <w:szCs w:val="28"/>
          <w:lang w:eastAsia="sq-AL"/>
        </w:rPr>
        <w:t>institucioneve t</w:t>
      </w:r>
      <w:r w:rsidR="00601321">
        <w:rPr>
          <w:bCs/>
          <w:sz w:val="28"/>
          <w:szCs w:val="28"/>
          <w:lang w:eastAsia="sq-AL"/>
        </w:rPr>
        <w:t>ë</w:t>
      </w:r>
      <w:r w:rsidR="00DF7569">
        <w:rPr>
          <w:bCs/>
          <w:sz w:val="28"/>
          <w:szCs w:val="28"/>
          <w:lang w:eastAsia="sq-AL"/>
        </w:rPr>
        <w:t xml:space="preserve"> tjera t</w:t>
      </w:r>
      <w:r w:rsidR="00601321">
        <w:rPr>
          <w:bCs/>
          <w:sz w:val="28"/>
          <w:szCs w:val="28"/>
          <w:lang w:eastAsia="sq-AL"/>
        </w:rPr>
        <w:t>ë</w:t>
      </w:r>
      <w:r w:rsidR="00DF7569">
        <w:rPr>
          <w:bCs/>
          <w:sz w:val="28"/>
          <w:szCs w:val="28"/>
          <w:lang w:eastAsia="sq-AL"/>
        </w:rPr>
        <w:t xml:space="preserve"> qeverisjes qendrore</w:t>
      </w:r>
      <w:r w:rsidR="00735D9A">
        <w:rPr>
          <w:bCs/>
          <w:sz w:val="28"/>
          <w:szCs w:val="28"/>
          <w:lang w:eastAsia="sq-AL"/>
        </w:rPr>
        <w:t xml:space="preserve"> n</w:t>
      </w:r>
      <w:r w:rsidR="00506548">
        <w:rPr>
          <w:bCs/>
          <w:sz w:val="28"/>
          <w:szCs w:val="28"/>
          <w:lang w:eastAsia="sq-AL"/>
        </w:rPr>
        <w:t>ë</w:t>
      </w:r>
      <w:r w:rsidR="00735D9A">
        <w:rPr>
          <w:bCs/>
          <w:sz w:val="28"/>
          <w:szCs w:val="28"/>
          <w:lang w:eastAsia="sq-AL"/>
        </w:rPr>
        <w:t xml:space="preserve"> kuad</w:t>
      </w:r>
      <w:r w:rsidR="00506548">
        <w:rPr>
          <w:bCs/>
          <w:sz w:val="28"/>
          <w:szCs w:val="28"/>
          <w:lang w:eastAsia="sq-AL"/>
        </w:rPr>
        <w:t>ë</w:t>
      </w:r>
      <w:r w:rsidR="00735D9A">
        <w:rPr>
          <w:bCs/>
          <w:sz w:val="28"/>
          <w:szCs w:val="28"/>
          <w:lang w:eastAsia="sq-AL"/>
        </w:rPr>
        <w:t>r t</w:t>
      </w:r>
      <w:r w:rsidR="00506548">
        <w:rPr>
          <w:bCs/>
          <w:sz w:val="28"/>
          <w:szCs w:val="28"/>
          <w:lang w:eastAsia="sq-AL"/>
        </w:rPr>
        <w:t>ë</w:t>
      </w:r>
      <w:r w:rsidR="00735D9A">
        <w:rPr>
          <w:bCs/>
          <w:sz w:val="28"/>
          <w:szCs w:val="28"/>
          <w:lang w:eastAsia="sq-AL"/>
        </w:rPr>
        <w:t xml:space="preserve"> intregrimit n</w:t>
      </w:r>
      <w:r w:rsidR="00506548">
        <w:rPr>
          <w:bCs/>
          <w:sz w:val="28"/>
          <w:szCs w:val="28"/>
          <w:lang w:eastAsia="sq-AL"/>
        </w:rPr>
        <w:t>ë</w:t>
      </w:r>
      <w:r w:rsidR="00735D9A">
        <w:rPr>
          <w:bCs/>
          <w:sz w:val="28"/>
          <w:szCs w:val="28"/>
          <w:lang w:eastAsia="sq-AL"/>
        </w:rPr>
        <w:t xml:space="preserve"> BE</w:t>
      </w:r>
      <w:r w:rsidRPr="009A6E75">
        <w:rPr>
          <w:bCs/>
          <w:sz w:val="28"/>
          <w:szCs w:val="28"/>
          <w:lang w:eastAsia="sq-AL"/>
        </w:rPr>
        <w:t>.</w:t>
      </w:r>
    </w:p>
    <w:p w14:paraId="5AADEDAA" w14:textId="01CCD52D" w:rsidR="009A6E75" w:rsidRDefault="009A6E75" w:rsidP="00C82969">
      <w:pPr>
        <w:spacing w:line="288" w:lineRule="auto"/>
        <w:contextualSpacing/>
        <w:jc w:val="both"/>
        <w:rPr>
          <w:bCs/>
          <w:sz w:val="28"/>
          <w:szCs w:val="28"/>
          <w:lang w:eastAsia="sq-AL"/>
        </w:rPr>
      </w:pPr>
      <w:r w:rsidRPr="009A6E75">
        <w:rPr>
          <w:bCs/>
          <w:sz w:val="28"/>
          <w:szCs w:val="28"/>
          <w:lang w:eastAsia="sq-AL"/>
        </w:rPr>
        <w:t xml:space="preserve"> </w:t>
      </w:r>
    </w:p>
    <w:p w14:paraId="5A336AE2" w14:textId="4E245F73" w:rsidR="00DF7569" w:rsidRPr="00DF7569" w:rsidRDefault="00DF7569" w:rsidP="00DF7569">
      <w:pPr>
        <w:spacing w:line="288" w:lineRule="auto"/>
        <w:contextualSpacing/>
        <w:jc w:val="both"/>
        <w:rPr>
          <w:bCs/>
          <w:sz w:val="28"/>
          <w:szCs w:val="28"/>
          <w:lang w:eastAsia="sq-AL"/>
        </w:rPr>
      </w:pPr>
      <w:r>
        <w:rPr>
          <w:bCs/>
          <w:sz w:val="28"/>
          <w:szCs w:val="28"/>
          <w:lang w:eastAsia="sq-AL"/>
        </w:rPr>
        <w:t xml:space="preserve">Ky projektakt </w:t>
      </w:r>
      <w:r w:rsidRPr="00DF7569">
        <w:rPr>
          <w:bCs/>
          <w:sz w:val="28"/>
          <w:szCs w:val="28"/>
          <w:lang w:eastAsia="sq-AL"/>
        </w:rPr>
        <w:t>adreson</w:t>
      </w:r>
      <w:r>
        <w:rPr>
          <w:bCs/>
          <w:sz w:val="28"/>
          <w:szCs w:val="28"/>
          <w:lang w:eastAsia="sq-AL"/>
        </w:rPr>
        <w:t xml:space="preserve"> edhe</w:t>
      </w:r>
      <w:r w:rsidRPr="00DF7569">
        <w:rPr>
          <w:bCs/>
          <w:sz w:val="28"/>
          <w:szCs w:val="28"/>
          <w:lang w:eastAsia="sq-AL"/>
        </w:rPr>
        <w:t xml:space="preserve"> rekomandimin e Raportit Vjetor të Zgjerimit të Komisionit Evropian për Shqipërinë 2024</w:t>
      </w:r>
      <w:r>
        <w:rPr>
          <w:rStyle w:val="FootnoteReference"/>
          <w:bCs/>
          <w:sz w:val="28"/>
          <w:szCs w:val="28"/>
          <w:lang w:eastAsia="sq-AL"/>
        </w:rPr>
        <w:footnoteReference w:id="1"/>
      </w:r>
      <w:r w:rsidRPr="00DF7569">
        <w:rPr>
          <w:bCs/>
          <w:sz w:val="28"/>
          <w:szCs w:val="28"/>
          <w:lang w:eastAsia="sq-AL"/>
        </w:rPr>
        <w:t>, i cili thekson se:</w:t>
      </w:r>
      <w:r>
        <w:rPr>
          <w:bCs/>
          <w:sz w:val="28"/>
          <w:szCs w:val="28"/>
          <w:lang w:eastAsia="sq-AL"/>
        </w:rPr>
        <w:t xml:space="preserve"> </w:t>
      </w:r>
      <w:r w:rsidRPr="00DF7569">
        <w:rPr>
          <w:bCs/>
          <w:sz w:val="28"/>
          <w:szCs w:val="28"/>
          <w:lang w:eastAsia="sq-AL"/>
        </w:rPr>
        <w:t>“</w:t>
      </w:r>
      <w:r w:rsidRPr="00DF7569">
        <w:rPr>
          <w:bCs/>
          <w:i/>
          <w:iCs/>
          <w:sz w:val="28"/>
          <w:szCs w:val="28"/>
          <w:lang w:eastAsia="sq-AL"/>
        </w:rPr>
        <w:t>Qytetet shqiptare tashmë marrin pjesë në pesë rrjete URBACT dhe duhet nxitur më tej bashkëpunimi si në kuadër të URBACT ashtu edhe në rrjetet Interreg Europe. Pritet një rritje e angazhimit të aktorëve shqiptarë në kuadër të Strategjisë së BE-së për Rajonin Adriatiko-Jonian</w:t>
      </w:r>
      <w:r w:rsidRPr="00DF7569">
        <w:rPr>
          <w:bCs/>
          <w:sz w:val="28"/>
          <w:szCs w:val="28"/>
          <w:lang w:eastAsia="sq-AL"/>
        </w:rPr>
        <w:t>.”</w:t>
      </w:r>
    </w:p>
    <w:p w14:paraId="139BAEAA" w14:textId="77777777" w:rsidR="00602539" w:rsidRDefault="00602539" w:rsidP="00C82969">
      <w:pPr>
        <w:spacing w:line="288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F5221EE" w14:textId="487C3573" w:rsidR="009A6E75" w:rsidRPr="009A6E75" w:rsidRDefault="009A6E75" w:rsidP="00C82969">
      <w:pPr>
        <w:spacing w:line="288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6E75">
        <w:rPr>
          <w:rFonts w:eastAsia="Calibri"/>
          <w:sz w:val="28"/>
          <w:szCs w:val="28"/>
          <w:lang w:eastAsia="en-US"/>
        </w:rPr>
        <w:t xml:space="preserve">Programet e Bashkëpunimit Territorial Evropian (BTE) janë pjesë e Politikës së Kohezionit të BE-së dhe ofrojnë mundësi të vlefshme për </w:t>
      </w:r>
      <w:r>
        <w:rPr>
          <w:rFonts w:eastAsia="Calibri"/>
          <w:sz w:val="28"/>
          <w:szCs w:val="28"/>
          <w:lang w:eastAsia="en-US"/>
        </w:rPr>
        <w:t>nj</w:t>
      </w:r>
      <w:r w:rsidR="00601321">
        <w:rPr>
          <w:rFonts w:eastAsia="Calibri"/>
          <w:sz w:val="28"/>
          <w:szCs w:val="28"/>
          <w:lang w:eastAsia="en-US"/>
        </w:rPr>
        <w:t>ë</w:t>
      </w:r>
      <w:r>
        <w:rPr>
          <w:rFonts w:eastAsia="Calibri"/>
          <w:sz w:val="28"/>
          <w:szCs w:val="28"/>
          <w:lang w:eastAsia="en-US"/>
        </w:rPr>
        <w:t>sit</w:t>
      </w:r>
      <w:r w:rsidR="00601321">
        <w:rPr>
          <w:rFonts w:eastAsia="Calibri"/>
          <w:sz w:val="28"/>
          <w:szCs w:val="28"/>
          <w:lang w:eastAsia="en-US"/>
        </w:rPr>
        <w:t>ë</w:t>
      </w:r>
      <w:r>
        <w:rPr>
          <w:rFonts w:eastAsia="Calibri"/>
          <w:sz w:val="28"/>
          <w:szCs w:val="28"/>
          <w:lang w:eastAsia="en-US"/>
        </w:rPr>
        <w:t xml:space="preserve"> e vet</w:t>
      </w:r>
      <w:r w:rsidR="00601321">
        <w:rPr>
          <w:rFonts w:eastAsia="Calibri"/>
          <w:sz w:val="28"/>
          <w:szCs w:val="28"/>
          <w:lang w:eastAsia="en-US"/>
        </w:rPr>
        <w:t>ë</w:t>
      </w:r>
      <w:r>
        <w:rPr>
          <w:rFonts w:eastAsia="Calibri"/>
          <w:sz w:val="28"/>
          <w:szCs w:val="28"/>
          <w:lang w:eastAsia="en-US"/>
        </w:rPr>
        <w:t xml:space="preserve">qeverisjes vendore </w:t>
      </w:r>
      <w:r w:rsidRPr="009A6E75">
        <w:rPr>
          <w:rFonts w:eastAsia="Calibri"/>
          <w:sz w:val="28"/>
          <w:szCs w:val="28"/>
          <w:lang w:eastAsia="en-US"/>
        </w:rPr>
        <w:t xml:space="preserve">në projekte të bashkëpunimit ndërkufitar (Interreg A), transnacional </w:t>
      </w:r>
      <w:r w:rsidRPr="009A6E75">
        <w:rPr>
          <w:rFonts w:eastAsia="Calibri"/>
          <w:sz w:val="28"/>
          <w:szCs w:val="28"/>
          <w:lang w:eastAsia="en-US"/>
        </w:rPr>
        <w:lastRenderedPageBreak/>
        <w:t>(Interreg B) dhe ndërrajonal (Interreg C), për të promovuar zhvillim të integruar dhe të qëndrueshëm rajonal, si dhe shkëmbim përvojash, ndërtim kapacitetesh dhe qeverisje të përmirësuar bashkëpunimi.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A6E75">
        <w:rPr>
          <w:rFonts w:eastAsia="Calibri"/>
          <w:sz w:val="28"/>
          <w:szCs w:val="28"/>
          <w:lang w:eastAsia="en-US"/>
        </w:rPr>
        <w:t xml:space="preserve">Këto programe janë aktualisht e vetmja mundësi për </w:t>
      </w:r>
      <w:r>
        <w:rPr>
          <w:rFonts w:eastAsia="Calibri"/>
          <w:sz w:val="28"/>
          <w:szCs w:val="28"/>
          <w:lang w:eastAsia="en-US"/>
        </w:rPr>
        <w:t>nj</w:t>
      </w:r>
      <w:r w:rsidR="00601321">
        <w:rPr>
          <w:rFonts w:eastAsia="Calibri"/>
          <w:sz w:val="28"/>
          <w:szCs w:val="28"/>
          <w:lang w:eastAsia="en-US"/>
        </w:rPr>
        <w:t>ë</w:t>
      </w:r>
      <w:r>
        <w:rPr>
          <w:rFonts w:eastAsia="Calibri"/>
          <w:sz w:val="28"/>
          <w:szCs w:val="28"/>
          <w:lang w:eastAsia="en-US"/>
        </w:rPr>
        <w:t>sit</w:t>
      </w:r>
      <w:r w:rsidR="00601321">
        <w:rPr>
          <w:rFonts w:eastAsia="Calibri"/>
          <w:sz w:val="28"/>
          <w:szCs w:val="28"/>
          <w:lang w:eastAsia="en-US"/>
        </w:rPr>
        <w:t>ë</w:t>
      </w:r>
      <w:r>
        <w:rPr>
          <w:rFonts w:eastAsia="Calibri"/>
          <w:sz w:val="28"/>
          <w:szCs w:val="28"/>
          <w:lang w:eastAsia="en-US"/>
        </w:rPr>
        <w:t xml:space="preserve"> e vet</w:t>
      </w:r>
      <w:r w:rsidR="00601321">
        <w:rPr>
          <w:rFonts w:eastAsia="Calibri"/>
          <w:sz w:val="28"/>
          <w:szCs w:val="28"/>
          <w:lang w:eastAsia="en-US"/>
        </w:rPr>
        <w:t>ë</w:t>
      </w:r>
      <w:r>
        <w:rPr>
          <w:rFonts w:eastAsia="Calibri"/>
          <w:sz w:val="28"/>
          <w:szCs w:val="28"/>
          <w:lang w:eastAsia="en-US"/>
        </w:rPr>
        <w:t>qeverisjes vendore</w:t>
      </w:r>
      <w:r w:rsidRPr="009A6E75">
        <w:rPr>
          <w:rFonts w:eastAsia="Calibri"/>
          <w:sz w:val="28"/>
          <w:szCs w:val="28"/>
          <w:lang w:eastAsia="en-US"/>
        </w:rPr>
        <w:t xml:space="preserve"> për të marrë pjesë në programet e Politikës së Kohezionit të BE-së dhe pë</w:t>
      </w:r>
      <w:r>
        <w:rPr>
          <w:rFonts w:eastAsia="Calibri"/>
          <w:sz w:val="28"/>
          <w:szCs w:val="28"/>
          <w:lang w:eastAsia="en-US"/>
        </w:rPr>
        <w:t>rb</w:t>
      </w:r>
      <w:r w:rsidR="00601321">
        <w:rPr>
          <w:rFonts w:eastAsia="Calibri"/>
          <w:sz w:val="28"/>
          <w:szCs w:val="28"/>
          <w:lang w:eastAsia="en-US"/>
        </w:rPr>
        <w:t>ë</w:t>
      </w:r>
      <w:r>
        <w:rPr>
          <w:rFonts w:eastAsia="Calibri"/>
          <w:sz w:val="28"/>
          <w:szCs w:val="28"/>
          <w:lang w:eastAsia="en-US"/>
        </w:rPr>
        <w:t>jn</w:t>
      </w:r>
      <w:r w:rsidR="00601321">
        <w:rPr>
          <w:rFonts w:eastAsia="Calibri"/>
          <w:sz w:val="28"/>
          <w:szCs w:val="28"/>
          <w:lang w:eastAsia="en-US"/>
        </w:rPr>
        <w:t>ë</w:t>
      </w:r>
      <w:r>
        <w:rPr>
          <w:rFonts w:eastAsia="Calibri"/>
          <w:sz w:val="28"/>
          <w:szCs w:val="28"/>
          <w:lang w:eastAsia="en-US"/>
        </w:rPr>
        <w:t xml:space="preserve"> nj</w:t>
      </w:r>
      <w:r w:rsidR="00601321">
        <w:rPr>
          <w:rFonts w:eastAsia="Calibri"/>
          <w:sz w:val="28"/>
          <w:szCs w:val="28"/>
          <w:lang w:eastAsia="en-US"/>
        </w:rPr>
        <w:t>ë</w:t>
      </w:r>
      <w:r>
        <w:rPr>
          <w:rFonts w:eastAsia="Calibri"/>
          <w:sz w:val="28"/>
          <w:szCs w:val="28"/>
          <w:lang w:eastAsia="en-US"/>
        </w:rPr>
        <w:t xml:space="preserve"> mund</w:t>
      </w:r>
      <w:r w:rsidR="00601321">
        <w:rPr>
          <w:rFonts w:eastAsia="Calibri"/>
          <w:sz w:val="28"/>
          <w:szCs w:val="28"/>
          <w:lang w:eastAsia="en-US"/>
        </w:rPr>
        <w:t>ë</w:t>
      </w:r>
      <w:r>
        <w:rPr>
          <w:rFonts w:eastAsia="Calibri"/>
          <w:sz w:val="28"/>
          <w:szCs w:val="28"/>
          <w:lang w:eastAsia="en-US"/>
        </w:rPr>
        <w:t xml:space="preserve">si </w:t>
      </w:r>
      <w:r w:rsidRPr="009A6E75">
        <w:rPr>
          <w:rFonts w:eastAsia="Calibri"/>
          <w:sz w:val="28"/>
          <w:szCs w:val="28"/>
          <w:lang w:eastAsia="en-US"/>
        </w:rPr>
        <w:t>të rëndësishme për përgatitjen e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35D9A">
        <w:rPr>
          <w:rFonts w:eastAsia="Calibri"/>
          <w:sz w:val="28"/>
          <w:szCs w:val="28"/>
          <w:lang w:eastAsia="en-US"/>
        </w:rPr>
        <w:t>vendit</w:t>
      </w:r>
      <w:r w:rsidRPr="009A6E75">
        <w:rPr>
          <w:rFonts w:eastAsia="Calibri"/>
          <w:sz w:val="28"/>
          <w:szCs w:val="28"/>
          <w:lang w:eastAsia="en-US"/>
        </w:rPr>
        <w:t xml:space="preserve"> për anëtarësimin në BE dhe pjesëmarrjen e ardhshme në programet si </w:t>
      </w:r>
      <w:r>
        <w:rPr>
          <w:rFonts w:eastAsia="Calibri"/>
          <w:sz w:val="28"/>
          <w:szCs w:val="28"/>
          <w:lang w:eastAsia="en-US"/>
        </w:rPr>
        <w:t>s</w:t>
      </w:r>
      <w:r w:rsidRPr="009A6E75">
        <w:rPr>
          <w:rFonts w:eastAsia="Calibri"/>
          <w:sz w:val="28"/>
          <w:szCs w:val="28"/>
          <w:lang w:eastAsia="en-US"/>
        </w:rPr>
        <w:t xml:space="preserve">htet </w:t>
      </w:r>
      <w:r>
        <w:rPr>
          <w:rFonts w:eastAsia="Calibri"/>
          <w:sz w:val="28"/>
          <w:szCs w:val="28"/>
          <w:lang w:eastAsia="en-US"/>
        </w:rPr>
        <w:t>a</w:t>
      </w:r>
      <w:r w:rsidRPr="009A6E75">
        <w:rPr>
          <w:rFonts w:eastAsia="Calibri"/>
          <w:sz w:val="28"/>
          <w:szCs w:val="28"/>
          <w:lang w:eastAsia="en-US"/>
        </w:rPr>
        <w:t>nëtar.</w:t>
      </w:r>
    </w:p>
    <w:p w14:paraId="48AA2E19" w14:textId="77777777" w:rsidR="00602539" w:rsidRDefault="00602539" w:rsidP="00C82969">
      <w:pPr>
        <w:spacing w:line="288" w:lineRule="auto"/>
        <w:contextualSpacing/>
        <w:jc w:val="both"/>
        <w:rPr>
          <w:sz w:val="28"/>
          <w:szCs w:val="28"/>
          <w:lang w:eastAsia="sq-AL"/>
        </w:rPr>
      </w:pPr>
    </w:p>
    <w:p w14:paraId="65E2CA0B" w14:textId="0E900C20" w:rsidR="009A6E75" w:rsidRDefault="009A6E75" w:rsidP="00C82969">
      <w:pPr>
        <w:spacing w:line="288" w:lineRule="auto"/>
        <w:contextualSpacing/>
        <w:jc w:val="both"/>
        <w:rPr>
          <w:sz w:val="28"/>
          <w:szCs w:val="28"/>
          <w:lang w:eastAsia="sq-AL"/>
        </w:rPr>
      </w:pPr>
      <w:r w:rsidRPr="009A6E75">
        <w:rPr>
          <w:sz w:val="28"/>
          <w:szCs w:val="28"/>
          <w:lang w:eastAsia="sq-AL"/>
        </w:rPr>
        <w:t xml:space="preserve">Aktualisht, </w:t>
      </w:r>
      <w:r>
        <w:rPr>
          <w:sz w:val="28"/>
          <w:szCs w:val="28"/>
          <w:lang w:eastAsia="sq-AL"/>
        </w:rPr>
        <w:t xml:space="preserve">Republika e </w:t>
      </w:r>
      <w:r w:rsidRPr="009A6E75">
        <w:rPr>
          <w:sz w:val="28"/>
          <w:szCs w:val="28"/>
          <w:lang w:eastAsia="sq-AL"/>
        </w:rPr>
        <w:t>Shqipëri</w:t>
      </w:r>
      <w:r>
        <w:rPr>
          <w:sz w:val="28"/>
          <w:szCs w:val="28"/>
          <w:lang w:eastAsia="sq-AL"/>
        </w:rPr>
        <w:t>s</w:t>
      </w:r>
      <w:r w:rsidR="00601321">
        <w:rPr>
          <w:sz w:val="28"/>
          <w:szCs w:val="28"/>
          <w:lang w:eastAsia="sq-AL"/>
        </w:rPr>
        <w:t>ë</w:t>
      </w:r>
      <w:r w:rsidRPr="009A6E75">
        <w:rPr>
          <w:sz w:val="28"/>
          <w:szCs w:val="28"/>
          <w:lang w:eastAsia="sq-AL"/>
        </w:rPr>
        <w:t xml:space="preserve"> merr pjesë në</w:t>
      </w:r>
      <w:r>
        <w:rPr>
          <w:sz w:val="28"/>
          <w:szCs w:val="28"/>
          <w:lang w:eastAsia="sq-AL"/>
        </w:rPr>
        <w:t xml:space="preserve"> k</w:t>
      </w:r>
      <w:r w:rsidR="00601321">
        <w:rPr>
          <w:sz w:val="28"/>
          <w:szCs w:val="28"/>
          <w:lang w:eastAsia="sq-AL"/>
        </w:rPr>
        <w:t>ë</w:t>
      </w:r>
      <w:r>
        <w:rPr>
          <w:sz w:val="28"/>
          <w:szCs w:val="28"/>
          <w:lang w:eastAsia="sq-AL"/>
        </w:rPr>
        <w:t>to</w:t>
      </w:r>
      <w:r w:rsidRPr="009A6E75">
        <w:rPr>
          <w:sz w:val="28"/>
          <w:szCs w:val="28"/>
          <w:lang w:eastAsia="sq-AL"/>
        </w:rPr>
        <w:t xml:space="preserve"> programe</w:t>
      </w:r>
      <w:r>
        <w:rPr>
          <w:sz w:val="28"/>
          <w:szCs w:val="28"/>
          <w:lang w:eastAsia="sq-AL"/>
        </w:rPr>
        <w:t>:</w:t>
      </w:r>
    </w:p>
    <w:p w14:paraId="39FC6A8B" w14:textId="77777777" w:rsidR="009A6E75" w:rsidRDefault="009A6E75" w:rsidP="00C82969">
      <w:pPr>
        <w:pStyle w:val="ListParagraph"/>
        <w:numPr>
          <w:ilvl w:val="0"/>
          <w:numId w:val="25"/>
        </w:numPr>
        <w:spacing w:line="288" w:lineRule="auto"/>
        <w:jc w:val="both"/>
        <w:rPr>
          <w:sz w:val="28"/>
          <w:szCs w:val="28"/>
          <w:lang w:eastAsia="sq-AL"/>
        </w:rPr>
      </w:pPr>
      <w:r w:rsidRPr="009A6E75">
        <w:rPr>
          <w:sz w:val="28"/>
          <w:szCs w:val="28"/>
          <w:lang w:eastAsia="sq-AL"/>
        </w:rPr>
        <w:t>INTERREG A, konkretisht në programin “Adriatiku Jugor 2021–2027”</w:t>
      </w:r>
      <w:r>
        <w:rPr>
          <w:sz w:val="28"/>
          <w:szCs w:val="28"/>
          <w:lang w:eastAsia="sq-AL"/>
        </w:rPr>
        <w:t>;</w:t>
      </w:r>
      <w:r w:rsidRPr="009A6E75">
        <w:rPr>
          <w:sz w:val="28"/>
          <w:szCs w:val="28"/>
          <w:lang w:eastAsia="sq-AL"/>
        </w:rPr>
        <w:t xml:space="preserve"> dhe</w:t>
      </w:r>
    </w:p>
    <w:p w14:paraId="539DA8D6" w14:textId="77777777" w:rsidR="009A6E75" w:rsidRDefault="009A6E75" w:rsidP="00C82969">
      <w:pPr>
        <w:pStyle w:val="ListParagraph"/>
        <w:numPr>
          <w:ilvl w:val="0"/>
          <w:numId w:val="25"/>
        </w:numPr>
        <w:spacing w:line="288" w:lineRule="auto"/>
        <w:jc w:val="both"/>
        <w:rPr>
          <w:sz w:val="28"/>
          <w:szCs w:val="28"/>
          <w:lang w:eastAsia="sq-AL"/>
        </w:rPr>
      </w:pPr>
      <w:r w:rsidRPr="009A6E75">
        <w:rPr>
          <w:sz w:val="28"/>
          <w:szCs w:val="28"/>
          <w:lang w:eastAsia="sq-AL"/>
        </w:rPr>
        <w:t xml:space="preserve">“INTERREG VI-A IPA Greqi–Shqipëri 2021–2027”; </w:t>
      </w:r>
    </w:p>
    <w:p w14:paraId="09142988" w14:textId="77777777" w:rsidR="009A6E75" w:rsidRDefault="009A6E75" w:rsidP="00C82969">
      <w:pPr>
        <w:pStyle w:val="ListParagraph"/>
        <w:numPr>
          <w:ilvl w:val="0"/>
          <w:numId w:val="25"/>
        </w:numPr>
        <w:spacing w:line="288" w:lineRule="auto"/>
        <w:jc w:val="both"/>
        <w:rPr>
          <w:sz w:val="28"/>
          <w:szCs w:val="28"/>
          <w:lang w:eastAsia="sq-AL"/>
        </w:rPr>
      </w:pPr>
      <w:r w:rsidRPr="009A6E75">
        <w:rPr>
          <w:sz w:val="28"/>
          <w:szCs w:val="28"/>
          <w:lang w:eastAsia="sq-AL"/>
        </w:rPr>
        <w:t>në dy programe transnacionale INTERREG B</w:t>
      </w:r>
      <w:r>
        <w:rPr>
          <w:sz w:val="28"/>
          <w:szCs w:val="28"/>
          <w:lang w:eastAsia="sq-AL"/>
        </w:rPr>
        <w:t>:</w:t>
      </w:r>
      <w:r w:rsidRPr="009A6E75">
        <w:rPr>
          <w:sz w:val="28"/>
          <w:szCs w:val="28"/>
          <w:lang w:eastAsia="sq-AL"/>
        </w:rPr>
        <w:t xml:space="preserve"> përkatësisht “Interreg IPA ADRION 2021–2027” dhe “Interreg Euro-MED 2021–2027”; </w:t>
      </w:r>
    </w:p>
    <w:p w14:paraId="7AFED0DB" w14:textId="77777777" w:rsidR="009A6E75" w:rsidRDefault="009A6E75" w:rsidP="00C82969">
      <w:pPr>
        <w:pStyle w:val="ListParagraph"/>
        <w:numPr>
          <w:ilvl w:val="0"/>
          <w:numId w:val="25"/>
        </w:numPr>
        <w:spacing w:line="288" w:lineRule="auto"/>
        <w:jc w:val="both"/>
        <w:rPr>
          <w:sz w:val="28"/>
          <w:szCs w:val="28"/>
          <w:lang w:eastAsia="sq-AL"/>
        </w:rPr>
      </w:pPr>
      <w:r w:rsidRPr="009A6E75">
        <w:rPr>
          <w:sz w:val="28"/>
          <w:szCs w:val="28"/>
          <w:lang w:eastAsia="sq-AL"/>
        </w:rPr>
        <w:t>si dhe në programet ndërrajonale URBACT dhe Interreg Europe, si edhe në programin ESPON me status vëzhgues</w:t>
      </w:r>
      <w:r w:rsidRPr="009A6E75">
        <w:rPr>
          <w:sz w:val="28"/>
          <w:szCs w:val="28"/>
          <w:vertAlign w:val="superscript"/>
          <w:lang w:eastAsia="sq-AL"/>
        </w:rPr>
        <w:t>1</w:t>
      </w:r>
      <w:r w:rsidRPr="009A6E75">
        <w:rPr>
          <w:sz w:val="28"/>
          <w:szCs w:val="28"/>
          <w:lang w:eastAsia="sq-AL"/>
        </w:rPr>
        <w:t xml:space="preserve">. </w:t>
      </w:r>
    </w:p>
    <w:p w14:paraId="6C3B8FCE" w14:textId="77777777" w:rsidR="00602539" w:rsidRDefault="00602539" w:rsidP="00C82969">
      <w:pPr>
        <w:spacing w:line="288" w:lineRule="auto"/>
        <w:contextualSpacing/>
        <w:jc w:val="both"/>
        <w:rPr>
          <w:sz w:val="28"/>
          <w:szCs w:val="28"/>
          <w:lang w:eastAsia="sq-AL"/>
        </w:rPr>
      </w:pPr>
    </w:p>
    <w:p w14:paraId="5D838B9E" w14:textId="47CD8880" w:rsidR="009A6E75" w:rsidRDefault="009A6E75" w:rsidP="00C82969">
      <w:pPr>
        <w:spacing w:line="288" w:lineRule="auto"/>
        <w:contextualSpacing/>
        <w:jc w:val="both"/>
        <w:rPr>
          <w:sz w:val="28"/>
          <w:szCs w:val="28"/>
          <w:lang w:eastAsia="sq-AL"/>
        </w:rPr>
      </w:pPr>
      <w:r w:rsidRPr="009A6E75">
        <w:rPr>
          <w:sz w:val="28"/>
          <w:szCs w:val="28"/>
          <w:lang w:eastAsia="sq-AL"/>
        </w:rPr>
        <w:t xml:space="preserve">Pjesëmarrja e Shqipërisë në programin ndërrajonal (INTERREG C) nuk ka përfshirje në fazën e programimit. Për më tepër, </w:t>
      </w:r>
      <w:r>
        <w:rPr>
          <w:sz w:val="28"/>
          <w:szCs w:val="28"/>
          <w:lang w:eastAsia="sq-AL"/>
        </w:rPr>
        <w:t xml:space="preserve">Republika e </w:t>
      </w:r>
      <w:r w:rsidRPr="009A6E75">
        <w:rPr>
          <w:sz w:val="28"/>
          <w:szCs w:val="28"/>
          <w:lang w:eastAsia="sq-AL"/>
        </w:rPr>
        <w:t>Shqipëri</w:t>
      </w:r>
      <w:r>
        <w:rPr>
          <w:sz w:val="28"/>
          <w:szCs w:val="28"/>
          <w:lang w:eastAsia="sq-AL"/>
        </w:rPr>
        <w:t>s</w:t>
      </w:r>
      <w:r w:rsidR="00601321">
        <w:rPr>
          <w:sz w:val="28"/>
          <w:szCs w:val="28"/>
          <w:lang w:eastAsia="sq-AL"/>
        </w:rPr>
        <w:t>ë</w:t>
      </w:r>
      <w:r w:rsidRPr="009A6E75">
        <w:rPr>
          <w:sz w:val="28"/>
          <w:szCs w:val="28"/>
          <w:lang w:eastAsia="sq-AL"/>
        </w:rPr>
        <w:t xml:space="preserve"> merr pjesë në tre programe të bashkëpunimit ndërkufitar me vendet fqinje IPA. Megjithatë, fokusi kryesor i Komitetit Kombëtar për Bashkëpunimin Territorial Evropian është perspektiva e së ardhmes dhe përqendrohet në programet INTERREG.</w:t>
      </w:r>
    </w:p>
    <w:p w14:paraId="12B74A02" w14:textId="77777777" w:rsidR="00735D9A" w:rsidRPr="009A6E75" w:rsidRDefault="00735D9A" w:rsidP="00C82969">
      <w:pPr>
        <w:spacing w:line="288" w:lineRule="auto"/>
        <w:contextualSpacing/>
        <w:jc w:val="both"/>
        <w:rPr>
          <w:sz w:val="28"/>
          <w:szCs w:val="28"/>
          <w:lang w:eastAsia="sq-AL"/>
        </w:rPr>
      </w:pPr>
    </w:p>
    <w:p w14:paraId="04407877" w14:textId="02A16C53" w:rsidR="009A6E75" w:rsidRPr="009A6E75" w:rsidRDefault="009A6E75" w:rsidP="00C82969">
      <w:pPr>
        <w:spacing w:line="288" w:lineRule="auto"/>
        <w:contextualSpacing/>
        <w:jc w:val="both"/>
        <w:rPr>
          <w:bCs/>
          <w:sz w:val="28"/>
          <w:szCs w:val="28"/>
          <w:lang w:eastAsia="sq-AL"/>
        </w:rPr>
      </w:pPr>
      <w:r w:rsidRPr="009A6E75">
        <w:rPr>
          <w:sz w:val="28"/>
          <w:szCs w:val="28"/>
          <w:lang w:eastAsia="sq-AL"/>
        </w:rPr>
        <w:t xml:space="preserve">Komiteti Kombëtar për Bashkëpunimin Territorial Evropian </w:t>
      </w:r>
      <w:r w:rsidR="00B964EE">
        <w:rPr>
          <w:sz w:val="28"/>
          <w:szCs w:val="28"/>
          <w:lang w:eastAsia="sq-AL"/>
        </w:rPr>
        <w:t>nuk krijon mbivendos</w:t>
      </w:r>
      <w:r w:rsidR="00735D9A">
        <w:rPr>
          <w:sz w:val="28"/>
          <w:szCs w:val="28"/>
          <w:lang w:eastAsia="sq-AL"/>
        </w:rPr>
        <w:t>je</w:t>
      </w:r>
      <w:r w:rsidR="00B964EE">
        <w:rPr>
          <w:sz w:val="28"/>
          <w:szCs w:val="28"/>
          <w:lang w:eastAsia="sq-AL"/>
        </w:rPr>
        <w:t xml:space="preserve"> me </w:t>
      </w:r>
      <w:r w:rsidRPr="009A6E75">
        <w:rPr>
          <w:sz w:val="28"/>
          <w:szCs w:val="28"/>
          <w:lang w:eastAsia="sq-AL"/>
        </w:rPr>
        <w:t>Komitete</w:t>
      </w:r>
      <w:r w:rsidR="00B964EE">
        <w:rPr>
          <w:sz w:val="28"/>
          <w:szCs w:val="28"/>
          <w:lang w:eastAsia="sq-AL"/>
        </w:rPr>
        <w:t>t</w:t>
      </w:r>
      <w:r w:rsidRPr="009A6E75">
        <w:rPr>
          <w:sz w:val="28"/>
          <w:szCs w:val="28"/>
          <w:lang w:eastAsia="sq-AL"/>
        </w:rPr>
        <w:t xml:space="preserve"> Monitoruese të Programeve përkatëse</w:t>
      </w:r>
      <w:r w:rsidR="00B518E3">
        <w:rPr>
          <w:sz w:val="28"/>
          <w:szCs w:val="28"/>
          <w:lang w:eastAsia="sq-AL"/>
        </w:rPr>
        <w:t>,</w:t>
      </w:r>
      <w:r w:rsidR="00735D9A">
        <w:rPr>
          <w:sz w:val="28"/>
          <w:szCs w:val="28"/>
          <w:lang w:eastAsia="sq-AL"/>
        </w:rPr>
        <w:t xml:space="preserve"> pasi nuk ka rol monitorues</w:t>
      </w:r>
      <w:r w:rsidR="00B518E3">
        <w:rPr>
          <w:sz w:val="28"/>
          <w:szCs w:val="28"/>
          <w:lang w:eastAsia="sq-AL"/>
        </w:rPr>
        <w:t xml:space="preserve"> por vetëm këshillues</w:t>
      </w:r>
      <w:r w:rsidRPr="009A6E75">
        <w:rPr>
          <w:sz w:val="28"/>
          <w:szCs w:val="28"/>
          <w:lang w:eastAsia="sq-AL"/>
        </w:rPr>
        <w:t xml:space="preserve">. </w:t>
      </w:r>
      <w:r w:rsidR="00B964EE" w:rsidRPr="009A6E75">
        <w:rPr>
          <w:bCs/>
          <w:sz w:val="28"/>
          <w:szCs w:val="28"/>
          <w:lang w:eastAsia="sq-AL"/>
        </w:rPr>
        <w:t xml:space="preserve">Komiteti </w:t>
      </w:r>
      <w:r w:rsidR="00B964EE" w:rsidRPr="00B964EE">
        <w:rPr>
          <w:bCs/>
          <w:sz w:val="28"/>
          <w:szCs w:val="28"/>
          <w:lang w:eastAsia="sq-AL"/>
        </w:rPr>
        <w:t>do t</w:t>
      </w:r>
      <w:r w:rsidR="00601321">
        <w:rPr>
          <w:bCs/>
          <w:sz w:val="28"/>
          <w:szCs w:val="28"/>
          <w:lang w:eastAsia="sq-AL"/>
        </w:rPr>
        <w:t>ë</w:t>
      </w:r>
      <w:r w:rsidR="00B964EE" w:rsidRPr="00B964EE">
        <w:rPr>
          <w:bCs/>
          <w:sz w:val="28"/>
          <w:szCs w:val="28"/>
          <w:lang w:eastAsia="sq-AL"/>
        </w:rPr>
        <w:t xml:space="preserve"> ushtroj detyrat krahas </w:t>
      </w:r>
      <w:r w:rsidR="00B964EE" w:rsidRPr="009A6E75">
        <w:rPr>
          <w:bCs/>
          <w:sz w:val="28"/>
          <w:szCs w:val="28"/>
          <w:lang w:eastAsia="sq-AL"/>
        </w:rPr>
        <w:t>Komiteteve Monitoruese të Programeve</w:t>
      </w:r>
      <w:r w:rsidR="00B518E3">
        <w:rPr>
          <w:bCs/>
          <w:sz w:val="28"/>
          <w:szCs w:val="28"/>
          <w:lang w:eastAsia="sq-AL"/>
        </w:rPr>
        <w:t xml:space="preserve"> </w:t>
      </w:r>
      <w:r w:rsidRPr="009A6E75">
        <w:rPr>
          <w:sz w:val="28"/>
          <w:szCs w:val="28"/>
          <w:lang w:eastAsia="sq-AL"/>
        </w:rPr>
        <w:t xml:space="preserve">të INTERREG </w:t>
      </w:r>
      <w:r w:rsidR="00B518E3">
        <w:rPr>
          <w:sz w:val="28"/>
          <w:szCs w:val="28"/>
          <w:lang w:eastAsia="sq-AL"/>
        </w:rPr>
        <w:t xml:space="preserve"> sipas legjislacionit të BE-së</w:t>
      </w:r>
      <w:r w:rsidRPr="009A6E75">
        <w:rPr>
          <w:sz w:val="28"/>
          <w:szCs w:val="28"/>
          <w:lang w:eastAsia="sq-AL"/>
        </w:rPr>
        <w:t xml:space="preserve">. </w:t>
      </w:r>
    </w:p>
    <w:p w14:paraId="7722FADD" w14:textId="77777777" w:rsidR="00602539" w:rsidRDefault="00602539" w:rsidP="00C82969">
      <w:pPr>
        <w:spacing w:line="288" w:lineRule="auto"/>
        <w:contextualSpacing/>
        <w:jc w:val="both"/>
        <w:rPr>
          <w:sz w:val="28"/>
          <w:szCs w:val="28"/>
          <w:lang w:eastAsia="sq-AL"/>
        </w:rPr>
      </w:pPr>
    </w:p>
    <w:p w14:paraId="385A32B1" w14:textId="1705CE3A" w:rsidR="009A6E75" w:rsidRPr="009A6E75" w:rsidRDefault="009A6E75" w:rsidP="00C82969">
      <w:pPr>
        <w:spacing w:line="288" w:lineRule="auto"/>
        <w:contextualSpacing/>
        <w:jc w:val="both"/>
        <w:rPr>
          <w:sz w:val="28"/>
          <w:szCs w:val="28"/>
          <w:lang w:eastAsia="sq-AL"/>
        </w:rPr>
      </w:pPr>
      <w:r w:rsidRPr="009A6E75">
        <w:rPr>
          <w:sz w:val="28"/>
          <w:szCs w:val="28"/>
          <w:lang w:eastAsia="sq-AL"/>
        </w:rPr>
        <w:t xml:space="preserve">Edhe pse krijimi i një Komiteti Kombëtar për Bashkëpunimin Territorial Evropian </w:t>
      </w:r>
      <w:r w:rsidRPr="009A6E75">
        <w:rPr>
          <w:bCs/>
          <w:sz w:val="28"/>
          <w:szCs w:val="28"/>
          <w:lang w:eastAsia="sq-AL"/>
        </w:rPr>
        <w:t>nuk është një detyrim</w:t>
      </w:r>
      <w:r w:rsidR="00735D9A">
        <w:rPr>
          <w:bCs/>
          <w:sz w:val="28"/>
          <w:szCs w:val="28"/>
          <w:lang w:eastAsia="sq-AL"/>
        </w:rPr>
        <w:t xml:space="preserve"> i mir</w:t>
      </w:r>
      <w:r w:rsidR="00506548">
        <w:rPr>
          <w:bCs/>
          <w:sz w:val="28"/>
          <w:szCs w:val="28"/>
          <w:lang w:eastAsia="sq-AL"/>
        </w:rPr>
        <w:t>ë</w:t>
      </w:r>
      <w:r w:rsidR="00735D9A">
        <w:rPr>
          <w:bCs/>
          <w:sz w:val="28"/>
          <w:szCs w:val="28"/>
          <w:lang w:eastAsia="sq-AL"/>
        </w:rPr>
        <w:t>fillt</w:t>
      </w:r>
      <w:r w:rsidR="00506548">
        <w:rPr>
          <w:bCs/>
          <w:sz w:val="28"/>
          <w:szCs w:val="28"/>
          <w:lang w:eastAsia="sq-AL"/>
        </w:rPr>
        <w:t>ë</w:t>
      </w:r>
      <w:r w:rsidRPr="009A6E75">
        <w:rPr>
          <w:bCs/>
          <w:sz w:val="28"/>
          <w:szCs w:val="28"/>
          <w:lang w:eastAsia="sq-AL"/>
        </w:rPr>
        <w:t xml:space="preserve"> </w:t>
      </w:r>
      <w:r w:rsidR="00464745">
        <w:rPr>
          <w:bCs/>
          <w:sz w:val="28"/>
          <w:szCs w:val="28"/>
          <w:lang w:eastAsia="sq-AL"/>
        </w:rPr>
        <w:t>n</w:t>
      </w:r>
      <w:r w:rsidR="00601321">
        <w:rPr>
          <w:bCs/>
          <w:sz w:val="28"/>
          <w:szCs w:val="28"/>
          <w:lang w:eastAsia="sq-AL"/>
        </w:rPr>
        <w:t>ë</w:t>
      </w:r>
      <w:r w:rsidR="00464745">
        <w:rPr>
          <w:bCs/>
          <w:sz w:val="28"/>
          <w:szCs w:val="28"/>
          <w:lang w:eastAsia="sq-AL"/>
        </w:rPr>
        <w:t xml:space="preserve"> kuptim t</w:t>
      </w:r>
      <w:r w:rsidR="00601321">
        <w:rPr>
          <w:bCs/>
          <w:sz w:val="28"/>
          <w:szCs w:val="28"/>
          <w:lang w:eastAsia="sq-AL"/>
        </w:rPr>
        <w:t>ë</w:t>
      </w:r>
      <w:r w:rsidR="00464745">
        <w:rPr>
          <w:bCs/>
          <w:sz w:val="28"/>
          <w:szCs w:val="28"/>
          <w:lang w:eastAsia="sq-AL"/>
        </w:rPr>
        <w:t xml:space="preserve"> p</w:t>
      </w:r>
      <w:r w:rsidR="00601321">
        <w:rPr>
          <w:bCs/>
          <w:sz w:val="28"/>
          <w:szCs w:val="28"/>
          <w:lang w:eastAsia="sq-AL"/>
        </w:rPr>
        <w:t>ë</w:t>
      </w:r>
      <w:r w:rsidR="00464745">
        <w:rPr>
          <w:bCs/>
          <w:sz w:val="28"/>
          <w:szCs w:val="28"/>
          <w:lang w:eastAsia="sq-AL"/>
        </w:rPr>
        <w:t>rafrimit</w:t>
      </w:r>
      <w:r w:rsidR="00735D9A">
        <w:rPr>
          <w:bCs/>
          <w:sz w:val="28"/>
          <w:szCs w:val="28"/>
          <w:lang w:eastAsia="sq-AL"/>
        </w:rPr>
        <w:t>/harmonizimit</w:t>
      </w:r>
      <w:r w:rsidR="00464745">
        <w:rPr>
          <w:bCs/>
          <w:sz w:val="28"/>
          <w:szCs w:val="28"/>
          <w:lang w:eastAsia="sq-AL"/>
        </w:rPr>
        <w:t xml:space="preserve"> me legjislacionin e BE-s</w:t>
      </w:r>
      <w:r w:rsidR="00601321">
        <w:rPr>
          <w:bCs/>
          <w:sz w:val="28"/>
          <w:szCs w:val="28"/>
          <w:lang w:eastAsia="sq-AL"/>
        </w:rPr>
        <w:t>ë</w:t>
      </w:r>
      <w:r w:rsidRPr="009A6E75">
        <w:rPr>
          <w:sz w:val="28"/>
          <w:szCs w:val="28"/>
          <w:lang w:eastAsia="sq-AL"/>
        </w:rPr>
        <w:t xml:space="preserve">, </w:t>
      </w:r>
      <w:r w:rsidR="00464745">
        <w:rPr>
          <w:sz w:val="28"/>
          <w:szCs w:val="28"/>
          <w:lang w:eastAsia="sq-AL"/>
        </w:rPr>
        <w:t>ai</w:t>
      </w:r>
      <w:r w:rsidRPr="009A6E75">
        <w:rPr>
          <w:sz w:val="28"/>
          <w:szCs w:val="28"/>
          <w:lang w:eastAsia="sq-AL"/>
        </w:rPr>
        <w:t xml:space="preserve"> përbën praktikë të </w:t>
      </w:r>
      <w:r w:rsidR="00464745">
        <w:rPr>
          <w:sz w:val="28"/>
          <w:szCs w:val="28"/>
          <w:lang w:eastAsia="sq-AL"/>
        </w:rPr>
        <w:t>mir</w:t>
      </w:r>
      <w:r w:rsidR="00601321">
        <w:rPr>
          <w:sz w:val="28"/>
          <w:szCs w:val="28"/>
          <w:lang w:eastAsia="sq-AL"/>
        </w:rPr>
        <w:t>ë</w:t>
      </w:r>
      <w:r w:rsidR="00464745">
        <w:rPr>
          <w:sz w:val="28"/>
          <w:szCs w:val="28"/>
          <w:lang w:eastAsia="sq-AL"/>
        </w:rPr>
        <w:t xml:space="preserve">, </w:t>
      </w:r>
      <w:r w:rsidRPr="009A6E75">
        <w:rPr>
          <w:sz w:val="28"/>
          <w:szCs w:val="28"/>
          <w:lang w:eastAsia="sq-AL"/>
        </w:rPr>
        <w:t>ndjekur n</w:t>
      </w:r>
      <w:r w:rsidR="00464745">
        <w:rPr>
          <w:sz w:val="28"/>
          <w:szCs w:val="28"/>
          <w:lang w:eastAsia="sq-AL"/>
        </w:rPr>
        <w:t>ga</w:t>
      </w:r>
      <w:r w:rsidRPr="009A6E75">
        <w:rPr>
          <w:sz w:val="28"/>
          <w:szCs w:val="28"/>
          <w:lang w:eastAsia="sq-AL"/>
        </w:rPr>
        <w:t xml:space="preserve"> shtete anëtare dhe vende të rajonit, si Italia </w:t>
      </w:r>
      <w:r w:rsidR="00464745">
        <w:rPr>
          <w:sz w:val="28"/>
          <w:szCs w:val="28"/>
          <w:lang w:eastAsia="sq-AL"/>
        </w:rPr>
        <w:t xml:space="preserve">apo edhe </w:t>
      </w:r>
      <w:r w:rsidRPr="009A6E75">
        <w:rPr>
          <w:sz w:val="28"/>
          <w:szCs w:val="28"/>
          <w:lang w:eastAsia="sq-AL"/>
        </w:rPr>
        <w:t>Kroacia (</w:t>
      </w:r>
      <w:r w:rsidRPr="009A6E75">
        <w:rPr>
          <w:i/>
          <w:iCs/>
          <w:sz w:val="28"/>
          <w:szCs w:val="28"/>
          <w:lang w:eastAsia="sq-AL"/>
        </w:rPr>
        <w:t>Komiteti Kombëtar për Koordinimin e Pjesëmarrjes Kroate në Programet Transnacionale dhe Ndërrajonale si dhe në Strategjitë Makrorajonale të BE-së për periudhën 2014–2020</w:t>
      </w:r>
      <w:r w:rsidRPr="009A6E75">
        <w:rPr>
          <w:sz w:val="28"/>
          <w:szCs w:val="28"/>
          <w:lang w:eastAsia="sq-AL"/>
        </w:rPr>
        <w:t>).</w:t>
      </w:r>
    </w:p>
    <w:p w14:paraId="329128DF" w14:textId="77777777" w:rsidR="00602539" w:rsidRDefault="00602539" w:rsidP="00C82969">
      <w:pPr>
        <w:spacing w:line="288" w:lineRule="auto"/>
        <w:contextualSpacing/>
        <w:jc w:val="both"/>
        <w:rPr>
          <w:sz w:val="28"/>
          <w:szCs w:val="28"/>
          <w:lang w:eastAsia="sq-AL"/>
        </w:rPr>
      </w:pPr>
    </w:p>
    <w:p w14:paraId="77577262" w14:textId="46AD51AD" w:rsidR="009A6E75" w:rsidRPr="009A6E75" w:rsidRDefault="009A6E75" w:rsidP="00C82969">
      <w:pPr>
        <w:spacing w:line="288" w:lineRule="auto"/>
        <w:contextualSpacing/>
        <w:jc w:val="both"/>
        <w:rPr>
          <w:sz w:val="28"/>
          <w:szCs w:val="28"/>
          <w:lang w:eastAsia="sq-AL"/>
        </w:rPr>
      </w:pPr>
      <w:r w:rsidRPr="009A6E75">
        <w:rPr>
          <w:sz w:val="28"/>
          <w:szCs w:val="28"/>
          <w:lang w:eastAsia="sq-AL"/>
        </w:rPr>
        <w:lastRenderedPageBreak/>
        <w:t xml:space="preserve">Ky Komitet </w:t>
      </w:r>
      <w:r w:rsidR="00464745">
        <w:rPr>
          <w:sz w:val="28"/>
          <w:szCs w:val="28"/>
          <w:lang w:eastAsia="sq-AL"/>
        </w:rPr>
        <w:t>krijon premisat p</w:t>
      </w:r>
      <w:r w:rsidR="00601321">
        <w:rPr>
          <w:sz w:val="28"/>
          <w:szCs w:val="28"/>
          <w:lang w:eastAsia="sq-AL"/>
        </w:rPr>
        <w:t>ë</w:t>
      </w:r>
      <w:r w:rsidR="00464745">
        <w:rPr>
          <w:sz w:val="28"/>
          <w:szCs w:val="28"/>
          <w:lang w:eastAsia="sq-AL"/>
        </w:rPr>
        <w:t>r</w:t>
      </w:r>
      <w:r w:rsidRPr="009A6E75">
        <w:rPr>
          <w:sz w:val="28"/>
          <w:szCs w:val="28"/>
          <w:lang w:eastAsia="sq-AL"/>
        </w:rPr>
        <w:t xml:space="preserve"> zbatimin e parimit të qeverisjes në shumë nivele </w:t>
      </w:r>
      <w:r w:rsidR="00464745">
        <w:rPr>
          <w:sz w:val="28"/>
          <w:szCs w:val="28"/>
          <w:lang w:eastAsia="sq-AL"/>
        </w:rPr>
        <w:t xml:space="preserve">(qendrore/vendore) </w:t>
      </w:r>
      <w:r w:rsidR="00735D9A">
        <w:rPr>
          <w:sz w:val="28"/>
          <w:szCs w:val="28"/>
          <w:lang w:eastAsia="sq-AL"/>
        </w:rPr>
        <w:t xml:space="preserve">si </w:t>
      </w:r>
      <w:r w:rsidRPr="009A6E75">
        <w:rPr>
          <w:sz w:val="28"/>
          <w:szCs w:val="28"/>
          <w:lang w:eastAsia="sq-AL"/>
        </w:rPr>
        <w:t xml:space="preserve">dhe krijon një </w:t>
      </w:r>
      <w:r w:rsidRPr="009A6E75">
        <w:rPr>
          <w:bCs/>
          <w:sz w:val="28"/>
          <w:szCs w:val="28"/>
          <w:lang w:eastAsia="sq-AL"/>
        </w:rPr>
        <w:t>mekanizëm formal konsultimi</w:t>
      </w:r>
      <w:r w:rsidR="00464745">
        <w:rPr>
          <w:bCs/>
          <w:sz w:val="28"/>
          <w:szCs w:val="28"/>
          <w:lang w:eastAsia="sq-AL"/>
        </w:rPr>
        <w:t xml:space="preserve"> dhe nd</w:t>
      </w:r>
      <w:r w:rsidR="00601321">
        <w:rPr>
          <w:bCs/>
          <w:sz w:val="28"/>
          <w:szCs w:val="28"/>
          <w:lang w:eastAsia="sq-AL"/>
        </w:rPr>
        <w:t>ë</w:t>
      </w:r>
      <w:r w:rsidR="00464745">
        <w:rPr>
          <w:bCs/>
          <w:sz w:val="28"/>
          <w:szCs w:val="28"/>
          <w:lang w:eastAsia="sq-AL"/>
        </w:rPr>
        <w:t>rveprimi</w:t>
      </w:r>
      <w:r w:rsidR="00464745">
        <w:rPr>
          <w:sz w:val="28"/>
          <w:szCs w:val="28"/>
          <w:lang w:eastAsia="sq-AL"/>
        </w:rPr>
        <w:t xml:space="preserve"> midis k</w:t>
      </w:r>
      <w:r w:rsidR="00601321">
        <w:rPr>
          <w:sz w:val="28"/>
          <w:szCs w:val="28"/>
          <w:lang w:eastAsia="sq-AL"/>
        </w:rPr>
        <w:t>ë</w:t>
      </w:r>
      <w:r w:rsidR="00464745">
        <w:rPr>
          <w:sz w:val="28"/>
          <w:szCs w:val="28"/>
          <w:lang w:eastAsia="sq-AL"/>
        </w:rPr>
        <w:t xml:space="preserve">tyre nivevele </w:t>
      </w:r>
      <w:r w:rsidRPr="009A6E75">
        <w:rPr>
          <w:sz w:val="28"/>
          <w:szCs w:val="28"/>
          <w:lang w:eastAsia="sq-AL"/>
        </w:rPr>
        <w:t>për</w:t>
      </w:r>
      <w:r w:rsidR="00C82969">
        <w:rPr>
          <w:sz w:val="28"/>
          <w:szCs w:val="28"/>
          <w:lang w:eastAsia="sq-AL"/>
        </w:rPr>
        <w:t xml:space="preserve"> efekt t</w:t>
      </w:r>
      <w:r w:rsidR="00601321">
        <w:rPr>
          <w:sz w:val="28"/>
          <w:szCs w:val="28"/>
          <w:lang w:eastAsia="sq-AL"/>
        </w:rPr>
        <w:t>ë</w:t>
      </w:r>
      <w:r w:rsidR="00C82969">
        <w:rPr>
          <w:sz w:val="28"/>
          <w:szCs w:val="28"/>
          <w:lang w:eastAsia="sq-AL"/>
        </w:rPr>
        <w:t xml:space="preserve"> programeve INTERREG</w:t>
      </w:r>
      <w:r w:rsidRPr="009A6E75">
        <w:rPr>
          <w:sz w:val="28"/>
          <w:szCs w:val="28"/>
          <w:lang w:eastAsia="sq-AL"/>
        </w:rPr>
        <w:t xml:space="preserve">. Duke marrë parasysh se përfaqësimi në Komitetet Monitoruese të programeve transnacionale dhe ndërrajonale është i kufizuar për çdo shtet anëtar, pjesëmarrja e </w:t>
      </w:r>
      <w:r w:rsidR="00C82969">
        <w:rPr>
          <w:sz w:val="28"/>
          <w:szCs w:val="28"/>
          <w:lang w:eastAsia="sq-AL"/>
        </w:rPr>
        <w:t>nj</w:t>
      </w:r>
      <w:r w:rsidR="00601321">
        <w:rPr>
          <w:sz w:val="28"/>
          <w:szCs w:val="28"/>
          <w:lang w:eastAsia="sq-AL"/>
        </w:rPr>
        <w:t>ë</w:t>
      </w:r>
      <w:r w:rsidR="00C82969">
        <w:rPr>
          <w:sz w:val="28"/>
          <w:szCs w:val="28"/>
          <w:lang w:eastAsia="sq-AL"/>
        </w:rPr>
        <w:t>sive t</w:t>
      </w:r>
      <w:r w:rsidR="00601321">
        <w:rPr>
          <w:sz w:val="28"/>
          <w:szCs w:val="28"/>
          <w:lang w:eastAsia="sq-AL"/>
        </w:rPr>
        <w:t>ë</w:t>
      </w:r>
      <w:r w:rsidR="00C82969">
        <w:rPr>
          <w:sz w:val="28"/>
          <w:szCs w:val="28"/>
          <w:lang w:eastAsia="sq-AL"/>
        </w:rPr>
        <w:t xml:space="preserve"> vet</w:t>
      </w:r>
      <w:r w:rsidR="00601321">
        <w:rPr>
          <w:sz w:val="28"/>
          <w:szCs w:val="28"/>
          <w:lang w:eastAsia="sq-AL"/>
        </w:rPr>
        <w:t>ë</w:t>
      </w:r>
      <w:r w:rsidR="00C82969">
        <w:rPr>
          <w:sz w:val="28"/>
          <w:szCs w:val="28"/>
          <w:lang w:eastAsia="sq-AL"/>
        </w:rPr>
        <w:t xml:space="preserve">qeverisjes vendore </w:t>
      </w:r>
      <w:r w:rsidRPr="009A6E75">
        <w:rPr>
          <w:sz w:val="28"/>
          <w:szCs w:val="28"/>
          <w:lang w:eastAsia="sq-AL"/>
        </w:rPr>
        <w:t>është e pamjaftueshme. Për programet INTERREG A ndërkufitare, në programin “Adriatiku Jugor” nuk ka përfaqësues shqiptarë në Komitetin Monitorues, ndryshe nga programi INTERREG Greqi–Shqipëri ku janë të përfaqësuar Këshilli i Qarkut Korçë, Këshilli i Qarkut Fier dhe Agjencia për Mbështetjen e Vetëqeverisjes Vendore</w:t>
      </w:r>
      <w:r w:rsidR="00735D9A">
        <w:rPr>
          <w:sz w:val="28"/>
          <w:szCs w:val="28"/>
          <w:lang w:eastAsia="sq-AL"/>
        </w:rPr>
        <w:t xml:space="preserve"> (AMVV)</w:t>
      </w:r>
      <w:r w:rsidRPr="009A6E75">
        <w:rPr>
          <w:sz w:val="28"/>
          <w:szCs w:val="28"/>
          <w:lang w:eastAsia="sq-AL"/>
        </w:rPr>
        <w:t>.</w:t>
      </w:r>
    </w:p>
    <w:p w14:paraId="0C951B67" w14:textId="77777777" w:rsidR="00602539" w:rsidRDefault="00602539" w:rsidP="00C82969">
      <w:pPr>
        <w:spacing w:line="288" w:lineRule="auto"/>
        <w:contextualSpacing/>
        <w:jc w:val="both"/>
        <w:rPr>
          <w:sz w:val="28"/>
          <w:szCs w:val="28"/>
          <w:lang w:eastAsia="sq-AL"/>
        </w:rPr>
      </w:pPr>
    </w:p>
    <w:p w14:paraId="70CC21BE" w14:textId="6D9A1D7D" w:rsidR="009A6E75" w:rsidRPr="009A6E75" w:rsidRDefault="00C82969" w:rsidP="00C82969">
      <w:pPr>
        <w:spacing w:line="288" w:lineRule="auto"/>
        <w:contextualSpacing/>
        <w:jc w:val="both"/>
        <w:rPr>
          <w:sz w:val="28"/>
          <w:szCs w:val="28"/>
          <w:lang w:eastAsia="sq-AL"/>
        </w:rPr>
      </w:pPr>
      <w:r>
        <w:rPr>
          <w:sz w:val="28"/>
          <w:szCs w:val="28"/>
          <w:lang w:eastAsia="sq-AL"/>
        </w:rPr>
        <w:t>P</w:t>
      </w:r>
      <w:r w:rsidR="00601321">
        <w:rPr>
          <w:sz w:val="28"/>
          <w:szCs w:val="28"/>
          <w:lang w:eastAsia="sq-AL"/>
        </w:rPr>
        <w:t>ë</w:t>
      </w:r>
      <w:r>
        <w:rPr>
          <w:sz w:val="28"/>
          <w:szCs w:val="28"/>
          <w:lang w:eastAsia="sq-AL"/>
        </w:rPr>
        <w:t>r sa m</w:t>
      </w:r>
      <w:r w:rsidR="00601321">
        <w:rPr>
          <w:sz w:val="28"/>
          <w:szCs w:val="28"/>
          <w:lang w:eastAsia="sq-AL"/>
        </w:rPr>
        <w:t>ë</w:t>
      </w:r>
      <w:r>
        <w:rPr>
          <w:sz w:val="28"/>
          <w:szCs w:val="28"/>
          <w:lang w:eastAsia="sq-AL"/>
        </w:rPr>
        <w:t xml:space="preserve"> sip</w:t>
      </w:r>
      <w:r w:rsidR="00601321">
        <w:rPr>
          <w:sz w:val="28"/>
          <w:szCs w:val="28"/>
          <w:lang w:eastAsia="sq-AL"/>
        </w:rPr>
        <w:t>ë</w:t>
      </w:r>
      <w:r>
        <w:rPr>
          <w:sz w:val="28"/>
          <w:szCs w:val="28"/>
          <w:lang w:eastAsia="sq-AL"/>
        </w:rPr>
        <w:t>r, k</w:t>
      </w:r>
      <w:r w:rsidR="009A6E75" w:rsidRPr="009A6E75">
        <w:rPr>
          <w:sz w:val="28"/>
          <w:szCs w:val="28"/>
          <w:lang w:eastAsia="sq-AL"/>
        </w:rPr>
        <w:t>rijimi i Komitetit Kombëtar për Bashkëpunimin Territorial Evropian përbën mjetin më efektiv dhe efikas për të garantuar përfshirjen e</w:t>
      </w:r>
      <w:r>
        <w:rPr>
          <w:sz w:val="28"/>
          <w:szCs w:val="28"/>
          <w:lang w:eastAsia="sq-AL"/>
        </w:rPr>
        <w:t xml:space="preserve"> nj</w:t>
      </w:r>
      <w:r w:rsidR="00601321">
        <w:rPr>
          <w:sz w:val="28"/>
          <w:szCs w:val="28"/>
          <w:lang w:eastAsia="sq-AL"/>
        </w:rPr>
        <w:t>ë</w:t>
      </w:r>
      <w:r>
        <w:rPr>
          <w:sz w:val="28"/>
          <w:szCs w:val="28"/>
          <w:lang w:eastAsia="sq-AL"/>
        </w:rPr>
        <w:t>sive t</w:t>
      </w:r>
      <w:r w:rsidR="00601321">
        <w:rPr>
          <w:sz w:val="28"/>
          <w:szCs w:val="28"/>
          <w:lang w:eastAsia="sq-AL"/>
        </w:rPr>
        <w:t>ë</w:t>
      </w:r>
      <w:r>
        <w:rPr>
          <w:sz w:val="28"/>
          <w:szCs w:val="28"/>
          <w:lang w:eastAsia="sq-AL"/>
        </w:rPr>
        <w:t xml:space="preserve"> vet</w:t>
      </w:r>
      <w:r w:rsidR="00601321">
        <w:rPr>
          <w:sz w:val="28"/>
          <w:szCs w:val="28"/>
          <w:lang w:eastAsia="sq-AL"/>
        </w:rPr>
        <w:t>ë</w:t>
      </w:r>
      <w:r>
        <w:rPr>
          <w:sz w:val="28"/>
          <w:szCs w:val="28"/>
          <w:lang w:eastAsia="sq-AL"/>
        </w:rPr>
        <w:t>qeverisjes vendore dhe autoriteteve t</w:t>
      </w:r>
      <w:r w:rsidR="00601321">
        <w:rPr>
          <w:sz w:val="28"/>
          <w:szCs w:val="28"/>
          <w:lang w:eastAsia="sq-AL"/>
        </w:rPr>
        <w:t>ë</w:t>
      </w:r>
      <w:r>
        <w:rPr>
          <w:sz w:val="28"/>
          <w:szCs w:val="28"/>
          <w:lang w:eastAsia="sq-AL"/>
        </w:rPr>
        <w:t xml:space="preserve"> tjera t</w:t>
      </w:r>
      <w:r w:rsidR="00601321">
        <w:rPr>
          <w:sz w:val="28"/>
          <w:szCs w:val="28"/>
          <w:lang w:eastAsia="sq-AL"/>
        </w:rPr>
        <w:t>ë</w:t>
      </w:r>
      <w:r>
        <w:rPr>
          <w:sz w:val="28"/>
          <w:szCs w:val="28"/>
          <w:lang w:eastAsia="sq-AL"/>
        </w:rPr>
        <w:t xml:space="preserve"> qeverisjes qendrore</w:t>
      </w:r>
      <w:r w:rsidR="009A6E75" w:rsidRPr="009A6E75">
        <w:rPr>
          <w:sz w:val="28"/>
          <w:szCs w:val="28"/>
          <w:lang w:eastAsia="sq-AL"/>
        </w:rPr>
        <w:t xml:space="preserve">, të cilat janë </w:t>
      </w:r>
      <w:r w:rsidR="009A6E75" w:rsidRPr="009A6E75">
        <w:rPr>
          <w:bCs/>
          <w:sz w:val="28"/>
          <w:szCs w:val="28"/>
          <w:lang w:eastAsia="sq-AL"/>
        </w:rPr>
        <w:t>përfituesit kryesorë</w:t>
      </w:r>
      <w:r w:rsidR="009A6E75" w:rsidRPr="009A6E75">
        <w:rPr>
          <w:sz w:val="28"/>
          <w:szCs w:val="28"/>
          <w:lang w:eastAsia="sq-AL"/>
        </w:rPr>
        <w:t xml:space="preserve"> të programeve të BTE dhe palë të rëndësishme në këtë proces.</w:t>
      </w:r>
    </w:p>
    <w:p w14:paraId="3A8EE5B8" w14:textId="77777777" w:rsidR="00602539" w:rsidRDefault="00602539" w:rsidP="00C82969">
      <w:pPr>
        <w:spacing w:line="288" w:lineRule="auto"/>
        <w:contextualSpacing/>
        <w:jc w:val="both"/>
        <w:rPr>
          <w:sz w:val="28"/>
          <w:szCs w:val="28"/>
          <w:lang w:eastAsia="sq-AL"/>
        </w:rPr>
      </w:pPr>
    </w:p>
    <w:p w14:paraId="623777DF" w14:textId="52FD12AD" w:rsidR="009A6E75" w:rsidRPr="009A6E75" w:rsidRDefault="009A6E75" w:rsidP="00C82969">
      <w:pPr>
        <w:spacing w:line="288" w:lineRule="auto"/>
        <w:contextualSpacing/>
        <w:jc w:val="both"/>
        <w:rPr>
          <w:sz w:val="28"/>
          <w:szCs w:val="28"/>
          <w:lang w:eastAsia="sq-AL"/>
        </w:rPr>
      </w:pPr>
      <w:r w:rsidRPr="009A6E75">
        <w:rPr>
          <w:sz w:val="28"/>
          <w:szCs w:val="28"/>
          <w:lang w:eastAsia="sq-AL"/>
        </w:rPr>
        <w:t xml:space="preserve">Përmes këtij Komiteti, </w:t>
      </w:r>
      <w:r w:rsidR="00C82969">
        <w:rPr>
          <w:sz w:val="28"/>
          <w:szCs w:val="28"/>
          <w:lang w:eastAsia="sq-AL"/>
        </w:rPr>
        <w:t>nj</w:t>
      </w:r>
      <w:r w:rsidR="00601321">
        <w:rPr>
          <w:sz w:val="28"/>
          <w:szCs w:val="28"/>
          <w:lang w:eastAsia="sq-AL"/>
        </w:rPr>
        <w:t>ë</w:t>
      </w:r>
      <w:r w:rsidR="00C82969">
        <w:rPr>
          <w:sz w:val="28"/>
          <w:szCs w:val="28"/>
          <w:lang w:eastAsia="sq-AL"/>
        </w:rPr>
        <w:t>sit</w:t>
      </w:r>
      <w:r w:rsidR="00601321">
        <w:rPr>
          <w:sz w:val="28"/>
          <w:szCs w:val="28"/>
          <w:lang w:eastAsia="sq-AL"/>
        </w:rPr>
        <w:t>ë</w:t>
      </w:r>
      <w:r w:rsidR="00C82969">
        <w:rPr>
          <w:sz w:val="28"/>
          <w:szCs w:val="28"/>
          <w:lang w:eastAsia="sq-AL"/>
        </w:rPr>
        <w:t xml:space="preserve"> e vet</w:t>
      </w:r>
      <w:r w:rsidR="00601321">
        <w:rPr>
          <w:sz w:val="28"/>
          <w:szCs w:val="28"/>
          <w:lang w:eastAsia="sq-AL"/>
        </w:rPr>
        <w:t>ë</w:t>
      </w:r>
      <w:r w:rsidR="00C82969">
        <w:rPr>
          <w:sz w:val="28"/>
          <w:szCs w:val="28"/>
          <w:lang w:eastAsia="sq-AL"/>
        </w:rPr>
        <w:t>qeverisjes</w:t>
      </w:r>
      <w:r w:rsidRPr="009A6E75">
        <w:rPr>
          <w:sz w:val="28"/>
          <w:szCs w:val="28"/>
          <w:lang w:eastAsia="sq-AL"/>
        </w:rPr>
        <w:t xml:space="preserve"> vendore do të mund të konsultohen gjatë programimit të programeve BTE dhe të informohen për mundësitë që ofrohen për aplikantët </w:t>
      </w:r>
      <w:r w:rsidR="00C82969">
        <w:rPr>
          <w:sz w:val="28"/>
          <w:szCs w:val="28"/>
          <w:lang w:eastAsia="sq-AL"/>
        </w:rPr>
        <w:t>vendas</w:t>
      </w:r>
      <w:r w:rsidRPr="009A6E75">
        <w:rPr>
          <w:sz w:val="28"/>
          <w:szCs w:val="28"/>
          <w:lang w:eastAsia="sq-AL"/>
        </w:rPr>
        <w:t xml:space="preserve">. Në mënyrë të veçantë, Komiteti do të nxisë bashkëpunimin në kuadër të rrjeteve URBACT dhe </w:t>
      </w:r>
      <w:r w:rsidR="00C82969" w:rsidRPr="009A6E75">
        <w:rPr>
          <w:sz w:val="28"/>
          <w:szCs w:val="28"/>
          <w:lang w:eastAsia="sq-AL"/>
        </w:rPr>
        <w:t>INTERREG</w:t>
      </w:r>
      <w:r w:rsidRPr="009A6E75">
        <w:rPr>
          <w:sz w:val="28"/>
          <w:szCs w:val="28"/>
          <w:lang w:eastAsia="sq-AL"/>
        </w:rPr>
        <w:t xml:space="preserve"> Europe, si dhe rritjen e përfshirjes së aktorëve shqiptarë në EUSAIR.</w:t>
      </w:r>
    </w:p>
    <w:p w14:paraId="4DF2EACE" w14:textId="77777777" w:rsidR="00602539" w:rsidRDefault="00602539" w:rsidP="00C82969">
      <w:pPr>
        <w:spacing w:line="288" w:lineRule="auto"/>
        <w:contextualSpacing/>
        <w:jc w:val="both"/>
        <w:rPr>
          <w:sz w:val="28"/>
          <w:szCs w:val="28"/>
          <w:lang w:eastAsia="sq-AL"/>
        </w:rPr>
      </w:pPr>
    </w:p>
    <w:p w14:paraId="04FE9DFA" w14:textId="30C408DD" w:rsidR="009A6E75" w:rsidRPr="009A6E75" w:rsidRDefault="009A6E75" w:rsidP="00C82969">
      <w:pPr>
        <w:spacing w:line="288" w:lineRule="auto"/>
        <w:contextualSpacing/>
        <w:jc w:val="both"/>
        <w:rPr>
          <w:sz w:val="28"/>
          <w:szCs w:val="28"/>
          <w:lang w:eastAsia="sq-AL"/>
        </w:rPr>
      </w:pPr>
      <w:r w:rsidRPr="009A6E75">
        <w:rPr>
          <w:sz w:val="28"/>
          <w:szCs w:val="28"/>
          <w:lang w:eastAsia="sq-AL"/>
        </w:rPr>
        <w:t xml:space="preserve">Për rrjedhojë, Komiteti përfaqëson një </w:t>
      </w:r>
      <w:r w:rsidRPr="009A6E75">
        <w:rPr>
          <w:bCs/>
          <w:sz w:val="28"/>
          <w:szCs w:val="28"/>
          <w:lang w:eastAsia="sq-AL"/>
        </w:rPr>
        <w:t xml:space="preserve">instrument </w:t>
      </w:r>
      <w:r w:rsidR="00101C74">
        <w:rPr>
          <w:bCs/>
          <w:sz w:val="28"/>
          <w:szCs w:val="28"/>
          <w:lang w:eastAsia="sq-AL"/>
        </w:rPr>
        <w:t>ligjor</w:t>
      </w:r>
      <w:r w:rsidRPr="009A6E75">
        <w:rPr>
          <w:bCs/>
          <w:sz w:val="28"/>
          <w:szCs w:val="28"/>
          <w:lang w:eastAsia="sq-AL"/>
        </w:rPr>
        <w:t xml:space="preserve"> të rëndësishëm për Bashkëpunimin Territorial Evropian</w:t>
      </w:r>
      <w:r w:rsidRPr="009A6E75">
        <w:rPr>
          <w:sz w:val="28"/>
          <w:szCs w:val="28"/>
          <w:lang w:eastAsia="sq-AL"/>
        </w:rPr>
        <w:t xml:space="preserve">, i cili përbën </w:t>
      </w:r>
      <w:r w:rsidRPr="009A6E75">
        <w:rPr>
          <w:bCs/>
          <w:sz w:val="28"/>
          <w:szCs w:val="28"/>
          <w:lang w:eastAsia="sq-AL"/>
        </w:rPr>
        <w:t>qëllimin e dytë të Politikës së Kohezionit të BE-së</w:t>
      </w:r>
      <w:r w:rsidRPr="009A6E75">
        <w:rPr>
          <w:sz w:val="28"/>
          <w:szCs w:val="28"/>
          <w:lang w:eastAsia="sq-AL"/>
        </w:rPr>
        <w:t>.</w:t>
      </w:r>
    </w:p>
    <w:p w14:paraId="18ABE6D3" w14:textId="77777777" w:rsidR="00602539" w:rsidRDefault="00602539" w:rsidP="00C82969">
      <w:pPr>
        <w:spacing w:line="288" w:lineRule="auto"/>
        <w:contextualSpacing/>
        <w:jc w:val="both"/>
        <w:rPr>
          <w:sz w:val="28"/>
          <w:szCs w:val="28"/>
          <w:lang w:eastAsia="sq-AL"/>
        </w:rPr>
      </w:pPr>
    </w:p>
    <w:p w14:paraId="7C4F9446" w14:textId="34CFD7FD" w:rsidR="0091082C" w:rsidRPr="00C82969" w:rsidRDefault="009A6E75" w:rsidP="00C82969">
      <w:pPr>
        <w:spacing w:line="288" w:lineRule="auto"/>
        <w:contextualSpacing/>
        <w:jc w:val="both"/>
        <w:rPr>
          <w:sz w:val="28"/>
          <w:szCs w:val="28"/>
          <w:lang w:eastAsia="sq-AL"/>
        </w:rPr>
      </w:pPr>
      <w:r w:rsidRPr="009A6E75">
        <w:rPr>
          <w:sz w:val="28"/>
          <w:szCs w:val="28"/>
          <w:lang w:eastAsia="sq-AL"/>
        </w:rPr>
        <w:t xml:space="preserve">Gjithashtu, Komiteti do të </w:t>
      </w:r>
      <w:bookmarkStart w:id="3" w:name="_Hlk197530227"/>
      <w:r w:rsidRPr="009A6E75">
        <w:rPr>
          <w:sz w:val="28"/>
          <w:szCs w:val="28"/>
          <w:lang w:eastAsia="sq-AL"/>
        </w:rPr>
        <w:t xml:space="preserve">ndihmojë në </w:t>
      </w:r>
      <w:r w:rsidRPr="009A6E75">
        <w:rPr>
          <w:bCs/>
          <w:sz w:val="28"/>
          <w:szCs w:val="28"/>
          <w:lang w:eastAsia="sq-AL"/>
        </w:rPr>
        <w:t>identifikimin dhe adresimin e pengesave</w:t>
      </w:r>
      <w:r w:rsidRPr="009A6E75">
        <w:rPr>
          <w:sz w:val="28"/>
          <w:szCs w:val="28"/>
          <w:lang w:eastAsia="sq-AL"/>
        </w:rPr>
        <w:t xml:space="preserve"> që lidhen me pjesëmarrjen e </w:t>
      </w:r>
      <w:r w:rsidR="00C82969">
        <w:rPr>
          <w:sz w:val="28"/>
          <w:szCs w:val="28"/>
          <w:lang w:eastAsia="sq-AL"/>
        </w:rPr>
        <w:t>nj</w:t>
      </w:r>
      <w:r w:rsidR="00601321">
        <w:rPr>
          <w:sz w:val="28"/>
          <w:szCs w:val="28"/>
          <w:lang w:eastAsia="sq-AL"/>
        </w:rPr>
        <w:t>ë</w:t>
      </w:r>
      <w:r w:rsidR="00C82969">
        <w:rPr>
          <w:sz w:val="28"/>
          <w:szCs w:val="28"/>
          <w:lang w:eastAsia="sq-AL"/>
        </w:rPr>
        <w:t>sive t</w:t>
      </w:r>
      <w:r w:rsidR="00601321">
        <w:rPr>
          <w:sz w:val="28"/>
          <w:szCs w:val="28"/>
          <w:lang w:eastAsia="sq-AL"/>
        </w:rPr>
        <w:t>ë</w:t>
      </w:r>
      <w:r w:rsidR="00C82969">
        <w:rPr>
          <w:sz w:val="28"/>
          <w:szCs w:val="28"/>
          <w:lang w:eastAsia="sq-AL"/>
        </w:rPr>
        <w:t xml:space="preserve"> vet</w:t>
      </w:r>
      <w:r w:rsidR="00601321">
        <w:rPr>
          <w:sz w:val="28"/>
          <w:szCs w:val="28"/>
          <w:lang w:eastAsia="sq-AL"/>
        </w:rPr>
        <w:t>ë</w:t>
      </w:r>
      <w:r w:rsidR="00C82969">
        <w:rPr>
          <w:sz w:val="28"/>
          <w:szCs w:val="28"/>
          <w:lang w:eastAsia="sq-AL"/>
        </w:rPr>
        <w:t>qev</w:t>
      </w:r>
      <w:r w:rsidR="00601321">
        <w:rPr>
          <w:sz w:val="28"/>
          <w:szCs w:val="28"/>
          <w:lang w:eastAsia="sq-AL"/>
        </w:rPr>
        <w:t>ë</w:t>
      </w:r>
      <w:r w:rsidR="00C82969">
        <w:rPr>
          <w:sz w:val="28"/>
          <w:szCs w:val="28"/>
          <w:lang w:eastAsia="sq-AL"/>
        </w:rPr>
        <w:t>risjes vendore apo institucioneve t</w:t>
      </w:r>
      <w:r w:rsidR="00601321">
        <w:rPr>
          <w:sz w:val="28"/>
          <w:szCs w:val="28"/>
          <w:lang w:eastAsia="sq-AL"/>
        </w:rPr>
        <w:t>ë</w:t>
      </w:r>
      <w:r w:rsidR="00C82969">
        <w:rPr>
          <w:sz w:val="28"/>
          <w:szCs w:val="28"/>
          <w:lang w:eastAsia="sq-AL"/>
        </w:rPr>
        <w:t xml:space="preserve"> tjera vendase </w:t>
      </w:r>
      <w:r w:rsidRPr="009A6E75">
        <w:rPr>
          <w:sz w:val="28"/>
          <w:szCs w:val="28"/>
          <w:lang w:eastAsia="sq-AL"/>
        </w:rPr>
        <w:t xml:space="preserve">në projektet INTERREG si partnerë, duke kontribuar kështu në përgatitjen e strukturave kombëtare </w:t>
      </w:r>
      <w:bookmarkEnd w:id="3"/>
      <w:r w:rsidRPr="009A6E75">
        <w:rPr>
          <w:sz w:val="28"/>
          <w:szCs w:val="28"/>
          <w:lang w:eastAsia="sq-AL"/>
        </w:rPr>
        <w:t>për marrjen e rolit të Autoritetit Menaxhues pas anëtarësimit të Shqipërisë, për programet INTERREG që përfshijnë vende jo-anëtare të BE-së, si Kosova dhe potencialisht Maqedonia e Veriut.</w:t>
      </w:r>
    </w:p>
    <w:p w14:paraId="6FBB680E" w14:textId="77777777" w:rsidR="00602539" w:rsidRDefault="00602539" w:rsidP="00C37BDD">
      <w:pPr>
        <w:tabs>
          <w:tab w:val="left" w:pos="990"/>
        </w:tabs>
        <w:spacing w:line="276" w:lineRule="auto"/>
        <w:jc w:val="both"/>
        <w:rPr>
          <w:b/>
          <w:sz w:val="28"/>
          <w:szCs w:val="28"/>
        </w:rPr>
      </w:pPr>
    </w:p>
    <w:p w14:paraId="6E3AC6DB" w14:textId="15C2DD95" w:rsidR="00B93EF1" w:rsidRPr="009A6E75" w:rsidRDefault="00B74936" w:rsidP="00C37BDD">
      <w:pPr>
        <w:tabs>
          <w:tab w:val="left" w:pos="990"/>
        </w:tabs>
        <w:spacing w:line="276" w:lineRule="auto"/>
        <w:jc w:val="both"/>
        <w:rPr>
          <w:b/>
          <w:sz w:val="28"/>
          <w:szCs w:val="28"/>
        </w:rPr>
      </w:pPr>
      <w:r w:rsidRPr="009A6E75">
        <w:rPr>
          <w:b/>
          <w:sz w:val="28"/>
          <w:szCs w:val="28"/>
        </w:rPr>
        <w:lastRenderedPageBreak/>
        <w:t>IV. VLERËSIMI I LIGJSHMËRISË, KUSHTETUTSHMËRISË DHE HARMONIZIMI ME LEGJISLACIONIN NË FUQI VENDAS E NDËRKOMBËTAR</w:t>
      </w:r>
    </w:p>
    <w:p w14:paraId="020CCECF" w14:textId="77777777" w:rsidR="00295FA5" w:rsidRPr="009A6E75" w:rsidRDefault="00295FA5" w:rsidP="00295FA5">
      <w:pPr>
        <w:spacing w:line="276" w:lineRule="auto"/>
        <w:jc w:val="both"/>
        <w:rPr>
          <w:b/>
          <w:sz w:val="28"/>
          <w:szCs w:val="28"/>
        </w:rPr>
      </w:pPr>
    </w:p>
    <w:p w14:paraId="4EEAFFF3" w14:textId="1D967AA5" w:rsidR="00602539" w:rsidRPr="00602539" w:rsidRDefault="00B74936" w:rsidP="00602539">
      <w:pPr>
        <w:spacing w:line="276" w:lineRule="auto"/>
        <w:jc w:val="both"/>
        <w:rPr>
          <w:b/>
          <w:sz w:val="28"/>
          <w:szCs w:val="28"/>
          <w:lang w:val="en-GB"/>
        </w:rPr>
      </w:pPr>
      <w:r w:rsidRPr="009A6E75">
        <w:rPr>
          <w:sz w:val="28"/>
          <w:szCs w:val="28"/>
        </w:rPr>
        <w:t xml:space="preserve">Baza ligjore mbi të cilën është hartuar ky projektvendim është </w:t>
      </w:r>
      <w:r w:rsidR="00210AB5" w:rsidRPr="009A6E75">
        <w:rPr>
          <w:sz w:val="28"/>
          <w:szCs w:val="28"/>
        </w:rPr>
        <w:t xml:space="preserve">nenit 100 të Kushtetutës, </w:t>
      </w:r>
      <w:r w:rsidR="00602539">
        <w:rPr>
          <w:sz w:val="28"/>
          <w:szCs w:val="28"/>
        </w:rPr>
        <w:t xml:space="preserve">si dhe </w:t>
      </w:r>
      <w:r w:rsidR="00602539" w:rsidRPr="00602539">
        <w:rPr>
          <w:sz w:val="28"/>
          <w:szCs w:val="28"/>
        </w:rPr>
        <w:t xml:space="preserve">neni 110 </w:t>
      </w:r>
      <w:r w:rsidR="00602539">
        <w:rPr>
          <w:sz w:val="28"/>
          <w:szCs w:val="28"/>
        </w:rPr>
        <w:t>i</w:t>
      </w:r>
      <w:r w:rsidR="00602539" w:rsidRPr="00602539">
        <w:rPr>
          <w:sz w:val="28"/>
          <w:szCs w:val="28"/>
        </w:rPr>
        <w:t xml:space="preserve"> Ligjit nr.9590, datë 27.07.2006 “</w:t>
      </w:r>
      <w:r w:rsidR="00602539" w:rsidRPr="00602539">
        <w:rPr>
          <w:bCs/>
          <w:sz w:val="28"/>
          <w:szCs w:val="28"/>
          <w:lang w:val="en-GB"/>
        </w:rPr>
        <w:t>Për ratifikimin e “Marrëveshjes së Stabilizim-Asociimit ndërmjet Republikës së Shqipërisë dhe Komuniteteve Europiane e shteteve të tyre anëtare”</w:t>
      </w:r>
      <w:r w:rsidR="00602539">
        <w:rPr>
          <w:bCs/>
          <w:sz w:val="28"/>
          <w:szCs w:val="28"/>
        </w:rPr>
        <w:t>.</w:t>
      </w:r>
    </w:p>
    <w:p w14:paraId="00000028" w14:textId="2869DB5B" w:rsidR="00C117EA" w:rsidRPr="009A6E75" w:rsidRDefault="00C117EA">
      <w:pPr>
        <w:spacing w:line="276" w:lineRule="auto"/>
        <w:jc w:val="both"/>
        <w:rPr>
          <w:sz w:val="28"/>
          <w:szCs w:val="28"/>
        </w:rPr>
      </w:pPr>
    </w:p>
    <w:p w14:paraId="00000029" w14:textId="77777777" w:rsidR="00C117EA" w:rsidRPr="009A6E75" w:rsidRDefault="00B74936">
      <w:pPr>
        <w:spacing w:line="276" w:lineRule="auto"/>
        <w:jc w:val="both"/>
        <w:rPr>
          <w:b/>
          <w:sz w:val="28"/>
          <w:szCs w:val="28"/>
        </w:rPr>
      </w:pPr>
      <w:r w:rsidRPr="009A6E75">
        <w:rPr>
          <w:b/>
          <w:sz w:val="28"/>
          <w:szCs w:val="28"/>
        </w:rPr>
        <w:t xml:space="preserve">V. VLERËSIMI I SHKALLËS SË PËRAFRIMIT ME </w:t>
      </w:r>
      <w:r w:rsidRPr="009A6E75">
        <w:rPr>
          <w:b/>
          <w:i/>
          <w:sz w:val="28"/>
          <w:szCs w:val="28"/>
        </w:rPr>
        <w:t xml:space="preserve">ACQUIS COMMUNAUTAIRE </w:t>
      </w:r>
      <w:r w:rsidRPr="009A6E75">
        <w:rPr>
          <w:b/>
          <w:sz w:val="28"/>
          <w:szCs w:val="28"/>
        </w:rPr>
        <w:t>(PËR PROJEKTAKET NORMATIVE)</w:t>
      </w:r>
    </w:p>
    <w:p w14:paraId="0000002A" w14:textId="77777777" w:rsidR="00C117EA" w:rsidRPr="009A6E75" w:rsidRDefault="00C117EA">
      <w:pPr>
        <w:spacing w:line="276" w:lineRule="auto"/>
        <w:jc w:val="both"/>
        <w:rPr>
          <w:sz w:val="28"/>
          <w:szCs w:val="28"/>
        </w:rPr>
      </w:pPr>
    </w:p>
    <w:p w14:paraId="05FA70CE" w14:textId="66094512" w:rsidR="003A6569" w:rsidRPr="003A6569" w:rsidRDefault="00B74936" w:rsidP="003A6569">
      <w:pPr>
        <w:spacing w:line="276" w:lineRule="auto"/>
        <w:jc w:val="both"/>
        <w:rPr>
          <w:bCs/>
          <w:iCs/>
          <w:sz w:val="28"/>
          <w:szCs w:val="28"/>
        </w:rPr>
      </w:pPr>
      <w:r w:rsidRPr="009A6E75">
        <w:rPr>
          <w:sz w:val="28"/>
          <w:szCs w:val="28"/>
        </w:rPr>
        <w:t>Ky projektvendim</w:t>
      </w:r>
      <w:r w:rsidR="00DF7569">
        <w:rPr>
          <w:sz w:val="28"/>
          <w:szCs w:val="28"/>
        </w:rPr>
        <w:t xml:space="preserve"> </w:t>
      </w:r>
      <w:r w:rsidRPr="009A6E75">
        <w:rPr>
          <w:sz w:val="28"/>
          <w:szCs w:val="28"/>
        </w:rPr>
        <w:t xml:space="preserve">ka për qëllim </w:t>
      </w:r>
      <w:r w:rsidR="003A6569">
        <w:rPr>
          <w:sz w:val="28"/>
          <w:szCs w:val="28"/>
        </w:rPr>
        <w:t>harmonizimin</w:t>
      </w:r>
      <w:r w:rsidRPr="009A6E75">
        <w:rPr>
          <w:sz w:val="28"/>
          <w:szCs w:val="28"/>
        </w:rPr>
        <w:t xml:space="preserve"> me </w:t>
      </w:r>
      <w:r w:rsidR="0081447C" w:rsidRPr="009A6E75">
        <w:rPr>
          <w:bCs/>
          <w:i/>
          <w:sz w:val="28"/>
          <w:szCs w:val="28"/>
        </w:rPr>
        <w:t>Acquis Communautaire</w:t>
      </w:r>
      <w:r w:rsidR="00D805D6">
        <w:rPr>
          <w:bCs/>
          <w:i/>
          <w:sz w:val="28"/>
          <w:szCs w:val="28"/>
        </w:rPr>
        <w:t xml:space="preserve"> </w:t>
      </w:r>
      <w:r w:rsidR="00D805D6" w:rsidRPr="00D805D6">
        <w:rPr>
          <w:bCs/>
          <w:iCs/>
          <w:sz w:val="28"/>
          <w:szCs w:val="28"/>
        </w:rPr>
        <w:t>dhe specifikisht me Rregulloren për Bashkëpunimin Territorial Evropian (Rregullorja (BE) 2021/1059)</w:t>
      </w:r>
      <w:r w:rsidR="003A6569">
        <w:rPr>
          <w:bCs/>
          <w:iCs/>
          <w:sz w:val="28"/>
          <w:szCs w:val="28"/>
        </w:rPr>
        <w:t xml:space="preserve"> q</w:t>
      </w:r>
      <w:r w:rsidR="00601321">
        <w:rPr>
          <w:bCs/>
          <w:iCs/>
          <w:sz w:val="28"/>
          <w:szCs w:val="28"/>
        </w:rPr>
        <w:t>ë</w:t>
      </w:r>
      <w:r w:rsidR="003A6569">
        <w:rPr>
          <w:bCs/>
          <w:iCs/>
          <w:sz w:val="28"/>
          <w:szCs w:val="28"/>
        </w:rPr>
        <w:t xml:space="preserve"> p</w:t>
      </w:r>
      <w:r w:rsidR="00601321">
        <w:rPr>
          <w:bCs/>
          <w:iCs/>
          <w:sz w:val="28"/>
          <w:szCs w:val="28"/>
        </w:rPr>
        <w:t>ë</w:t>
      </w:r>
      <w:r w:rsidR="003A6569">
        <w:rPr>
          <w:bCs/>
          <w:iCs/>
          <w:sz w:val="28"/>
          <w:szCs w:val="28"/>
        </w:rPr>
        <w:t>rcakton si o</w:t>
      </w:r>
      <w:r w:rsidR="003A6569" w:rsidRPr="003A6569">
        <w:rPr>
          <w:bCs/>
          <w:iCs/>
          <w:sz w:val="28"/>
          <w:szCs w:val="28"/>
        </w:rPr>
        <w:t>bjektiv specifik “</w:t>
      </w:r>
      <w:r w:rsidR="003A6569" w:rsidRPr="003A6569">
        <w:rPr>
          <w:bCs/>
          <w:i/>
          <w:sz w:val="28"/>
          <w:szCs w:val="28"/>
        </w:rPr>
        <w:t>Qeverisje më e mirë e bashkëpunimit</w:t>
      </w:r>
      <w:r w:rsidR="003A6569" w:rsidRPr="003A6569">
        <w:rPr>
          <w:bCs/>
          <w:iCs/>
          <w:sz w:val="28"/>
          <w:szCs w:val="28"/>
        </w:rPr>
        <w:t xml:space="preserve">” </w:t>
      </w:r>
      <w:r w:rsidR="003A6569">
        <w:rPr>
          <w:bCs/>
          <w:iCs/>
          <w:sz w:val="28"/>
          <w:szCs w:val="28"/>
        </w:rPr>
        <w:t>.</w:t>
      </w:r>
    </w:p>
    <w:p w14:paraId="0000002D" w14:textId="77777777" w:rsidR="00C117EA" w:rsidRPr="009A6E75" w:rsidRDefault="00C117EA">
      <w:pPr>
        <w:spacing w:line="276" w:lineRule="auto"/>
        <w:jc w:val="both"/>
        <w:rPr>
          <w:b/>
          <w:i/>
          <w:sz w:val="28"/>
          <w:szCs w:val="28"/>
          <w:highlight w:val="yellow"/>
        </w:rPr>
      </w:pPr>
    </w:p>
    <w:p w14:paraId="0000002E" w14:textId="77777777" w:rsidR="00C117EA" w:rsidRPr="009A6E75" w:rsidRDefault="00B74936">
      <w:pPr>
        <w:spacing w:line="276" w:lineRule="auto"/>
        <w:jc w:val="both"/>
        <w:rPr>
          <w:b/>
          <w:sz w:val="28"/>
          <w:szCs w:val="28"/>
        </w:rPr>
      </w:pPr>
      <w:r w:rsidRPr="009A6E75">
        <w:rPr>
          <w:b/>
          <w:sz w:val="28"/>
          <w:szCs w:val="28"/>
        </w:rPr>
        <w:t>VI. PËRMBLEDHJE SHPJEGUESE E PËRMBAJTJES SË PROJEKTAKTIT</w:t>
      </w:r>
    </w:p>
    <w:p w14:paraId="0000002F" w14:textId="77777777" w:rsidR="00C117EA" w:rsidRPr="009A6E75" w:rsidRDefault="00C117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18D60DF8" w14:textId="32F7536A" w:rsidR="004F0198" w:rsidRDefault="00ED716B" w:rsidP="00DF75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9A6E75">
        <w:rPr>
          <w:color w:val="000000"/>
          <w:sz w:val="28"/>
          <w:szCs w:val="28"/>
        </w:rPr>
        <w:t xml:space="preserve">Nga pikëpamja teknike, </w:t>
      </w:r>
      <w:r w:rsidR="006207DB" w:rsidRPr="009A6E75">
        <w:rPr>
          <w:color w:val="000000"/>
          <w:sz w:val="28"/>
          <w:szCs w:val="28"/>
        </w:rPr>
        <w:t>projekt</w:t>
      </w:r>
      <w:r w:rsidR="00F94CDB">
        <w:rPr>
          <w:color w:val="000000"/>
          <w:sz w:val="28"/>
          <w:szCs w:val="28"/>
        </w:rPr>
        <w:t xml:space="preserve">vendimi </w:t>
      </w:r>
      <w:r w:rsidR="00DF7569">
        <w:rPr>
          <w:color w:val="000000"/>
          <w:sz w:val="28"/>
          <w:szCs w:val="28"/>
        </w:rPr>
        <w:t>p</w:t>
      </w:r>
      <w:r w:rsidR="00601321">
        <w:rPr>
          <w:color w:val="000000"/>
          <w:sz w:val="28"/>
          <w:szCs w:val="28"/>
        </w:rPr>
        <w:t>ë</w:t>
      </w:r>
      <w:r w:rsidR="00DF7569">
        <w:rPr>
          <w:color w:val="000000"/>
          <w:sz w:val="28"/>
          <w:szCs w:val="28"/>
        </w:rPr>
        <w:t xml:space="preserve">rmban </w:t>
      </w:r>
      <w:r w:rsidR="00F94CDB">
        <w:rPr>
          <w:color w:val="000000"/>
          <w:sz w:val="28"/>
          <w:szCs w:val="28"/>
        </w:rPr>
        <w:t xml:space="preserve">7 pika. </w:t>
      </w:r>
    </w:p>
    <w:p w14:paraId="35F7E41F" w14:textId="77777777" w:rsidR="00F94CDB" w:rsidRPr="00F94CDB" w:rsidRDefault="00F94CDB" w:rsidP="00F94CDB">
      <w:pPr>
        <w:suppressAutoHyphens/>
        <w:spacing w:line="288" w:lineRule="auto"/>
        <w:rPr>
          <w:b/>
          <w:lang w:eastAsia="ar-SA"/>
        </w:rPr>
      </w:pPr>
    </w:p>
    <w:p w14:paraId="01F74C83" w14:textId="0636DC59" w:rsidR="00F94CDB" w:rsidRPr="00F94CDB" w:rsidRDefault="00F94CDB" w:rsidP="00F94CDB">
      <w:pPr>
        <w:suppressAutoHyphens/>
        <w:spacing w:line="288" w:lineRule="auto"/>
        <w:jc w:val="both"/>
        <w:rPr>
          <w:sz w:val="28"/>
          <w:szCs w:val="28"/>
          <w:lang w:eastAsia="ar-SA"/>
        </w:rPr>
      </w:pPr>
      <w:r w:rsidRPr="00C57275">
        <w:rPr>
          <w:b/>
          <w:bCs/>
          <w:sz w:val="28"/>
          <w:szCs w:val="28"/>
          <w:lang w:eastAsia="ar-SA"/>
        </w:rPr>
        <w:t>N</w:t>
      </w:r>
      <w:r w:rsidR="00601321">
        <w:rPr>
          <w:b/>
          <w:bCs/>
          <w:sz w:val="28"/>
          <w:szCs w:val="28"/>
          <w:lang w:eastAsia="ar-SA"/>
        </w:rPr>
        <w:t>ë</w:t>
      </w:r>
      <w:r w:rsidRPr="00C57275">
        <w:rPr>
          <w:b/>
          <w:bCs/>
          <w:sz w:val="28"/>
          <w:szCs w:val="28"/>
          <w:lang w:eastAsia="ar-SA"/>
        </w:rPr>
        <w:t xml:space="preserve"> pik</w:t>
      </w:r>
      <w:r w:rsidR="00601321">
        <w:rPr>
          <w:b/>
          <w:bCs/>
          <w:sz w:val="28"/>
          <w:szCs w:val="28"/>
          <w:lang w:eastAsia="ar-SA"/>
        </w:rPr>
        <w:t>ë</w:t>
      </w:r>
      <w:r w:rsidRPr="00C57275">
        <w:rPr>
          <w:b/>
          <w:bCs/>
          <w:sz w:val="28"/>
          <w:szCs w:val="28"/>
          <w:lang w:eastAsia="ar-SA"/>
        </w:rPr>
        <w:t xml:space="preserve">n </w:t>
      </w:r>
      <w:r w:rsidRPr="00F94CDB">
        <w:rPr>
          <w:b/>
          <w:bCs/>
          <w:sz w:val="28"/>
          <w:szCs w:val="28"/>
          <w:lang w:eastAsia="ar-SA"/>
        </w:rPr>
        <w:t>1</w:t>
      </w:r>
      <w:r w:rsidRPr="00C57275">
        <w:rPr>
          <w:sz w:val="28"/>
          <w:szCs w:val="28"/>
          <w:lang w:eastAsia="ar-SA"/>
        </w:rPr>
        <w:t xml:space="preserve"> parashikohet</w:t>
      </w:r>
      <w:r w:rsidRPr="00F94CDB">
        <w:rPr>
          <w:sz w:val="28"/>
          <w:szCs w:val="28"/>
          <w:lang w:eastAsia="ar-SA"/>
        </w:rPr>
        <w:t xml:space="preserve"> </w:t>
      </w:r>
      <w:r w:rsidRPr="00C57275">
        <w:rPr>
          <w:sz w:val="28"/>
          <w:szCs w:val="28"/>
          <w:lang w:eastAsia="ar-SA"/>
        </w:rPr>
        <w:t>n</w:t>
      </w:r>
      <w:r w:rsidRPr="00F94CDB">
        <w:rPr>
          <w:sz w:val="28"/>
          <w:szCs w:val="28"/>
          <w:lang w:eastAsia="ar-SA"/>
        </w:rPr>
        <w:t>gritj</w:t>
      </w:r>
      <w:r w:rsidRPr="00C57275">
        <w:rPr>
          <w:sz w:val="28"/>
          <w:szCs w:val="28"/>
          <w:lang w:eastAsia="ar-SA"/>
        </w:rPr>
        <w:t xml:space="preserve">a </w:t>
      </w:r>
      <w:r w:rsidRPr="00F94CDB">
        <w:rPr>
          <w:sz w:val="28"/>
          <w:szCs w:val="28"/>
          <w:lang w:eastAsia="ar-SA"/>
        </w:rPr>
        <w:t>dhe funksionim</w:t>
      </w:r>
      <w:r w:rsidRPr="00C57275">
        <w:rPr>
          <w:sz w:val="28"/>
          <w:szCs w:val="28"/>
          <w:lang w:eastAsia="ar-SA"/>
        </w:rPr>
        <w:t>i i</w:t>
      </w:r>
      <w:r w:rsidRPr="00F94CDB">
        <w:rPr>
          <w:sz w:val="28"/>
          <w:szCs w:val="28"/>
          <w:lang w:eastAsia="ar-SA"/>
        </w:rPr>
        <w:t xml:space="preserve"> Komitetit Kombëtar për Bashkëpunimin Territorial Evropian, </w:t>
      </w:r>
      <w:r w:rsidR="00CE6754" w:rsidRPr="00C57275">
        <w:rPr>
          <w:sz w:val="28"/>
          <w:szCs w:val="28"/>
          <w:lang w:eastAsia="ar-SA"/>
        </w:rPr>
        <w:t>q</w:t>
      </w:r>
      <w:r w:rsidR="00601321">
        <w:rPr>
          <w:sz w:val="28"/>
          <w:szCs w:val="28"/>
          <w:lang w:eastAsia="ar-SA"/>
        </w:rPr>
        <w:t>ë</w:t>
      </w:r>
      <w:r w:rsidR="00CE6754" w:rsidRPr="00C57275">
        <w:rPr>
          <w:sz w:val="28"/>
          <w:szCs w:val="28"/>
          <w:lang w:eastAsia="ar-SA"/>
        </w:rPr>
        <w:t xml:space="preserve"> do t</w:t>
      </w:r>
      <w:r w:rsidR="00601321">
        <w:rPr>
          <w:sz w:val="28"/>
          <w:szCs w:val="28"/>
          <w:lang w:eastAsia="ar-SA"/>
        </w:rPr>
        <w:t>ë</w:t>
      </w:r>
      <w:r w:rsidR="00CE6754" w:rsidRPr="00C57275">
        <w:rPr>
          <w:sz w:val="28"/>
          <w:szCs w:val="28"/>
          <w:lang w:eastAsia="ar-SA"/>
        </w:rPr>
        <w:t xml:space="preserve"> sh</w:t>
      </w:r>
      <w:r w:rsidR="00601321">
        <w:rPr>
          <w:sz w:val="28"/>
          <w:szCs w:val="28"/>
          <w:lang w:eastAsia="ar-SA"/>
        </w:rPr>
        <w:t>ë</w:t>
      </w:r>
      <w:r w:rsidR="00CE6754" w:rsidRPr="00C57275">
        <w:rPr>
          <w:sz w:val="28"/>
          <w:szCs w:val="28"/>
          <w:lang w:eastAsia="ar-SA"/>
        </w:rPr>
        <w:t xml:space="preserve">rbej </w:t>
      </w:r>
      <w:r w:rsidRPr="00F94CDB">
        <w:rPr>
          <w:sz w:val="28"/>
          <w:szCs w:val="28"/>
          <w:lang w:eastAsia="ar-SA"/>
        </w:rPr>
        <w:t>si organ këshillimor</w:t>
      </w:r>
      <w:r w:rsidR="00CE6754" w:rsidRPr="00C57275">
        <w:rPr>
          <w:sz w:val="28"/>
          <w:szCs w:val="28"/>
          <w:lang w:eastAsia="ar-SA"/>
        </w:rPr>
        <w:t xml:space="preserve"> (konsultativ)</w:t>
      </w:r>
      <w:r w:rsidRPr="00F94CDB">
        <w:rPr>
          <w:sz w:val="28"/>
          <w:szCs w:val="28"/>
          <w:lang w:eastAsia="ar-SA"/>
        </w:rPr>
        <w:t xml:space="preserve"> pranë </w:t>
      </w:r>
      <w:r w:rsidRPr="00F94CDB">
        <w:rPr>
          <w:sz w:val="28"/>
          <w:szCs w:val="28"/>
          <w:lang w:val="en-GB" w:eastAsia="ar-SA"/>
        </w:rPr>
        <w:t>negociatorit përgjegjës për Kapitullin 22</w:t>
      </w:r>
      <w:r w:rsidRPr="00F94CDB">
        <w:rPr>
          <w:rFonts w:ascii="times-new-roman" w:eastAsia="Aptos" w:hAnsi="times-new-roman"/>
          <w:color w:val="000000"/>
          <w:kern w:val="2"/>
          <w:sz w:val="28"/>
          <w:szCs w:val="28"/>
          <w:shd w:val="clear" w:color="auto" w:fill="FFFFFF"/>
          <w:lang w:val="en-GB" w:eastAsia="en-US"/>
          <w14:ligatures w14:val="standardContextual"/>
        </w:rPr>
        <w:t xml:space="preserve"> “</w:t>
      </w:r>
      <w:r w:rsidRPr="00F94CDB">
        <w:rPr>
          <w:sz w:val="28"/>
          <w:szCs w:val="28"/>
          <w:lang w:val="en-GB" w:eastAsia="ar-SA"/>
        </w:rPr>
        <w:t>Politikat Rajonale të BE-së”</w:t>
      </w:r>
      <w:r w:rsidR="00CE6754" w:rsidRPr="00C57275">
        <w:rPr>
          <w:sz w:val="28"/>
          <w:szCs w:val="28"/>
          <w:lang w:eastAsia="ar-SA"/>
        </w:rPr>
        <w:t>. Ky Komitet do t</w:t>
      </w:r>
      <w:r w:rsidR="00601321">
        <w:rPr>
          <w:sz w:val="28"/>
          <w:szCs w:val="28"/>
          <w:lang w:eastAsia="ar-SA"/>
        </w:rPr>
        <w:t>ë</w:t>
      </w:r>
      <w:r w:rsidR="00CE6754" w:rsidRPr="00C57275">
        <w:rPr>
          <w:sz w:val="28"/>
          <w:szCs w:val="28"/>
          <w:lang w:eastAsia="ar-SA"/>
        </w:rPr>
        <w:t xml:space="preserve"> sh</w:t>
      </w:r>
      <w:r w:rsidR="00601321">
        <w:rPr>
          <w:sz w:val="28"/>
          <w:szCs w:val="28"/>
          <w:lang w:eastAsia="ar-SA"/>
        </w:rPr>
        <w:t>ë</w:t>
      </w:r>
      <w:r w:rsidR="00CE6754" w:rsidRPr="00C57275">
        <w:rPr>
          <w:sz w:val="28"/>
          <w:szCs w:val="28"/>
          <w:lang w:eastAsia="ar-SA"/>
        </w:rPr>
        <w:t>rbej si mekaniz</w:t>
      </w:r>
      <w:r w:rsidR="00601321">
        <w:rPr>
          <w:sz w:val="28"/>
          <w:szCs w:val="28"/>
          <w:lang w:eastAsia="ar-SA"/>
        </w:rPr>
        <w:t>ë</w:t>
      </w:r>
      <w:r w:rsidR="00CE6754" w:rsidRPr="00C57275">
        <w:rPr>
          <w:sz w:val="28"/>
          <w:szCs w:val="28"/>
          <w:lang w:eastAsia="ar-SA"/>
        </w:rPr>
        <w:t xml:space="preserve">m </w:t>
      </w:r>
      <w:r w:rsidRPr="00F94CDB">
        <w:rPr>
          <w:sz w:val="28"/>
          <w:szCs w:val="28"/>
          <w:lang w:eastAsia="ar-SA"/>
        </w:rPr>
        <w:t xml:space="preserve">për bashkërendimin </w:t>
      </w:r>
      <w:r w:rsidRPr="00F94CDB">
        <w:rPr>
          <w:sz w:val="28"/>
          <w:szCs w:val="28"/>
          <w:lang w:val="en-GB" w:eastAsia="ar-SA"/>
        </w:rPr>
        <w:t>e veprimtarive shtetërore</w:t>
      </w:r>
      <w:r w:rsidRPr="00F94CDB">
        <w:rPr>
          <w:sz w:val="28"/>
          <w:szCs w:val="28"/>
          <w:lang w:eastAsia="ar-SA"/>
        </w:rPr>
        <w:t xml:space="preserve"> në programimin e programeve ndërkufitare INTERREG dhe IPA pas vitit 2027. </w:t>
      </w:r>
      <w:r w:rsidR="002442B8" w:rsidRPr="00C57275">
        <w:rPr>
          <w:sz w:val="28"/>
          <w:szCs w:val="28"/>
          <w:lang w:eastAsia="ar-SA"/>
        </w:rPr>
        <w:t>Komiteti p</w:t>
      </w:r>
      <w:r w:rsidR="00601321">
        <w:rPr>
          <w:sz w:val="28"/>
          <w:szCs w:val="28"/>
          <w:lang w:eastAsia="ar-SA"/>
        </w:rPr>
        <w:t>ë</w:t>
      </w:r>
      <w:r w:rsidR="002442B8" w:rsidRPr="00C57275">
        <w:rPr>
          <w:sz w:val="28"/>
          <w:szCs w:val="28"/>
          <w:lang w:eastAsia="ar-SA"/>
        </w:rPr>
        <w:t>rb</w:t>
      </w:r>
      <w:r w:rsidR="00601321">
        <w:rPr>
          <w:sz w:val="28"/>
          <w:szCs w:val="28"/>
          <w:lang w:eastAsia="ar-SA"/>
        </w:rPr>
        <w:t>ë</w:t>
      </w:r>
      <w:r w:rsidR="002442B8" w:rsidRPr="00C57275">
        <w:rPr>
          <w:sz w:val="28"/>
          <w:szCs w:val="28"/>
          <w:lang w:eastAsia="ar-SA"/>
        </w:rPr>
        <w:t>n nj</w:t>
      </w:r>
      <w:r w:rsidR="00601321">
        <w:rPr>
          <w:sz w:val="28"/>
          <w:szCs w:val="28"/>
          <w:lang w:eastAsia="ar-SA"/>
        </w:rPr>
        <w:t>ë</w:t>
      </w:r>
      <w:r w:rsidR="002442B8" w:rsidRPr="00C57275">
        <w:rPr>
          <w:sz w:val="28"/>
          <w:szCs w:val="28"/>
          <w:lang w:eastAsia="ar-SA"/>
        </w:rPr>
        <w:t xml:space="preserve"> instrument ligjor p</w:t>
      </w:r>
      <w:r w:rsidR="00601321">
        <w:rPr>
          <w:sz w:val="28"/>
          <w:szCs w:val="28"/>
          <w:lang w:eastAsia="ar-SA"/>
        </w:rPr>
        <w:t>ë</w:t>
      </w:r>
      <w:r w:rsidR="002442B8" w:rsidRPr="00C57275">
        <w:rPr>
          <w:sz w:val="28"/>
          <w:szCs w:val="28"/>
          <w:lang w:eastAsia="ar-SA"/>
        </w:rPr>
        <w:t>r t</w:t>
      </w:r>
      <w:r w:rsidR="00601321">
        <w:rPr>
          <w:sz w:val="28"/>
          <w:szCs w:val="28"/>
          <w:lang w:eastAsia="ar-SA"/>
        </w:rPr>
        <w:t>ë</w:t>
      </w:r>
      <w:r w:rsidR="002442B8" w:rsidRPr="00C57275">
        <w:rPr>
          <w:sz w:val="28"/>
          <w:szCs w:val="28"/>
          <w:lang w:eastAsia="ar-SA"/>
        </w:rPr>
        <w:t xml:space="preserve"> siguruar </w:t>
      </w:r>
      <w:r w:rsidRPr="00F94CDB">
        <w:rPr>
          <w:sz w:val="28"/>
          <w:szCs w:val="28"/>
          <w:lang w:eastAsia="ar-SA"/>
        </w:rPr>
        <w:t>pjesëmarrjen së autoriteteve shqiptare në grupet e punës dhe komitetet përkatëse të programimit për programet ndërkufitare INTERREG dhe IPA, si dhe të mundësojë përcjelljen e mendimeve dhe komenteve të tyre pranë këtyre strukturave.</w:t>
      </w:r>
      <w:r w:rsidR="002442B8" w:rsidRPr="00C57275">
        <w:rPr>
          <w:sz w:val="28"/>
          <w:szCs w:val="28"/>
          <w:lang w:eastAsia="sq-AL"/>
        </w:rPr>
        <w:t xml:space="preserve"> </w:t>
      </w:r>
    </w:p>
    <w:p w14:paraId="3388877E" w14:textId="5C86678C" w:rsidR="00F94CDB" w:rsidRDefault="002442B8" w:rsidP="00F94CDB">
      <w:pPr>
        <w:suppressAutoHyphens/>
        <w:spacing w:line="288" w:lineRule="auto"/>
        <w:jc w:val="both"/>
        <w:rPr>
          <w:sz w:val="28"/>
          <w:szCs w:val="28"/>
          <w:lang w:eastAsia="ar-SA"/>
        </w:rPr>
      </w:pPr>
      <w:r w:rsidRPr="00C57275">
        <w:rPr>
          <w:b/>
          <w:bCs/>
          <w:sz w:val="28"/>
          <w:szCs w:val="28"/>
          <w:lang w:eastAsia="ar-SA"/>
        </w:rPr>
        <w:t xml:space="preserve">Pika </w:t>
      </w:r>
      <w:r w:rsidR="00F94CDB" w:rsidRPr="00F94CDB">
        <w:rPr>
          <w:b/>
          <w:bCs/>
          <w:sz w:val="28"/>
          <w:szCs w:val="28"/>
          <w:lang w:eastAsia="ar-SA"/>
        </w:rPr>
        <w:t>2</w:t>
      </w:r>
      <w:r w:rsidRPr="00C57275">
        <w:rPr>
          <w:sz w:val="28"/>
          <w:szCs w:val="28"/>
          <w:lang w:eastAsia="ar-SA"/>
        </w:rPr>
        <w:t xml:space="preserve"> rregullon p</w:t>
      </w:r>
      <w:r w:rsidR="00601321">
        <w:rPr>
          <w:sz w:val="28"/>
          <w:szCs w:val="28"/>
          <w:lang w:eastAsia="ar-SA"/>
        </w:rPr>
        <w:t>ë</w:t>
      </w:r>
      <w:r w:rsidRPr="00C57275">
        <w:rPr>
          <w:sz w:val="28"/>
          <w:szCs w:val="28"/>
          <w:lang w:eastAsia="ar-SA"/>
        </w:rPr>
        <w:t>rb</w:t>
      </w:r>
      <w:r w:rsidR="00601321">
        <w:rPr>
          <w:sz w:val="28"/>
          <w:szCs w:val="28"/>
          <w:lang w:eastAsia="ar-SA"/>
        </w:rPr>
        <w:t>ë</w:t>
      </w:r>
      <w:r w:rsidRPr="00C57275">
        <w:rPr>
          <w:sz w:val="28"/>
          <w:szCs w:val="28"/>
          <w:lang w:eastAsia="ar-SA"/>
        </w:rPr>
        <w:t>rjen e Komitetit, duke p</w:t>
      </w:r>
      <w:r w:rsidR="00601321">
        <w:rPr>
          <w:sz w:val="28"/>
          <w:szCs w:val="28"/>
          <w:lang w:eastAsia="ar-SA"/>
        </w:rPr>
        <w:t>ë</w:t>
      </w:r>
      <w:r w:rsidRPr="00C57275">
        <w:rPr>
          <w:sz w:val="28"/>
          <w:szCs w:val="28"/>
          <w:lang w:eastAsia="ar-SA"/>
        </w:rPr>
        <w:t>rfshir</w:t>
      </w:r>
      <w:r w:rsidR="00601321">
        <w:rPr>
          <w:sz w:val="28"/>
          <w:szCs w:val="28"/>
          <w:lang w:eastAsia="ar-SA"/>
        </w:rPr>
        <w:t>ë</w:t>
      </w:r>
      <w:r w:rsidRPr="00C57275">
        <w:rPr>
          <w:sz w:val="28"/>
          <w:szCs w:val="28"/>
          <w:lang w:eastAsia="ar-SA"/>
        </w:rPr>
        <w:t xml:space="preserve"> </w:t>
      </w:r>
      <w:r w:rsidR="00735D9A">
        <w:rPr>
          <w:sz w:val="28"/>
          <w:szCs w:val="28"/>
          <w:lang w:eastAsia="ar-SA"/>
        </w:rPr>
        <w:t xml:space="preserve">edhe kryesimin </w:t>
      </w:r>
      <w:r w:rsidR="00F94CDB" w:rsidRPr="00F94CDB">
        <w:rPr>
          <w:sz w:val="28"/>
          <w:szCs w:val="28"/>
          <w:lang w:eastAsia="ar-SA"/>
        </w:rPr>
        <w:t>nga</w:t>
      </w:r>
      <w:r w:rsidR="0055445F">
        <w:rPr>
          <w:sz w:val="28"/>
          <w:szCs w:val="28"/>
          <w:lang w:eastAsia="ar-SA"/>
        </w:rPr>
        <w:t xml:space="preserve"> negociatori përgjegjës për Kapitullin 22; </w:t>
      </w:r>
      <w:r w:rsidR="007563F7" w:rsidRPr="00C57275">
        <w:rPr>
          <w:sz w:val="28"/>
          <w:szCs w:val="28"/>
          <w:lang w:eastAsia="ar-SA"/>
        </w:rPr>
        <w:t>P</w:t>
      </w:r>
      <w:r w:rsidR="00601321">
        <w:rPr>
          <w:sz w:val="28"/>
          <w:szCs w:val="28"/>
          <w:lang w:eastAsia="ar-SA"/>
        </w:rPr>
        <w:t>ë</w:t>
      </w:r>
      <w:r w:rsidR="007563F7" w:rsidRPr="00C57275">
        <w:rPr>
          <w:sz w:val="28"/>
          <w:szCs w:val="28"/>
          <w:lang w:eastAsia="ar-SA"/>
        </w:rPr>
        <w:t>rb</w:t>
      </w:r>
      <w:r w:rsidR="00601321">
        <w:rPr>
          <w:sz w:val="28"/>
          <w:szCs w:val="28"/>
          <w:lang w:eastAsia="ar-SA"/>
        </w:rPr>
        <w:t>ë</w:t>
      </w:r>
      <w:r w:rsidR="007563F7" w:rsidRPr="00C57275">
        <w:rPr>
          <w:sz w:val="28"/>
          <w:szCs w:val="28"/>
          <w:lang w:eastAsia="ar-SA"/>
        </w:rPr>
        <w:t>rja garanton pjes</w:t>
      </w:r>
      <w:r w:rsidR="00601321">
        <w:rPr>
          <w:sz w:val="28"/>
          <w:szCs w:val="28"/>
          <w:lang w:eastAsia="ar-SA"/>
        </w:rPr>
        <w:t>ë</w:t>
      </w:r>
      <w:r w:rsidR="007563F7" w:rsidRPr="00C57275">
        <w:rPr>
          <w:sz w:val="28"/>
          <w:szCs w:val="28"/>
          <w:lang w:eastAsia="ar-SA"/>
        </w:rPr>
        <w:t>marrje t</w:t>
      </w:r>
      <w:r w:rsidR="00601321">
        <w:rPr>
          <w:sz w:val="28"/>
          <w:szCs w:val="28"/>
          <w:lang w:eastAsia="ar-SA"/>
        </w:rPr>
        <w:t>ë</w:t>
      </w:r>
      <w:r w:rsidR="007563F7" w:rsidRPr="00C57275">
        <w:rPr>
          <w:sz w:val="28"/>
          <w:szCs w:val="28"/>
          <w:lang w:eastAsia="ar-SA"/>
        </w:rPr>
        <w:t xml:space="preserve"> qeverisjes q</w:t>
      </w:r>
      <w:r w:rsidR="00601321">
        <w:rPr>
          <w:sz w:val="28"/>
          <w:szCs w:val="28"/>
          <w:lang w:eastAsia="ar-SA"/>
        </w:rPr>
        <w:t>ë</w:t>
      </w:r>
      <w:r w:rsidR="007563F7" w:rsidRPr="00C57275">
        <w:rPr>
          <w:sz w:val="28"/>
          <w:szCs w:val="28"/>
          <w:lang w:eastAsia="ar-SA"/>
        </w:rPr>
        <w:t>ndrore dhe vendore, n</w:t>
      </w:r>
      <w:r w:rsidR="00601321">
        <w:rPr>
          <w:sz w:val="28"/>
          <w:szCs w:val="28"/>
          <w:lang w:eastAsia="ar-SA"/>
        </w:rPr>
        <w:t>ë</w:t>
      </w:r>
      <w:r w:rsidR="007563F7" w:rsidRPr="00C57275">
        <w:rPr>
          <w:sz w:val="28"/>
          <w:szCs w:val="28"/>
          <w:lang w:eastAsia="ar-SA"/>
        </w:rPr>
        <w:t xml:space="preserve"> p</w:t>
      </w:r>
      <w:r w:rsidR="00601321">
        <w:rPr>
          <w:sz w:val="28"/>
          <w:szCs w:val="28"/>
          <w:lang w:eastAsia="ar-SA"/>
        </w:rPr>
        <w:t>ë</w:t>
      </w:r>
      <w:r w:rsidR="007563F7" w:rsidRPr="00C57275">
        <w:rPr>
          <w:sz w:val="28"/>
          <w:szCs w:val="28"/>
          <w:lang w:eastAsia="ar-SA"/>
        </w:rPr>
        <w:t>rputhje me kompetencat e parashikuara n</w:t>
      </w:r>
      <w:r w:rsidR="00601321">
        <w:rPr>
          <w:sz w:val="28"/>
          <w:szCs w:val="28"/>
          <w:lang w:eastAsia="ar-SA"/>
        </w:rPr>
        <w:t>ë</w:t>
      </w:r>
      <w:r w:rsidR="007563F7" w:rsidRPr="00C57275">
        <w:rPr>
          <w:sz w:val="28"/>
          <w:szCs w:val="28"/>
          <w:lang w:eastAsia="ar-SA"/>
        </w:rPr>
        <w:t xml:space="preserve"> legjislacionin n</w:t>
      </w:r>
      <w:r w:rsidR="00601321">
        <w:rPr>
          <w:sz w:val="28"/>
          <w:szCs w:val="28"/>
          <w:lang w:eastAsia="ar-SA"/>
        </w:rPr>
        <w:t>ë</w:t>
      </w:r>
      <w:r w:rsidR="007563F7" w:rsidRPr="00C57275">
        <w:rPr>
          <w:sz w:val="28"/>
          <w:szCs w:val="28"/>
          <w:lang w:eastAsia="ar-SA"/>
        </w:rPr>
        <w:t xml:space="preserve"> fuqi p</w:t>
      </w:r>
      <w:r w:rsidR="00601321">
        <w:rPr>
          <w:sz w:val="28"/>
          <w:szCs w:val="28"/>
          <w:lang w:eastAsia="ar-SA"/>
        </w:rPr>
        <w:t>ë</w:t>
      </w:r>
      <w:r w:rsidR="007563F7" w:rsidRPr="00C57275">
        <w:rPr>
          <w:sz w:val="28"/>
          <w:szCs w:val="28"/>
          <w:lang w:eastAsia="ar-SA"/>
        </w:rPr>
        <w:t>r secilin prej tyre. Propozohet q</w:t>
      </w:r>
      <w:r w:rsidR="00601321">
        <w:rPr>
          <w:sz w:val="28"/>
          <w:szCs w:val="28"/>
          <w:lang w:eastAsia="ar-SA"/>
        </w:rPr>
        <w:t>ë</w:t>
      </w:r>
      <w:r w:rsidR="007563F7" w:rsidRPr="00C57275">
        <w:rPr>
          <w:sz w:val="28"/>
          <w:szCs w:val="28"/>
          <w:lang w:eastAsia="ar-SA"/>
        </w:rPr>
        <w:t xml:space="preserve"> p</w:t>
      </w:r>
      <w:r w:rsidR="00601321">
        <w:rPr>
          <w:sz w:val="28"/>
          <w:szCs w:val="28"/>
          <w:lang w:eastAsia="ar-SA"/>
        </w:rPr>
        <w:t>ë</w:t>
      </w:r>
      <w:r w:rsidR="007563F7" w:rsidRPr="00C57275">
        <w:rPr>
          <w:sz w:val="28"/>
          <w:szCs w:val="28"/>
          <w:lang w:eastAsia="ar-SA"/>
        </w:rPr>
        <w:t>rveç SASPAC, qeverisja qendrore t</w:t>
      </w:r>
      <w:r w:rsidR="00601321">
        <w:rPr>
          <w:sz w:val="28"/>
          <w:szCs w:val="28"/>
          <w:lang w:eastAsia="ar-SA"/>
        </w:rPr>
        <w:t>ë</w:t>
      </w:r>
      <w:r w:rsidR="007563F7" w:rsidRPr="00C57275">
        <w:rPr>
          <w:sz w:val="28"/>
          <w:szCs w:val="28"/>
          <w:lang w:eastAsia="ar-SA"/>
        </w:rPr>
        <w:t xml:space="preserve"> </w:t>
      </w:r>
      <w:r w:rsidR="007563F7" w:rsidRPr="00C57275">
        <w:rPr>
          <w:sz w:val="28"/>
          <w:szCs w:val="28"/>
          <w:lang w:eastAsia="ar-SA"/>
        </w:rPr>
        <w:lastRenderedPageBreak/>
        <w:t>p</w:t>
      </w:r>
      <w:r w:rsidR="00601321">
        <w:rPr>
          <w:sz w:val="28"/>
          <w:szCs w:val="28"/>
          <w:lang w:eastAsia="ar-SA"/>
        </w:rPr>
        <w:t>ë</w:t>
      </w:r>
      <w:r w:rsidR="007563F7" w:rsidRPr="00C57275">
        <w:rPr>
          <w:sz w:val="28"/>
          <w:szCs w:val="28"/>
          <w:lang w:eastAsia="ar-SA"/>
        </w:rPr>
        <w:t>rfaq</w:t>
      </w:r>
      <w:r w:rsidR="00601321">
        <w:rPr>
          <w:sz w:val="28"/>
          <w:szCs w:val="28"/>
          <w:lang w:eastAsia="ar-SA"/>
        </w:rPr>
        <w:t>ë</w:t>
      </w:r>
      <w:r w:rsidR="007563F7" w:rsidRPr="00C57275">
        <w:rPr>
          <w:sz w:val="28"/>
          <w:szCs w:val="28"/>
          <w:lang w:eastAsia="ar-SA"/>
        </w:rPr>
        <w:t xml:space="preserve">sohet edhe me </w:t>
      </w:r>
      <w:r w:rsidR="007563F7" w:rsidRPr="00F94CDB">
        <w:rPr>
          <w:sz w:val="28"/>
          <w:szCs w:val="28"/>
          <w:lang w:eastAsia="ar-SA"/>
        </w:rPr>
        <w:t xml:space="preserve">Agjencisë për Mbështetjen e Vetëqeverisjes Vendore </w:t>
      </w:r>
      <w:r w:rsidR="007563F7" w:rsidRPr="00C57275">
        <w:rPr>
          <w:sz w:val="28"/>
          <w:szCs w:val="28"/>
          <w:lang w:eastAsia="ar-SA"/>
        </w:rPr>
        <w:t>(AMVV) dhe Fondin Shqiptar t</w:t>
      </w:r>
      <w:r w:rsidR="00601321">
        <w:rPr>
          <w:sz w:val="28"/>
          <w:szCs w:val="28"/>
          <w:lang w:eastAsia="ar-SA"/>
        </w:rPr>
        <w:t>ë</w:t>
      </w:r>
      <w:r w:rsidR="007563F7" w:rsidRPr="00C57275">
        <w:rPr>
          <w:sz w:val="28"/>
          <w:szCs w:val="28"/>
          <w:lang w:eastAsia="ar-SA"/>
        </w:rPr>
        <w:t xml:space="preserve"> Zhvillimit. Nga ana tjet</w:t>
      </w:r>
      <w:r w:rsidR="00601321">
        <w:rPr>
          <w:sz w:val="28"/>
          <w:szCs w:val="28"/>
          <w:lang w:eastAsia="ar-SA"/>
        </w:rPr>
        <w:t>ë</w:t>
      </w:r>
      <w:r w:rsidR="007563F7" w:rsidRPr="00C57275">
        <w:rPr>
          <w:sz w:val="28"/>
          <w:szCs w:val="28"/>
          <w:lang w:eastAsia="ar-SA"/>
        </w:rPr>
        <w:t>r, qeverisja vendore p</w:t>
      </w:r>
      <w:r w:rsidR="00601321">
        <w:rPr>
          <w:sz w:val="28"/>
          <w:szCs w:val="28"/>
          <w:lang w:eastAsia="ar-SA"/>
        </w:rPr>
        <w:t>ë</w:t>
      </w:r>
      <w:r w:rsidR="007563F7" w:rsidRPr="00C57275">
        <w:rPr>
          <w:sz w:val="28"/>
          <w:szCs w:val="28"/>
          <w:lang w:eastAsia="ar-SA"/>
        </w:rPr>
        <w:t>rfaq</w:t>
      </w:r>
      <w:r w:rsidR="00601321">
        <w:rPr>
          <w:sz w:val="28"/>
          <w:szCs w:val="28"/>
          <w:lang w:eastAsia="ar-SA"/>
        </w:rPr>
        <w:t>ë</w:t>
      </w:r>
      <w:r w:rsidR="007563F7" w:rsidRPr="00C57275">
        <w:rPr>
          <w:sz w:val="28"/>
          <w:szCs w:val="28"/>
          <w:lang w:eastAsia="ar-SA"/>
        </w:rPr>
        <w:t xml:space="preserve">sohet nga </w:t>
      </w:r>
      <w:r w:rsidR="0055445F">
        <w:rPr>
          <w:sz w:val="28"/>
          <w:szCs w:val="28"/>
          <w:lang w:eastAsia="ar-SA"/>
        </w:rPr>
        <w:t>5</w:t>
      </w:r>
      <w:r w:rsidR="007563F7" w:rsidRPr="00C57275">
        <w:rPr>
          <w:sz w:val="28"/>
          <w:szCs w:val="28"/>
          <w:lang w:eastAsia="ar-SA"/>
        </w:rPr>
        <w:t xml:space="preserve"> (</w:t>
      </w:r>
      <w:r w:rsidR="0055445F">
        <w:rPr>
          <w:sz w:val="28"/>
          <w:szCs w:val="28"/>
          <w:lang w:eastAsia="ar-SA"/>
        </w:rPr>
        <w:t>pesë</w:t>
      </w:r>
      <w:r w:rsidR="007563F7" w:rsidRPr="00C57275">
        <w:rPr>
          <w:sz w:val="28"/>
          <w:szCs w:val="28"/>
          <w:lang w:eastAsia="ar-SA"/>
        </w:rPr>
        <w:t>)</w:t>
      </w:r>
      <w:r w:rsidR="00F94CDB" w:rsidRPr="00F94CDB">
        <w:rPr>
          <w:sz w:val="28"/>
          <w:szCs w:val="28"/>
          <w:lang w:eastAsia="ar-SA"/>
        </w:rPr>
        <w:t xml:space="preserve"> përfaqësues, kryetar bashkie, të zgjedhur nga s</w:t>
      </w:r>
      <w:r w:rsidR="00F94CDB" w:rsidRPr="00F94CDB">
        <w:rPr>
          <w:sz w:val="28"/>
          <w:szCs w:val="28"/>
          <w:lang w:val="en-GB" w:eastAsia="ar-SA"/>
        </w:rPr>
        <w:t>hoqata Kombëtëre e Bashkive të Shqipërisë (SHKBSH), duke garantuar pluralitet politik dhe përfaqësim gjeografik dhe territorial</w:t>
      </w:r>
      <w:r w:rsidR="007563F7" w:rsidRPr="00C57275">
        <w:rPr>
          <w:sz w:val="28"/>
          <w:szCs w:val="28"/>
          <w:lang w:val="en-GB" w:eastAsia="ar-SA"/>
        </w:rPr>
        <w:t xml:space="preserve"> si dhe </w:t>
      </w:r>
      <w:r w:rsidR="0055445F">
        <w:rPr>
          <w:sz w:val="28"/>
          <w:szCs w:val="28"/>
          <w:lang w:eastAsia="ar-SA"/>
        </w:rPr>
        <w:t>3</w:t>
      </w:r>
      <w:r w:rsidR="007563F7" w:rsidRPr="00C57275">
        <w:rPr>
          <w:sz w:val="28"/>
          <w:szCs w:val="28"/>
          <w:lang w:eastAsia="ar-SA"/>
        </w:rPr>
        <w:t xml:space="preserve"> (</w:t>
      </w:r>
      <w:r w:rsidR="0055445F">
        <w:rPr>
          <w:sz w:val="28"/>
          <w:szCs w:val="28"/>
          <w:lang w:eastAsia="ar-SA"/>
        </w:rPr>
        <w:t>tre</w:t>
      </w:r>
      <w:r w:rsidR="007563F7" w:rsidRPr="00C57275">
        <w:rPr>
          <w:sz w:val="28"/>
          <w:szCs w:val="28"/>
          <w:lang w:val="en-GB" w:eastAsia="ar-SA"/>
        </w:rPr>
        <w:t>)</w:t>
      </w:r>
      <w:r w:rsidR="00F94CDB" w:rsidRPr="00F94CDB">
        <w:rPr>
          <w:sz w:val="28"/>
          <w:szCs w:val="28"/>
          <w:lang w:val="en-GB" w:eastAsia="ar-SA"/>
        </w:rPr>
        <w:t xml:space="preserve"> përfaqësues i zgjedhur nga shoqata e Qarqeve</w:t>
      </w:r>
      <w:r w:rsidR="00C57275" w:rsidRPr="00C57275">
        <w:rPr>
          <w:sz w:val="28"/>
          <w:szCs w:val="28"/>
          <w:lang w:val="en-GB" w:eastAsia="ar-SA"/>
        </w:rPr>
        <w:t>. Ky rregullim reflekton edhe parashikimet n</w:t>
      </w:r>
      <w:r w:rsidR="00601321">
        <w:rPr>
          <w:sz w:val="28"/>
          <w:szCs w:val="28"/>
          <w:lang w:val="en-GB" w:eastAsia="ar-SA"/>
        </w:rPr>
        <w:t>ë</w:t>
      </w:r>
      <w:r w:rsidR="00C57275" w:rsidRPr="00C57275">
        <w:rPr>
          <w:sz w:val="28"/>
          <w:szCs w:val="28"/>
          <w:lang w:val="en-GB" w:eastAsia="ar-SA"/>
        </w:rPr>
        <w:t xml:space="preserve"> </w:t>
      </w:r>
      <w:r w:rsidR="00C57275" w:rsidRPr="00743495">
        <w:rPr>
          <w:sz w:val="28"/>
          <w:szCs w:val="28"/>
          <w:lang w:eastAsia="ar-SA"/>
        </w:rPr>
        <w:t>VKM nr.244, datë 17.04.2024 “</w:t>
      </w:r>
      <w:r w:rsidR="00C57275" w:rsidRPr="00743495">
        <w:rPr>
          <w:i/>
          <w:iCs/>
          <w:sz w:val="28"/>
          <w:szCs w:val="28"/>
          <w:lang w:eastAsia="ar-SA"/>
        </w:rPr>
        <w:t>Për mënyrën e organizimit e të funksionimit të Këshillit Konsultativ të qeverisjes qendrore me vetëqeverisjen vendore</w:t>
      </w:r>
      <w:r w:rsidR="00C57275" w:rsidRPr="00743495">
        <w:rPr>
          <w:sz w:val="28"/>
          <w:szCs w:val="28"/>
          <w:lang w:eastAsia="ar-SA"/>
        </w:rPr>
        <w:t>”</w:t>
      </w:r>
      <w:r w:rsidR="00C57275" w:rsidRPr="00C57275">
        <w:rPr>
          <w:sz w:val="28"/>
          <w:szCs w:val="28"/>
          <w:lang w:eastAsia="ar-SA"/>
        </w:rPr>
        <w:t>.</w:t>
      </w:r>
    </w:p>
    <w:p w14:paraId="2A040B06" w14:textId="77777777" w:rsidR="00735D9A" w:rsidRPr="00F94CDB" w:rsidRDefault="00735D9A" w:rsidP="00F94CDB">
      <w:pPr>
        <w:suppressAutoHyphens/>
        <w:spacing w:line="288" w:lineRule="auto"/>
        <w:jc w:val="both"/>
        <w:rPr>
          <w:sz w:val="28"/>
          <w:szCs w:val="28"/>
          <w:lang w:eastAsia="ar-SA"/>
        </w:rPr>
      </w:pPr>
    </w:p>
    <w:p w14:paraId="17C2A99E" w14:textId="4A79DE53" w:rsidR="00F94CDB" w:rsidRPr="00F94CDB" w:rsidRDefault="00C93F41" w:rsidP="00F94CDB">
      <w:pPr>
        <w:suppressAutoHyphens/>
        <w:spacing w:line="288" w:lineRule="auto"/>
        <w:jc w:val="both"/>
        <w:rPr>
          <w:sz w:val="28"/>
          <w:szCs w:val="28"/>
          <w:lang w:val="en-GB" w:eastAsia="ar-SA"/>
        </w:rPr>
      </w:pPr>
      <w:r w:rsidRPr="00EA459F">
        <w:rPr>
          <w:b/>
          <w:bCs/>
          <w:sz w:val="28"/>
          <w:szCs w:val="28"/>
          <w:lang w:eastAsia="ar-SA"/>
        </w:rPr>
        <w:t>N</w:t>
      </w:r>
      <w:r w:rsidR="00601321">
        <w:rPr>
          <w:b/>
          <w:bCs/>
          <w:sz w:val="28"/>
          <w:szCs w:val="28"/>
          <w:lang w:eastAsia="ar-SA"/>
        </w:rPr>
        <w:t>ë</w:t>
      </w:r>
      <w:r w:rsidRPr="00EA459F">
        <w:rPr>
          <w:b/>
          <w:bCs/>
          <w:sz w:val="28"/>
          <w:szCs w:val="28"/>
          <w:lang w:eastAsia="ar-SA"/>
        </w:rPr>
        <w:t xml:space="preserve"> pik</w:t>
      </w:r>
      <w:r w:rsidR="00601321">
        <w:rPr>
          <w:b/>
          <w:bCs/>
          <w:sz w:val="28"/>
          <w:szCs w:val="28"/>
          <w:lang w:eastAsia="ar-SA"/>
        </w:rPr>
        <w:t>ë</w:t>
      </w:r>
      <w:r w:rsidRPr="00EA459F">
        <w:rPr>
          <w:b/>
          <w:bCs/>
          <w:sz w:val="28"/>
          <w:szCs w:val="28"/>
          <w:lang w:eastAsia="ar-SA"/>
        </w:rPr>
        <w:t xml:space="preserve">n </w:t>
      </w:r>
      <w:r w:rsidR="00F94CDB" w:rsidRPr="00F94CDB">
        <w:rPr>
          <w:b/>
          <w:bCs/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 xml:space="preserve"> parashikohet</w:t>
      </w:r>
      <w:r w:rsidR="00F94CDB" w:rsidRPr="00F94CD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en-GB" w:eastAsia="ar-SA"/>
        </w:rPr>
        <w:t>f</w:t>
      </w:r>
      <w:r w:rsidR="00F94CDB" w:rsidRPr="00F94CDB">
        <w:rPr>
          <w:sz w:val="28"/>
          <w:szCs w:val="28"/>
          <w:lang w:val="en-GB" w:eastAsia="ar-SA"/>
        </w:rPr>
        <w:t xml:space="preserve">usha e veprimtarisë së Komitetit </w:t>
      </w:r>
      <w:r w:rsidR="00EA459F">
        <w:rPr>
          <w:sz w:val="28"/>
          <w:szCs w:val="28"/>
          <w:lang w:val="en-GB" w:eastAsia="ar-SA"/>
        </w:rPr>
        <w:t>q</w:t>
      </w:r>
      <w:r w:rsidR="00601321">
        <w:rPr>
          <w:sz w:val="28"/>
          <w:szCs w:val="28"/>
          <w:lang w:val="en-GB" w:eastAsia="ar-SA"/>
        </w:rPr>
        <w:t>ë</w:t>
      </w:r>
      <w:r w:rsidR="00EA459F">
        <w:rPr>
          <w:sz w:val="28"/>
          <w:szCs w:val="28"/>
          <w:lang w:val="en-GB" w:eastAsia="ar-SA"/>
        </w:rPr>
        <w:t xml:space="preserve"> </w:t>
      </w:r>
      <w:r w:rsidR="00F94CDB" w:rsidRPr="00F94CDB">
        <w:rPr>
          <w:sz w:val="28"/>
          <w:szCs w:val="28"/>
          <w:lang w:val="en-GB" w:eastAsia="ar-SA"/>
        </w:rPr>
        <w:t>përfshin:</w:t>
      </w:r>
    </w:p>
    <w:p w14:paraId="21F1D8C2" w14:textId="77777777" w:rsidR="00F94CDB" w:rsidRPr="00F94CDB" w:rsidRDefault="00F94CDB" w:rsidP="00F94CDB">
      <w:pPr>
        <w:suppressAutoHyphens/>
        <w:spacing w:line="288" w:lineRule="auto"/>
        <w:jc w:val="both"/>
        <w:rPr>
          <w:sz w:val="28"/>
          <w:szCs w:val="28"/>
          <w:lang w:eastAsia="ar-SA"/>
        </w:rPr>
      </w:pPr>
      <w:r w:rsidRPr="00F94CDB">
        <w:rPr>
          <w:sz w:val="28"/>
          <w:szCs w:val="28"/>
          <w:lang w:eastAsia="ar-SA"/>
        </w:rPr>
        <w:t>a. Promovimin dhe koordinimin e pjesëmarrjes së njësive të qeverisjes vendore në të gjitha programet e Bashkëpunimit Territorial Evropian;</w:t>
      </w:r>
    </w:p>
    <w:p w14:paraId="56155375" w14:textId="77777777" w:rsidR="00F94CDB" w:rsidRPr="00F94CDB" w:rsidRDefault="00F94CDB" w:rsidP="00F94CDB">
      <w:pPr>
        <w:suppressAutoHyphens/>
        <w:spacing w:line="288" w:lineRule="auto"/>
        <w:jc w:val="both"/>
        <w:rPr>
          <w:sz w:val="28"/>
          <w:szCs w:val="28"/>
          <w:lang w:eastAsia="ar-SA"/>
        </w:rPr>
      </w:pPr>
      <w:r w:rsidRPr="00F94CDB">
        <w:rPr>
          <w:sz w:val="28"/>
          <w:szCs w:val="28"/>
          <w:lang w:eastAsia="ar-SA"/>
        </w:rPr>
        <w:t>b. Identifikimin e çdo pengese strukturore që ndikon në pjesëmarrjen e njësive të qeverisjes vendore në programet e Bashkëpunimit Territorial, si dhe mekanizmat për mënjanimin e tyre;</w:t>
      </w:r>
    </w:p>
    <w:p w14:paraId="0B2F8633" w14:textId="77777777" w:rsidR="00F94CDB" w:rsidRPr="00F94CDB" w:rsidRDefault="00F94CDB" w:rsidP="00F94CDB">
      <w:pPr>
        <w:suppressAutoHyphens/>
        <w:spacing w:line="288" w:lineRule="auto"/>
        <w:jc w:val="both"/>
        <w:rPr>
          <w:sz w:val="28"/>
          <w:szCs w:val="28"/>
          <w:lang w:eastAsia="ar-SA"/>
        </w:rPr>
      </w:pPr>
      <w:r w:rsidRPr="00F94CDB">
        <w:rPr>
          <w:sz w:val="28"/>
          <w:szCs w:val="28"/>
          <w:lang w:eastAsia="ar-SA"/>
        </w:rPr>
        <w:t>c. Siguron angazhimin dhe konsultimin e aktorëve të ndryshëm në nivele të ndryshëm qeverisje në lidhje me Strategjinë e Bashkimit Evropian për Rajonin Adriatiko-Jonian (EUSAIR);</w:t>
      </w:r>
    </w:p>
    <w:p w14:paraId="393C0C13" w14:textId="77777777" w:rsidR="00F94CDB" w:rsidRPr="00F94CDB" w:rsidRDefault="00F94CDB" w:rsidP="00F94CDB">
      <w:pPr>
        <w:suppressAutoHyphens/>
        <w:spacing w:line="288" w:lineRule="auto"/>
        <w:jc w:val="both"/>
        <w:rPr>
          <w:sz w:val="28"/>
          <w:szCs w:val="28"/>
          <w:lang w:eastAsia="ar-SA"/>
        </w:rPr>
      </w:pPr>
      <w:r w:rsidRPr="00F94CDB">
        <w:rPr>
          <w:sz w:val="28"/>
          <w:szCs w:val="28"/>
          <w:lang w:eastAsia="ar-SA"/>
        </w:rPr>
        <w:t>ç. Garantimin e pjesëmarrjes së njësive të qeverisjes vendore shqiptare në procesin e programimit në nivel kombëtar për programet e bashkëpunimit territorial INTERREG dhe IPA;</w:t>
      </w:r>
    </w:p>
    <w:p w14:paraId="4FA7FB8F" w14:textId="77777777" w:rsidR="00F94CDB" w:rsidRPr="00F94CDB" w:rsidRDefault="00F94CDB" w:rsidP="00F94CDB">
      <w:pPr>
        <w:suppressAutoHyphens/>
        <w:spacing w:line="288" w:lineRule="auto"/>
        <w:jc w:val="both"/>
        <w:rPr>
          <w:sz w:val="28"/>
          <w:szCs w:val="28"/>
          <w:lang w:eastAsia="ar-SA"/>
        </w:rPr>
      </w:pPr>
      <w:r w:rsidRPr="00F94CDB">
        <w:rPr>
          <w:sz w:val="28"/>
          <w:szCs w:val="28"/>
          <w:lang w:eastAsia="ar-SA"/>
        </w:rPr>
        <w:t>d. Shpërndarjen e rezultateve të projekteve të Bashkëpunimit Territorial Evropian dhe praktikave më të mira;</w:t>
      </w:r>
    </w:p>
    <w:p w14:paraId="7A6A81CD" w14:textId="2A65D510" w:rsidR="00F94CDB" w:rsidRPr="00F94CDB" w:rsidRDefault="00601321" w:rsidP="00F94CDB">
      <w:pPr>
        <w:suppressAutoHyphens/>
        <w:spacing w:line="288" w:lineRule="auto"/>
        <w:jc w:val="both"/>
        <w:rPr>
          <w:sz w:val="28"/>
          <w:szCs w:val="28"/>
          <w:lang w:val="en-GB" w:eastAsia="ar-SA"/>
        </w:rPr>
      </w:pPr>
      <w:r w:rsidRPr="00735D9A">
        <w:rPr>
          <w:b/>
          <w:bCs/>
          <w:sz w:val="28"/>
          <w:szCs w:val="28"/>
          <w:lang w:val="en-GB" w:eastAsia="ar-SA"/>
        </w:rPr>
        <w:t xml:space="preserve">Në pikën </w:t>
      </w:r>
      <w:r w:rsidR="00F94CDB" w:rsidRPr="00F94CDB">
        <w:rPr>
          <w:b/>
          <w:bCs/>
          <w:sz w:val="28"/>
          <w:szCs w:val="28"/>
          <w:lang w:val="en-GB" w:eastAsia="ar-SA"/>
        </w:rPr>
        <w:t>4</w:t>
      </w:r>
      <w:r>
        <w:rPr>
          <w:sz w:val="28"/>
          <w:szCs w:val="28"/>
          <w:lang w:val="en-GB" w:eastAsia="ar-SA"/>
        </w:rPr>
        <w:t xml:space="preserve"> parashikohen frekuenca e takimeve të</w:t>
      </w:r>
      <w:r w:rsidR="00F94CDB" w:rsidRPr="00F94CDB">
        <w:rPr>
          <w:sz w:val="28"/>
          <w:szCs w:val="28"/>
          <w:lang w:val="en-GB" w:eastAsia="ar-SA"/>
        </w:rPr>
        <w:t xml:space="preserve"> Komiteti</w:t>
      </w:r>
      <w:r>
        <w:rPr>
          <w:sz w:val="28"/>
          <w:szCs w:val="28"/>
          <w:lang w:val="en-GB" w:eastAsia="ar-SA"/>
        </w:rPr>
        <w:t>t. Kështu parashikohet që Komiteti të</w:t>
      </w:r>
      <w:r w:rsidR="00F94CDB" w:rsidRPr="00F94CDB">
        <w:rPr>
          <w:sz w:val="28"/>
          <w:szCs w:val="28"/>
          <w:lang w:val="en-GB" w:eastAsia="ar-SA"/>
        </w:rPr>
        <w:t xml:space="preserve"> mblidhet jo më pak se një herë në gjashtë muaj dhe sa herë është e nevojshme, me kërkesë të Kryetarit.</w:t>
      </w:r>
    </w:p>
    <w:p w14:paraId="6302820B" w14:textId="3A950E2B" w:rsidR="00F94CDB" w:rsidRPr="00F94CDB" w:rsidRDefault="00601321" w:rsidP="00F94CDB">
      <w:pPr>
        <w:suppressAutoHyphens/>
        <w:spacing w:line="288" w:lineRule="auto"/>
        <w:jc w:val="both"/>
        <w:rPr>
          <w:sz w:val="28"/>
          <w:szCs w:val="28"/>
          <w:lang w:val="en-GB" w:eastAsia="ar-SA"/>
        </w:rPr>
      </w:pPr>
      <w:r w:rsidRPr="00735D9A">
        <w:rPr>
          <w:b/>
          <w:bCs/>
          <w:sz w:val="28"/>
          <w:szCs w:val="28"/>
          <w:lang w:val="en-GB" w:eastAsia="ar-SA"/>
        </w:rPr>
        <w:t xml:space="preserve">Pika </w:t>
      </w:r>
      <w:r w:rsidR="00F94CDB" w:rsidRPr="00F94CDB">
        <w:rPr>
          <w:b/>
          <w:bCs/>
          <w:sz w:val="28"/>
          <w:szCs w:val="28"/>
          <w:lang w:val="en-GB" w:eastAsia="ar-SA"/>
        </w:rPr>
        <w:t>5</w:t>
      </w:r>
      <w:r>
        <w:rPr>
          <w:sz w:val="28"/>
          <w:szCs w:val="28"/>
          <w:lang w:val="en-GB" w:eastAsia="ar-SA"/>
        </w:rPr>
        <w:t xml:space="preserve"> parashikon mënyrën e organizimit të mbledhjeve që mund </w:t>
      </w:r>
      <w:r w:rsidR="00F94CDB" w:rsidRPr="00F94CDB">
        <w:rPr>
          <w:sz w:val="28"/>
          <w:szCs w:val="28"/>
          <w:lang w:eastAsia="ar-SA"/>
        </w:rPr>
        <w:t>të zhvillohen edhe në formë elektronike (online).</w:t>
      </w:r>
      <w:r w:rsidR="00F94CDB" w:rsidRPr="00F94CDB">
        <w:rPr>
          <w:sz w:val="28"/>
          <w:szCs w:val="28"/>
          <w:lang w:val="en-GB" w:eastAsia="ar-SA"/>
        </w:rPr>
        <w:t xml:space="preserve"> </w:t>
      </w:r>
      <w:r>
        <w:rPr>
          <w:sz w:val="28"/>
          <w:szCs w:val="28"/>
          <w:lang w:val="en-GB" w:eastAsia="ar-SA"/>
        </w:rPr>
        <w:t>Gjithashtu, n</w:t>
      </w:r>
      <w:r w:rsidR="00F94CDB" w:rsidRPr="00F94CDB">
        <w:rPr>
          <w:sz w:val="28"/>
          <w:szCs w:val="28"/>
          <w:lang w:val="en-GB" w:eastAsia="ar-SA"/>
        </w:rPr>
        <w:t>ë mbledhjet e Komitetit mund të ftohen të marrin pjesë dhe përfaqësues të organeve të qeverisjes qendrore e vendore apo të institucioneve apo aktorëve të tjerë, pjesëmarrja e të cilëve vlerësohet e nevojshme për përmbushjen e misionit.</w:t>
      </w:r>
    </w:p>
    <w:p w14:paraId="7243C17A" w14:textId="36AD7B4D" w:rsidR="00F94CDB" w:rsidRPr="00F94CDB" w:rsidRDefault="00601321" w:rsidP="00F94CDB">
      <w:pPr>
        <w:suppressAutoHyphens/>
        <w:spacing w:line="288" w:lineRule="auto"/>
        <w:jc w:val="both"/>
        <w:rPr>
          <w:sz w:val="28"/>
          <w:szCs w:val="28"/>
          <w:lang w:val="en-GB" w:eastAsia="ar-SA"/>
        </w:rPr>
      </w:pPr>
      <w:r w:rsidRPr="00735D9A">
        <w:rPr>
          <w:b/>
          <w:bCs/>
          <w:sz w:val="28"/>
          <w:szCs w:val="28"/>
          <w:lang w:val="en-GB" w:eastAsia="ar-SA"/>
        </w:rPr>
        <w:t xml:space="preserve">Parashikimet e pikës </w:t>
      </w:r>
      <w:r w:rsidR="00F94CDB" w:rsidRPr="00F94CDB">
        <w:rPr>
          <w:b/>
          <w:bCs/>
          <w:sz w:val="28"/>
          <w:szCs w:val="28"/>
          <w:lang w:val="en-GB" w:eastAsia="ar-SA"/>
        </w:rPr>
        <w:t>6</w:t>
      </w:r>
      <w:r>
        <w:rPr>
          <w:sz w:val="28"/>
          <w:szCs w:val="28"/>
          <w:lang w:val="en-GB" w:eastAsia="ar-SA"/>
        </w:rPr>
        <w:t xml:space="preserve"> kanë të bëjnë me Sekretariatin Teknik që do të mbështesë</w:t>
      </w:r>
      <w:r w:rsidR="00F94CDB" w:rsidRPr="00F94CDB">
        <w:rPr>
          <w:sz w:val="28"/>
          <w:szCs w:val="28"/>
          <w:lang w:val="en-GB" w:eastAsia="ar-SA"/>
        </w:rPr>
        <w:t xml:space="preserve"> </w:t>
      </w:r>
      <w:r>
        <w:rPr>
          <w:sz w:val="28"/>
          <w:szCs w:val="28"/>
          <w:lang w:val="en-GB" w:eastAsia="ar-SA"/>
        </w:rPr>
        <w:t>v</w:t>
      </w:r>
      <w:r w:rsidR="00F94CDB" w:rsidRPr="00F94CDB">
        <w:rPr>
          <w:sz w:val="28"/>
          <w:szCs w:val="28"/>
          <w:lang w:val="en-GB" w:eastAsia="ar-SA"/>
        </w:rPr>
        <w:t>eprimtari</w:t>
      </w:r>
      <w:r>
        <w:rPr>
          <w:sz w:val="28"/>
          <w:szCs w:val="28"/>
          <w:lang w:val="en-GB" w:eastAsia="ar-SA"/>
        </w:rPr>
        <w:t>në</w:t>
      </w:r>
      <w:r w:rsidR="00F94CDB" w:rsidRPr="00F94CDB">
        <w:rPr>
          <w:sz w:val="28"/>
          <w:szCs w:val="28"/>
          <w:lang w:val="en-GB" w:eastAsia="ar-SA"/>
        </w:rPr>
        <w:t xml:space="preserve"> e Komitetit</w:t>
      </w:r>
      <w:r>
        <w:rPr>
          <w:sz w:val="28"/>
          <w:szCs w:val="28"/>
          <w:lang w:val="en-GB" w:eastAsia="ar-SA"/>
        </w:rPr>
        <w:t xml:space="preserve">. Sekretariati parashikohet të </w:t>
      </w:r>
      <w:r w:rsidR="00F94CDB" w:rsidRPr="00F94CDB">
        <w:rPr>
          <w:sz w:val="28"/>
          <w:szCs w:val="28"/>
          <w:lang w:val="en-GB" w:eastAsia="ar-SA"/>
        </w:rPr>
        <w:t>ngri</w:t>
      </w:r>
      <w:r>
        <w:rPr>
          <w:sz w:val="28"/>
          <w:szCs w:val="28"/>
          <w:lang w:val="en-GB" w:eastAsia="ar-SA"/>
        </w:rPr>
        <w:t>het</w:t>
      </w:r>
      <w:r w:rsidR="00F94CDB" w:rsidRPr="00F94CDB">
        <w:rPr>
          <w:sz w:val="28"/>
          <w:szCs w:val="28"/>
          <w:lang w:val="en-GB" w:eastAsia="ar-SA"/>
        </w:rPr>
        <w:t xml:space="preserve"> pranë SASPAC</w:t>
      </w:r>
      <w:r>
        <w:rPr>
          <w:sz w:val="28"/>
          <w:szCs w:val="28"/>
          <w:lang w:val="en-GB" w:eastAsia="ar-SA"/>
        </w:rPr>
        <w:t xml:space="preserve"> dhe</w:t>
      </w:r>
      <w:r w:rsidR="00F94CDB" w:rsidRPr="00F94CDB">
        <w:rPr>
          <w:sz w:val="28"/>
          <w:szCs w:val="28"/>
          <w:lang w:val="en-GB" w:eastAsia="ar-SA"/>
        </w:rPr>
        <w:t xml:space="preserve"> kryen këto detyra:</w:t>
      </w:r>
    </w:p>
    <w:p w14:paraId="2C624B39" w14:textId="77777777" w:rsidR="00F94CDB" w:rsidRPr="00F94CDB" w:rsidRDefault="00F94CDB" w:rsidP="00F94CDB">
      <w:pPr>
        <w:suppressAutoHyphens/>
        <w:spacing w:line="288" w:lineRule="auto"/>
        <w:jc w:val="both"/>
        <w:rPr>
          <w:sz w:val="28"/>
          <w:szCs w:val="28"/>
          <w:lang w:val="en-GB" w:eastAsia="ar-SA"/>
        </w:rPr>
      </w:pPr>
      <w:r w:rsidRPr="00F94CDB">
        <w:rPr>
          <w:sz w:val="28"/>
          <w:szCs w:val="28"/>
          <w:lang w:val="en-GB" w:eastAsia="ar-SA"/>
        </w:rPr>
        <w:lastRenderedPageBreak/>
        <w:t>a. Grumbullon dhe përpunon komentet, sugjerimet dhe propozimet e anëtarëve të Komitetit dhe njësive të tjera të vetëqeverisjes vendore në procesin e konsultimit;</w:t>
      </w:r>
    </w:p>
    <w:p w14:paraId="51ECA4BE" w14:textId="77777777" w:rsidR="00F94CDB" w:rsidRPr="00F94CDB" w:rsidRDefault="00F94CDB" w:rsidP="00F94CDB">
      <w:pPr>
        <w:suppressAutoHyphens/>
        <w:spacing w:line="288" w:lineRule="auto"/>
        <w:jc w:val="both"/>
        <w:rPr>
          <w:sz w:val="28"/>
          <w:szCs w:val="28"/>
          <w:lang w:val="en-GB" w:eastAsia="ar-SA"/>
        </w:rPr>
      </w:pPr>
      <w:r w:rsidRPr="00F94CDB">
        <w:rPr>
          <w:sz w:val="28"/>
          <w:szCs w:val="28"/>
          <w:lang w:val="en-GB" w:eastAsia="ar-SA"/>
        </w:rPr>
        <w:t>b. Ndihmon dhe mbështet Komitetin me analizë ligjore dhe teknike në lidhje me programet, si dhe në punën dhe mbarëvajtjen e takimeve.</w:t>
      </w:r>
    </w:p>
    <w:p w14:paraId="7E790175" w14:textId="77777777" w:rsidR="00F94CDB" w:rsidRPr="00F94CDB" w:rsidRDefault="00F94CDB" w:rsidP="00F94CDB">
      <w:pPr>
        <w:suppressAutoHyphens/>
        <w:spacing w:line="288" w:lineRule="auto"/>
        <w:jc w:val="both"/>
        <w:rPr>
          <w:sz w:val="28"/>
          <w:szCs w:val="28"/>
          <w:lang w:val="en-GB" w:eastAsia="ar-SA"/>
        </w:rPr>
      </w:pPr>
      <w:r w:rsidRPr="00F94CDB">
        <w:rPr>
          <w:sz w:val="28"/>
          <w:szCs w:val="28"/>
          <w:lang w:val="en-GB" w:eastAsia="ar-SA"/>
        </w:rPr>
        <w:t xml:space="preserve">c. Kujdeset për mbajtjen e procesverbaleve të mbledhjeve të punës. </w:t>
      </w:r>
    </w:p>
    <w:p w14:paraId="0339F00D" w14:textId="77777777" w:rsidR="00F94CDB" w:rsidRPr="00F94CDB" w:rsidRDefault="00F94CDB" w:rsidP="00F94CDB">
      <w:pPr>
        <w:suppressAutoHyphens/>
        <w:spacing w:line="288" w:lineRule="auto"/>
        <w:jc w:val="both"/>
        <w:rPr>
          <w:sz w:val="28"/>
          <w:szCs w:val="28"/>
          <w:lang w:val="en-GB" w:eastAsia="ar-SA"/>
        </w:rPr>
      </w:pPr>
      <w:r w:rsidRPr="00F94CDB">
        <w:rPr>
          <w:sz w:val="28"/>
          <w:szCs w:val="28"/>
          <w:lang w:val="en-GB" w:eastAsia="ar-SA"/>
        </w:rPr>
        <w:t xml:space="preserve">ç. Organizon panele diskutimi dhe konsultimi për tematika specifike me anëtarët e Komitetit dhe aktorë të niveleve të ndryshme të qeverisjes. </w:t>
      </w:r>
    </w:p>
    <w:p w14:paraId="60BAD0A7" w14:textId="77777777" w:rsidR="00F94CDB" w:rsidRPr="00F94CDB" w:rsidRDefault="00F94CDB" w:rsidP="00F94CDB">
      <w:pPr>
        <w:suppressAutoHyphens/>
        <w:spacing w:line="288" w:lineRule="auto"/>
        <w:jc w:val="both"/>
        <w:rPr>
          <w:sz w:val="28"/>
          <w:szCs w:val="28"/>
          <w:lang w:val="en-GB" w:eastAsia="ar-SA"/>
        </w:rPr>
      </w:pPr>
      <w:r w:rsidRPr="00F94CDB">
        <w:rPr>
          <w:sz w:val="28"/>
          <w:szCs w:val="28"/>
          <w:lang w:val="en-GB" w:eastAsia="ar-SA"/>
        </w:rPr>
        <w:t>d) Kryen detyra të tjera të përcaktuara nga Komiteti.</w:t>
      </w:r>
    </w:p>
    <w:p w14:paraId="256B106D" w14:textId="5DA0B27F" w:rsidR="00735D9A" w:rsidRDefault="00601321" w:rsidP="00601321">
      <w:pPr>
        <w:suppressAutoHyphens/>
        <w:spacing w:line="288" w:lineRule="auto"/>
        <w:jc w:val="both"/>
        <w:rPr>
          <w:sz w:val="28"/>
          <w:szCs w:val="28"/>
          <w:lang w:val="en-GB" w:eastAsia="ar-SA"/>
        </w:rPr>
      </w:pPr>
      <w:r w:rsidRPr="00B518E3">
        <w:rPr>
          <w:b/>
          <w:bCs/>
          <w:sz w:val="28"/>
          <w:szCs w:val="28"/>
          <w:lang w:val="en-GB" w:eastAsia="ar-SA"/>
        </w:rPr>
        <w:t xml:space="preserve">Në pikën </w:t>
      </w:r>
      <w:r w:rsidR="00F94CDB" w:rsidRPr="00B518E3">
        <w:rPr>
          <w:b/>
          <w:bCs/>
          <w:sz w:val="28"/>
          <w:szCs w:val="28"/>
          <w:lang w:val="en-GB" w:eastAsia="ar-SA"/>
        </w:rPr>
        <w:t>7</w:t>
      </w:r>
      <w:r w:rsidR="00735D9A">
        <w:rPr>
          <w:sz w:val="28"/>
          <w:szCs w:val="28"/>
          <w:lang w:val="en-GB" w:eastAsia="ar-SA"/>
        </w:rPr>
        <w:t xml:space="preserve"> parashikohet afati brenda t</w:t>
      </w:r>
      <w:r w:rsidR="00506548">
        <w:rPr>
          <w:sz w:val="28"/>
          <w:szCs w:val="28"/>
          <w:lang w:val="en-GB" w:eastAsia="ar-SA"/>
        </w:rPr>
        <w:t>ë</w:t>
      </w:r>
      <w:r w:rsidR="00735D9A">
        <w:rPr>
          <w:sz w:val="28"/>
          <w:szCs w:val="28"/>
          <w:lang w:val="en-GB" w:eastAsia="ar-SA"/>
        </w:rPr>
        <w:t xml:space="preserve"> cilit shoqatat: Shoqata </w:t>
      </w:r>
      <w:r w:rsidR="00735D9A" w:rsidRPr="00F94CDB">
        <w:rPr>
          <w:sz w:val="28"/>
          <w:szCs w:val="28"/>
          <w:lang w:val="en-GB" w:eastAsia="ar-SA"/>
        </w:rPr>
        <w:t>Kombëtëre e Bashkive të Shqipërisë (SHKBSH)</w:t>
      </w:r>
      <w:r w:rsidR="00735D9A">
        <w:rPr>
          <w:sz w:val="28"/>
          <w:szCs w:val="28"/>
          <w:lang w:val="en-GB" w:eastAsia="ar-SA"/>
        </w:rPr>
        <w:t xml:space="preserve"> dhe S</w:t>
      </w:r>
      <w:r w:rsidR="00735D9A" w:rsidRPr="00F94CDB">
        <w:rPr>
          <w:sz w:val="28"/>
          <w:szCs w:val="28"/>
          <w:lang w:val="en-GB" w:eastAsia="ar-SA"/>
        </w:rPr>
        <w:t>hoqata e Qarqeve</w:t>
      </w:r>
      <w:r w:rsidR="00735D9A">
        <w:rPr>
          <w:sz w:val="28"/>
          <w:szCs w:val="28"/>
          <w:lang w:val="en-GB" w:eastAsia="ar-SA"/>
        </w:rPr>
        <w:t xml:space="preserve"> do t</w:t>
      </w:r>
      <w:r w:rsidR="00506548">
        <w:rPr>
          <w:sz w:val="28"/>
          <w:szCs w:val="28"/>
          <w:lang w:val="en-GB" w:eastAsia="ar-SA"/>
        </w:rPr>
        <w:t>ë</w:t>
      </w:r>
      <w:r w:rsidR="00735D9A">
        <w:rPr>
          <w:sz w:val="28"/>
          <w:szCs w:val="28"/>
          <w:lang w:val="en-GB" w:eastAsia="ar-SA"/>
        </w:rPr>
        <w:t xml:space="preserve"> p</w:t>
      </w:r>
      <w:r w:rsidR="00506548">
        <w:rPr>
          <w:sz w:val="28"/>
          <w:szCs w:val="28"/>
          <w:lang w:val="en-GB" w:eastAsia="ar-SA"/>
        </w:rPr>
        <w:t>ë</w:t>
      </w:r>
      <w:r w:rsidR="00735D9A">
        <w:rPr>
          <w:sz w:val="28"/>
          <w:szCs w:val="28"/>
          <w:lang w:val="en-GB" w:eastAsia="ar-SA"/>
        </w:rPr>
        <w:t>rzgjedhin dhe njoftojn</w:t>
      </w:r>
      <w:r w:rsidR="00506548">
        <w:rPr>
          <w:sz w:val="28"/>
          <w:szCs w:val="28"/>
          <w:lang w:val="en-GB" w:eastAsia="ar-SA"/>
        </w:rPr>
        <w:t>ë</w:t>
      </w:r>
      <w:r w:rsidR="00735D9A">
        <w:rPr>
          <w:sz w:val="28"/>
          <w:szCs w:val="28"/>
          <w:lang w:val="en-GB" w:eastAsia="ar-SA"/>
        </w:rPr>
        <w:t xml:space="preserve"> an</w:t>
      </w:r>
      <w:r w:rsidR="00506548">
        <w:rPr>
          <w:sz w:val="28"/>
          <w:szCs w:val="28"/>
          <w:lang w:val="en-GB" w:eastAsia="ar-SA"/>
        </w:rPr>
        <w:t>ë</w:t>
      </w:r>
      <w:r w:rsidR="00735D9A">
        <w:rPr>
          <w:sz w:val="28"/>
          <w:szCs w:val="28"/>
          <w:lang w:val="en-GB" w:eastAsia="ar-SA"/>
        </w:rPr>
        <w:t>tar</w:t>
      </w:r>
      <w:r w:rsidR="00506548">
        <w:rPr>
          <w:sz w:val="28"/>
          <w:szCs w:val="28"/>
          <w:lang w:val="en-GB" w:eastAsia="ar-SA"/>
        </w:rPr>
        <w:t>ë</w:t>
      </w:r>
      <w:r w:rsidR="00735D9A">
        <w:rPr>
          <w:sz w:val="28"/>
          <w:szCs w:val="28"/>
          <w:lang w:val="en-GB" w:eastAsia="ar-SA"/>
        </w:rPr>
        <w:t xml:space="preserve">t e Komitetit. </w:t>
      </w:r>
    </w:p>
    <w:p w14:paraId="41541E95" w14:textId="4327E435" w:rsidR="00F94CDB" w:rsidRPr="00601321" w:rsidRDefault="00735D9A" w:rsidP="00601321">
      <w:pPr>
        <w:suppressAutoHyphens/>
        <w:spacing w:line="288" w:lineRule="auto"/>
        <w:jc w:val="both"/>
        <w:rPr>
          <w:sz w:val="28"/>
          <w:szCs w:val="28"/>
          <w:lang w:eastAsia="ar-SA"/>
        </w:rPr>
      </w:pPr>
      <w:r w:rsidRPr="00B518E3">
        <w:rPr>
          <w:b/>
          <w:bCs/>
          <w:sz w:val="28"/>
          <w:szCs w:val="28"/>
          <w:lang w:val="en-GB" w:eastAsia="ar-SA"/>
        </w:rPr>
        <w:t>N</w:t>
      </w:r>
      <w:r w:rsidR="00506548" w:rsidRPr="00B518E3">
        <w:rPr>
          <w:b/>
          <w:bCs/>
          <w:sz w:val="28"/>
          <w:szCs w:val="28"/>
          <w:lang w:val="en-GB" w:eastAsia="ar-SA"/>
        </w:rPr>
        <w:t>ë</w:t>
      </w:r>
      <w:r w:rsidRPr="00B518E3">
        <w:rPr>
          <w:b/>
          <w:bCs/>
          <w:sz w:val="28"/>
          <w:szCs w:val="28"/>
          <w:lang w:val="en-GB" w:eastAsia="ar-SA"/>
        </w:rPr>
        <w:t xml:space="preserve"> pik</w:t>
      </w:r>
      <w:r w:rsidR="00506548" w:rsidRPr="00B518E3">
        <w:rPr>
          <w:b/>
          <w:bCs/>
          <w:sz w:val="28"/>
          <w:szCs w:val="28"/>
          <w:lang w:val="en-GB" w:eastAsia="ar-SA"/>
        </w:rPr>
        <w:t>ë</w:t>
      </w:r>
      <w:r w:rsidRPr="00B518E3">
        <w:rPr>
          <w:b/>
          <w:bCs/>
          <w:sz w:val="28"/>
          <w:szCs w:val="28"/>
          <w:lang w:val="en-GB" w:eastAsia="ar-SA"/>
        </w:rPr>
        <w:t>n 8</w:t>
      </w:r>
      <w:r>
        <w:rPr>
          <w:sz w:val="28"/>
          <w:szCs w:val="28"/>
          <w:lang w:val="en-GB" w:eastAsia="ar-SA"/>
        </w:rPr>
        <w:t xml:space="preserve"> </w:t>
      </w:r>
      <w:r w:rsidR="00601321">
        <w:rPr>
          <w:sz w:val="28"/>
          <w:szCs w:val="28"/>
          <w:lang w:val="en-GB" w:eastAsia="ar-SA"/>
        </w:rPr>
        <w:t>renditen institucionet që</w:t>
      </w:r>
      <w:r w:rsidR="00F94CDB" w:rsidRPr="00F94CDB">
        <w:rPr>
          <w:sz w:val="28"/>
          <w:szCs w:val="28"/>
          <w:lang w:val="en-GB" w:eastAsia="ar-SA"/>
        </w:rPr>
        <w:t xml:space="preserve"> </w:t>
      </w:r>
      <w:r w:rsidR="00601321">
        <w:rPr>
          <w:sz w:val="28"/>
          <w:szCs w:val="28"/>
          <w:lang w:val="en-GB" w:eastAsia="ar-SA"/>
        </w:rPr>
        <w:t>n</w:t>
      </w:r>
      <w:r w:rsidR="00F94CDB" w:rsidRPr="00F94CDB">
        <w:rPr>
          <w:sz w:val="28"/>
          <w:szCs w:val="28"/>
          <w:lang w:val="en-GB" w:eastAsia="ar-SA"/>
        </w:rPr>
        <w:t>garkohen</w:t>
      </w:r>
      <w:r w:rsidR="00601321">
        <w:rPr>
          <w:sz w:val="28"/>
          <w:szCs w:val="28"/>
          <w:lang w:val="en-GB" w:eastAsia="ar-SA"/>
        </w:rPr>
        <w:t xml:space="preserve"> me zbatimin e këtij vendimi:</w:t>
      </w:r>
      <w:r w:rsidR="00F94CDB" w:rsidRPr="00F94CDB">
        <w:rPr>
          <w:sz w:val="28"/>
          <w:szCs w:val="28"/>
          <w:lang w:eastAsia="ar-SA"/>
        </w:rPr>
        <w:t xml:space="preserve"> Njësitë e Vetëqeverisjes Vendore, SASPAC, Agjencia për Mbështetjen e Vetëqeverisjes Vendore, Fondi Shqiptar i Zhvillimit</w:t>
      </w:r>
      <w:r w:rsidR="00F94CDB" w:rsidRPr="00F94CDB">
        <w:rPr>
          <w:sz w:val="28"/>
          <w:szCs w:val="28"/>
          <w:lang w:val="en-GB" w:eastAsia="ar-SA"/>
        </w:rPr>
        <w:t>.</w:t>
      </w:r>
    </w:p>
    <w:p w14:paraId="1DD56297" w14:textId="77777777" w:rsidR="00DF7569" w:rsidRPr="00C57275" w:rsidRDefault="00DF7569" w:rsidP="00DF75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72C6263A" w14:textId="1ADF4C5B" w:rsidR="0092209C" w:rsidRPr="00C57275" w:rsidRDefault="0092209C" w:rsidP="00DB4525">
      <w:pPr>
        <w:spacing w:line="276" w:lineRule="auto"/>
        <w:jc w:val="both"/>
        <w:rPr>
          <w:sz w:val="28"/>
          <w:szCs w:val="28"/>
        </w:rPr>
      </w:pPr>
      <w:r w:rsidRPr="00C57275">
        <w:rPr>
          <w:sz w:val="28"/>
          <w:szCs w:val="28"/>
        </w:rPr>
        <w:t>Projektvendimi parashikon hyrjen në fuqi pas botimit në Fletoren Zyrtare.</w:t>
      </w:r>
    </w:p>
    <w:p w14:paraId="00000040" w14:textId="77777777" w:rsidR="00C117EA" w:rsidRPr="00C57275" w:rsidRDefault="00C117EA" w:rsidP="00DB4525">
      <w:pPr>
        <w:spacing w:line="276" w:lineRule="auto"/>
        <w:jc w:val="both"/>
        <w:rPr>
          <w:sz w:val="28"/>
          <w:szCs w:val="28"/>
        </w:rPr>
      </w:pPr>
    </w:p>
    <w:p w14:paraId="00000042" w14:textId="6E1CFF05" w:rsidR="00C117EA" w:rsidRPr="00C57275" w:rsidRDefault="00B74936">
      <w:pPr>
        <w:spacing w:line="276" w:lineRule="auto"/>
        <w:jc w:val="both"/>
        <w:rPr>
          <w:b/>
          <w:sz w:val="28"/>
          <w:szCs w:val="28"/>
        </w:rPr>
      </w:pPr>
      <w:r w:rsidRPr="00C57275">
        <w:rPr>
          <w:b/>
          <w:sz w:val="28"/>
          <w:szCs w:val="28"/>
        </w:rPr>
        <w:t>VII. INSTITUCIONET DHE ORGANET QË NGARKOHEN PËR ZBATIMIN E AKTIT</w:t>
      </w:r>
    </w:p>
    <w:p w14:paraId="54D186AC" w14:textId="77777777" w:rsidR="00801274" w:rsidRPr="00C57275" w:rsidRDefault="00801274">
      <w:pPr>
        <w:spacing w:line="276" w:lineRule="auto"/>
        <w:jc w:val="both"/>
        <w:rPr>
          <w:sz w:val="28"/>
          <w:szCs w:val="28"/>
        </w:rPr>
      </w:pPr>
    </w:p>
    <w:p w14:paraId="7B26CA07" w14:textId="3B011D1D" w:rsidR="00DF7569" w:rsidRPr="00C57275" w:rsidRDefault="00B74936" w:rsidP="00DF7569">
      <w:pPr>
        <w:spacing w:line="276" w:lineRule="auto"/>
        <w:jc w:val="both"/>
        <w:rPr>
          <w:sz w:val="28"/>
          <w:szCs w:val="28"/>
        </w:rPr>
      </w:pPr>
      <w:r w:rsidRPr="00C57275">
        <w:rPr>
          <w:sz w:val="28"/>
          <w:szCs w:val="28"/>
        </w:rPr>
        <w:t xml:space="preserve">Për zbatimin e këtij </w:t>
      </w:r>
      <w:r w:rsidR="005925BD" w:rsidRPr="00C57275">
        <w:rPr>
          <w:sz w:val="28"/>
          <w:szCs w:val="28"/>
        </w:rPr>
        <w:t>projekt</w:t>
      </w:r>
      <w:r w:rsidRPr="00C57275">
        <w:rPr>
          <w:sz w:val="28"/>
          <w:szCs w:val="28"/>
        </w:rPr>
        <w:t>vendimi ngarkohen</w:t>
      </w:r>
      <w:r w:rsidR="00DF7569" w:rsidRPr="00C57275">
        <w:rPr>
          <w:sz w:val="28"/>
          <w:szCs w:val="28"/>
        </w:rPr>
        <w:t>:</w:t>
      </w:r>
    </w:p>
    <w:p w14:paraId="1A215D24" w14:textId="2FE822AB" w:rsidR="00DF7569" w:rsidRPr="00DF7569" w:rsidRDefault="00DF7569" w:rsidP="00DF7569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bookmarkStart w:id="4" w:name="_Hlk196813281"/>
      <w:r w:rsidRPr="00DF7569">
        <w:rPr>
          <w:bCs/>
          <w:sz w:val="28"/>
          <w:szCs w:val="28"/>
        </w:rPr>
        <w:t>Agjencia Shtetërore për Programimin Strategjik dhe Koordinimin e Ndihmës</w:t>
      </w:r>
      <w:r w:rsidRPr="00C57275">
        <w:rPr>
          <w:bCs/>
          <w:sz w:val="28"/>
          <w:szCs w:val="28"/>
        </w:rPr>
        <w:t xml:space="preserve"> (SASPAC)</w:t>
      </w:r>
      <w:r w:rsidRPr="00DF7569">
        <w:rPr>
          <w:sz w:val="28"/>
          <w:szCs w:val="28"/>
        </w:rPr>
        <w:t>,</w:t>
      </w:r>
    </w:p>
    <w:bookmarkEnd w:id="4"/>
    <w:p w14:paraId="0CFEE574" w14:textId="43644504" w:rsidR="00DF7569" w:rsidRPr="00DF7569" w:rsidRDefault="00DF7569" w:rsidP="00DF7569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DF7569">
        <w:rPr>
          <w:bCs/>
          <w:sz w:val="28"/>
          <w:szCs w:val="28"/>
        </w:rPr>
        <w:t>Agjencia për Mbështetjen e Vetëqeverisjes Vendore</w:t>
      </w:r>
      <w:r w:rsidRPr="00C57275">
        <w:rPr>
          <w:bCs/>
          <w:sz w:val="28"/>
          <w:szCs w:val="28"/>
        </w:rPr>
        <w:t xml:space="preserve"> (AMVV)</w:t>
      </w:r>
      <w:r w:rsidRPr="00C57275">
        <w:rPr>
          <w:sz w:val="28"/>
          <w:szCs w:val="28"/>
        </w:rPr>
        <w:t xml:space="preserve">; </w:t>
      </w:r>
      <w:r w:rsidRPr="00DF7569">
        <w:rPr>
          <w:sz w:val="28"/>
          <w:szCs w:val="28"/>
        </w:rPr>
        <w:t>dhe</w:t>
      </w:r>
    </w:p>
    <w:p w14:paraId="085F4BCE" w14:textId="77777777" w:rsidR="00DF7569" w:rsidRPr="00C57275" w:rsidRDefault="00DF7569" w:rsidP="00DF7569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DF7569">
        <w:rPr>
          <w:bCs/>
          <w:sz w:val="28"/>
          <w:szCs w:val="28"/>
        </w:rPr>
        <w:t>Fondi Shqiptar i Zhvillimit</w:t>
      </w:r>
      <w:r w:rsidRPr="00C57275">
        <w:rPr>
          <w:sz w:val="28"/>
          <w:szCs w:val="28"/>
        </w:rPr>
        <w:t xml:space="preserve">; </w:t>
      </w:r>
    </w:p>
    <w:p w14:paraId="3E5B70AB" w14:textId="78CAC66C" w:rsidR="00676F41" w:rsidRPr="00C57275" w:rsidRDefault="00DF7569" w:rsidP="0018553D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C57275">
        <w:rPr>
          <w:sz w:val="28"/>
          <w:szCs w:val="28"/>
        </w:rPr>
        <w:t>Si dhe nj</w:t>
      </w:r>
      <w:r w:rsidR="00601321">
        <w:rPr>
          <w:sz w:val="28"/>
          <w:szCs w:val="28"/>
        </w:rPr>
        <w:t>ë</w:t>
      </w:r>
      <w:r w:rsidRPr="00C57275">
        <w:rPr>
          <w:sz w:val="28"/>
          <w:szCs w:val="28"/>
        </w:rPr>
        <w:t>sit</w:t>
      </w:r>
      <w:r w:rsidR="00601321">
        <w:rPr>
          <w:sz w:val="28"/>
          <w:szCs w:val="28"/>
        </w:rPr>
        <w:t>ë</w:t>
      </w:r>
      <w:r w:rsidRPr="00C57275">
        <w:rPr>
          <w:sz w:val="28"/>
          <w:szCs w:val="28"/>
        </w:rPr>
        <w:t xml:space="preserve"> e vet</w:t>
      </w:r>
      <w:r w:rsidR="00601321">
        <w:rPr>
          <w:sz w:val="28"/>
          <w:szCs w:val="28"/>
        </w:rPr>
        <w:t>ë</w:t>
      </w:r>
      <w:r w:rsidRPr="00C57275">
        <w:rPr>
          <w:sz w:val="28"/>
          <w:szCs w:val="28"/>
        </w:rPr>
        <w:t>qeverisjes vendore.</w:t>
      </w:r>
    </w:p>
    <w:p w14:paraId="1EEC341F" w14:textId="77777777" w:rsidR="00DF7569" w:rsidRPr="00C57275" w:rsidRDefault="00DF7569" w:rsidP="00DF7569">
      <w:pPr>
        <w:spacing w:line="276" w:lineRule="auto"/>
        <w:jc w:val="both"/>
        <w:rPr>
          <w:sz w:val="28"/>
          <w:szCs w:val="28"/>
        </w:rPr>
      </w:pPr>
    </w:p>
    <w:p w14:paraId="00000046" w14:textId="77777777" w:rsidR="00C117EA" w:rsidRPr="00C57275" w:rsidRDefault="00B74936">
      <w:pPr>
        <w:spacing w:line="276" w:lineRule="auto"/>
        <w:jc w:val="both"/>
        <w:rPr>
          <w:b/>
          <w:sz w:val="28"/>
          <w:szCs w:val="28"/>
        </w:rPr>
      </w:pPr>
      <w:r w:rsidRPr="00C57275">
        <w:rPr>
          <w:b/>
          <w:sz w:val="28"/>
          <w:szCs w:val="28"/>
        </w:rPr>
        <w:t>VIII. PERSONAT DHE INSTITUCIONET QË KANË KONTRIBUAR NË HARTIMIN E PROJEKTAKTIT</w:t>
      </w:r>
    </w:p>
    <w:p w14:paraId="00000047" w14:textId="77777777" w:rsidR="00C117EA" w:rsidRPr="00C57275" w:rsidRDefault="00C117EA">
      <w:pPr>
        <w:spacing w:line="276" w:lineRule="auto"/>
        <w:jc w:val="both"/>
        <w:rPr>
          <w:b/>
          <w:sz w:val="28"/>
          <w:szCs w:val="28"/>
        </w:rPr>
      </w:pPr>
    </w:p>
    <w:p w14:paraId="681C2D3C" w14:textId="15AD0869" w:rsidR="00BD1FFD" w:rsidRPr="00C57275" w:rsidRDefault="00BD1FFD" w:rsidP="00EC62B4">
      <w:pPr>
        <w:pStyle w:val="elementtoproo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57275">
        <w:rPr>
          <w:color w:val="000000"/>
          <w:sz w:val="28"/>
          <w:szCs w:val="28"/>
        </w:rPr>
        <w:t xml:space="preserve">Projektvendimi është hartuar nga </w:t>
      </w:r>
      <w:r w:rsidR="00743495" w:rsidRPr="00C57275">
        <w:rPr>
          <w:color w:val="000000"/>
          <w:sz w:val="28"/>
          <w:szCs w:val="28"/>
        </w:rPr>
        <w:t>Sekretariati Teknik i GNPIE p</w:t>
      </w:r>
      <w:r w:rsidR="00601321">
        <w:rPr>
          <w:color w:val="000000"/>
          <w:sz w:val="28"/>
          <w:szCs w:val="28"/>
        </w:rPr>
        <w:t>ë</w:t>
      </w:r>
      <w:r w:rsidR="00743495" w:rsidRPr="00C57275">
        <w:rPr>
          <w:color w:val="000000"/>
          <w:sz w:val="28"/>
          <w:szCs w:val="28"/>
        </w:rPr>
        <w:t>r Kapitullin 22, me asistenc</w:t>
      </w:r>
      <w:r w:rsidR="00601321">
        <w:rPr>
          <w:color w:val="000000"/>
          <w:sz w:val="28"/>
          <w:szCs w:val="28"/>
        </w:rPr>
        <w:t>ë</w:t>
      </w:r>
      <w:r w:rsidR="00743495" w:rsidRPr="00C57275">
        <w:rPr>
          <w:color w:val="000000"/>
          <w:sz w:val="28"/>
          <w:szCs w:val="28"/>
        </w:rPr>
        <w:t>n e projektit t</w:t>
      </w:r>
      <w:r w:rsidR="00601321">
        <w:rPr>
          <w:color w:val="000000"/>
          <w:sz w:val="28"/>
          <w:szCs w:val="28"/>
        </w:rPr>
        <w:t>ë</w:t>
      </w:r>
      <w:r w:rsidR="00743495" w:rsidRPr="00C57275">
        <w:rPr>
          <w:color w:val="000000"/>
          <w:sz w:val="28"/>
          <w:szCs w:val="28"/>
        </w:rPr>
        <w:t xml:space="preserve"> BE-s</w:t>
      </w:r>
      <w:r w:rsidR="00601321">
        <w:rPr>
          <w:color w:val="000000"/>
          <w:sz w:val="28"/>
          <w:szCs w:val="28"/>
        </w:rPr>
        <w:t>ë</w:t>
      </w:r>
      <w:r w:rsidR="00743495" w:rsidRPr="00C57275">
        <w:rPr>
          <w:color w:val="000000"/>
          <w:sz w:val="28"/>
          <w:szCs w:val="28"/>
        </w:rPr>
        <w:t xml:space="preserve"> p</w:t>
      </w:r>
      <w:r w:rsidR="00601321">
        <w:rPr>
          <w:color w:val="000000"/>
          <w:sz w:val="28"/>
          <w:szCs w:val="28"/>
        </w:rPr>
        <w:t>ë</w:t>
      </w:r>
      <w:r w:rsidR="00743495" w:rsidRPr="00C57275">
        <w:rPr>
          <w:color w:val="000000"/>
          <w:sz w:val="28"/>
          <w:szCs w:val="28"/>
        </w:rPr>
        <w:t xml:space="preserve">r Kapitullin 22. Projektvendimi i </w:t>
      </w:r>
      <w:r w:rsidR="00601321">
        <w:rPr>
          <w:color w:val="000000"/>
          <w:sz w:val="28"/>
          <w:szCs w:val="28"/>
        </w:rPr>
        <w:t>ë</w:t>
      </w:r>
      <w:r w:rsidR="00743495" w:rsidRPr="00C57275">
        <w:rPr>
          <w:color w:val="000000"/>
          <w:sz w:val="28"/>
          <w:szCs w:val="28"/>
        </w:rPr>
        <w:t>sht</w:t>
      </w:r>
      <w:r w:rsidR="00601321">
        <w:rPr>
          <w:color w:val="000000"/>
          <w:sz w:val="28"/>
          <w:szCs w:val="28"/>
        </w:rPr>
        <w:t>ë</w:t>
      </w:r>
      <w:r w:rsidR="00743495" w:rsidRPr="00C57275">
        <w:rPr>
          <w:color w:val="000000"/>
          <w:sz w:val="28"/>
          <w:szCs w:val="28"/>
        </w:rPr>
        <w:t xml:space="preserve"> konsultuar me an</w:t>
      </w:r>
      <w:r w:rsidR="00601321">
        <w:rPr>
          <w:color w:val="000000"/>
          <w:sz w:val="28"/>
          <w:szCs w:val="28"/>
        </w:rPr>
        <w:t>ë</w:t>
      </w:r>
      <w:r w:rsidR="00743495" w:rsidRPr="00C57275">
        <w:rPr>
          <w:color w:val="000000"/>
          <w:sz w:val="28"/>
          <w:szCs w:val="28"/>
        </w:rPr>
        <w:t>tar</w:t>
      </w:r>
      <w:r w:rsidR="00601321">
        <w:rPr>
          <w:color w:val="000000"/>
          <w:sz w:val="28"/>
          <w:szCs w:val="28"/>
        </w:rPr>
        <w:t>ë</w:t>
      </w:r>
      <w:r w:rsidR="00743495" w:rsidRPr="00C57275">
        <w:rPr>
          <w:color w:val="000000"/>
          <w:sz w:val="28"/>
          <w:szCs w:val="28"/>
        </w:rPr>
        <w:t xml:space="preserve"> t</w:t>
      </w:r>
      <w:r w:rsidR="00601321">
        <w:rPr>
          <w:color w:val="000000"/>
          <w:sz w:val="28"/>
          <w:szCs w:val="28"/>
        </w:rPr>
        <w:t>ë</w:t>
      </w:r>
      <w:r w:rsidR="00743495" w:rsidRPr="00C57275">
        <w:rPr>
          <w:color w:val="000000"/>
          <w:sz w:val="28"/>
          <w:szCs w:val="28"/>
        </w:rPr>
        <w:t xml:space="preserve"> GNPIE</w:t>
      </w:r>
      <w:r w:rsidR="00202873">
        <w:rPr>
          <w:color w:val="000000"/>
          <w:sz w:val="28"/>
          <w:szCs w:val="28"/>
        </w:rPr>
        <w:t xml:space="preserve"> dhe përfshin komentet e tyre</w:t>
      </w:r>
      <w:r w:rsidR="00743495" w:rsidRPr="00C57275">
        <w:rPr>
          <w:color w:val="000000"/>
          <w:sz w:val="28"/>
          <w:szCs w:val="28"/>
        </w:rPr>
        <w:t xml:space="preserve">. </w:t>
      </w:r>
    </w:p>
    <w:p w14:paraId="43E38719" w14:textId="77777777" w:rsidR="00275388" w:rsidRPr="00C57275" w:rsidRDefault="00275388" w:rsidP="00EC62B4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3BA084B2" w14:textId="3BB28339" w:rsidR="00743495" w:rsidRPr="00DF7569" w:rsidRDefault="00743495" w:rsidP="00743495">
      <w:pPr>
        <w:spacing w:line="276" w:lineRule="auto"/>
        <w:jc w:val="both"/>
        <w:rPr>
          <w:color w:val="000000"/>
          <w:sz w:val="28"/>
          <w:szCs w:val="28"/>
        </w:rPr>
      </w:pPr>
      <w:r w:rsidRPr="00743495">
        <w:rPr>
          <w:color w:val="000000"/>
          <w:sz w:val="28"/>
          <w:szCs w:val="28"/>
        </w:rPr>
        <w:lastRenderedPageBreak/>
        <w:t xml:space="preserve">Projektvendimi </w:t>
      </w:r>
      <w:r w:rsidRPr="00C57275">
        <w:rPr>
          <w:color w:val="000000"/>
          <w:sz w:val="28"/>
          <w:szCs w:val="28"/>
        </w:rPr>
        <w:t>do t</w:t>
      </w:r>
      <w:r w:rsidR="00601321">
        <w:rPr>
          <w:color w:val="000000"/>
          <w:sz w:val="28"/>
          <w:szCs w:val="28"/>
        </w:rPr>
        <w:t>ë</w:t>
      </w:r>
      <w:r w:rsidRPr="00C57275">
        <w:rPr>
          <w:color w:val="000000"/>
          <w:sz w:val="28"/>
          <w:szCs w:val="28"/>
        </w:rPr>
        <w:t xml:space="preserve"> diskutohet edhe n</w:t>
      </w:r>
      <w:r w:rsidR="00601321">
        <w:rPr>
          <w:color w:val="000000"/>
          <w:sz w:val="28"/>
          <w:szCs w:val="28"/>
        </w:rPr>
        <w:t>ë</w:t>
      </w:r>
      <w:r w:rsidRPr="00C57275">
        <w:rPr>
          <w:color w:val="000000"/>
          <w:sz w:val="28"/>
          <w:szCs w:val="28"/>
        </w:rPr>
        <w:t xml:space="preserve"> </w:t>
      </w:r>
      <w:r w:rsidRPr="00743495">
        <w:rPr>
          <w:color w:val="000000"/>
          <w:sz w:val="28"/>
          <w:szCs w:val="28"/>
        </w:rPr>
        <w:t>Këshilli</w:t>
      </w:r>
      <w:r w:rsidRPr="00C57275">
        <w:rPr>
          <w:color w:val="000000"/>
          <w:sz w:val="28"/>
          <w:szCs w:val="28"/>
        </w:rPr>
        <w:t>n</w:t>
      </w:r>
      <w:r w:rsidRPr="00743495">
        <w:rPr>
          <w:color w:val="000000"/>
          <w:sz w:val="28"/>
          <w:szCs w:val="28"/>
        </w:rPr>
        <w:t xml:space="preserve"> Konsultativ në përputhje me parashikimet e VKM nr.244, datë 17.04.2024 “</w:t>
      </w:r>
      <w:r w:rsidRPr="00743495">
        <w:rPr>
          <w:i/>
          <w:iCs/>
          <w:color w:val="000000"/>
          <w:sz w:val="28"/>
          <w:szCs w:val="28"/>
        </w:rPr>
        <w:t>Për mënyrën e organizimit e të funksionimit të Këshillit Konsultativ të qeverisjes qendrore me vetëqeverisjen vendore</w:t>
      </w:r>
      <w:r w:rsidRPr="00743495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>, si dhe do t’i d</w:t>
      </w:r>
      <w:r w:rsidR="00601321">
        <w:rPr>
          <w:color w:val="000000"/>
          <w:sz w:val="28"/>
          <w:szCs w:val="28"/>
        </w:rPr>
        <w:t>ë</w:t>
      </w:r>
      <w:r>
        <w:rPr>
          <w:color w:val="000000"/>
          <w:sz w:val="28"/>
          <w:szCs w:val="28"/>
        </w:rPr>
        <w:t>rgohet p</w:t>
      </w:r>
      <w:r w:rsidR="00601321">
        <w:rPr>
          <w:color w:val="000000"/>
          <w:sz w:val="28"/>
          <w:szCs w:val="28"/>
        </w:rPr>
        <w:t>ë</w:t>
      </w:r>
      <w:r>
        <w:rPr>
          <w:color w:val="000000"/>
          <w:sz w:val="28"/>
          <w:szCs w:val="28"/>
        </w:rPr>
        <w:t xml:space="preserve">r mendim </w:t>
      </w:r>
      <w:bookmarkStart w:id="5" w:name="_Hlk193828915"/>
      <w:r w:rsidRPr="00743495">
        <w:rPr>
          <w:color w:val="000000"/>
          <w:sz w:val="28"/>
          <w:szCs w:val="28"/>
        </w:rPr>
        <w:t xml:space="preserve">Ministrisë së Drejtësisë, Ministrisë së Financave, </w:t>
      </w:r>
      <w:r>
        <w:rPr>
          <w:color w:val="000000"/>
          <w:sz w:val="28"/>
          <w:szCs w:val="28"/>
        </w:rPr>
        <w:t>Ministrit t</w:t>
      </w:r>
      <w:r w:rsidR="00601321">
        <w:rPr>
          <w:color w:val="000000"/>
          <w:sz w:val="28"/>
          <w:szCs w:val="28"/>
        </w:rPr>
        <w:t>ë</w:t>
      </w:r>
      <w:r>
        <w:rPr>
          <w:color w:val="000000"/>
          <w:sz w:val="28"/>
          <w:szCs w:val="28"/>
        </w:rPr>
        <w:t xml:space="preserve"> Shtetit dhe Kryenegociator, </w:t>
      </w:r>
      <w:r w:rsidRPr="00DF7569">
        <w:rPr>
          <w:bCs/>
          <w:color w:val="000000"/>
          <w:sz w:val="28"/>
          <w:szCs w:val="28"/>
        </w:rPr>
        <w:t>Agjenci</w:t>
      </w:r>
      <w:r>
        <w:rPr>
          <w:bCs/>
          <w:color w:val="000000"/>
          <w:sz w:val="28"/>
          <w:szCs w:val="28"/>
        </w:rPr>
        <w:t>s</w:t>
      </w:r>
      <w:r w:rsidR="00601321">
        <w:rPr>
          <w:bCs/>
          <w:color w:val="000000"/>
          <w:sz w:val="28"/>
          <w:szCs w:val="28"/>
        </w:rPr>
        <w:t>ë</w:t>
      </w:r>
      <w:r w:rsidRPr="00DF7569">
        <w:rPr>
          <w:bCs/>
          <w:color w:val="000000"/>
          <w:sz w:val="28"/>
          <w:szCs w:val="28"/>
        </w:rPr>
        <w:t xml:space="preserve"> Shtetërore për Programimin Strategjik dhe Koordinimin e Ndihmës</w:t>
      </w:r>
      <w:r w:rsidRPr="00743495">
        <w:rPr>
          <w:bCs/>
          <w:color w:val="000000"/>
          <w:sz w:val="28"/>
          <w:szCs w:val="28"/>
        </w:rPr>
        <w:t xml:space="preserve"> (SASPAC)</w:t>
      </w:r>
      <w:r w:rsidRPr="00DF756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202873">
        <w:rPr>
          <w:color w:val="000000"/>
          <w:sz w:val="28"/>
          <w:szCs w:val="28"/>
        </w:rPr>
        <w:t xml:space="preserve">si dhe </w:t>
      </w:r>
      <w:r>
        <w:rPr>
          <w:color w:val="000000"/>
          <w:sz w:val="28"/>
          <w:szCs w:val="28"/>
        </w:rPr>
        <w:t>Fondit Shqiptar t</w:t>
      </w:r>
      <w:r w:rsidR="00601321">
        <w:rPr>
          <w:color w:val="000000"/>
          <w:sz w:val="28"/>
          <w:szCs w:val="28"/>
        </w:rPr>
        <w:t>ë</w:t>
      </w:r>
      <w:r>
        <w:rPr>
          <w:color w:val="000000"/>
          <w:sz w:val="28"/>
          <w:szCs w:val="28"/>
        </w:rPr>
        <w:t xml:space="preserve"> Zhvillimit. </w:t>
      </w:r>
    </w:p>
    <w:bookmarkEnd w:id="5"/>
    <w:p w14:paraId="25BC17D4" w14:textId="0A33E8BE" w:rsidR="00663AAD" w:rsidRPr="009A6E75" w:rsidRDefault="00663AAD" w:rsidP="00EC62B4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000004B" w14:textId="77777777" w:rsidR="00C117EA" w:rsidRPr="009A6E75" w:rsidRDefault="00B74936">
      <w:pPr>
        <w:spacing w:line="276" w:lineRule="auto"/>
        <w:jc w:val="both"/>
        <w:rPr>
          <w:b/>
          <w:sz w:val="28"/>
          <w:szCs w:val="28"/>
        </w:rPr>
      </w:pPr>
      <w:r w:rsidRPr="009A6E75">
        <w:rPr>
          <w:b/>
          <w:sz w:val="28"/>
          <w:szCs w:val="28"/>
        </w:rPr>
        <w:t>IX. RAPORTI I VLERËSIMIT TË TË ARDHURAVE DHE SHPENZIMEVE BUXHETORE</w:t>
      </w:r>
    </w:p>
    <w:p w14:paraId="0000004C" w14:textId="77777777" w:rsidR="00C117EA" w:rsidRPr="009A6E75" w:rsidRDefault="00C117EA">
      <w:pPr>
        <w:spacing w:line="276" w:lineRule="auto"/>
        <w:jc w:val="both"/>
        <w:rPr>
          <w:b/>
          <w:sz w:val="28"/>
          <w:szCs w:val="28"/>
        </w:rPr>
      </w:pPr>
    </w:p>
    <w:p w14:paraId="1EDBCE1E" w14:textId="5F90E509" w:rsidR="00743495" w:rsidRPr="00743495" w:rsidRDefault="00B2685E" w:rsidP="00743495">
      <w:pPr>
        <w:spacing w:line="276" w:lineRule="auto"/>
        <w:jc w:val="both"/>
        <w:rPr>
          <w:sz w:val="28"/>
          <w:szCs w:val="28"/>
        </w:rPr>
      </w:pPr>
      <w:r w:rsidRPr="009A6E75">
        <w:rPr>
          <w:sz w:val="28"/>
          <w:szCs w:val="28"/>
        </w:rPr>
        <w:t xml:space="preserve">Ky Vendim </w:t>
      </w:r>
      <w:r w:rsidR="00F94CDB">
        <w:rPr>
          <w:sz w:val="28"/>
          <w:szCs w:val="28"/>
        </w:rPr>
        <w:t xml:space="preserve">nuk </w:t>
      </w:r>
      <w:r w:rsidR="00743495">
        <w:rPr>
          <w:sz w:val="28"/>
          <w:szCs w:val="28"/>
        </w:rPr>
        <w:t>ka efekte financiare</w:t>
      </w:r>
      <w:r w:rsidR="00F94CDB">
        <w:rPr>
          <w:sz w:val="28"/>
          <w:szCs w:val="28"/>
        </w:rPr>
        <w:t>.</w:t>
      </w:r>
    </w:p>
    <w:p w14:paraId="50D1DDE0" w14:textId="717F14A9" w:rsidR="005925BD" w:rsidRPr="009A6E75" w:rsidRDefault="005925BD" w:rsidP="004B4204">
      <w:pPr>
        <w:spacing w:line="276" w:lineRule="auto"/>
        <w:jc w:val="both"/>
        <w:rPr>
          <w:b/>
          <w:bCs/>
          <w:sz w:val="28"/>
          <w:szCs w:val="28"/>
        </w:rPr>
      </w:pPr>
    </w:p>
    <w:p w14:paraId="73807BA0" w14:textId="77777777" w:rsidR="000220DF" w:rsidRPr="009A6E75" w:rsidRDefault="000220DF" w:rsidP="005017EB">
      <w:pPr>
        <w:spacing w:line="276" w:lineRule="auto"/>
        <w:rPr>
          <w:b/>
          <w:bCs/>
          <w:sz w:val="28"/>
          <w:szCs w:val="28"/>
        </w:rPr>
      </w:pPr>
    </w:p>
    <w:p w14:paraId="076A02F9" w14:textId="7730B330" w:rsidR="009213DB" w:rsidRPr="009A6E75" w:rsidRDefault="009213DB" w:rsidP="009213DB">
      <w:pPr>
        <w:spacing w:line="276" w:lineRule="auto"/>
        <w:jc w:val="center"/>
        <w:rPr>
          <w:b/>
          <w:bCs/>
          <w:sz w:val="28"/>
          <w:szCs w:val="28"/>
        </w:rPr>
      </w:pPr>
      <w:r w:rsidRPr="009A6E75">
        <w:rPr>
          <w:b/>
          <w:bCs/>
          <w:sz w:val="28"/>
          <w:szCs w:val="28"/>
        </w:rPr>
        <w:t xml:space="preserve">MINISTRI I SHTETIT PËR </w:t>
      </w:r>
      <w:r w:rsidR="00B2685E" w:rsidRPr="009A6E75">
        <w:rPr>
          <w:b/>
          <w:bCs/>
          <w:sz w:val="28"/>
          <w:szCs w:val="28"/>
        </w:rPr>
        <w:t xml:space="preserve">PUSHTETIN VENDOR </w:t>
      </w:r>
    </w:p>
    <w:p w14:paraId="0900C820" w14:textId="77777777" w:rsidR="009213DB" w:rsidRPr="009A6E75" w:rsidRDefault="009213DB" w:rsidP="009213DB">
      <w:pPr>
        <w:spacing w:line="276" w:lineRule="auto"/>
        <w:jc w:val="center"/>
        <w:rPr>
          <w:b/>
          <w:bCs/>
          <w:sz w:val="28"/>
          <w:szCs w:val="28"/>
        </w:rPr>
      </w:pPr>
    </w:p>
    <w:p w14:paraId="00000056" w14:textId="43438499" w:rsidR="00C117EA" w:rsidRPr="009A6E75" w:rsidRDefault="00B2685E" w:rsidP="009213DB">
      <w:pPr>
        <w:spacing w:line="276" w:lineRule="auto"/>
        <w:jc w:val="center"/>
        <w:rPr>
          <w:sz w:val="28"/>
          <w:szCs w:val="28"/>
        </w:rPr>
      </w:pPr>
      <w:r w:rsidRPr="009A6E75">
        <w:rPr>
          <w:b/>
          <w:bCs/>
          <w:sz w:val="28"/>
          <w:szCs w:val="28"/>
        </w:rPr>
        <w:t xml:space="preserve">Arbjan MAZNIKU </w:t>
      </w:r>
    </w:p>
    <w:sectPr w:rsidR="00C117EA" w:rsidRPr="009A6E75" w:rsidSect="005B12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D5076" w14:textId="77777777" w:rsidR="00E9309B" w:rsidRDefault="00E9309B">
      <w:r>
        <w:separator/>
      </w:r>
    </w:p>
  </w:endnote>
  <w:endnote w:type="continuationSeparator" w:id="0">
    <w:p w14:paraId="497FF289" w14:textId="77777777" w:rsidR="00E9309B" w:rsidRDefault="00E9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A" w14:textId="77777777" w:rsidR="00C117EA" w:rsidRDefault="00B749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5B" w14:textId="77777777" w:rsidR="00C117EA" w:rsidRDefault="00C11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877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FC2A2" w14:textId="15C1B317" w:rsidR="00880A92" w:rsidRDefault="00880A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C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0005D" w14:textId="0010ECF9" w:rsidR="00C117EA" w:rsidRPr="00F34671" w:rsidRDefault="00C117EA" w:rsidP="00F34671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80"/>
        <w:tab w:val="right" w:pos="9237"/>
        <w:tab w:val="right" w:pos="9360"/>
      </w:tabs>
      <w:ind w:right="360"/>
      <w:jc w:val="both"/>
      <w:rPr>
        <w:bCs/>
        <w:color w:val="000000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C" w14:textId="77777777" w:rsidR="00C117EA" w:rsidRDefault="00C11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861BA" w14:textId="77777777" w:rsidR="00E9309B" w:rsidRDefault="00E9309B">
      <w:r>
        <w:separator/>
      </w:r>
    </w:p>
  </w:footnote>
  <w:footnote w:type="continuationSeparator" w:id="0">
    <w:p w14:paraId="580A2F3C" w14:textId="77777777" w:rsidR="00E9309B" w:rsidRDefault="00E9309B">
      <w:r>
        <w:continuationSeparator/>
      </w:r>
    </w:p>
  </w:footnote>
  <w:footnote w:id="1">
    <w:p w14:paraId="5C03EAA2" w14:textId="30F88C1D" w:rsidR="00DF7569" w:rsidRDefault="00DF75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45F79">
          <w:rPr>
            <w:rStyle w:val="Hyperlink"/>
          </w:rPr>
          <w:t>https://enlargement.ec.europa.eu/document/do</w:t>
        </w:r>
        <w:r w:rsidR="00601321">
          <w:rPr>
            <w:rStyle w:val="Hyperlink"/>
          </w:rPr>
          <w:t>ë</w:t>
        </w:r>
        <w:r w:rsidRPr="00545F79">
          <w:rPr>
            <w:rStyle w:val="Hyperlink"/>
          </w:rPr>
          <w:t>nload/a8eec3f9-b2ec-4cb1-8748-9058854dbc68_en?filename=Albania%20Report%202024.pdf</w:t>
        </w:r>
      </w:hyperlink>
    </w:p>
    <w:p w14:paraId="134AF9C5" w14:textId="0B71FB1A" w:rsidR="00DF7569" w:rsidRPr="00DF7569" w:rsidRDefault="00DF7569">
      <w:pPr>
        <w:pStyle w:val="FootnoteText"/>
        <w:rPr>
          <w:lang w:val="en-US"/>
        </w:rPr>
      </w:pPr>
      <w:r>
        <w:t>Fq.91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8" w14:textId="77777777" w:rsidR="00C117EA" w:rsidRDefault="00C11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7" w14:textId="77777777" w:rsidR="00C117EA" w:rsidRDefault="00C11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9" w14:textId="77777777" w:rsidR="00C117EA" w:rsidRDefault="00C11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2537"/>
    <w:multiLevelType w:val="multilevel"/>
    <w:tmpl w:val="CDDC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45B22"/>
    <w:multiLevelType w:val="hybridMultilevel"/>
    <w:tmpl w:val="E1AE57FA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45B1349"/>
    <w:multiLevelType w:val="hybridMultilevel"/>
    <w:tmpl w:val="2272B196"/>
    <w:lvl w:ilvl="0" w:tplc="33C2F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720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34B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722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F2F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845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AEB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E2B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72C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9F2757"/>
    <w:multiLevelType w:val="multilevel"/>
    <w:tmpl w:val="FC2E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01964"/>
    <w:multiLevelType w:val="hybridMultilevel"/>
    <w:tmpl w:val="A5AA1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4D74"/>
    <w:multiLevelType w:val="hybridMultilevel"/>
    <w:tmpl w:val="0DCE1A42"/>
    <w:lvl w:ilvl="0" w:tplc="97D6640E">
      <w:start w:val="1"/>
      <w:numFmt w:val="lowerLetter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2F4223B2"/>
    <w:multiLevelType w:val="multilevel"/>
    <w:tmpl w:val="3CA26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07C1F96"/>
    <w:multiLevelType w:val="hybridMultilevel"/>
    <w:tmpl w:val="22AA1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E1246"/>
    <w:multiLevelType w:val="hybridMultilevel"/>
    <w:tmpl w:val="7CB6E5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43B3E"/>
    <w:multiLevelType w:val="hybridMultilevel"/>
    <w:tmpl w:val="F9EED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C7739"/>
    <w:multiLevelType w:val="hybridMultilevel"/>
    <w:tmpl w:val="36BAE7BC"/>
    <w:lvl w:ilvl="0" w:tplc="08090017">
      <w:start w:val="1"/>
      <w:numFmt w:val="lowerLetter"/>
      <w:lvlText w:val="%1)"/>
      <w:lvlJc w:val="left"/>
      <w:pPr>
        <w:ind w:left="1636" w:hanging="360"/>
      </w:p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4E4B4ED8"/>
    <w:multiLevelType w:val="hybridMultilevel"/>
    <w:tmpl w:val="E46A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34640"/>
    <w:multiLevelType w:val="hybridMultilevel"/>
    <w:tmpl w:val="AC7E0D84"/>
    <w:lvl w:ilvl="0" w:tplc="04090017">
      <w:start w:val="1"/>
      <w:numFmt w:val="lowerLetter"/>
      <w:lvlText w:val="%1)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F025718"/>
    <w:multiLevelType w:val="hybridMultilevel"/>
    <w:tmpl w:val="0B0875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F1097"/>
    <w:multiLevelType w:val="multilevel"/>
    <w:tmpl w:val="AD3A3C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15" w15:restartNumberingAfterBreak="0">
    <w:nsid w:val="54290567"/>
    <w:multiLevelType w:val="hybridMultilevel"/>
    <w:tmpl w:val="2AE281EC"/>
    <w:lvl w:ilvl="0" w:tplc="BC94FBBE">
      <w:start w:val="1"/>
      <w:numFmt w:val="decimal"/>
      <w:lvlText w:val="%1.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64D0BE8"/>
    <w:multiLevelType w:val="multilevel"/>
    <w:tmpl w:val="F682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1A530C"/>
    <w:multiLevelType w:val="hybridMultilevel"/>
    <w:tmpl w:val="9E84B61A"/>
    <w:lvl w:ilvl="0" w:tplc="B358A450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D7240790">
      <w:start w:val="1"/>
      <w:numFmt w:val="decimal"/>
      <w:lvlText w:val="%2."/>
      <w:lvlJc w:val="left"/>
      <w:pPr>
        <w:ind w:left="207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657F3DBB"/>
    <w:multiLevelType w:val="singleLevel"/>
    <w:tmpl w:val="657F3DBB"/>
    <w:lvl w:ilvl="0">
      <w:start w:val="7"/>
      <w:numFmt w:val="decimal"/>
      <w:suff w:val="space"/>
      <w:lvlText w:val="%1."/>
      <w:lvlJc w:val="left"/>
    </w:lvl>
  </w:abstractNum>
  <w:abstractNum w:abstractNumId="19" w15:restartNumberingAfterBreak="0">
    <w:nsid w:val="66505C98"/>
    <w:multiLevelType w:val="hybridMultilevel"/>
    <w:tmpl w:val="FD7C4BAE"/>
    <w:lvl w:ilvl="0" w:tplc="6D2CCE98">
      <w:start w:val="1"/>
      <w:numFmt w:val="decimal"/>
      <w:suff w:val="space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0" w15:restartNumberingAfterBreak="0">
    <w:nsid w:val="69AF1E31"/>
    <w:multiLevelType w:val="hybridMultilevel"/>
    <w:tmpl w:val="FFD8B206"/>
    <w:lvl w:ilvl="0" w:tplc="17E86A94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  <w:szCs w:val="28"/>
      </w:rPr>
    </w:lvl>
    <w:lvl w:ilvl="1" w:tplc="BC7679C4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  <w:color w:val="0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E565E"/>
    <w:multiLevelType w:val="hybridMultilevel"/>
    <w:tmpl w:val="81865788"/>
    <w:lvl w:ilvl="0" w:tplc="0409001B">
      <w:start w:val="1"/>
      <w:numFmt w:val="lowerRoman"/>
      <w:lvlText w:val="%1."/>
      <w:lvlJc w:val="right"/>
      <w:pPr>
        <w:ind w:left="5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246C45"/>
    <w:multiLevelType w:val="hybridMultilevel"/>
    <w:tmpl w:val="1F763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002F2"/>
    <w:multiLevelType w:val="hybridMultilevel"/>
    <w:tmpl w:val="6020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B3F3B"/>
    <w:multiLevelType w:val="hybridMultilevel"/>
    <w:tmpl w:val="70BC3DEE"/>
    <w:lvl w:ilvl="0" w:tplc="634E2818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E68CF"/>
    <w:multiLevelType w:val="hybridMultilevel"/>
    <w:tmpl w:val="3E36E67C"/>
    <w:lvl w:ilvl="0" w:tplc="A8CE98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D0C3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B62A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DA15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9297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3074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8B5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4835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DA3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F4BC8"/>
    <w:multiLevelType w:val="hybridMultilevel"/>
    <w:tmpl w:val="D48C9D08"/>
    <w:lvl w:ilvl="0" w:tplc="EC204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CC9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47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D8B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4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968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121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5CE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62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6"/>
  </w:num>
  <w:num w:numId="5">
    <w:abstractNumId w:val="14"/>
  </w:num>
  <w:num w:numId="6">
    <w:abstractNumId w:val="10"/>
  </w:num>
  <w:num w:numId="7">
    <w:abstractNumId w:val="12"/>
  </w:num>
  <w:num w:numId="8">
    <w:abstractNumId w:val="5"/>
  </w:num>
  <w:num w:numId="9">
    <w:abstractNumId w:val="1"/>
  </w:num>
  <w:num w:numId="10">
    <w:abstractNumId w:val="24"/>
  </w:num>
  <w:num w:numId="11">
    <w:abstractNumId w:val="19"/>
  </w:num>
  <w:num w:numId="12">
    <w:abstractNumId w:val="13"/>
  </w:num>
  <w:num w:numId="13">
    <w:abstractNumId w:val="23"/>
  </w:num>
  <w:num w:numId="14">
    <w:abstractNumId w:val="8"/>
  </w:num>
  <w:num w:numId="15">
    <w:abstractNumId w:val="15"/>
  </w:num>
  <w:num w:numId="16">
    <w:abstractNumId w:val="11"/>
  </w:num>
  <w:num w:numId="17">
    <w:abstractNumId w:val="7"/>
  </w:num>
  <w:num w:numId="18">
    <w:abstractNumId w:val="22"/>
  </w:num>
  <w:num w:numId="19">
    <w:abstractNumId w:val="21"/>
  </w:num>
  <w:num w:numId="20">
    <w:abstractNumId w:val="2"/>
  </w:num>
  <w:num w:numId="21">
    <w:abstractNumId w:val="26"/>
  </w:num>
  <w:num w:numId="22">
    <w:abstractNumId w:val="25"/>
  </w:num>
  <w:num w:numId="23">
    <w:abstractNumId w:val="4"/>
  </w:num>
  <w:num w:numId="24">
    <w:abstractNumId w:val="3"/>
  </w:num>
  <w:num w:numId="25">
    <w:abstractNumId w:val="9"/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EA"/>
    <w:rsid w:val="00012A0E"/>
    <w:rsid w:val="00015796"/>
    <w:rsid w:val="000220DF"/>
    <w:rsid w:val="000236B1"/>
    <w:rsid w:val="00034357"/>
    <w:rsid w:val="00040B0F"/>
    <w:rsid w:val="0004256E"/>
    <w:rsid w:val="00057FBC"/>
    <w:rsid w:val="00060869"/>
    <w:rsid w:val="00065D12"/>
    <w:rsid w:val="00070111"/>
    <w:rsid w:val="000705AF"/>
    <w:rsid w:val="000805CD"/>
    <w:rsid w:val="00086880"/>
    <w:rsid w:val="00086EE0"/>
    <w:rsid w:val="00097844"/>
    <w:rsid w:val="000B05F0"/>
    <w:rsid w:val="000C5CA2"/>
    <w:rsid w:val="000E3670"/>
    <w:rsid w:val="000E5FBF"/>
    <w:rsid w:val="000F053B"/>
    <w:rsid w:val="000F63CE"/>
    <w:rsid w:val="001008B6"/>
    <w:rsid w:val="00101C74"/>
    <w:rsid w:val="00102D54"/>
    <w:rsid w:val="00130C40"/>
    <w:rsid w:val="00144A9D"/>
    <w:rsid w:val="00146692"/>
    <w:rsid w:val="00147C9A"/>
    <w:rsid w:val="001502B7"/>
    <w:rsid w:val="00154B4A"/>
    <w:rsid w:val="001669E2"/>
    <w:rsid w:val="00167A56"/>
    <w:rsid w:val="00186BB3"/>
    <w:rsid w:val="001A1649"/>
    <w:rsid w:val="001A285A"/>
    <w:rsid w:val="001A39D2"/>
    <w:rsid w:val="001C10E8"/>
    <w:rsid w:val="001C49AB"/>
    <w:rsid w:val="001D1190"/>
    <w:rsid w:val="001D3210"/>
    <w:rsid w:val="001D5933"/>
    <w:rsid w:val="001E3189"/>
    <w:rsid w:val="001E6F74"/>
    <w:rsid w:val="001F0A6B"/>
    <w:rsid w:val="001F26F2"/>
    <w:rsid w:val="00202698"/>
    <w:rsid w:val="00202873"/>
    <w:rsid w:val="00210AB5"/>
    <w:rsid w:val="00211A92"/>
    <w:rsid w:val="00224FC9"/>
    <w:rsid w:val="00234451"/>
    <w:rsid w:val="00240671"/>
    <w:rsid w:val="00240904"/>
    <w:rsid w:val="002442B8"/>
    <w:rsid w:val="002456E9"/>
    <w:rsid w:val="00246AD9"/>
    <w:rsid w:val="00247DCD"/>
    <w:rsid w:val="00250F0A"/>
    <w:rsid w:val="00257E78"/>
    <w:rsid w:val="00265A36"/>
    <w:rsid w:val="0026668A"/>
    <w:rsid w:val="00266A68"/>
    <w:rsid w:val="00275388"/>
    <w:rsid w:val="002823FC"/>
    <w:rsid w:val="00285233"/>
    <w:rsid w:val="002915D4"/>
    <w:rsid w:val="00293C52"/>
    <w:rsid w:val="00295FA5"/>
    <w:rsid w:val="002A56AD"/>
    <w:rsid w:val="002C09C6"/>
    <w:rsid w:val="002C0FC3"/>
    <w:rsid w:val="002C5A47"/>
    <w:rsid w:val="002D0C65"/>
    <w:rsid w:val="002D651D"/>
    <w:rsid w:val="00305D8B"/>
    <w:rsid w:val="00316B82"/>
    <w:rsid w:val="0032079D"/>
    <w:rsid w:val="0032654C"/>
    <w:rsid w:val="003268C8"/>
    <w:rsid w:val="003317C5"/>
    <w:rsid w:val="003325DF"/>
    <w:rsid w:val="00336663"/>
    <w:rsid w:val="00336E36"/>
    <w:rsid w:val="00337252"/>
    <w:rsid w:val="003447CF"/>
    <w:rsid w:val="00345EC7"/>
    <w:rsid w:val="00346857"/>
    <w:rsid w:val="00354C8B"/>
    <w:rsid w:val="0036117C"/>
    <w:rsid w:val="00365492"/>
    <w:rsid w:val="0036565A"/>
    <w:rsid w:val="00370062"/>
    <w:rsid w:val="00394323"/>
    <w:rsid w:val="003975E2"/>
    <w:rsid w:val="003A0D76"/>
    <w:rsid w:val="003A5A67"/>
    <w:rsid w:val="003A61EC"/>
    <w:rsid w:val="003A6569"/>
    <w:rsid w:val="003C3AB7"/>
    <w:rsid w:val="003C4A6A"/>
    <w:rsid w:val="003C7D6B"/>
    <w:rsid w:val="003E71BE"/>
    <w:rsid w:val="003F2263"/>
    <w:rsid w:val="003F2700"/>
    <w:rsid w:val="003F2BDA"/>
    <w:rsid w:val="003F524E"/>
    <w:rsid w:val="003F7652"/>
    <w:rsid w:val="00400194"/>
    <w:rsid w:val="00410919"/>
    <w:rsid w:val="00412D11"/>
    <w:rsid w:val="00423F87"/>
    <w:rsid w:val="004247CF"/>
    <w:rsid w:val="00425C79"/>
    <w:rsid w:val="00425F37"/>
    <w:rsid w:val="00431D92"/>
    <w:rsid w:val="004351D1"/>
    <w:rsid w:val="00441F71"/>
    <w:rsid w:val="004507F1"/>
    <w:rsid w:val="00452B63"/>
    <w:rsid w:val="00456C96"/>
    <w:rsid w:val="00464745"/>
    <w:rsid w:val="00471CEE"/>
    <w:rsid w:val="0047213A"/>
    <w:rsid w:val="0047737A"/>
    <w:rsid w:val="00477C23"/>
    <w:rsid w:val="00481E37"/>
    <w:rsid w:val="00483FB0"/>
    <w:rsid w:val="00493F0A"/>
    <w:rsid w:val="0049791A"/>
    <w:rsid w:val="004A4004"/>
    <w:rsid w:val="004B1AFB"/>
    <w:rsid w:val="004B4204"/>
    <w:rsid w:val="004B61B0"/>
    <w:rsid w:val="004B707E"/>
    <w:rsid w:val="004C107D"/>
    <w:rsid w:val="004D1707"/>
    <w:rsid w:val="004E0C8B"/>
    <w:rsid w:val="004E18AF"/>
    <w:rsid w:val="004E1D8E"/>
    <w:rsid w:val="004E4DA0"/>
    <w:rsid w:val="004F0198"/>
    <w:rsid w:val="005017EB"/>
    <w:rsid w:val="00504D0D"/>
    <w:rsid w:val="00506548"/>
    <w:rsid w:val="005075AA"/>
    <w:rsid w:val="005078D8"/>
    <w:rsid w:val="0051546A"/>
    <w:rsid w:val="00515528"/>
    <w:rsid w:val="00516E3A"/>
    <w:rsid w:val="00526286"/>
    <w:rsid w:val="00536F41"/>
    <w:rsid w:val="00537463"/>
    <w:rsid w:val="005417F2"/>
    <w:rsid w:val="0054591C"/>
    <w:rsid w:val="0055445F"/>
    <w:rsid w:val="0055446C"/>
    <w:rsid w:val="00556369"/>
    <w:rsid w:val="0055640D"/>
    <w:rsid w:val="00561936"/>
    <w:rsid w:val="00574F1D"/>
    <w:rsid w:val="00576AEB"/>
    <w:rsid w:val="005878B7"/>
    <w:rsid w:val="005925BD"/>
    <w:rsid w:val="00593736"/>
    <w:rsid w:val="00593A71"/>
    <w:rsid w:val="005A50BC"/>
    <w:rsid w:val="005B1177"/>
    <w:rsid w:val="005B1286"/>
    <w:rsid w:val="005B596C"/>
    <w:rsid w:val="005C2C33"/>
    <w:rsid w:val="005F2B13"/>
    <w:rsid w:val="005F3405"/>
    <w:rsid w:val="005F65F9"/>
    <w:rsid w:val="00601321"/>
    <w:rsid w:val="0060185C"/>
    <w:rsid w:val="00602539"/>
    <w:rsid w:val="00616E18"/>
    <w:rsid w:val="006207DB"/>
    <w:rsid w:val="00630FDD"/>
    <w:rsid w:val="006316DE"/>
    <w:rsid w:val="00635D15"/>
    <w:rsid w:val="00646859"/>
    <w:rsid w:val="006563D8"/>
    <w:rsid w:val="00656C80"/>
    <w:rsid w:val="0065749F"/>
    <w:rsid w:val="00661612"/>
    <w:rsid w:val="00663AAD"/>
    <w:rsid w:val="00666D1D"/>
    <w:rsid w:val="00674BBA"/>
    <w:rsid w:val="00676F41"/>
    <w:rsid w:val="0068209F"/>
    <w:rsid w:val="006849A8"/>
    <w:rsid w:val="00686114"/>
    <w:rsid w:val="00690635"/>
    <w:rsid w:val="00695721"/>
    <w:rsid w:val="006A663F"/>
    <w:rsid w:val="006B673D"/>
    <w:rsid w:val="006D3F49"/>
    <w:rsid w:val="006D6326"/>
    <w:rsid w:val="006F6624"/>
    <w:rsid w:val="00711913"/>
    <w:rsid w:val="00712F61"/>
    <w:rsid w:val="00713C0C"/>
    <w:rsid w:val="00714266"/>
    <w:rsid w:val="00724E76"/>
    <w:rsid w:val="00732171"/>
    <w:rsid w:val="00735D9A"/>
    <w:rsid w:val="00743495"/>
    <w:rsid w:val="00746B5B"/>
    <w:rsid w:val="007501BC"/>
    <w:rsid w:val="007563F7"/>
    <w:rsid w:val="007706B6"/>
    <w:rsid w:val="007718F8"/>
    <w:rsid w:val="0077514F"/>
    <w:rsid w:val="007A5E23"/>
    <w:rsid w:val="007B5301"/>
    <w:rsid w:val="007B6150"/>
    <w:rsid w:val="007C1577"/>
    <w:rsid w:val="007C2011"/>
    <w:rsid w:val="007C7100"/>
    <w:rsid w:val="007D10A2"/>
    <w:rsid w:val="007D126C"/>
    <w:rsid w:val="007D3A58"/>
    <w:rsid w:val="007E2669"/>
    <w:rsid w:val="007E30B8"/>
    <w:rsid w:val="007E51B9"/>
    <w:rsid w:val="007E6719"/>
    <w:rsid w:val="007F621F"/>
    <w:rsid w:val="00801274"/>
    <w:rsid w:val="00802B5F"/>
    <w:rsid w:val="00803482"/>
    <w:rsid w:val="008042D3"/>
    <w:rsid w:val="00804746"/>
    <w:rsid w:val="0081447C"/>
    <w:rsid w:val="0081547F"/>
    <w:rsid w:val="008227C4"/>
    <w:rsid w:val="0082386A"/>
    <w:rsid w:val="00833BC1"/>
    <w:rsid w:val="00844015"/>
    <w:rsid w:val="0086053B"/>
    <w:rsid w:val="008644B7"/>
    <w:rsid w:val="00867124"/>
    <w:rsid w:val="00880A92"/>
    <w:rsid w:val="00882BD3"/>
    <w:rsid w:val="00882EB4"/>
    <w:rsid w:val="00885CD0"/>
    <w:rsid w:val="008867F6"/>
    <w:rsid w:val="00887808"/>
    <w:rsid w:val="008879E8"/>
    <w:rsid w:val="00887E53"/>
    <w:rsid w:val="008B43B0"/>
    <w:rsid w:val="008B4C2D"/>
    <w:rsid w:val="008C1EC9"/>
    <w:rsid w:val="008C3A19"/>
    <w:rsid w:val="008C70C8"/>
    <w:rsid w:val="008D024B"/>
    <w:rsid w:val="008D1A21"/>
    <w:rsid w:val="008D28E6"/>
    <w:rsid w:val="008D7448"/>
    <w:rsid w:val="008E1738"/>
    <w:rsid w:val="008E5C4C"/>
    <w:rsid w:val="008F2173"/>
    <w:rsid w:val="008F60CF"/>
    <w:rsid w:val="008F713B"/>
    <w:rsid w:val="00900F94"/>
    <w:rsid w:val="00902D4A"/>
    <w:rsid w:val="00902EE0"/>
    <w:rsid w:val="0091082C"/>
    <w:rsid w:val="00911FA0"/>
    <w:rsid w:val="00916467"/>
    <w:rsid w:val="009213DB"/>
    <w:rsid w:val="0092209C"/>
    <w:rsid w:val="009250D6"/>
    <w:rsid w:val="00926DB6"/>
    <w:rsid w:val="009271FA"/>
    <w:rsid w:val="009449B3"/>
    <w:rsid w:val="0094664F"/>
    <w:rsid w:val="009476A4"/>
    <w:rsid w:val="009476FD"/>
    <w:rsid w:val="00950609"/>
    <w:rsid w:val="00951059"/>
    <w:rsid w:val="00963A3D"/>
    <w:rsid w:val="00966AC9"/>
    <w:rsid w:val="00970980"/>
    <w:rsid w:val="00984EB8"/>
    <w:rsid w:val="00990C59"/>
    <w:rsid w:val="00995634"/>
    <w:rsid w:val="00997421"/>
    <w:rsid w:val="009A125F"/>
    <w:rsid w:val="009A228D"/>
    <w:rsid w:val="009A2CBB"/>
    <w:rsid w:val="009A5119"/>
    <w:rsid w:val="009A57F7"/>
    <w:rsid w:val="009A6E75"/>
    <w:rsid w:val="009B34E3"/>
    <w:rsid w:val="009D449D"/>
    <w:rsid w:val="009E50E8"/>
    <w:rsid w:val="009E7665"/>
    <w:rsid w:val="009F22E0"/>
    <w:rsid w:val="009F6927"/>
    <w:rsid w:val="009F76B1"/>
    <w:rsid w:val="00A070CF"/>
    <w:rsid w:val="00A14A2B"/>
    <w:rsid w:val="00A15B22"/>
    <w:rsid w:val="00A209D5"/>
    <w:rsid w:val="00A256C0"/>
    <w:rsid w:val="00A31795"/>
    <w:rsid w:val="00A34599"/>
    <w:rsid w:val="00A46731"/>
    <w:rsid w:val="00A523E2"/>
    <w:rsid w:val="00A6312B"/>
    <w:rsid w:val="00A639CB"/>
    <w:rsid w:val="00A63A6C"/>
    <w:rsid w:val="00A75F27"/>
    <w:rsid w:val="00A7712A"/>
    <w:rsid w:val="00A870C5"/>
    <w:rsid w:val="00A97CD5"/>
    <w:rsid w:val="00AA6224"/>
    <w:rsid w:val="00AB109A"/>
    <w:rsid w:val="00AB5428"/>
    <w:rsid w:val="00AC40B6"/>
    <w:rsid w:val="00AC5A3F"/>
    <w:rsid w:val="00AD6605"/>
    <w:rsid w:val="00AD6BB9"/>
    <w:rsid w:val="00AD735B"/>
    <w:rsid w:val="00AD7C5C"/>
    <w:rsid w:val="00AE49A4"/>
    <w:rsid w:val="00AF1E45"/>
    <w:rsid w:val="00AF586A"/>
    <w:rsid w:val="00AF6761"/>
    <w:rsid w:val="00B04A93"/>
    <w:rsid w:val="00B04CBB"/>
    <w:rsid w:val="00B10E07"/>
    <w:rsid w:val="00B203D1"/>
    <w:rsid w:val="00B21FB7"/>
    <w:rsid w:val="00B2280E"/>
    <w:rsid w:val="00B229F3"/>
    <w:rsid w:val="00B25EAF"/>
    <w:rsid w:val="00B2685E"/>
    <w:rsid w:val="00B41E67"/>
    <w:rsid w:val="00B518E3"/>
    <w:rsid w:val="00B67F23"/>
    <w:rsid w:val="00B701F7"/>
    <w:rsid w:val="00B74936"/>
    <w:rsid w:val="00B77F81"/>
    <w:rsid w:val="00B840DF"/>
    <w:rsid w:val="00B90825"/>
    <w:rsid w:val="00B92810"/>
    <w:rsid w:val="00B92C50"/>
    <w:rsid w:val="00B93EF1"/>
    <w:rsid w:val="00B94217"/>
    <w:rsid w:val="00B964EE"/>
    <w:rsid w:val="00BA2FE6"/>
    <w:rsid w:val="00BA7229"/>
    <w:rsid w:val="00BD1FFD"/>
    <w:rsid w:val="00BE590C"/>
    <w:rsid w:val="00BE5959"/>
    <w:rsid w:val="00BE6338"/>
    <w:rsid w:val="00BF28E1"/>
    <w:rsid w:val="00BF4CA9"/>
    <w:rsid w:val="00BF50F2"/>
    <w:rsid w:val="00C01AE8"/>
    <w:rsid w:val="00C01B2C"/>
    <w:rsid w:val="00C117EA"/>
    <w:rsid w:val="00C1290D"/>
    <w:rsid w:val="00C21027"/>
    <w:rsid w:val="00C224DA"/>
    <w:rsid w:val="00C23BCA"/>
    <w:rsid w:val="00C24E5C"/>
    <w:rsid w:val="00C26A8B"/>
    <w:rsid w:val="00C27098"/>
    <w:rsid w:val="00C37BDD"/>
    <w:rsid w:val="00C40C00"/>
    <w:rsid w:val="00C4242B"/>
    <w:rsid w:val="00C43471"/>
    <w:rsid w:val="00C47279"/>
    <w:rsid w:val="00C47DF9"/>
    <w:rsid w:val="00C507EF"/>
    <w:rsid w:val="00C54F9C"/>
    <w:rsid w:val="00C55836"/>
    <w:rsid w:val="00C57275"/>
    <w:rsid w:val="00C62BD8"/>
    <w:rsid w:val="00C6428A"/>
    <w:rsid w:val="00C8057A"/>
    <w:rsid w:val="00C810BF"/>
    <w:rsid w:val="00C82969"/>
    <w:rsid w:val="00C82ED5"/>
    <w:rsid w:val="00C856F0"/>
    <w:rsid w:val="00C85EE4"/>
    <w:rsid w:val="00C87184"/>
    <w:rsid w:val="00C875B5"/>
    <w:rsid w:val="00C93C4B"/>
    <w:rsid w:val="00C93F41"/>
    <w:rsid w:val="00CA0A6F"/>
    <w:rsid w:val="00CA2C7B"/>
    <w:rsid w:val="00CA31C9"/>
    <w:rsid w:val="00CA4645"/>
    <w:rsid w:val="00CA6154"/>
    <w:rsid w:val="00CA6EF2"/>
    <w:rsid w:val="00CB6830"/>
    <w:rsid w:val="00CC3D3E"/>
    <w:rsid w:val="00CC63D8"/>
    <w:rsid w:val="00CC6FC7"/>
    <w:rsid w:val="00CC71CA"/>
    <w:rsid w:val="00CD148A"/>
    <w:rsid w:val="00CD5A71"/>
    <w:rsid w:val="00CE154A"/>
    <w:rsid w:val="00CE2233"/>
    <w:rsid w:val="00CE4986"/>
    <w:rsid w:val="00CE6754"/>
    <w:rsid w:val="00CF4BD6"/>
    <w:rsid w:val="00CF700B"/>
    <w:rsid w:val="00D05662"/>
    <w:rsid w:val="00D06051"/>
    <w:rsid w:val="00D062FD"/>
    <w:rsid w:val="00D12A5D"/>
    <w:rsid w:val="00D20405"/>
    <w:rsid w:val="00D23B03"/>
    <w:rsid w:val="00D37886"/>
    <w:rsid w:val="00D40AF5"/>
    <w:rsid w:val="00D45905"/>
    <w:rsid w:val="00D513F3"/>
    <w:rsid w:val="00D53AF2"/>
    <w:rsid w:val="00D571F5"/>
    <w:rsid w:val="00D6387F"/>
    <w:rsid w:val="00D6604A"/>
    <w:rsid w:val="00D6673A"/>
    <w:rsid w:val="00D747BF"/>
    <w:rsid w:val="00D7494D"/>
    <w:rsid w:val="00D769C9"/>
    <w:rsid w:val="00D805D6"/>
    <w:rsid w:val="00D83E14"/>
    <w:rsid w:val="00D846A7"/>
    <w:rsid w:val="00D91D5D"/>
    <w:rsid w:val="00D928FB"/>
    <w:rsid w:val="00D92D45"/>
    <w:rsid w:val="00D95B05"/>
    <w:rsid w:val="00D96507"/>
    <w:rsid w:val="00D97214"/>
    <w:rsid w:val="00D9733B"/>
    <w:rsid w:val="00DA0F3E"/>
    <w:rsid w:val="00DA16B0"/>
    <w:rsid w:val="00DA3D52"/>
    <w:rsid w:val="00DA3F60"/>
    <w:rsid w:val="00DB1FEF"/>
    <w:rsid w:val="00DB4525"/>
    <w:rsid w:val="00DB6708"/>
    <w:rsid w:val="00DC1573"/>
    <w:rsid w:val="00DC1D8E"/>
    <w:rsid w:val="00DC49EC"/>
    <w:rsid w:val="00DE0DF1"/>
    <w:rsid w:val="00DE2330"/>
    <w:rsid w:val="00DE2C0D"/>
    <w:rsid w:val="00DE478B"/>
    <w:rsid w:val="00DE4AE4"/>
    <w:rsid w:val="00DE7F93"/>
    <w:rsid w:val="00DF616B"/>
    <w:rsid w:val="00DF63C0"/>
    <w:rsid w:val="00DF7569"/>
    <w:rsid w:val="00DF7F33"/>
    <w:rsid w:val="00E01F25"/>
    <w:rsid w:val="00E11CFB"/>
    <w:rsid w:val="00E14380"/>
    <w:rsid w:val="00E14404"/>
    <w:rsid w:val="00E165E2"/>
    <w:rsid w:val="00E27010"/>
    <w:rsid w:val="00E3448F"/>
    <w:rsid w:val="00E35B36"/>
    <w:rsid w:val="00E404C3"/>
    <w:rsid w:val="00E4064F"/>
    <w:rsid w:val="00E4109B"/>
    <w:rsid w:val="00E45D9F"/>
    <w:rsid w:val="00E57489"/>
    <w:rsid w:val="00E62BC1"/>
    <w:rsid w:val="00E70400"/>
    <w:rsid w:val="00E72913"/>
    <w:rsid w:val="00E81C32"/>
    <w:rsid w:val="00E82382"/>
    <w:rsid w:val="00E9309B"/>
    <w:rsid w:val="00E95523"/>
    <w:rsid w:val="00E96675"/>
    <w:rsid w:val="00EA21D6"/>
    <w:rsid w:val="00EA459F"/>
    <w:rsid w:val="00EB09DA"/>
    <w:rsid w:val="00EC049B"/>
    <w:rsid w:val="00EC62B4"/>
    <w:rsid w:val="00ED2847"/>
    <w:rsid w:val="00ED716B"/>
    <w:rsid w:val="00EE012B"/>
    <w:rsid w:val="00EE12CA"/>
    <w:rsid w:val="00EE2BDB"/>
    <w:rsid w:val="00EE2FD3"/>
    <w:rsid w:val="00EF0007"/>
    <w:rsid w:val="00EF0F2F"/>
    <w:rsid w:val="00F0228F"/>
    <w:rsid w:val="00F037CC"/>
    <w:rsid w:val="00F03D1D"/>
    <w:rsid w:val="00F16D25"/>
    <w:rsid w:val="00F34406"/>
    <w:rsid w:val="00F34671"/>
    <w:rsid w:val="00F44EF0"/>
    <w:rsid w:val="00F47103"/>
    <w:rsid w:val="00F47705"/>
    <w:rsid w:val="00F60EDB"/>
    <w:rsid w:val="00F64C79"/>
    <w:rsid w:val="00F827EE"/>
    <w:rsid w:val="00F939D3"/>
    <w:rsid w:val="00F94CDB"/>
    <w:rsid w:val="00F971F5"/>
    <w:rsid w:val="00FA3AA7"/>
    <w:rsid w:val="00FA41C0"/>
    <w:rsid w:val="00FB2D87"/>
    <w:rsid w:val="00FB7F3B"/>
    <w:rsid w:val="00FC2447"/>
    <w:rsid w:val="00FC7405"/>
    <w:rsid w:val="00FD2EF9"/>
    <w:rsid w:val="00FD59BD"/>
    <w:rsid w:val="00FF2E6F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0C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q-AL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7F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2A56AD"/>
  </w:style>
  <w:style w:type="character" w:styleId="CommentReference">
    <w:name w:val="annotation reference"/>
    <w:basedOn w:val="DefaultParagraphFont"/>
    <w:uiPriority w:val="99"/>
    <w:semiHidden/>
    <w:unhideWhenUsed/>
    <w:rsid w:val="002A5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6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6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6A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40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064F"/>
    <w:pPr>
      <w:ind w:left="720"/>
      <w:contextualSpacing/>
    </w:pPr>
  </w:style>
  <w:style w:type="paragraph" w:customStyle="1" w:styleId="Default">
    <w:name w:val="Default"/>
    <w:rsid w:val="00C93C4B"/>
    <w:pPr>
      <w:autoSpaceDE w:val="0"/>
      <w:autoSpaceDN w:val="0"/>
      <w:adjustRightInd w:val="0"/>
    </w:pPr>
    <w:rPr>
      <w:rFonts w:eastAsia="Aptos"/>
      <w:color w:val="000000"/>
      <w:lang w:val="en-US" w:eastAsia="en-US"/>
      <w14:ligatures w14:val="standardContextual"/>
    </w:rPr>
  </w:style>
  <w:style w:type="paragraph" w:customStyle="1" w:styleId="elementtoproof">
    <w:name w:val="elementtoproof"/>
    <w:basedOn w:val="Normal"/>
    <w:rsid w:val="00BD1F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BD1FF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D1FFD"/>
  </w:style>
  <w:style w:type="paragraph" w:styleId="Footer">
    <w:name w:val="footer"/>
    <w:basedOn w:val="Normal"/>
    <w:link w:val="FooterChar"/>
    <w:uiPriority w:val="99"/>
    <w:unhideWhenUsed/>
    <w:rsid w:val="00880A92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80A92"/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5C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5C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5C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756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7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1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nlargement.ec.europa.eu/document/download/a8eec3f9-b2ec-4cb1-8748-9058854dbc68_en?filename=Albania%20Report%20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C1D0F-2B43-41B9-B0DF-C1C2499E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2025-05-28T14:36:00Z</dcterms:created>
  <dcterms:modified xsi:type="dcterms:W3CDTF">2025-05-28T14:36:00Z</dcterms:modified>
  <cp:category/>
</cp:coreProperties>
</file>