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D9F9" w14:textId="27A187D0" w:rsidR="00D43513" w:rsidRPr="00F93410" w:rsidRDefault="00EA243F" w:rsidP="00D979CD">
      <w:pPr>
        <w:tabs>
          <w:tab w:val="left" w:pos="2730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DC47214" wp14:editId="1FF99777">
            <wp:simplePos x="0" y="0"/>
            <wp:positionH relativeFrom="column">
              <wp:posOffset>-535388</wp:posOffset>
            </wp:positionH>
            <wp:positionV relativeFrom="paragraph">
              <wp:posOffset>210434</wp:posOffset>
            </wp:positionV>
            <wp:extent cx="1085850" cy="1485900"/>
            <wp:effectExtent l="0" t="0" r="0" b="0"/>
            <wp:wrapSquare wrapText="bothSides"/>
            <wp:docPr id="27" name="Picture 27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red outline of a person holding a fla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DAB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CFAB0CE" wp14:editId="2268D86C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5319395" cy="767715"/>
            <wp:effectExtent l="0" t="0" r="0" b="0"/>
            <wp:wrapSquare wrapText="bothSides"/>
            <wp:docPr id="7" name="Picture 7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ack shield with a black eag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39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365">
        <w:rPr>
          <w:rFonts w:ascii="Times New Roman" w:hAnsi="Times New Roman"/>
          <w:b/>
          <w:sz w:val="24"/>
          <w:szCs w:val="24"/>
        </w:rPr>
        <w:t xml:space="preserve"> </w:t>
      </w:r>
    </w:p>
    <w:p w14:paraId="3213E805" w14:textId="2D941775" w:rsidR="00EA243F" w:rsidRDefault="00EA243F" w:rsidP="00D979CD">
      <w:pPr>
        <w:spacing w:after="0" w:line="288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bookmarkStart w:id="0" w:name="_Hlk165274575"/>
      <w:r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0E179DEE" w14:textId="77777777" w:rsidR="00D979CD" w:rsidRPr="00026E7E" w:rsidRDefault="00D979CD" w:rsidP="00D979CD">
      <w:pPr>
        <w:spacing w:after="0" w:line="288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</w:p>
    <w:p w14:paraId="4D22EF03" w14:textId="21F1C965" w:rsidR="00D979CD" w:rsidRDefault="00EA243F" w:rsidP="00B94EE6">
      <w:pPr>
        <w:spacing w:after="0" w:line="288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   </w:t>
      </w:r>
      <w:bookmarkEnd w:id="0"/>
    </w:p>
    <w:p w14:paraId="237E9801" w14:textId="77777777" w:rsidR="00B94EE6" w:rsidRPr="00B94EE6" w:rsidRDefault="00B94EE6" w:rsidP="00B94EE6">
      <w:pPr>
        <w:spacing w:after="0" w:line="288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4A9A1A3B" w14:textId="2E302F4A" w:rsidR="00B94EE6" w:rsidRPr="00B94EE6" w:rsidRDefault="00B94EE6" w:rsidP="00B94EE6">
      <w:pPr>
        <w:spacing w:after="0" w:line="288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B94EE6">
        <w:rPr>
          <w:rFonts w:ascii="Times New Roman" w:eastAsiaTheme="minorEastAsia" w:hAnsi="Times New Roman"/>
          <w:b/>
          <w:sz w:val="28"/>
          <w:szCs w:val="28"/>
        </w:rPr>
        <w:t>RELACION</w:t>
      </w:r>
    </w:p>
    <w:p w14:paraId="14ED284C" w14:textId="77777777" w:rsidR="00B94EE6" w:rsidRPr="00B94EE6" w:rsidRDefault="00B94EE6" w:rsidP="00B94EE6">
      <w:pPr>
        <w:spacing w:after="0" w:line="288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14:paraId="692F9D6F" w14:textId="77777777" w:rsidR="00B94EE6" w:rsidRDefault="00B94EE6" w:rsidP="00B94EE6">
      <w:pPr>
        <w:spacing w:after="0" w:line="288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B94EE6">
        <w:rPr>
          <w:rFonts w:ascii="Times New Roman" w:eastAsiaTheme="minorEastAsia" w:hAnsi="Times New Roman"/>
          <w:b/>
          <w:sz w:val="28"/>
          <w:szCs w:val="28"/>
        </w:rPr>
        <w:t>PËR PROJEKTVENDIMIN</w:t>
      </w:r>
    </w:p>
    <w:p w14:paraId="5B3407AF" w14:textId="1EDF91C8" w:rsidR="002F7088" w:rsidRPr="00091567" w:rsidRDefault="002F7088" w:rsidP="00B94EE6">
      <w:pPr>
        <w:spacing w:after="0" w:line="288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091567">
        <w:rPr>
          <w:rFonts w:ascii="Times New Roman" w:eastAsiaTheme="minorEastAsia" w:hAnsi="Times New Roman"/>
          <w:b/>
          <w:sz w:val="28"/>
          <w:szCs w:val="28"/>
        </w:rPr>
        <w:t>P</w:t>
      </w:r>
      <w:r w:rsidR="008268D9" w:rsidRPr="00091567">
        <w:rPr>
          <w:rFonts w:ascii="Times New Roman" w:eastAsiaTheme="minorEastAsia" w:hAnsi="Times New Roman"/>
          <w:b/>
          <w:sz w:val="28"/>
          <w:szCs w:val="28"/>
        </w:rPr>
        <w:t>Ë</w:t>
      </w:r>
      <w:r w:rsidRPr="00091567">
        <w:rPr>
          <w:rFonts w:ascii="Times New Roman" w:eastAsiaTheme="minorEastAsia" w:hAnsi="Times New Roman"/>
          <w:b/>
          <w:sz w:val="28"/>
          <w:szCs w:val="28"/>
        </w:rPr>
        <w:t>R</w:t>
      </w:r>
    </w:p>
    <w:p w14:paraId="346C4AFE" w14:textId="6333A96D" w:rsidR="00D979CD" w:rsidRPr="00091567" w:rsidRDefault="00170B88" w:rsidP="00EA0B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Optima" w:hAnsi="Times New Roman" w:cs="Times New Roman"/>
          <w:b/>
          <w:bCs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91567">
        <w:rPr>
          <w:rFonts w:ascii="Times New Roman" w:eastAsia="Optima" w:hAnsi="Times New Roman" w:cs="Times New Roman"/>
          <w:b/>
          <w:bCs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PJES</w:t>
      </w:r>
      <w:r w:rsidR="008040FB" w:rsidRPr="00091567">
        <w:rPr>
          <w:rFonts w:ascii="Times New Roman" w:eastAsia="Optima" w:hAnsi="Times New Roman" w:cs="Times New Roman"/>
          <w:b/>
          <w:bCs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Ë</w:t>
      </w:r>
      <w:r w:rsidRPr="00091567">
        <w:rPr>
          <w:rFonts w:ascii="Times New Roman" w:eastAsia="Optima" w:hAnsi="Times New Roman" w:cs="Times New Roman"/>
          <w:b/>
          <w:bCs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MARRJEN N</w:t>
      </w:r>
      <w:r w:rsidR="008040FB" w:rsidRPr="00091567">
        <w:rPr>
          <w:rFonts w:ascii="Times New Roman" w:eastAsia="Optima" w:hAnsi="Times New Roman" w:cs="Times New Roman"/>
          <w:b/>
          <w:bCs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Ë</w:t>
      </w:r>
      <w:r w:rsidRPr="00091567">
        <w:rPr>
          <w:rFonts w:ascii="Times New Roman" w:eastAsia="Optima" w:hAnsi="Times New Roman" w:cs="Times New Roman"/>
          <w:b/>
          <w:bCs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F7088" w:rsidRPr="00091567">
        <w:rPr>
          <w:rFonts w:ascii="Times New Roman" w:eastAsia="Optima" w:hAnsi="Times New Roman" w:cs="Times New Roman"/>
          <w:b/>
          <w:bCs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KRIJIMIN E PERSONIT JURIDIK SI SUBJEKT I KOMPETENCAVE TË PËRBASHKËTA ME VETËQEVERISJEN VENDORE PËR RRITJEN E KAPACITETEVE TË QEVERISJES VENDORE TË REPUBLIKËS SË SHQIPËRISË</w:t>
      </w:r>
    </w:p>
    <w:p w14:paraId="14B6F294" w14:textId="77777777" w:rsidR="00473802" w:rsidRDefault="00473802" w:rsidP="00B94E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Optima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AB7576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I. QËLLIMI I PROJEKTAKTIT DHE OBJEKTIVAT QË SYNOHEN TË ARRIHEN</w:t>
      </w:r>
    </w:p>
    <w:p w14:paraId="2B0FE90C" w14:textId="77777777" w:rsidR="0098282B" w:rsidRDefault="0098282B" w:rsidP="00C0464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6C5E630" w14:textId="6F6C717E" w:rsidR="00B94EE6" w:rsidRPr="0098282B" w:rsidRDefault="00B94EE6" w:rsidP="00C0464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8282B">
        <w:rPr>
          <w:rFonts w:ascii="Times New Roman" w:eastAsia="Times New Roman" w:hAnsi="Times New Roman" w:cs="Times New Roman"/>
          <w:sz w:val="28"/>
          <w:szCs w:val="28"/>
          <w:lang w:eastAsia="en-GB"/>
        </w:rPr>
        <w:t>Ministri i Shtetit për Pushtetin Vendor është angazhuar në përgatitjen e këtij projektvendimi në përputhje me fushën e veprimtarisë shtetërore që ka në kompetencë të përcaktuar n</w:t>
      </w:r>
      <w:r w:rsidR="009C0D1F" w:rsidRPr="0098282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Pr="009828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VKM </w:t>
      </w:r>
      <w:bookmarkStart w:id="1" w:name="_Hlk154648502"/>
      <w:r w:rsidRPr="0098282B">
        <w:rPr>
          <w:rFonts w:ascii="Times New Roman" w:eastAsia="Times New Roman" w:hAnsi="Times New Roman" w:cs="Times New Roman"/>
          <w:sz w:val="28"/>
          <w:szCs w:val="28"/>
          <w:lang w:eastAsia="en-GB"/>
        </w:rPr>
        <w:t>nr.</w:t>
      </w:r>
      <w:r w:rsidR="000834E5" w:rsidRPr="009828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98282B">
        <w:rPr>
          <w:rFonts w:ascii="Times New Roman" w:eastAsia="Times New Roman" w:hAnsi="Times New Roman" w:cs="Times New Roman"/>
          <w:sz w:val="28"/>
          <w:szCs w:val="28"/>
          <w:lang w:eastAsia="en-GB"/>
        </w:rPr>
        <w:t>557, datë 04.10.2023 “</w:t>
      </w:r>
      <w:r w:rsidRPr="0098282B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Për përcaktimin e fushës së përgjegjësisë shtetërore të Ministrit të Shtetit për Pushtetin Vendor</w:t>
      </w:r>
      <w:r w:rsidRPr="0098282B">
        <w:rPr>
          <w:rFonts w:ascii="Times New Roman" w:eastAsia="Times New Roman" w:hAnsi="Times New Roman" w:cs="Times New Roman"/>
          <w:sz w:val="28"/>
          <w:szCs w:val="28"/>
          <w:lang w:eastAsia="en-GB"/>
        </w:rPr>
        <w:t>”</w:t>
      </w:r>
      <w:bookmarkEnd w:id="1"/>
      <w:r w:rsidRPr="009828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</w:p>
    <w:p w14:paraId="1A4B5557" w14:textId="77777777" w:rsidR="00C0464D" w:rsidRPr="00B94EE6" w:rsidRDefault="00C0464D" w:rsidP="00C0464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011CB3BB" w14:textId="77777777" w:rsidR="00B94EE6" w:rsidRPr="00290B14" w:rsidRDefault="00B94EE6" w:rsidP="00C0464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Objekt i këtij projektvendimi është: </w:t>
      </w:r>
    </w:p>
    <w:p w14:paraId="18F13ACE" w14:textId="4CE5969E" w:rsidR="00261108" w:rsidRPr="00290B14" w:rsidRDefault="00A71558" w:rsidP="00C046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Dh</w:t>
      </w:r>
      <w:r w:rsidR="00C1509A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nia e miratimit nga ana e qeverisjes q</w:t>
      </w:r>
      <w:r w:rsidR="00C1509A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ndrore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</w:t>
      </w:r>
      <w:r w:rsidR="00C1509A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shilli i Ministrave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C1509A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 </w:t>
      </w:r>
      <w:r w:rsidR="00794B0A">
        <w:rPr>
          <w:rFonts w:ascii="Times New Roman" w:eastAsia="Times New Roman" w:hAnsi="Times New Roman" w:cs="Times New Roman"/>
          <w:sz w:val="28"/>
          <w:szCs w:val="28"/>
          <w:lang w:eastAsia="en-GB"/>
        </w:rPr>
        <w:t>pjes</w:t>
      </w:r>
      <w:r w:rsidR="008040F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794B0A">
        <w:rPr>
          <w:rFonts w:ascii="Times New Roman" w:eastAsia="Times New Roman" w:hAnsi="Times New Roman" w:cs="Times New Roman"/>
          <w:sz w:val="28"/>
          <w:szCs w:val="28"/>
          <w:lang w:eastAsia="en-GB"/>
        </w:rPr>
        <w:t>marrjen n</w:t>
      </w:r>
      <w:r w:rsidR="008040F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794B0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krijimin e personit juridik si subjekt i kompetencave t</w:t>
      </w:r>
      <w:r w:rsidR="00636314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636314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rbashk</w:t>
      </w:r>
      <w:r w:rsidR="00636314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ta </w:t>
      </w:r>
      <w:r w:rsidR="00636314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midis qeverisjes qendrore dhe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asaj 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vendore</w:t>
      </w: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me q</w:t>
      </w:r>
      <w:r w:rsidR="00636314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llim rritjen dhe forcimin e kapaciteteve t</w:t>
      </w:r>
      <w:r w:rsidR="00636314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nëpunësve civilë</w:t>
      </w:r>
      <w:r w:rsidR="00362134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punonjës</w:t>
      </w:r>
      <w:r w:rsidR="00362134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ve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362134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  <w:r w:rsidR="00D208E7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548E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institucioneve dhe ndërmarrjeve në varësi të NJVV-ve, si dhe të zgjedhurit vendorë.</w:t>
      </w:r>
    </w:p>
    <w:p w14:paraId="36AD9951" w14:textId="5655130E" w:rsidR="00BF0339" w:rsidRPr="00290B14" w:rsidRDefault="00BF0339" w:rsidP="00C046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P</w:t>
      </w:r>
      <w:r w:rsidR="00636314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rcaktimi i </w:t>
      </w:r>
      <w:r w:rsidR="00A7155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p</w:t>
      </w:r>
      <w:r w:rsidR="00C1509A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A7155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rfaq</w:t>
      </w:r>
      <w:r w:rsidR="00C1509A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A7155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simit n</w:t>
      </w:r>
      <w:r w:rsidR="00C1509A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A7155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</w:t>
      </w:r>
      <w:r w:rsidR="00C1509A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A7155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  <w:r w:rsidR="00C1509A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A7155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subjekt i</w:t>
      </w:r>
      <w:r w:rsidR="000676B2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qeverisjes qendore 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si dhe efekteve financiare q</w:t>
      </w:r>
      <w:r w:rsidR="008268D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do t</w:t>
      </w:r>
      <w:r w:rsidR="008268D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8268D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rballohen nga </w:t>
      </w:r>
      <w:r w:rsidR="00A7155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K</w:t>
      </w:r>
      <w:r w:rsidR="00C1509A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A7155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shilli 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i</w:t>
      </w:r>
      <w:r w:rsidR="00A7155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Ministrave. </w:t>
      </w:r>
    </w:p>
    <w:p w14:paraId="5892A8AB" w14:textId="0E471BD3" w:rsidR="00BF0339" w:rsidRPr="00290B14" w:rsidRDefault="008040FB" w:rsidP="002F70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Pjesëmarrja në k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rijimi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strukture t</w:t>
      </w:r>
      <w:r w:rsidR="008268D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q</w:t>
      </w:r>
      <w:r w:rsidR="008268D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ndrueshme p</w:t>
      </w:r>
      <w:r w:rsidR="008268D9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2F7088" w:rsidRPr="00290B14">
        <w:rPr>
          <w:rFonts w:ascii="Times New Roman" w:eastAsia="Times New Roman" w:hAnsi="Times New Roman" w:cs="Times New Roman"/>
          <w:sz w:val="28"/>
          <w:szCs w:val="28"/>
          <w:lang w:eastAsia="en-GB"/>
        </w:rPr>
        <w:t>r rritjen e kapaciteteve të zyrtarëve të NJVV-ve në funksion të qeverisjes së mirë, procesit të integrimit në BE si dhe ofrimit të shërbimeve cilësore për komunitetet vendore.</w:t>
      </w:r>
    </w:p>
    <w:p w14:paraId="53914151" w14:textId="77777777" w:rsidR="002F7088" w:rsidRPr="00BF0339" w:rsidRDefault="002F7088" w:rsidP="00C0464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en-GB"/>
        </w:rPr>
      </w:pPr>
    </w:p>
    <w:p w14:paraId="57BF8AFB" w14:textId="7969AFEC" w:rsidR="00B94EE6" w:rsidRPr="00B94EE6" w:rsidRDefault="00B94EE6" w:rsidP="00C0464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Qëllimet dhe objektivat e këtij projektvendimi janë në përputhje me </w:t>
      </w: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>Programin e Qeverisë 2021-2025.</w:t>
      </w:r>
    </w:p>
    <w:p w14:paraId="6A4395B9" w14:textId="77777777" w:rsidR="00B94EE6" w:rsidRPr="00B94EE6" w:rsidRDefault="00B94EE6" w:rsidP="00C0464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GB"/>
        </w:rPr>
      </w:pP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14:paraId="3DD3D28B" w14:textId="77777777" w:rsidR="00B94EE6" w:rsidRPr="00B94EE6" w:rsidRDefault="00B94EE6" w:rsidP="00C0464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II. VLERËSIMI I PROJEKTAKTIT NË RAPORT ME PROGRAMIN POLITIK TË KËSHILLIT TË MINISTRAVE, ME PROGRAMIN ANALITIK TË AKTEVE DHE DOKUMENTEVE TË TJERA POLITIKE</w:t>
      </w:r>
    </w:p>
    <w:p w14:paraId="0240ED66" w14:textId="77777777" w:rsidR="00B94EE6" w:rsidRPr="00B94EE6" w:rsidRDefault="00B94EE6" w:rsidP="00C0464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2430A25D" w14:textId="16D372DD" w:rsidR="00B94EE6" w:rsidRPr="00B94EE6" w:rsidRDefault="00B94EE6" w:rsidP="00C0464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>Ky projektvendim është pjesë e programit të Përgjithshëm Analitik të Projektakteve për vitin 2024.</w:t>
      </w:r>
      <w:r w:rsidR="0036213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7B4AA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Projektvendimi 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7B4AA0">
        <w:rPr>
          <w:rFonts w:ascii="Times New Roman" w:eastAsia="Times New Roman" w:hAnsi="Times New Roman" w:cs="Times New Roman"/>
          <w:sz w:val="28"/>
          <w:szCs w:val="28"/>
          <w:lang w:eastAsia="en-GB"/>
        </w:rPr>
        <w:t>sht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7B4AA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7B4AA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7B4AA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rputhje edhe me </w:t>
      </w:r>
      <w:r w:rsidR="007B4AA0"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>Strategji</w:t>
      </w:r>
      <w:r w:rsidR="007B4AA0"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7B4AA0"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>ë Kombëtare për Decentralizimin dhe Qeverisjen Vendore, 2023-2030”</w:t>
      </w:r>
      <w:r w:rsidR="00362134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en-GB"/>
        </w:rPr>
        <w:footnoteReference w:id="1"/>
      </w:r>
      <w:r w:rsidR="007B4AA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7B4AA0"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>Masa 6.1.2 e objektivit të politikës 6 të kësaj strategjie përcakton krijimin e një strukture të dedikuar trajnimi për administratën në nivel të qeverisjes vendore, duke përfshirë të zgjedhurit vendorë.</w:t>
      </w:r>
    </w:p>
    <w:p w14:paraId="28310E9B" w14:textId="77777777" w:rsidR="0088701C" w:rsidRDefault="0088701C" w:rsidP="00C0464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8D19EAD" w14:textId="77777777" w:rsidR="00B94EE6" w:rsidRPr="00B94EE6" w:rsidRDefault="00B94EE6" w:rsidP="00C0464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>Ky projektvendim është në përputhje me “Programin e Qeverisë 2021-2025”.</w:t>
      </w:r>
    </w:p>
    <w:p w14:paraId="1CC14B56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E73D8B7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III. ARGUMENTIMI I PROJEKTAKTIT LIDHUR ME PËRPARËSITË, PROBLEMATIKAT, EFEKTET E PRITSHME</w:t>
      </w:r>
    </w:p>
    <w:p w14:paraId="7D4DC057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AD8BDF9" w14:textId="738A2B48" w:rsidR="00B94EE6" w:rsidRDefault="00B94EE6" w:rsidP="0022302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Ministri i Shtetit për Pushtetin Vendor sipas VKM nr.557, datë 04.10.2023 “</w:t>
      </w:r>
      <w:r w:rsidRPr="00B94E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Për përcaktimin e fushës së përgjegjësisë shtetërore të Ministrit të Shtetit për Pushtetin Vendor</w:t>
      </w:r>
      <w:r w:rsidRPr="00B94EE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” bashkërendon punën për hartimin e politikave dhe përgatitjen e akteve ligjore dhe nënligjore të lidhura me veprimtarinë e njësive të vetëqeverisjes vendore (pika 2), si dhe kryen edhe funksione dhe veprimtari të tjera brenda fushës së përgjegjësisë apo që nuk i janë ngarkuar specifikisht një organi apo institucioni tjetër shtetëtor, por që kanë të bëjnë me vetëqeverisjen vendore (</w:t>
      </w:r>
      <w:r w:rsidR="007B4AA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pika 3, </w:t>
      </w:r>
      <w:r w:rsidRPr="00B94EE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shkronja f).</w:t>
      </w:r>
    </w:p>
    <w:p w14:paraId="1921C3C2" w14:textId="77777777" w:rsidR="00B94EE6" w:rsidRPr="00B94EE6" w:rsidRDefault="00B94EE6" w:rsidP="0022302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018C7D8C" w14:textId="3580A8B5" w:rsidR="00B94EE6" w:rsidRPr="00B94EE6" w:rsidRDefault="00B94EE6" w:rsidP="0022302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Vetëqeverisja vendore në Shqipëri përballet me sfida të konsiderueshme në menaxhimin efektiv të burimeve, hartimin dhe zbatimin e politikave për zhvillimin e qëndrueshëm të territoreve dhe komuniteteve, si dhe ofrimin e shërbimeve cilësore për qytetarët. </w:t>
      </w:r>
      <w:r w:rsidR="007B4AA0">
        <w:rPr>
          <w:rFonts w:ascii="Times New Roman" w:eastAsia="Times New Roman" w:hAnsi="Times New Roman" w:cs="Times New Roman"/>
          <w:sz w:val="28"/>
          <w:szCs w:val="28"/>
          <w:lang w:eastAsia="en-GB"/>
        </w:rPr>
        <w:t>P</w:t>
      </w: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>rocesi i decentralizimit të funksioneve tek bashkitë si dhe rritja e kërkesave për shërbime nga qytetarët dhe komunitetet e bëjnë të domosdoshme rifreskimin, përmirësimin dhe avancimin e njohurive dhe aftësive të zyrtarëve vendorë.</w:t>
      </w:r>
      <w:r w:rsidR="00BF051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Gjithashtu edhe </w:t>
      </w: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politikat kombëtare për të modernizuar administratën publike si dhe për të digjitalizuar qeverisjen dhe shërbimet administrative, bëjnë të domosdoshme kualifikimin, profesionalizimin dhe modernizimin e administratës publike të NJVV-ve.  </w:t>
      </w:r>
    </w:p>
    <w:p w14:paraId="57FCB061" w14:textId="77777777" w:rsidR="00B94EE6" w:rsidRDefault="00B94EE6" w:rsidP="0022302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9358ED9" w14:textId="0C7F55FB" w:rsidR="00A90FF2" w:rsidRPr="00A90FF2" w:rsidRDefault="00A90FF2" w:rsidP="0022302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90FF2">
        <w:rPr>
          <w:rFonts w:ascii="Times New Roman" w:eastAsia="Times New Roman" w:hAnsi="Times New Roman" w:cs="Times New Roman"/>
          <w:sz w:val="28"/>
          <w:szCs w:val="28"/>
          <w:lang w:eastAsia="en-GB"/>
        </w:rPr>
        <w:t>Ngritja 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strukture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dedikuar p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 trajnim </w:t>
      </w:r>
      <w:r w:rsidRPr="00A90FF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është thelbësore për t'i mundësuar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pushtetit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A90FF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qeverisjes vendore përballimin e sfidave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kuad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integrimit n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BE </w:t>
      </w:r>
      <w:r w:rsidRPr="00A90FF2">
        <w:rPr>
          <w:rFonts w:ascii="Times New Roman" w:eastAsia="Times New Roman" w:hAnsi="Times New Roman" w:cs="Times New Roman"/>
          <w:sz w:val="28"/>
          <w:szCs w:val="28"/>
          <w:lang w:eastAsia="en-GB"/>
        </w:rPr>
        <w:t>dhe atyr</w:t>
      </w:r>
      <w:r w:rsidR="000834E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e për zhvillim të qëndrueshëm. </w:t>
      </w:r>
      <w:r w:rsidRPr="00A90FF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70% e </w:t>
      </w:r>
      <w:r w:rsidRPr="00A90FF2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acquis</w:t>
      </w:r>
      <w:r w:rsidRPr="00A90FF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zbatohet nga qeveritë vendore në nivel bashkiak dhe rajonal</w:t>
      </w:r>
      <w:r w:rsidRPr="00A90F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GB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  <w:r w:rsidRPr="00A90FF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NJVV-të do të kenë një rol të rëndësishëm në këtë proces, prandaj niveli i njohurive dhe aftësive të zyrtarëve të NJVV-ve, për të përballuar këto procese merr një rëndësi të veçantë.  </w:t>
      </w:r>
    </w:p>
    <w:p w14:paraId="2C587963" w14:textId="77777777" w:rsidR="00A90FF2" w:rsidRPr="00B94EE6" w:rsidRDefault="00A90FF2" w:rsidP="0022302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820ED29" w14:textId="16A186F4" w:rsidR="00EC3FBF" w:rsidRDefault="00EC3FBF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C3FB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Ligji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Pr="00EC3FB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r.139/2015 “Për Vetëqeverisjen Vendore” ka përcaktuar funksionet e NJVV-ve dhe të drejtën dhe detyrimin për trajnimin e zyrtarëve (punonjësit dhe të zgjedhurit vendorë) në mënyrë që ato të ushtrojnë këto funksione sipas ligjit, standarteve, me efektivitet, eficencë dhe në përputhje me strategjitë 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dhe prioritetet </w:t>
      </w:r>
      <w:r w:rsidRPr="00EC3FBF">
        <w:rPr>
          <w:rFonts w:ascii="Times New Roman" w:eastAsia="Times New Roman" w:hAnsi="Times New Roman" w:cs="Times New Roman"/>
          <w:sz w:val="28"/>
          <w:szCs w:val="28"/>
          <w:lang w:eastAsia="en-GB"/>
        </w:rPr>
        <w:t>kombëtar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Pr="00EC3FB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ligj parashikohet</w:t>
      </w:r>
      <w:r w:rsidRPr="00EC3FB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trajnim sistematik dhe buxhetor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i</w:t>
      </w:r>
      <w:r w:rsidRPr="00EC3FB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stafit </w:t>
      </w:r>
      <w:r w:rsidRPr="00EC3FBF">
        <w:rPr>
          <w:rFonts w:ascii="Times New Roman" w:eastAsia="Times New Roman" w:hAnsi="Times New Roman" w:cs="Times New Roman"/>
          <w:sz w:val="28"/>
          <w:szCs w:val="28"/>
          <w:lang w:eastAsia="en-GB"/>
        </w:rPr>
        <w:t>të NJVV-ve. Në këtë kuadër, kryetari i bashkisë duhet të marrë masa për kualifikimin dhe trajnimin e personelit të administratës, të institucioneve arsimore, sociale, kulturore e sportive (Neni 64/h), ndërkohë këshilltarët kanë të drejtën e formimit profesional, sipas një programi të miratuar nga këshilli bashkiak</w:t>
      </w:r>
      <w:r w:rsidR="006F70F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EC3FB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(Neni 51/4 ). </w:t>
      </w:r>
    </w:p>
    <w:p w14:paraId="1D82DF95" w14:textId="77777777" w:rsidR="00430633" w:rsidRDefault="00430633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1D2076B" w14:textId="1F6A6B2E" w:rsidR="00430633" w:rsidRDefault="00430633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30633">
        <w:rPr>
          <w:rFonts w:ascii="Times New Roman" w:eastAsia="Times New Roman" w:hAnsi="Times New Roman" w:cs="Times New Roman"/>
          <w:sz w:val="28"/>
          <w:szCs w:val="28"/>
          <w:lang w:eastAsia="en-GB"/>
        </w:rPr>
        <w:t>ASPA dhe institucione të tjera shtetërore ofrojnë një grup shërbimesh trajnimi për NJVV-të sipas parashikimeve ligjore, por ato mbeten të pamjaftueshme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rkundrejt sfidave </w:t>
      </w:r>
      <w:r w:rsidR="00E9090C">
        <w:rPr>
          <w:rFonts w:ascii="Times New Roman" w:eastAsia="Times New Roman" w:hAnsi="Times New Roman" w:cs="Times New Roman"/>
          <w:sz w:val="28"/>
          <w:szCs w:val="28"/>
          <w:lang w:eastAsia="en-GB"/>
        </w:rPr>
        <w:t>q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E9090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ato </w:t>
      </w:r>
      <w:r w:rsidR="00E9090C">
        <w:rPr>
          <w:rFonts w:ascii="Times New Roman" w:eastAsia="Times New Roman" w:hAnsi="Times New Roman" w:cs="Times New Roman"/>
          <w:sz w:val="28"/>
          <w:szCs w:val="28"/>
          <w:lang w:eastAsia="en-GB"/>
        </w:rPr>
        <w:t>p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E9090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rballen 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>dhe pritet q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>rballen n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kuad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>r t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procesit t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integrimit n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E1162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BE</w:t>
      </w:r>
      <w:r w:rsidRPr="004306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</w:p>
    <w:p w14:paraId="637E5CE0" w14:textId="77777777" w:rsidR="00104C33" w:rsidRDefault="00104C33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67AA930" w14:textId="7EFDA3B5" w:rsidR="00E9090C" w:rsidRDefault="00E9090C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9090C">
        <w:rPr>
          <w:rFonts w:ascii="Times New Roman" w:eastAsia="Times New Roman" w:hAnsi="Times New Roman" w:cs="Times New Roman"/>
          <w:sz w:val="28"/>
          <w:szCs w:val="28"/>
          <w:lang w:eastAsia="en-GB"/>
        </w:rPr>
        <w:t>Në vitin 2022, bashkitë kanë shpenzuar mesatarisht rreth 0,0275% të buxhetit vendor për të mbështetur trajnime të stafit të bashkive. Ndërkohë që numri i individëve zyrtarë të NJVV-ve ka variuar nga rreth 21,442 (2015), në rreth 32,000 (2021), 37,518 (2022), dhe rreth 39,000 (2023), nga NJVV-të, sipas të dhënave të ASPA, në vitin 2022, janë trajnuar online 1,598 individë (4,737 pjesëmarrës nga të cilat 4,569 me statusin e nëpunësit civil). Ndërkohë për periudhën 2019-2023 nga ASPA janë trajnuar punonjës dhe të zgjedhur të NJVV-ve, përmes 234 temave të trajnimit, nga të cilat 49 (21%) tema sektoriale dhe 185 (79%) tema horizontale. Në periudhën Janar-Gusht 2024 ASPA trajnoi online 3,692 pjesëmarrës nga NJVV-të.</w:t>
      </w:r>
      <w:r w:rsidRPr="00E909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GB"/>
        </w:rPr>
        <w:footnoteReference w:id="3"/>
      </w:r>
      <w:r w:rsidRPr="00E9090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56F58335" w14:textId="77777777" w:rsidR="00544179" w:rsidRDefault="00544179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CD641F4" w14:textId="77777777" w:rsidR="006738E2" w:rsidRDefault="00544179" w:rsidP="0022302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  <w:r w:rsidRPr="00544179">
        <w:rPr>
          <w:rFonts w:ascii="Times New Roman" w:eastAsia="Times New Roman" w:hAnsi="Times New Roman" w:cs="Times New Roman"/>
          <w:sz w:val="28"/>
          <w:szCs w:val="28"/>
          <w:lang w:eastAsia="en-GB"/>
        </w:rPr>
        <w:t>rajnime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  <w:r w:rsidRPr="0054417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janë fokusuar kryesisht në përmbushjen e nevojave të përgjithshme horizontale, duke mos adresuar në mënyrë të gjerë dhe të thelluar temat vertikale që lidhen me funksionet dhe shërbimet specifike sektoriale të qeverisjes vendore. Për pasojë, NJVV-të nuk kanë arritur të plotësojnë nevojat specifike të punonjësve të tyre, duke krijuar një hendek të madh në përmbushjen e kërkesave për trajnim. K</w:t>
      </w:r>
      <w:r w:rsidR="00104C33">
        <w:rPr>
          <w:rFonts w:ascii="Times New Roman" w:eastAsia="Times New Roman" w:hAnsi="Times New Roman" w:cs="Times New Roman"/>
          <w:sz w:val="28"/>
          <w:szCs w:val="28"/>
          <w:lang w:eastAsia="en-GB"/>
        </w:rPr>
        <w:t>jo sjell n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104C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pah </w:t>
      </w:r>
      <w:r w:rsidRPr="0054417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nevojën për një qasje më të integruar dhe të qëndrueshme, që të përmbushë kërkesat në rritje për shërbime cilësore dhe të ndihmojë në ndërtimin e </w:t>
      </w:r>
      <w:r w:rsidRPr="006738E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kapaciteteve të zyrtarëve të qeverisjes vendore. </w:t>
      </w:r>
    </w:p>
    <w:p w14:paraId="4EA0D48C" w14:textId="77777777" w:rsidR="008268D9" w:rsidRDefault="008268D9" w:rsidP="0022302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FEC3DD2" w14:textId="37DA7412" w:rsidR="002F7088" w:rsidRPr="008268D9" w:rsidRDefault="006738E2" w:rsidP="0022302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D9">
        <w:rPr>
          <w:rFonts w:ascii="Times New Roman" w:hAnsi="Times New Roman" w:cs="Times New Roman"/>
          <w:sz w:val="28"/>
          <w:szCs w:val="28"/>
        </w:rPr>
        <w:t>Personi juridik subjekt i kompetencave t</w:t>
      </w:r>
      <w:r w:rsidR="001B22B2" w:rsidRPr="008268D9">
        <w:rPr>
          <w:rFonts w:ascii="Times New Roman" w:hAnsi="Times New Roman" w:cs="Times New Roman"/>
          <w:sz w:val="28"/>
          <w:szCs w:val="28"/>
        </w:rPr>
        <w:t>ë</w:t>
      </w:r>
      <w:r w:rsidRPr="008268D9">
        <w:rPr>
          <w:rFonts w:ascii="Times New Roman" w:hAnsi="Times New Roman" w:cs="Times New Roman"/>
          <w:sz w:val="28"/>
          <w:szCs w:val="28"/>
        </w:rPr>
        <w:t xml:space="preserve"> p</w:t>
      </w:r>
      <w:r w:rsidR="001B22B2" w:rsidRPr="008268D9">
        <w:rPr>
          <w:rFonts w:ascii="Times New Roman" w:hAnsi="Times New Roman" w:cs="Times New Roman"/>
          <w:sz w:val="28"/>
          <w:szCs w:val="28"/>
        </w:rPr>
        <w:t>ë</w:t>
      </w:r>
      <w:r w:rsidRPr="008268D9">
        <w:rPr>
          <w:rFonts w:ascii="Times New Roman" w:hAnsi="Times New Roman" w:cs="Times New Roman"/>
          <w:sz w:val="28"/>
          <w:szCs w:val="28"/>
        </w:rPr>
        <w:t>rbashk</w:t>
      </w:r>
      <w:r w:rsidR="001B22B2" w:rsidRPr="008268D9">
        <w:rPr>
          <w:rFonts w:ascii="Times New Roman" w:hAnsi="Times New Roman" w:cs="Times New Roman"/>
          <w:sz w:val="28"/>
          <w:szCs w:val="28"/>
        </w:rPr>
        <w:t>ë</w:t>
      </w:r>
      <w:r w:rsidRPr="008268D9">
        <w:rPr>
          <w:rFonts w:ascii="Times New Roman" w:hAnsi="Times New Roman" w:cs="Times New Roman"/>
          <w:sz w:val="28"/>
          <w:szCs w:val="28"/>
        </w:rPr>
        <w:t>ta do t</w:t>
      </w:r>
      <w:r w:rsidR="001B22B2" w:rsidRPr="008268D9">
        <w:rPr>
          <w:rFonts w:ascii="Times New Roman" w:hAnsi="Times New Roman" w:cs="Times New Roman"/>
          <w:sz w:val="28"/>
          <w:szCs w:val="28"/>
        </w:rPr>
        <w:t>ë</w:t>
      </w:r>
      <w:r w:rsidRPr="008268D9">
        <w:rPr>
          <w:rFonts w:ascii="Times New Roman" w:hAnsi="Times New Roman" w:cs="Times New Roman"/>
          <w:sz w:val="28"/>
          <w:szCs w:val="28"/>
        </w:rPr>
        <w:t xml:space="preserve"> ofrojë një gamë të gjerë shërbimesh për të mbështetur dhe përmirësuar kapacitetet e NJVV-ve në Shqipëri</w:t>
      </w:r>
      <w:r w:rsidR="002F7088" w:rsidRPr="008268D9">
        <w:rPr>
          <w:rFonts w:ascii="Times New Roman" w:hAnsi="Times New Roman" w:cs="Times New Roman"/>
          <w:sz w:val="28"/>
          <w:szCs w:val="28"/>
        </w:rPr>
        <w:t xml:space="preserve"> duke p</w:t>
      </w:r>
      <w:r w:rsidR="008268D9">
        <w:rPr>
          <w:rFonts w:ascii="Times New Roman" w:hAnsi="Times New Roman" w:cs="Times New Roman"/>
          <w:sz w:val="28"/>
          <w:szCs w:val="28"/>
        </w:rPr>
        <w:t>ë</w:t>
      </w:r>
      <w:r w:rsidR="002F7088" w:rsidRPr="008268D9">
        <w:rPr>
          <w:rFonts w:ascii="Times New Roman" w:hAnsi="Times New Roman" w:cs="Times New Roman"/>
          <w:sz w:val="28"/>
          <w:szCs w:val="28"/>
        </w:rPr>
        <w:t>rfshir</w:t>
      </w:r>
      <w:r w:rsidR="008268D9">
        <w:rPr>
          <w:rFonts w:ascii="Times New Roman" w:hAnsi="Times New Roman" w:cs="Times New Roman"/>
          <w:sz w:val="28"/>
          <w:szCs w:val="28"/>
        </w:rPr>
        <w:t>ë</w:t>
      </w:r>
      <w:r w:rsidR="002F7088" w:rsidRPr="008268D9">
        <w:rPr>
          <w:rFonts w:ascii="Times New Roman" w:hAnsi="Times New Roman" w:cs="Times New Roman"/>
          <w:sz w:val="28"/>
          <w:szCs w:val="28"/>
        </w:rPr>
        <w:t xml:space="preserve"> h</w:t>
      </w:r>
      <w:r w:rsidRPr="008268D9">
        <w:rPr>
          <w:rFonts w:ascii="Times New Roman" w:hAnsi="Times New Roman" w:cs="Times New Roman"/>
          <w:sz w:val="28"/>
          <w:szCs w:val="28"/>
        </w:rPr>
        <w:t>artimi</w:t>
      </w:r>
      <w:r w:rsidR="002F7088" w:rsidRPr="008268D9">
        <w:rPr>
          <w:rFonts w:ascii="Times New Roman" w:hAnsi="Times New Roman" w:cs="Times New Roman"/>
          <w:sz w:val="28"/>
          <w:szCs w:val="28"/>
        </w:rPr>
        <w:t>n</w:t>
      </w:r>
      <w:r w:rsidRPr="008268D9">
        <w:rPr>
          <w:rFonts w:ascii="Times New Roman" w:hAnsi="Times New Roman" w:cs="Times New Roman"/>
          <w:sz w:val="28"/>
          <w:szCs w:val="28"/>
        </w:rPr>
        <w:t xml:space="preserve"> </w:t>
      </w:r>
      <w:r w:rsidR="002F7088" w:rsidRPr="008268D9">
        <w:rPr>
          <w:rFonts w:ascii="Times New Roman" w:hAnsi="Times New Roman" w:cs="Times New Roman"/>
          <w:sz w:val="28"/>
          <w:szCs w:val="28"/>
        </w:rPr>
        <w:t>e</w:t>
      </w:r>
      <w:r w:rsidRPr="008268D9">
        <w:rPr>
          <w:rFonts w:ascii="Times New Roman" w:hAnsi="Times New Roman" w:cs="Times New Roman"/>
          <w:sz w:val="28"/>
          <w:szCs w:val="28"/>
        </w:rPr>
        <w:t xml:space="preserve"> kurrikulave dhe ofrimi</w:t>
      </w:r>
      <w:r w:rsidR="002F7088" w:rsidRPr="008268D9">
        <w:rPr>
          <w:rFonts w:ascii="Times New Roman" w:hAnsi="Times New Roman" w:cs="Times New Roman"/>
          <w:sz w:val="28"/>
          <w:szCs w:val="28"/>
        </w:rPr>
        <w:t>n</w:t>
      </w:r>
      <w:r w:rsidRPr="008268D9">
        <w:rPr>
          <w:rFonts w:ascii="Times New Roman" w:hAnsi="Times New Roman" w:cs="Times New Roman"/>
          <w:sz w:val="28"/>
          <w:szCs w:val="28"/>
        </w:rPr>
        <w:t xml:space="preserve"> </w:t>
      </w:r>
      <w:r w:rsidR="002F7088" w:rsidRPr="008268D9">
        <w:rPr>
          <w:rFonts w:ascii="Times New Roman" w:hAnsi="Times New Roman" w:cs="Times New Roman"/>
          <w:sz w:val="28"/>
          <w:szCs w:val="28"/>
        </w:rPr>
        <w:t>e</w:t>
      </w:r>
      <w:r w:rsidRPr="008268D9">
        <w:rPr>
          <w:rFonts w:ascii="Times New Roman" w:hAnsi="Times New Roman" w:cs="Times New Roman"/>
          <w:sz w:val="28"/>
          <w:szCs w:val="28"/>
        </w:rPr>
        <w:t xml:space="preserve"> trajnimeve të specializuara</w:t>
      </w:r>
      <w:r w:rsidR="002F7088" w:rsidRPr="008268D9">
        <w:rPr>
          <w:rFonts w:ascii="Times New Roman" w:hAnsi="Times New Roman" w:cs="Times New Roman"/>
          <w:sz w:val="28"/>
          <w:szCs w:val="28"/>
        </w:rPr>
        <w:t>, a</w:t>
      </w:r>
      <w:r w:rsidRPr="008268D9">
        <w:rPr>
          <w:rFonts w:ascii="Times New Roman" w:hAnsi="Times New Roman" w:cs="Times New Roman"/>
          <w:sz w:val="28"/>
          <w:szCs w:val="28"/>
        </w:rPr>
        <w:t>dministrimi</w:t>
      </w:r>
      <w:r w:rsidR="002F7088" w:rsidRPr="008268D9">
        <w:rPr>
          <w:rFonts w:ascii="Times New Roman" w:hAnsi="Times New Roman" w:cs="Times New Roman"/>
          <w:sz w:val="28"/>
          <w:szCs w:val="28"/>
        </w:rPr>
        <w:t>n</w:t>
      </w:r>
      <w:r w:rsidRPr="008268D9">
        <w:rPr>
          <w:rFonts w:ascii="Times New Roman" w:hAnsi="Times New Roman" w:cs="Times New Roman"/>
          <w:sz w:val="28"/>
          <w:szCs w:val="28"/>
        </w:rPr>
        <w:t xml:space="preserve"> </w:t>
      </w:r>
      <w:r w:rsidR="002F7088" w:rsidRPr="008268D9">
        <w:rPr>
          <w:rFonts w:ascii="Times New Roman" w:hAnsi="Times New Roman" w:cs="Times New Roman"/>
          <w:sz w:val="28"/>
          <w:szCs w:val="28"/>
        </w:rPr>
        <w:t>e</w:t>
      </w:r>
      <w:r w:rsidRPr="008268D9">
        <w:rPr>
          <w:rFonts w:ascii="Times New Roman" w:hAnsi="Times New Roman" w:cs="Times New Roman"/>
          <w:sz w:val="28"/>
          <w:szCs w:val="28"/>
        </w:rPr>
        <w:t xml:space="preserve"> platformës për menaxhimin dhe ndarjen e njohurive</w:t>
      </w:r>
      <w:r w:rsidR="002F7088" w:rsidRPr="008268D9">
        <w:rPr>
          <w:rFonts w:ascii="Times New Roman" w:hAnsi="Times New Roman" w:cs="Times New Roman"/>
          <w:sz w:val="28"/>
          <w:szCs w:val="28"/>
        </w:rPr>
        <w:t>, r</w:t>
      </w:r>
      <w:r w:rsidRPr="008268D9">
        <w:rPr>
          <w:rFonts w:ascii="Times New Roman" w:hAnsi="Times New Roman" w:cs="Times New Roman"/>
          <w:sz w:val="28"/>
          <w:szCs w:val="28"/>
        </w:rPr>
        <w:t xml:space="preserve">rjetëzimi dhe </w:t>
      </w:r>
      <w:r w:rsidR="008268D9">
        <w:rPr>
          <w:rFonts w:ascii="Times New Roman" w:hAnsi="Times New Roman" w:cs="Times New Roman"/>
          <w:sz w:val="28"/>
          <w:szCs w:val="28"/>
        </w:rPr>
        <w:t>b</w:t>
      </w:r>
      <w:r w:rsidRPr="008268D9">
        <w:rPr>
          <w:rFonts w:ascii="Times New Roman" w:hAnsi="Times New Roman" w:cs="Times New Roman"/>
          <w:sz w:val="28"/>
          <w:szCs w:val="28"/>
        </w:rPr>
        <w:t>ashkëpunimi</w:t>
      </w:r>
      <w:r w:rsidR="002F7088" w:rsidRPr="008268D9">
        <w:rPr>
          <w:rFonts w:ascii="Times New Roman" w:hAnsi="Times New Roman" w:cs="Times New Roman"/>
          <w:sz w:val="28"/>
          <w:szCs w:val="28"/>
        </w:rPr>
        <w:t>, o</w:t>
      </w:r>
      <w:r w:rsidRPr="008268D9">
        <w:rPr>
          <w:rFonts w:ascii="Times New Roman" w:hAnsi="Times New Roman" w:cs="Times New Roman"/>
          <w:sz w:val="28"/>
          <w:szCs w:val="28"/>
        </w:rPr>
        <w:t xml:space="preserve">frimi i </w:t>
      </w:r>
      <w:r w:rsidR="002F7088" w:rsidRPr="008268D9">
        <w:rPr>
          <w:rFonts w:ascii="Times New Roman" w:hAnsi="Times New Roman" w:cs="Times New Roman"/>
          <w:sz w:val="28"/>
          <w:szCs w:val="28"/>
        </w:rPr>
        <w:t>e</w:t>
      </w:r>
      <w:r w:rsidRPr="008268D9">
        <w:rPr>
          <w:rFonts w:ascii="Times New Roman" w:hAnsi="Times New Roman" w:cs="Times New Roman"/>
          <w:sz w:val="28"/>
          <w:szCs w:val="28"/>
        </w:rPr>
        <w:t xml:space="preserve">kspertizës dhe </w:t>
      </w:r>
      <w:r w:rsidR="002F7088" w:rsidRPr="008268D9">
        <w:rPr>
          <w:rFonts w:ascii="Times New Roman" w:hAnsi="Times New Roman" w:cs="Times New Roman"/>
          <w:sz w:val="28"/>
          <w:szCs w:val="28"/>
        </w:rPr>
        <w:t>s</w:t>
      </w:r>
      <w:r w:rsidRPr="008268D9">
        <w:rPr>
          <w:rFonts w:ascii="Times New Roman" w:hAnsi="Times New Roman" w:cs="Times New Roman"/>
          <w:sz w:val="28"/>
          <w:szCs w:val="28"/>
        </w:rPr>
        <w:t xml:space="preserve">hërbimeve të </w:t>
      </w:r>
      <w:r w:rsidR="002F7088" w:rsidRPr="008268D9">
        <w:rPr>
          <w:rFonts w:ascii="Times New Roman" w:hAnsi="Times New Roman" w:cs="Times New Roman"/>
          <w:sz w:val="28"/>
          <w:szCs w:val="28"/>
        </w:rPr>
        <w:t>k</w:t>
      </w:r>
      <w:r w:rsidRPr="008268D9">
        <w:rPr>
          <w:rFonts w:ascii="Times New Roman" w:hAnsi="Times New Roman" w:cs="Times New Roman"/>
          <w:sz w:val="28"/>
          <w:szCs w:val="28"/>
        </w:rPr>
        <w:t>onsulencës</w:t>
      </w:r>
      <w:r w:rsidR="002F7088" w:rsidRPr="008268D9">
        <w:rPr>
          <w:rFonts w:ascii="Times New Roman" w:hAnsi="Times New Roman" w:cs="Times New Roman"/>
          <w:sz w:val="28"/>
          <w:szCs w:val="28"/>
        </w:rPr>
        <w:t xml:space="preserve"> </w:t>
      </w:r>
      <w:r w:rsidRPr="008268D9">
        <w:rPr>
          <w:rFonts w:ascii="Times New Roman" w:hAnsi="Times New Roman" w:cs="Times New Roman"/>
          <w:sz w:val="28"/>
          <w:szCs w:val="28"/>
        </w:rPr>
        <w:t>ndaj NJVV-të për zgjidhen e problemeve dhe arritjen e objektivave në lidhje me zhvillimin e burimeve të tyre njerëzore.</w:t>
      </w:r>
    </w:p>
    <w:p w14:paraId="22FC049A" w14:textId="77777777" w:rsidR="008268D9" w:rsidRDefault="008268D9" w:rsidP="0022302B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CCB496" w14:textId="7624E182" w:rsidR="00896612" w:rsidRPr="002F7088" w:rsidRDefault="00104C33" w:rsidP="0022302B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Synohet q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896612" w:rsidRPr="00896612">
        <w:rPr>
          <w:rFonts w:ascii="Times New Roman" w:eastAsia="Times New Roman" w:hAnsi="Times New Roman" w:cs="Times New Roman"/>
          <w:sz w:val="28"/>
          <w:szCs w:val="28"/>
          <w:lang w:eastAsia="en-GB"/>
        </w:rPr>
        <w:t>ofrimi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</w:t>
      </w:r>
      <w:r w:rsidR="00896612" w:rsidRPr="0089661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trajnimeve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896612" w:rsidRPr="0089661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përfshijnë tema specifike dhe sektoriale “vertikale” mbi funksionet e NJVV-ve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dhe </w:t>
      </w:r>
      <w:r w:rsidR="00896612" w:rsidRPr="0089661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me 41 shërbimet e vetëqeverisjes vendore të tilla si Zhvillimi i Territorit, Infrastruktura dhe Shërbimet Publike, Shërbimet Sociale; Mbrojtja e Mjedisit; Bujqësia; Zhvillimi Rural; Pyjet dhe </w:t>
      </w:r>
      <w:r w:rsidR="00896612" w:rsidRPr="00896612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Kullotat Publike; Zhvillimi Ekonomik Vendor, Siguria Publike, etj.</w:t>
      </w:r>
      <w:r w:rsidR="0089661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896612" w:rsidRPr="0089661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Programet e trajnimit </w:t>
      </w:r>
      <w:r w:rsidR="00896612">
        <w:rPr>
          <w:rFonts w:ascii="Times New Roman" w:eastAsia="Times New Roman" w:hAnsi="Times New Roman" w:cs="Times New Roman"/>
          <w:sz w:val="28"/>
          <w:szCs w:val="28"/>
          <w:lang w:eastAsia="en-GB"/>
        </w:rPr>
        <w:t>do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89661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hartohen </w:t>
      </w:r>
      <w:r w:rsidR="00896612" w:rsidRPr="00896612">
        <w:rPr>
          <w:rFonts w:ascii="Times New Roman" w:eastAsia="Times New Roman" w:hAnsi="Times New Roman" w:cs="Times New Roman"/>
          <w:sz w:val="28"/>
          <w:szCs w:val="28"/>
          <w:lang w:eastAsia="en-GB"/>
        </w:rPr>
        <w:t>bazuar në vlerësimin e nevojave për trajnim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896612" w:rsidRPr="00896612">
        <w:rPr>
          <w:rFonts w:ascii="Times New Roman" w:eastAsia="Times New Roman" w:hAnsi="Times New Roman" w:cs="Times New Roman"/>
          <w:sz w:val="28"/>
          <w:szCs w:val="28"/>
          <w:lang w:eastAsia="en-GB"/>
        </w:rPr>
        <w:t>si dhe duke u koordinuar me ASPA për të mos patur mbivendosje të trajnimeve të ofruara.</w:t>
      </w:r>
    </w:p>
    <w:p w14:paraId="0CDFEE8A" w14:textId="77777777" w:rsidR="00896612" w:rsidRPr="00E9090C" w:rsidRDefault="00896612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B8DE979" w14:textId="763293D2" w:rsidR="002C0994" w:rsidRDefault="005A05D8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A05D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Përfituesit kryesorë të shërbimeve janë nëpunësit civilë dhe punonjësit e institucioneve dhe ndërmarrjeve në varësi të NJVV-ve, si dhe të zgjedhurit vendorë, që përbëjnë rreth 39,000 persona. </w:t>
      </w:r>
      <w:r w:rsidR="002C0994">
        <w:rPr>
          <w:rFonts w:ascii="Times New Roman" w:eastAsia="Times New Roman" w:hAnsi="Times New Roman" w:cs="Times New Roman"/>
          <w:sz w:val="28"/>
          <w:szCs w:val="28"/>
          <w:lang w:eastAsia="en-GB"/>
        </w:rPr>
        <w:t>Konkretisht:</w:t>
      </w:r>
    </w:p>
    <w:p w14:paraId="5CD7BE04" w14:textId="77777777" w:rsidR="002C0994" w:rsidRDefault="002C0994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1BACF44" w14:textId="77777777" w:rsidR="002C0994" w:rsidRPr="002C0994" w:rsidRDefault="002C0994" w:rsidP="0022302B">
      <w:pPr>
        <w:numPr>
          <w:ilvl w:val="0"/>
          <w:numId w:val="7"/>
        </w:num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C0994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Zyrtarë bashkikë</w:t>
      </w:r>
      <w:r w:rsidRPr="002C099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Rreth 38,000 nga të cilët rreth 6,000 nëpunës civilë dhe rreth 32,000 jo-nëpunës civilë. </w:t>
      </w:r>
    </w:p>
    <w:p w14:paraId="26AE5F7D" w14:textId="77777777" w:rsidR="002C0994" w:rsidRPr="002C0994" w:rsidRDefault="002C0994" w:rsidP="0022302B">
      <w:pPr>
        <w:numPr>
          <w:ilvl w:val="0"/>
          <w:numId w:val="7"/>
        </w:num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C0994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Të zgjedhur vendorë</w:t>
      </w:r>
      <w:r w:rsidRPr="002C0994">
        <w:rPr>
          <w:rFonts w:ascii="Times New Roman" w:eastAsia="Times New Roman" w:hAnsi="Times New Roman" w:cs="Times New Roman"/>
          <w:sz w:val="28"/>
          <w:szCs w:val="28"/>
          <w:lang w:eastAsia="en-GB"/>
        </w:rPr>
        <w:t>: 1,674 (61 kryetarë bashkie, 12 kryetarë të këshillave të qarqeve, 1,613 këshilltarë bashkiakë).</w:t>
      </w:r>
    </w:p>
    <w:p w14:paraId="5F3AE6F3" w14:textId="77777777" w:rsidR="002C0994" w:rsidRDefault="002C0994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F238044" w14:textId="5BA18A13" w:rsidR="005A05D8" w:rsidRPr="005A05D8" w:rsidRDefault="005A05D8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A05D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Kjo përfshirje e gjerë ndihmon në përmirësimin e performancës së qeverisjes vendore dhe në rritjen e cilësisë së shërbimeve për qytetarët. </w:t>
      </w:r>
    </w:p>
    <w:p w14:paraId="0B736F1F" w14:textId="77777777" w:rsidR="00E9090C" w:rsidRDefault="00E9090C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0231FE0" w14:textId="6218BD2D" w:rsidR="009F08FB" w:rsidRDefault="009F08FB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Nga pik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pamja organizimit dhe funksionimit, projektvendimi krijon premisat e nevojshme ligjore p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 krijimin e nj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personi juridik si subjekt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kompetencave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rbashk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ta n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rputhje me parashikimet e Ligjit nr.</w:t>
      </w:r>
      <w:r w:rsidRPr="009F08FB">
        <w:rPr>
          <w:rFonts w:ascii="Times New Roman" w:eastAsia="Times New Roman" w:hAnsi="Times New Roman" w:cs="Times New Roman"/>
          <w:sz w:val="28"/>
          <w:szCs w:val="28"/>
          <w:lang w:eastAsia="en-GB"/>
        </w:rPr>
        <w:t>139/2015, neni 14 (5).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shtu, dy ose m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shum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9F08FB">
        <w:rPr>
          <w:rFonts w:ascii="Times New Roman" w:eastAsia="Times New Roman" w:hAnsi="Times New Roman" w:cs="Times New Roman"/>
          <w:sz w:val="28"/>
          <w:szCs w:val="28"/>
          <w:lang w:eastAsia="en-GB"/>
        </w:rPr>
        <w:t>njësi të vetëqeverisjes vendore, brenda një qarku apo midis qarqeve të ndryshme, si dhe me institucione të qeverisjes qendrore, mund të lidhin marrëveshje të përbashkët për krijimin e një personi juridik të ndarë nga palët, të cilit i japin autoritet dhe kompetenca të caktuara. Në kuptimin e këtij ligji, ky person juridik quhet subjekt i kompetencave të përbashkëta. Për secilën palë përcaktohet ndihmesa financiare, ndihmesa me shërbime, ndihmesa me pajisje dhe me punonjës të kualifikuar ose çdo aset tjetër i nevojshëm për përmbushjen e objektivave.</w:t>
      </w:r>
    </w:p>
    <w:p w14:paraId="284878C5" w14:textId="77777777" w:rsidR="008E2053" w:rsidRDefault="008E2053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893D456" w14:textId="1C6DF807" w:rsidR="009F08FB" w:rsidRDefault="009F08FB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Ligji parashikon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drejt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 p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krijuar person juridik</w:t>
      </w:r>
      <w:r w:rsidR="00B3333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dhe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linj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me parashikimet e Kodit Civil (nenet 24 dhe 26)</w:t>
      </w:r>
      <w:r w:rsidR="00B33332">
        <w:rPr>
          <w:rFonts w:ascii="Times New Roman" w:eastAsia="Times New Roman" w:hAnsi="Times New Roman" w:cs="Times New Roman"/>
          <w:sz w:val="28"/>
          <w:szCs w:val="28"/>
          <w:lang w:eastAsia="en-GB"/>
        </w:rPr>
        <w:t>, personi juridik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mund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jet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edhe </w:t>
      </w:r>
      <w:r w:rsidRPr="009F08FB">
        <w:rPr>
          <w:rFonts w:ascii="Times New Roman" w:eastAsia="Times New Roman" w:hAnsi="Times New Roman" w:cs="Times New Roman"/>
          <w:sz w:val="28"/>
          <w:szCs w:val="28"/>
          <w:lang w:eastAsia="en-GB"/>
        </w:rPr>
        <w:t>shoqëri, shoqat</w:t>
      </w:r>
      <w:r w:rsidR="00D208E7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Pr="009F08FB">
        <w:rPr>
          <w:rFonts w:ascii="Times New Roman" w:eastAsia="Times New Roman" w:hAnsi="Times New Roman" w:cs="Times New Roman"/>
          <w:sz w:val="28"/>
          <w:szCs w:val="28"/>
          <w:lang w:eastAsia="en-GB"/>
        </w:rPr>
        <w:t>, fondacion dhe ent me karakter privat, të cilat e fitojnë personalitetin juridik në mënyrën e caktuar nga ligji.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47D710D4" w14:textId="39A015FA" w:rsidR="009F08FB" w:rsidRDefault="009F08FB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72BA403" w14:textId="40C68385" w:rsidR="0057784D" w:rsidRDefault="009F08FB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Nisur nga fakti q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nd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rmarrje angazhohen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nd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rlidhen dhe nd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rveprojn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nivele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ndryshme 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qeverisjes</w:t>
      </w:r>
      <w:r w:rsidR="00B3333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(qendrore dhe vendore)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propozohet </w:t>
      </w:r>
      <w:r w:rsidR="0057784D"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57784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krijohet nj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57784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57784D" w:rsidRPr="009F08FB">
        <w:rPr>
          <w:rFonts w:ascii="Times New Roman" w:eastAsia="Times New Roman" w:hAnsi="Times New Roman" w:cs="Times New Roman"/>
          <w:sz w:val="28"/>
          <w:szCs w:val="28"/>
          <w:lang w:eastAsia="en-GB"/>
        </w:rPr>
        <w:t>Organizate Jo-Fitimprurëse (OJF)</w:t>
      </w:r>
      <w:r w:rsidR="008E2053" w:rsidRPr="008E20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8E2053"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8E2053" w:rsidRPr="0057784D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8E20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8E2053">
        <w:rPr>
          <w:rFonts w:ascii="Times New Roman" w:eastAsia="Times New Roman" w:hAnsi="Times New Roman" w:cs="Times New Roman"/>
          <w:sz w:val="28"/>
          <w:szCs w:val="28"/>
          <w:lang w:eastAsia="en-GB"/>
        </w:rPr>
        <w:t>rputhje me</w:t>
      </w:r>
      <w:r w:rsidR="008E2053" w:rsidRPr="0057784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Ligjin </w:t>
      </w:r>
      <w:r w:rsidR="008E2053" w:rsidRPr="008E2053"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8E2053" w:rsidRPr="0057784D">
        <w:rPr>
          <w:rFonts w:ascii="Times New Roman" w:eastAsia="Times New Roman" w:hAnsi="Times New Roman" w:cs="Times New Roman"/>
          <w:sz w:val="28"/>
          <w:szCs w:val="28"/>
          <w:lang w:eastAsia="en-GB"/>
        </w:rPr>
        <w:t>r.8788/2001</w:t>
      </w:r>
      <w:r w:rsidR="008E2053" w:rsidRPr="008E20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“</w:t>
      </w:r>
      <w:r w:rsidR="008E2053" w:rsidRPr="009F08FB">
        <w:rPr>
          <w:rFonts w:ascii="Times New Roman" w:eastAsia="Times New Roman" w:hAnsi="Times New Roman" w:cs="Times New Roman"/>
          <w:sz w:val="28"/>
          <w:szCs w:val="28"/>
          <w:lang w:eastAsia="en-GB"/>
        </w:rPr>
        <w:t>Për organizimin dhe funksionimin e OJF-ve”</w:t>
      </w:r>
      <w:r w:rsidR="008E2053" w:rsidRPr="008E2053">
        <w:rPr>
          <w:rFonts w:ascii="Times New Roman" w:eastAsia="Times New Roman" w:hAnsi="Times New Roman" w:cs="Times New Roman"/>
          <w:sz w:val="28"/>
          <w:szCs w:val="28"/>
          <w:lang w:eastAsia="en-GB"/>
        </w:rPr>
        <w:t>, ndryshuar</w:t>
      </w:r>
      <w:r w:rsidR="0057784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57784D" w:rsidRPr="009F08F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Ky opsion ka të njëjtën referencë ligjore si modeli i SHA-ve të Ujësjellës-Kanalizimeve, dhe ofron pavarësi në vendimmarrje dhe financim. </w:t>
      </w:r>
    </w:p>
    <w:p w14:paraId="4E146DAD" w14:textId="77777777" w:rsidR="0057784D" w:rsidRDefault="0057784D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A4F8FD6" w14:textId="7A1347D0" w:rsidR="00B94EE6" w:rsidRDefault="0057784D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7784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Kjo bazë ligjore mundëson krijimin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 nj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OJF-je </w:t>
      </w:r>
      <w:r w:rsidR="008E2053">
        <w:rPr>
          <w:rFonts w:ascii="Times New Roman" w:eastAsia="Times New Roman" w:hAnsi="Times New Roman" w:cs="Times New Roman"/>
          <w:sz w:val="28"/>
          <w:szCs w:val="28"/>
          <w:lang w:eastAsia="en-GB"/>
        </w:rPr>
        <w:t>q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8E20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57784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garanton pavarësinë qeverisëse, funksionale dhe financiare si dhe siguron qëndrueshmërinë afatgjatë të saj, lejon fleksibilitet në mbledhjen dhe menaxhimin e fondeve nga burime të ndryshme përfshirë donatorët, ndërkohë që garanton përfshirje të barabartë të aktorëve të qeverisë qendrore dhe atyre vendore në qeverisjen, politikëbërjen, vendimmarrjen dhe financimin e </w:t>
      </w:r>
      <w:r w:rsidR="008E2053">
        <w:rPr>
          <w:rFonts w:ascii="Times New Roman" w:eastAsia="Times New Roman" w:hAnsi="Times New Roman" w:cs="Times New Roman"/>
          <w:sz w:val="28"/>
          <w:szCs w:val="28"/>
          <w:lang w:eastAsia="en-GB"/>
        </w:rPr>
        <w:t>saj</w:t>
      </w:r>
      <w:r w:rsidRPr="0057784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</w:p>
    <w:p w14:paraId="7C83D3AD" w14:textId="77777777" w:rsidR="00261108" w:rsidRDefault="00261108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AC36076" w14:textId="6559A679" w:rsidR="00261108" w:rsidRPr="00261108" w:rsidRDefault="00261108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Themelimi i OJF-s</w:t>
      </w:r>
      <w:r w:rsidR="000B408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si </w:t>
      </w:r>
      <w:r w:rsidR="00D208E7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s</w:t>
      </w:r>
      <w:r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ubjekt i </w:t>
      </w:r>
      <w:r w:rsidR="00D208E7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k</w:t>
      </w:r>
      <w:r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ompetencave të </w:t>
      </w:r>
      <w:r w:rsidR="00D208E7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p</w:t>
      </w:r>
      <w:r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ërbashkëta midis qever</w:t>
      </w:r>
      <w:r w:rsidR="00D208E7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isjes q</w:t>
      </w:r>
      <w:r w:rsidR="006E0973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D208E7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ndrore</w:t>
      </w:r>
      <w:r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dhe NJVV-ve, përmes aktit themelues dhe statutit, kërkon në të njëjtën kohë miratimin nga të gjithë këshillat bashkiakë dhe këshillat e qarqeve të anëtarësuara pranë NJVV-ve,</w:t>
      </w:r>
      <w:r w:rsidR="00D208E7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si</w:t>
      </w:r>
      <w:r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dhe autorizimin e Këshillit të Ministrave për pjesëmarrjen e </w:t>
      </w:r>
      <w:r w:rsidR="00D208E7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qeverisjes qendrore n</w:t>
      </w:r>
      <w:r w:rsidR="006E0973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D208E7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k</w:t>
      </w:r>
      <w:r w:rsidR="006E0973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D208E7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t</w:t>
      </w:r>
      <w:r w:rsidR="006E0973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D208E7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subjekt. </w:t>
      </w:r>
    </w:p>
    <w:p w14:paraId="2008944D" w14:textId="77777777" w:rsidR="00261108" w:rsidRPr="00261108" w:rsidRDefault="00261108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</w:p>
    <w:p w14:paraId="41A8CBF1" w14:textId="679E0FC4" w:rsidR="00261108" w:rsidRDefault="00261108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Nga ana e </w:t>
      </w:r>
      <w:r w:rsidR="000A27CA">
        <w:rPr>
          <w:rFonts w:ascii="Times New Roman" w:eastAsia="Times New Roman" w:hAnsi="Times New Roman" w:cs="Times New Roman"/>
          <w:sz w:val="28"/>
          <w:szCs w:val="28"/>
          <w:lang w:eastAsia="en-GB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everisjes </w:t>
      </w:r>
      <w:r w:rsidR="000A27CA">
        <w:rPr>
          <w:rFonts w:ascii="Times New Roman" w:eastAsia="Times New Roman" w:hAnsi="Times New Roman" w:cs="Times New Roman"/>
          <w:sz w:val="28"/>
          <w:szCs w:val="28"/>
          <w:lang w:eastAsia="en-GB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endore 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funksion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realizimit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saj iniciative, me vendim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dat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 4.09.2024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Asambles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rgjithshme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Shoqat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 Autonomin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Vendore (SHAV) 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sht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dakort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suar angazhimi 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bashk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financimin e OJF-s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vler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 50%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shpenzimeve operacionale dhe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trajnimeve. </w:t>
      </w:r>
    </w:p>
    <w:p w14:paraId="250ED067" w14:textId="77777777" w:rsidR="00261108" w:rsidRDefault="00261108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B023311" w14:textId="0D5586E0" w:rsidR="00261108" w:rsidRDefault="00261108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Me an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shkres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 nr.532 prot., dat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18.09.2024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Agjencis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 Mb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shtetjen e Vet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qeverisjes Vendore drejtuar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61 kryetar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ve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bashkive 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vend, 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sht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rkuar konfirmimi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 marrjen e masave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rfshirjen e vler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 (kontributit financiar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 secil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 bashki mbi baz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 e numrit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punonj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sve) 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parashikimin e buxhetit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secil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 bashki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 vitin 2025. </w:t>
      </w:r>
    </w:p>
    <w:p w14:paraId="4E44E4CB" w14:textId="77777777" w:rsidR="00261108" w:rsidRDefault="00261108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06AA5C5" w14:textId="0889B452" w:rsidR="00261108" w:rsidRDefault="00261108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rgjigje 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saj shkrese, kryetar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 e 59 bashkive 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vend kan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konfirmuar respektivisht kuot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 vitin 2025 dhe vler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rkat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se q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sht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rfshir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buxhet.   </w:t>
      </w:r>
    </w:p>
    <w:p w14:paraId="2A382A3B" w14:textId="77777777" w:rsidR="0092615F" w:rsidRDefault="0092615F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D5F55D8" w14:textId="4CED8612" w:rsidR="0092615F" w:rsidRDefault="0092615F" w:rsidP="0022302B">
      <w:pPr>
        <w:tabs>
          <w:tab w:val="left" w:pos="99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Sa m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sip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</w:t>
      </w:r>
      <w:r w:rsidR="006E0973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rb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 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>element</w:t>
      </w:r>
      <w:r w:rsidR="006E0973">
        <w:rPr>
          <w:rFonts w:ascii="Times New Roman" w:eastAsia="Times New Roman" w:hAnsi="Times New Roman" w:cs="Times New Roman"/>
          <w:sz w:val="28"/>
          <w:szCs w:val="28"/>
          <w:lang w:eastAsia="en-GB"/>
        </w:rPr>
        <w:t>in</w:t>
      </w:r>
      <w:r w:rsidR="000B408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thelbësor në avancimin e procesit për krijimin e </w:t>
      </w:r>
      <w:r w:rsidR="000B408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s</w:t>
      </w:r>
      <w:r w:rsidR="000B408B"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ubjekt</w:t>
      </w:r>
      <w:r w:rsidR="000B408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it të</w:t>
      </w:r>
      <w:r w:rsidR="000B408B"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r w:rsidR="000B408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k</w:t>
      </w:r>
      <w:r w:rsidR="000B408B"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ompetencave të </w:t>
      </w:r>
      <w:r w:rsidR="000B408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p</w:t>
      </w:r>
      <w:r w:rsidR="000B408B"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ërbashkëta midis </w:t>
      </w:r>
      <w:r w:rsidR="000B408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qeverisjes qendrore </w:t>
      </w:r>
      <w:r w:rsidR="000B408B"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dhe NJVV-ve, </w:t>
      </w:r>
      <w:r w:rsidR="000B408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që do të pasohet me </w:t>
      </w:r>
      <w:r w:rsidR="000B408B" w:rsidRPr="002611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miratimin nga të gjithë këshillat bashkiakë dhe këshillat e qarqeve të anëtarësuara pranë NJVV-ve përkatëse në SKP</w:t>
      </w:r>
      <w:r w:rsidR="000B408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sipas parashikimeve në Ligjin nr.139/2015 të ndryshuar. </w:t>
      </w:r>
      <w:r w:rsidR="006E0973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Miratimi në këshillat bashkiak është në proces në shumë bashki.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Me p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rmbylljen e k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tij procesi do t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vijohet me regjistrimin e OJF-s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n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Gjykat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n e Juridiksionit t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P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rgjithsh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m Tiran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n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p</w:t>
      </w:r>
      <w:r w:rsidR="00DA7FCA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ë</w:t>
      </w:r>
      <w:r w:rsid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rputhje me parashikimet e Ligjit nr.</w:t>
      </w:r>
      <w:r w:rsidR="000C3C52" w:rsidRPr="000C3C5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8788/2001 “Për organizimin dhe funksionimin e OJF-ve”, ndryshuar.</w:t>
      </w:r>
    </w:p>
    <w:p w14:paraId="38C8C9AD" w14:textId="77777777" w:rsidR="00B94EE6" w:rsidRDefault="00B94EE6" w:rsidP="00B94EE6">
      <w:pPr>
        <w:tabs>
          <w:tab w:val="left" w:pos="9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8949139" w14:textId="794DCD45" w:rsidR="00B94EE6" w:rsidRPr="00B94EE6" w:rsidRDefault="00B94EE6" w:rsidP="00B94EE6">
      <w:pPr>
        <w:tabs>
          <w:tab w:val="left" w:pos="9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IV. VLERËSIMI I LIGJSHMËRISË, KUSHTETUTSHMËRISË DHE HARMONIZIMI ME LEGJISLACIONIN NË FUQI VENDAS E NDËRKOMBËTAR</w:t>
      </w:r>
    </w:p>
    <w:p w14:paraId="06941525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14:paraId="51B28A8C" w14:textId="67FF6DDC" w:rsid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Baza ligjore mbi të cilën është hartuar ky projektvendim është neni 100 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 </w:t>
      </w: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Kushtetutës, 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si </w:t>
      </w:r>
      <w:r w:rsidR="009C0D1F" w:rsidRPr="00D979C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dhe neni 14, pika 5 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i</w:t>
      </w:r>
      <w:r w:rsidR="009C0D1F" w:rsidRPr="00D979C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L</w:t>
      </w:r>
      <w:r w:rsidR="009C0D1F" w:rsidRPr="00D979CD">
        <w:rPr>
          <w:rFonts w:ascii="Times New Roman" w:eastAsia="Times New Roman" w:hAnsi="Times New Roman" w:cs="Times New Roman"/>
          <w:sz w:val="28"/>
          <w:szCs w:val="28"/>
          <w:lang w:eastAsia="en-GB"/>
        </w:rPr>
        <w:t>igjit nr.139/2015 “Për vetëqeverisjen vendore”</w:t>
      </w:r>
      <w:r w:rsidR="009C0D1F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13EE35C7" w14:textId="77777777" w:rsidR="009C0D1F" w:rsidRPr="00B94EE6" w:rsidRDefault="009C0D1F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979FD24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V. VLERËSIMI I SHKALLËS SË PËRAFRIMIT ME </w:t>
      </w:r>
      <w:r w:rsidRPr="00B94EE6"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 xml:space="preserve">ACQUIS COMMUNAUTAIRE </w:t>
      </w:r>
      <w:r w:rsidRPr="00B94EE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(PËR PROJEKTAKET NORMATIVE)</w:t>
      </w:r>
    </w:p>
    <w:p w14:paraId="67F13793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BEDF904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Ky projektvendim nuk ka për qëllim përafrimin me </w:t>
      </w:r>
      <w:r w:rsidRPr="00B94EE6">
        <w:rPr>
          <w:rFonts w:ascii="Times New Roman" w:eastAsia="Times New Roman" w:hAnsi="Times New Roman" w:cs="Times New Roman"/>
          <w:bCs/>
          <w:i/>
          <w:sz w:val="28"/>
          <w:szCs w:val="28"/>
          <w:lang w:eastAsia="en-GB"/>
        </w:rPr>
        <w:t>Acquis Communautaire.</w:t>
      </w:r>
    </w:p>
    <w:p w14:paraId="6376D688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en-GB"/>
        </w:rPr>
      </w:pPr>
    </w:p>
    <w:p w14:paraId="61111591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VI. PËRMBLEDHJE SHPJEGUESE E PËRMBAJTJES SË PROJEKTAKTIT</w:t>
      </w:r>
    </w:p>
    <w:p w14:paraId="677546AC" w14:textId="77777777" w:rsidR="00B94EE6" w:rsidRPr="00B94EE6" w:rsidRDefault="00B94EE6" w:rsidP="00B94E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C56259D" w14:textId="697C39F4" w:rsidR="00B94EE6" w:rsidRDefault="00B94EE6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Nga pikëpamja teknike, </w:t>
      </w:r>
      <w:r w:rsidR="00AD04A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projektakti </w:t>
      </w:r>
      <w:r w:rsidR="00AD04AA" w:rsidRPr="006E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p</w:t>
      </w:r>
      <w:r w:rsidR="00766459" w:rsidRPr="006E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ë</w:t>
      </w:r>
      <w:r w:rsidR="00AD04AA" w:rsidRPr="006E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rmban </w:t>
      </w:r>
      <w:r w:rsidR="00090639" w:rsidRPr="000906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>7</w:t>
      </w:r>
      <w:r w:rsidR="00AD04AA" w:rsidRPr="006E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pika</w:t>
      </w:r>
      <w:r w:rsidR="00AD04A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. </w:t>
      </w:r>
      <w:r w:rsidRPr="00B94EE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Secila pikë përmban dispozita, të cilat parashikojnë rregullime specifike </w:t>
      </w:r>
      <w:r w:rsidR="00AD04A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q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AD04A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lidhen me krijimin dhe funksionimin e </w:t>
      </w:r>
      <w:r w:rsidR="00AD04AA" w:rsidRPr="00AD04A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subjekt</w:t>
      </w:r>
      <w:r w:rsidR="00AD04A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it</w:t>
      </w:r>
      <w:r w:rsidR="00AD04AA" w:rsidRPr="00AD04A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të kompetencave të përbashkëta</w:t>
      </w:r>
      <w:r w:rsidR="006E097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 p</w:t>
      </w:r>
      <w:r w:rsidR="00F945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6E097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r sa i takon qeverisjes qendrore</w:t>
      </w:r>
      <w:r w:rsid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</w:p>
    <w:p w14:paraId="499416F4" w14:textId="77777777" w:rsid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FC83F41" w14:textId="41918244" w:rsidR="002A4B24" w:rsidRP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2A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N</w:t>
      </w:r>
      <w:r w:rsidR="0076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ë</w:t>
      </w:r>
      <w:r w:rsidRPr="002A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pik</w:t>
      </w:r>
      <w:r w:rsidR="0076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ë</w:t>
      </w:r>
      <w:r w:rsidRPr="002A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n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parashikohet q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pjes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marrja e 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Këshilli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Ministrave në krijimin e personit juridik si subjekt i kompetencave të përbashkëta me vetëqeverisjen vendore për realizimin e trajnimeve të të zgjedhurve, nëpunësve civilë dhe punonjësve të tjerë në njësitë e vetëqeverisjes vendore me qëllim rritjen e 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lastRenderedPageBreak/>
        <w:t xml:space="preserve">performancën së tyre, për të mbështetur standardet etike dhe vlerat e shërbimit publik, për t'u shërbyer komuniteteve dhe për t’i ndihmuar ato në përmbushjen e sfidave të hartimit, buxhetimit, zbatimit të legjislacionit, integrimit në Bashkimin Evropian dhe politikave publike. </w:t>
      </w:r>
    </w:p>
    <w:p w14:paraId="302F7B21" w14:textId="77777777" w:rsidR="002A4B24" w:rsidRP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89364A6" w14:textId="42E2296E" w:rsidR="002A4B24" w:rsidRP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2A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Sipas pik</w:t>
      </w:r>
      <w:r w:rsidR="0076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ë</w:t>
      </w:r>
      <w:r w:rsidRPr="002A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s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Këshilli i Ministrave autorizon, të nënshkruajë statutin dhe Aktin e themelimit të personit juridik subjekt i kompetencave të përbashkëta, Drejtorin e Përgjithshëm të Agjencisë për Mbështetjen e Vetëqeverisjes Vendore.</w:t>
      </w:r>
    </w:p>
    <w:p w14:paraId="39890EF8" w14:textId="77777777" w:rsidR="002A4B24" w:rsidRP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A1011B0" w14:textId="605A3263" w:rsidR="002A4B24" w:rsidRP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2A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N</w:t>
      </w:r>
      <w:r w:rsidR="00766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ë</w:t>
      </w:r>
      <w:r w:rsidRPr="002A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piken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parashikohet roli i 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Ministri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përgjegjës për çështjet vendore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i cili 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merr pjesë, në emër dhe për llogari të Këshillit të Ministrave në Komitetin Drejtues të personit juridik subjekt i kompetencave të përbashkëta. </w:t>
      </w:r>
    </w:p>
    <w:p w14:paraId="358385B9" w14:textId="77777777" w:rsidR="002A4B24" w:rsidRP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DC829AB" w14:textId="77777777" w:rsidR="00090639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2A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Pika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parashikon modalitetet e kontributit financiar. K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shtu, k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ontributi financiar vjetor i Këshillit të Ministrave përballon kostot fillestare të themelimit të personit juridik subjekt i kompetencave të përbashkëta dhe jo me pak se se 50 % të kostove operacionale të funksionimit të këtij personi juridik per tre vitet e para të funksionimit të tij. </w:t>
      </w:r>
    </w:p>
    <w:p w14:paraId="30605494" w14:textId="77777777" w:rsidR="00090639" w:rsidRDefault="00090639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1ADDC8E" w14:textId="3BC183F6" w:rsidR="002A4B24" w:rsidRPr="00E31E49" w:rsidRDefault="00090639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31E4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Pika 5</w:t>
      </w:r>
      <w:r w:rsidRPr="00E31E4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parashikon se </w:t>
      </w:r>
      <w:r w:rsidR="002A4B24" w:rsidRPr="00E31E49">
        <w:rPr>
          <w:rFonts w:ascii="Times New Roman" w:eastAsia="Times New Roman" w:hAnsi="Times New Roman" w:cs="Times New Roman"/>
          <w:sz w:val="28"/>
          <w:szCs w:val="28"/>
          <w:lang w:eastAsia="en-GB"/>
        </w:rPr>
        <w:t>kontribut</w:t>
      </w:r>
      <w:r w:rsidRPr="00E31E49">
        <w:rPr>
          <w:rFonts w:ascii="Times New Roman" w:eastAsia="Times New Roman" w:hAnsi="Times New Roman" w:cs="Times New Roman"/>
          <w:sz w:val="28"/>
          <w:szCs w:val="28"/>
          <w:lang w:eastAsia="en-GB"/>
        </w:rPr>
        <w:t>i</w:t>
      </w:r>
      <w:r w:rsidR="002A4B24" w:rsidRPr="00E31E4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financiar është pjesë e buxhetit të Agjencisë për Mbështetjen e Vetëqeverisjes Vendore dhe i kalon personit juridik subjekt i kompetencave të përbashkëta me fillimin e aktivitetit dhe në vijim brenda muajit mars të çdo viti. </w:t>
      </w:r>
    </w:p>
    <w:p w14:paraId="55F2FEF6" w14:textId="77777777" w:rsidR="002A4B24" w:rsidRPr="00E31E49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62C193A" w14:textId="647C0756" w:rsidR="002A4B24" w:rsidRP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31E4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</w:t>
      </w:r>
      <w:r w:rsidR="00766459" w:rsidRPr="00E31E4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ë</w:t>
      </w:r>
      <w:r w:rsidRPr="00E31E4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pik</w:t>
      </w:r>
      <w:r w:rsidR="00766459" w:rsidRPr="00E31E4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ë</w:t>
      </w:r>
      <w:r w:rsidR="00090639" w:rsidRPr="00E31E4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 6</w:t>
      </w:r>
      <w:r w:rsidRPr="00E31E4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,</w:t>
      </w:r>
      <w:r w:rsidRPr="00E31E4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ngarkohen Agjencia për Mbështetjen e Vetëqeverijes Vendore, Shkolla Shqiptare e 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Administratës Publike, Departameni i Administratës Publike dhe Ministri i Financave</w:t>
      </w:r>
      <w:r w:rsidRPr="002A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caktojnë përfaqësuesit e tyre në Këshillin Drejtues të personit juridik subjekt i kompetencave të përbashkëta brenda 30 ditesh nga data e regjistrimit të tij në regjistrin e OJF-ve pranë Gjykatës së Shkallës së Parë të Juridiksionit të Përgjithshëm Tiranë. Universiteti i Tiranës brenda 30 ditësh nga data e regjistrimit ftohet të caktojë përfaqësuesin e tij në Komitetin Drejtues. </w:t>
      </w:r>
    </w:p>
    <w:p w14:paraId="44D0BB8F" w14:textId="77777777" w:rsidR="002A4B24" w:rsidRP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6B82F99" w14:textId="7731C635" w:rsidR="002A4B24" w:rsidRP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00D6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Pika </w:t>
      </w:r>
      <w:r w:rsidR="00090639" w:rsidRPr="00400D6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</w:t>
      </w:r>
      <w:r w:rsidRPr="00400D6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parashikon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se n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garkohet </w:t>
      </w:r>
      <w:bookmarkStart w:id="2" w:name="_Hlk184994159"/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Ministri përgjegjës për çështjet vendore, Ministria e Financave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Shkolla Shqiptare e Administratës Publike, Departameni i 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lastRenderedPageBreak/>
        <w:t>Administratës Publike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dhe Agjencia për Mbështetjen e Vetëqeverisjes Vendore </w:t>
      </w:r>
      <w:bookmarkEnd w:id="2"/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për zbatimin e këtij vendimi.</w:t>
      </w:r>
    </w:p>
    <w:p w14:paraId="3306C179" w14:textId="77777777" w:rsidR="002A4B24" w:rsidRP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4C466D3C" w14:textId="77777777" w:rsidR="002A4B24" w:rsidRPr="002A4B24" w:rsidRDefault="002A4B24" w:rsidP="00E62B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2A4B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Ky vendim hyn në fuqi pas botimit në “Fletoren Zyrtare”.</w:t>
      </w:r>
    </w:p>
    <w:p w14:paraId="255D33A3" w14:textId="77777777" w:rsidR="00B94EE6" w:rsidRPr="00B94EE6" w:rsidRDefault="00B94EE6" w:rsidP="00E62B0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392BB8D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VII. INSTITUCIONET DHE ORGANET QË NGARKOHEN PËR ZBATIMIN E AKTIT</w:t>
      </w:r>
    </w:p>
    <w:p w14:paraId="2F31C0B4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7EECFCA" w14:textId="72AC8761" w:rsidR="00B94EE6" w:rsidRDefault="00B94EE6" w:rsidP="00D832F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Për zbatimin e këtij projektvendimi ngarkohen </w:t>
      </w:r>
      <w:r w:rsidR="002A4B24" w:rsidRPr="002A4B24">
        <w:rPr>
          <w:rFonts w:ascii="Times New Roman" w:eastAsia="Times New Roman" w:hAnsi="Times New Roman" w:cs="Times New Roman"/>
          <w:sz w:val="28"/>
          <w:szCs w:val="28"/>
          <w:lang w:eastAsia="en-GB"/>
        </w:rPr>
        <w:t>Ministri përgjegjës për çështjet vendore, Ministria e Financave, Shkolla Shqiptare e Administratës Publike, Departameni i Administratës Publike  dhe Agjencia për Mbështetjen e Vetëqeverisjes Vendore</w:t>
      </w:r>
      <w:r w:rsidR="002A4B24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033875CF" w14:textId="77777777" w:rsidR="006E0973" w:rsidRPr="00B94EE6" w:rsidRDefault="006E0973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FA65DFC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VIII. PERSONAT DHE INSTITUCIONET QË KANË KONTRIBUAR NË HARTIMIN E PROJEKTAKTIT</w:t>
      </w:r>
    </w:p>
    <w:p w14:paraId="3C707213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14:paraId="140F4021" w14:textId="33AED47B" w:rsidR="000D4035" w:rsidRDefault="00B94EE6" w:rsidP="00D832F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Projektvendimi është hartuar nga grupi i punës i </w:t>
      </w:r>
      <w:r w:rsidR="00FA34F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ngritur me Urdh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FA34F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r t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FA34F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Kryeministrit nr.6, dat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FA34F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12.01.2024 “</w:t>
      </w:r>
      <w:r w:rsidR="00FA34F4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</w:t>
      </w:r>
      <w:r w:rsidR="00766459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ë</w:t>
      </w:r>
      <w:r w:rsidR="00FA34F4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r ngritjen e grupit t</w:t>
      </w:r>
      <w:r w:rsidR="00766459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ë</w:t>
      </w:r>
      <w:r w:rsidR="00FA34F4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pun</w:t>
      </w:r>
      <w:r w:rsidR="00766459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ë</w:t>
      </w:r>
      <w:r w:rsidR="00FA34F4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s p</w:t>
      </w:r>
      <w:r w:rsidR="00766459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ë</w:t>
      </w:r>
      <w:r w:rsidR="00FA34F4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r zhvillimin e kapaciteteve t</w:t>
      </w:r>
      <w:r w:rsidR="00766459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ë</w:t>
      </w:r>
      <w:r w:rsidR="00FA34F4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zyrtar</w:t>
      </w:r>
      <w:r w:rsidR="00766459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ë</w:t>
      </w:r>
      <w:r w:rsidR="00FA34F4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ve dhe t</w:t>
      </w:r>
      <w:r w:rsidR="00766459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ë</w:t>
      </w:r>
      <w:r w:rsidR="00FA34F4" w:rsidRPr="006E0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zgjedhurve vendor</w:t>
      </w:r>
      <w:r w:rsidR="00FA34F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”.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Pjes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e grupit t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pun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s ishin </w:t>
      </w:r>
      <w:r w:rsidR="000D4035"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Agjenci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a  </w:t>
      </w:r>
      <w:r w:rsidR="000D4035"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për Mbështetjen e Vetëqeverisjes Vendore, Departamenti 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i</w:t>
      </w:r>
      <w:r w:rsidR="000D4035"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Administratës Publike Shkoll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a</w:t>
      </w:r>
      <w:r w:rsidR="000D4035"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Shqiptare 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e</w:t>
      </w:r>
      <w:r w:rsidR="000D4035"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Administratës Publike, Drejtori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a</w:t>
      </w:r>
      <w:r w:rsidR="000D4035"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e</w:t>
      </w:r>
      <w:r w:rsidR="000D4035"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Financave Vendore pranë Ministrisë së Financave, Drejtori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a</w:t>
      </w:r>
      <w:r w:rsidR="000D4035"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e</w:t>
      </w:r>
      <w:r w:rsidR="000D4035"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Kodifikimit pranë Ministrisë së 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Drejt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sis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0D4035"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 shoqatave të njësive të vetëqeverisjes vendore (SHAV dhe SHKQSH)</w:t>
      </w:r>
      <w:r w:rsidR="00221BC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  <w:r w:rsidR="00F945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Projektvendimi reflekton dakortësinë e grupit të punës. </w:t>
      </w:r>
    </w:p>
    <w:p w14:paraId="75BFAA55" w14:textId="77777777" w:rsidR="00676770" w:rsidRDefault="00676770" w:rsidP="00D832F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37A633B1" w14:textId="2A607006" w:rsidR="000D4035" w:rsidRDefault="000D4035" w:rsidP="00D832F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Puna e grupit t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pun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 u mb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shtet edhe nga </w:t>
      </w:r>
      <w:r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“Bashki të Forta” (BtF) projekt i inicuar dhe i financuar nga Agjencia Zvicerane për Zhvillim dhe Bashkëpunim (SDC) </w:t>
      </w:r>
      <w:bookmarkStart w:id="3" w:name="_Hlk177730136"/>
      <w:r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dhe </w:t>
      </w:r>
      <w:bookmarkStart w:id="4" w:name="_Hlk177730116"/>
      <w:r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Qeveria </w:t>
      </w:r>
      <w:bookmarkEnd w:id="3"/>
      <w:bookmarkEnd w:id="4"/>
      <w:r w:rsidRPr="000D403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e Suedisë, dhe i zbatuar nga Helvetas. </w:t>
      </w:r>
    </w:p>
    <w:p w14:paraId="56BB5104" w14:textId="77777777" w:rsidR="00221BC8" w:rsidRDefault="00221BC8" w:rsidP="00D832F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E76732A" w14:textId="0195B30C" w:rsidR="00B94EE6" w:rsidRPr="00B94EE6" w:rsidRDefault="00B94EE6" w:rsidP="00D832F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Projektvendimi i dërgohet për mendim Ministrisë së Drejtësisë</w:t>
      </w:r>
      <w:r w:rsidR="00221BC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 Ministris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221BC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s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221BC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Financave, </w:t>
      </w:r>
      <w:r w:rsidR="0009156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Ministrit të Shtetit për Administratën Publike dhe Antikorrupsionin, </w:t>
      </w:r>
      <w:r w:rsidR="00221BC8" w:rsidRPr="00221BC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Departamenti i Administratës Publike, Shkolla Shqiptare e Administratës Publike</w:t>
      </w:r>
      <w:r w:rsidR="00C0464D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</w:t>
      </w:r>
      <w:r w:rsidR="00221BC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si dhe Universitetit t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221BC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Tiran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221BC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s.</w:t>
      </w:r>
      <w:r w:rsidR="006A67ED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09156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Ky vendim do t’i nënshtrohet edhe konsultimit në Këshillin Konsultativ midis qeverisjes qendrore dhe vendore sipas </w:t>
      </w:r>
      <w:r w:rsidR="00091567" w:rsidRPr="0009156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VKM-së nr. 244, datë 17.4.2024</w:t>
      </w:r>
      <w:r w:rsidR="00091567" w:rsidRPr="00091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="00091567" w:rsidRPr="0009156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“</w:t>
      </w:r>
      <w:r w:rsidR="00091567" w:rsidRPr="00091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Për mënyrën e organizimit e të funksionimit të këshillit </w:t>
      </w:r>
      <w:r w:rsidR="00091567" w:rsidRPr="00091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lastRenderedPageBreak/>
        <w:t>konsultativ të qeverisjes qendrore me vetëqeverisjen vendore</w:t>
      </w:r>
      <w:r w:rsidR="00091567" w:rsidRPr="0009156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„</w:t>
      </w:r>
      <w:r w:rsidR="0009156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  <w:r w:rsidR="00091567" w:rsidRPr="0009156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B94EE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Pas reflektimit të komenteve</w:t>
      </w:r>
      <w:r w:rsidR="00FA34F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nga institucionet e lartp</w:t>
      </w:r>
      <w:r w:rsidR="0076645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ë</w:t>
      </w:r>
      <w:r w:rsidR="00FA34F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rmendura</w:t>
      </w:r>
      <w:r w:rsidRPr="00B94EE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 projektvendimi dërgohet për shqyrtim dhe miratim në Këshillin e Ministrave.</w:t>
      </w:r>
    </w:p>
    <w:p w14:paraId="012CF817" w14:textId="77777777" w:rsidR="00B94EE6" w:rsidRPr="00B94EE6" w:rsidRDefault="00B94EE6" w:rsidP="00D832F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5363810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IX. RAPORTI I VLERËSIMIT TË TË ARDHURAVE DHE SHPENZIMEVE BUXHETORE</w:t>
      </w:r>
    </w:p>
    <w:p w14:paraId="7C119002" w14:textId="77777777" w:rsidR="00B94EE6" w:rsidRPr="00B94EE6" w:rsidRDefault="00B94EE6" w:rsidP="00B94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14:paraId="25E78C9F" w14:textId="77777777" w:rsidR="00113A25" w:rsidRDefault="00B94EE6" w:rsidP="00113A2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Ky </w:t>
      </w:r>
      <w:r w:rsidR="006A67ED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projektakt ka efektet financiare si m</w:t>
      </w:r>
      <w:r w:rsidR="00766459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6A67E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posht</w:t>
      </w:r>
      <w:r w:rsidR="00766459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6A67ED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0CB90AE5" w14:textId="77777777" w:rsidR="00113A25" w:rsidRDefault="00113A25" w:rsidP="00113A2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7F49A6B" w14:textId="3F0A645D" w:rsidR="00690A3B" w:rsidRDefault="00C0464D" w:rsidP="00113A2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Me qëllim realizimin e </w:t>
      </w:r>
      <w:r w:rsidR="00690A3B" w:rsidRPr="00690A3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ngritje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s</w:t>
      </w:r>
      <w:r w:rsidR="00690A3B" w:rsidRP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qeverisja qëndrore </w:t>
      </w:r>
      <w:r w:rsid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>(n</w:t>
      </w:r>
      <w:r w:rsidR="00766459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>p</w:t>
      </w:r>
      <w:r w:rsidR="00766459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>rmjet AMVV-s</w:t>
      </w:r>
      <w:r w:rsidR="00766459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690A3B" w:rsidRP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do të financojë kostot fillestare, ndërsa shpenzimet operative dhe të trajnimit do të ndahen në mënyrë të barabartë (50%- 50%) midis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q</w:t>
      </w:r>
      <w:r w:rsidR="00690A3B" w:rsidRP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everisë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q</w:t>
      </w:r>
      <w:r w:rsidR="00690A3B" w:rsidRP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>endrore dhe NJVV-ve gjatë tre viteve të para të planit financiar. Ndarja e përqindjeve të kostove mund të ndryshojë në planin e ri strategjik dhe financiar pas vitit të tretë, me vendim të Bordit</w:t>
      </w:r>
      <w:r w:rsid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</w:t>
      </w:r>
      <w:r w:rsidR="00766459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OJF-s</w:t>
      </w:r>
      <w:r w:rsidR="00766459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 w:rsidR="00690A3B" w:rsidRP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ku NJVV-të pritet të mbulojnë një përqindje më të lartë për shërbimet e marra. </w:t>
      </w:r>
    </w:p>
    <w:p w14:paraId="0240F3B5" w14:textId="77777777" w:rsidR="00690A3B" w:rsidRPr="00690A3B" w:rsidRDefault="00690A3B" w:rsidP="00D832FB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0D21CC8" w14:textId="6628A522" w:rsidR="00690A3B" w:rsidRPr="00690A3B" w:rsidRDefault="00690A3B" w:rsidP="00D832F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90A3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Opsioni i bashkëfinancimit propozuar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766459">
        <w:rPr>
          <w:rFonts w:ascii="Times New Roman" w:eastAsia="Times New Roman" w:hAnsi="Times New Roman" w:cs="Times New Roman"/>
          <w:sz w:val="28"/>
          <w:szCs w:val="28"/>
          <w:lang w:eastAsia="en-GB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nkupton</w:t>
      </w:r>
      <w:r w:rsidR="00C0464D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tbl>
      <w:tblPr>
        <w:tblStyle w:val="ListTable21"/>
        <w:tblW w:w="5000" w:type="pct"/>
        <w:tblInd w:w="27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20" w:firstRow="1" w:lastRow="0" w:firstColumn="0" w:lastColumn="0" w:noHBand="0" w:noVBand="1"/>
      </w:tblPr>
      <w:tblGrid>
        <w:gridCol w:w="9576"/>
      </w:tblGrid>
      <w:tr w:rsidR="00690A3B" w:rsidRPr="00690A3B" w14:paraId="6C7E9CC7" w14:textId="77777777" w:rsidTr="00887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tcW w:w="0" w:type="pct"/>
            <w:shd w:val="clear" w:color="auto" w:fill="auto"/>
            <w:hideMark/>
          </w:tcPr>
          <w:p w14:paraId="661FB918" w14:textId="77777777" w:rsidR="00C1509A" w:rsidRDefault="00C1509A" w:rsidP="00C1509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</w:pPr>
          </w:p>
          <w:p w14:paraId="0687DB7D" w14:textId="6A0CAA41" w:rsidR="00690A3B" w:rsidRPr="00690A3B" w:rsidRDefault="00C1509A" w:rsidP="00C1509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 xml:space="preserve">- </w:t>
            </w:r>
            <w:r w:rsidR="00690A3B" w:rsidRPr="00690A3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>Kostot fillestare të ngritjes së Akademisë</w:t>
            </w:r>
            <w:r w:rsidR="00690A3B" w:rsidRPr="00690A3B" w:rsidDel="005375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 xml:space="preserve"> </w:t>
            </w:r>
            <w:r w:rsidR="00690A3B" w:rsidRPr="00690A3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 xml:space="preserve">(investimet fillestare) – mbulohen </w:t>
            </w:r>
            <w:r w:rsidR="00C0464D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>q</w:t>
            </w:r>
            <w:r w:rsidR="00690A3B" w:rsidRPr="00690A3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 xml:space="preserve">everia </w:t>
            </w:r>
            <w:r w:rsidR="00C0464D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>që</w:t>
            </w:r>
            <w:r w:rsidR="00690A3B" w:rsidRPr="00690A3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>ndrore (përllogaritur në vlerën e 381,016 €)</w:t>
            </w:r>
            <w:r w:rsidR="00C0464D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>;</w:t>
            </w:r>
          </w:p>
          <w:p w14:paraId="4697BDF8" w14:textId="02EC65F8" w:rsidR="00C1509A" w:rsidRDefault="00C1509A" w:rsidP="00C1509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 xml:space="preserve">- </w:t>
            </w:r>
            <w:r w:rsidR="00690A3B" w:rsidRPr="00690A3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 xml:space="preserve">Kostot e operacionale dhe të trajnimit- ndahen në mënyrë të barabartë ndërmjet </w:t>
            </w:r>
            <w:r w:rsidR="00C0464D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>q</w:t>
            </w:r>
            <w:r w:rsidR="00690A3B" w:rsidRPr="00690A3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  <w:t xml:space="preserve">everisë dhe NJVV-ve (50%-50%), në tre vite (të përllogaritura 1,163,933 € në total secila palë). </w:t>
            </w:r>
          </w:p>
          <w:p w14:paraId="59AD3D91" w14:textId="77777777" w:rsidR="00C1509A" w:rsidRPr="00C1509A" w:rsidRDefault="00C1509A" w:rsidP="00C1509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GB"/>
              </w:rPr>
            </w:pPr>
          </w:p>
          <w:p w14:paraId="313C5A96" w14:textId="7E05C095" w:rsidR="00690A3B" w:rsidRDefault="00690A3B" w:rsidP="00D832FB">
            <w:pPr>
              <w:spacing w:line="288" w:lineRule="auto"/>
              <w:jc w:val="both"/>
              <w:rPr>
                <w:rFonts w:eastAsiaTheme="minorEastAsia" w:cstheme="minorHAnsi"/>
                <w:color w:val="2E74B5" w:themeColor="accent1" w:themeShade="BF"/>
              </w:rPr>
            </w:pPr>
            <w:bookmarkStart w:id="5" w:name="_Toc173937011"/>
            <w:bookmarkStart w:id="6" w:name="_Toc178682059"/>
            <w:r w:rsidRPr="00690A3B">
              <w:rPr>
                <w:rFonts w:eastAsiaTheme="minorEastAsia" w:cstheme="minorHAnsi"/>
                <w:color w:val="2E74B5" w:themeColor="accent1" w:themeShade="BF"/>
              </w:rPr>
              <w:t xml:space="preserve">Tabela </w:t>
            </w:r>
            <w:r>
              <w:rPr>
                <w:rFonts w:eastAsiaTheme="minorEastAsia" w:cstheme="minorHAnsi"/>
                <w:color w:val="2E74B5" w:themeColor="accent1" w:themeShade="BF"/>
              </w:rPr>
              <w:t>1</w:t>
            </w:r>
            <w:r w:rsidRPr="00690A3B">
              <w:rPr>
                <w:rFonts w:eastAsiaTheme="minorEastAsia" w:cstheme="minorHAnsi"/>
                <w:color w:val="2E74B5" w:themeColor="accent1" w:themeShade="BF"/>
              </w:rPr>
              <w:t>. Parashikimi i përgjithshëm i buxhetit 3-vjecar sipas kategorive kryesore të buxhetit</w:t>
            </w:r>
            <w:bookmarkEnd w:id="5"/>
            <w:bookmarkEnd w:id="6"/>
            <w:r w:rsidRPr="00690A3B">
              <w:rPr>
                <w:rFonts w:eastAsiaTheme="minorEastAsia" w:cstheme="minorHAnsi"/>
                <w:color w:val="2E74B5" w:themeColor="accent1" w:themeShade="BF"/>
              </w:rPr>
              <w:t xml:space="preserve"> </w:t>
            </w:r>
          </w:p>
          <w:p w14:paraId="77C473B4" w14:textId="77777777" w:rsidR="00C1509A" w:rsidRPr="00690A3B" w:rsidRDefault="00C1509A" w:rsidP="00D832FB">
            <w:pPr>
              <w:spacing w:line="288" w:lineRule="auto"/>
              <w:jc w:val="both"/>
              <w:rPr>
                <w:rFonts w:eastAsiaTheme="minorEastAsia" w:cstheme="minorHAnsi"/>
                <w:color w:val="2E74B5" w:themeColor="accent1" w:themeShade="BF"/>
              </w:rPr>
            </w:pPr>
          </w:p>
          <w:tbl>
            <w:tblPr>
              <w:tblStyle w:val="GridTable5Dark-Accent31"/>
              <w:tblW w:w="4990" w:type="pct"/>
              <w:tblLook w:val="04A0" w:firstRow="1" w:lastRow="0" w:firstColumn="1" w:lastColumn="0" w:noHBand="0" w:noVBand="1"/>
            </w:tblPr>
            <w:tblGrid>
              <w:gridCol w:w="2239"/>
              <w:gridCol w:w="1730"/>
              <w:gridCol w:w="1730"/>
              <w:gridCol w:w="1730"/>
              <w:gridCol w:w="1902"/>
            </w:tblGrid>
            <w:tr w:rsidR="00690A3B" w:rsidRPr="00690A3B" w14:paraId="1F13E6DB" w14:textId="77777777" w:rsidTr="008870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pct"/>
                  <w:vAlign w:val="center"/>
                  <w:hideMark/>
                </w:tcPr>
                <w:p w14:paraId="736BFA31" w14:textId="77777777" w:rsidR="00690A3B" w:rsidRPr="00690A3B" w:rsidRDefault="00690A3B" w:rsidP="00D832FB">
                  <w:pPr>
                    <w:spacing w:line="288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="Times New Roman" w:cstheme="minorHAnsi"/>
                      <w:color w:val="000000"/>
                    </w:rPr>
                    <w:t>Kategoria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106A1181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="Times New Roman" w:cstheme="minorHAnsi"/>
                      <w:color w:val="000000"/>
                    </w:rPr>
                    <w:t>viti i.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502E4453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="Times New Roman" w:cstheme="minorHAnsi"/>
                      <w:color w:val="000000"/>
                    </w:rPr>
                    <w:t>viti ii.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1A00026A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="Times New Roman" w:cstheme="minorHAnsi"/>
                      <w:color w:val="000000"/>
                    </w:rPr>
                    <w:t>viti i.ii.</w:t>
                  </w:r>
                </w:p>
              </w:tc>
              <w:tc>
                <w:tcPr>
                  <w:tcW w:w="1019" w:type="pct"/>
                  <w:vAlign w:val="center"/>
                  <w:hideMark/>
                </w:tcPr>
                <w:p w14:paraId="0D696352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="Times New Roman" w:cstheme="minorHAnsi"/>
                      <w:color w:val="000000"/>
                    </w:rPr>
                    <w:t>Total sipas kostove</w:t>
                  </w:r>
                </w:p>
              </w:tc>
            </w:tr>
            <w:tr w:rsidR="00690A3B" w:rsidRPr="00690A3B" w14:paraId="61553121" w14:textId="77777777" w:rsidTr="0088701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pct"/>
                  <w:vAlign w:val="center"/>
                  <w:hideMark/>
                </w:tcPr>
                <w:p w14:paraId="598C1D86" w14:textId="77777777" w:rsidR="00690A3B" w:rsidRPr="00690A3B" w:rsidRDefault="00690A3B" w:rsidP="00D832FB">
                  <w:pPr>
                    <w:spacing w:line="288" w:lineRule="auto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Investimi fillestar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6F557FD5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b/>
                      <w:bCs/>
                    </w:rPr>
                    <w:t xml:space="preserve">381,016 €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3E160CA2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6EEF7F3C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19" w:type="pct"/>
                  <w:vAlign w:val="center"/>
                  <w:hideMark/>
                </w:tcPr>
                <w:p w14:paraId="74F11F93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b/>
                      <w:bCs/>
                      <w:color w:val="000000"/>
                    </w:rPr>
                    <w:t xml:space="preserve">381,016 € </w:t>
                  </w:r>
                </w:p>
              </w:tc>
            </w:tr>
            <w:tr w:rsidR="00690A3B" w:rsidRPr="00690A3B" w14:paraId="7F69B9A9" w14:textId="77777777" w:rsidTr="0088701C">
              <w:trPr>
                <w:trHeight w:val="4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pct"/>
                  <w:vAlign w:val="center"/>
                  <w:hideMark/>
                </w:tcPr>
                <w:p w14:paraId="1C4A9A07" w14:textId="77777777" w:rsidR="00690A3B" w:rsidRPr="00690A3B" w:rsidRDefault="00690A3B" w:rsidP="00D832FB">
                  <w:pPr>
                    <w:spacing w:line="288" w:lineRule="auto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Operacionale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7503CC9E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307,182 €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2DCDAD94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307,182 €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4688DB0F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307,182 € </w:t>
                  </w:r>
                </w:p>
              </w:tc>
              <w:tc>
                <w:tcPr>
                  <w:tcW w:w="1019" w:type="pct"/>
                  <w:vAlign w:val="center"/>
                  <w:hideMark/>
                </w:tcPr>
                <w:p w14:paraId="0B48B58E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921,547 € </w:t>
                  </w:r>
                </w:p>
              </w:tc>
            </w:tr>
            <w:tr w:rsidR="00690A3B" w:rsidRPr="00690A3B" w14:paraId="24ED0F9B" w14:textId="77777777" w:rsidTr="0088701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pct"/>
                  <w:vAlign w:val="center"/>
                  <w:hideMark/>
                </w:tcPr>
                <w:p w14:paraId="160487A0" w14:textId="77777777" w:rsidR="00690A3B" w:rsidRPr="00690A3B" w:rsidRDefault="00690A3B" w:rsidP="00D832FB">
                  <w:pPr>
                    <w:spacing w:line="288" w:lineRule="auto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Module 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46D3C916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37,500 €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45D6212A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85,000 €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42C32FBC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90,000 € </w:t>
                  </w:r>
                </w:p>
              </w:tc>
              <w:tc>
                <w:tcPr>
                  <w:tcW w:w="1019" w:type="pct"/>
                  <w:vAlign w:val="center"/>
                  <w:hideMark/>
                </w:tcPr>
                <w:p w14:paraId="550B1337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212,500 € </w:t>
                  </w:r>
                </w:p>
              </w:tc>
            </w:tr>
            <w:tr w:rsidR="00690A3B" w:rsidRPr="00690A3B" w14:paraId="46B725A6" w14:textId="77777777" w:rsidTr="0088701C">
              <w:trPr>
                <w:trHeight w:val="4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pct"/>
                  <w:vAlign w:val="center"/>
                  <w:hideMark/>
                </w:tcPr>
                <w:p w14:paraId="357C72FE" w14:textId="77777777" w:rsidR="00690A3B" w:rsidRPr="00690A3B" w:rsidRDefault="00690A3B" w:rsidP="00D832FB">
                  <w:pPr>
                    <w:spacing w:line="288" w:lineRule="auto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Trajnime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02545145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226,626 €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77BE731E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442,285 €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605348CD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524,907 € </w:t>
                  </w:r>
                </w:p>
              </w:tc>
              <w:tc>
                <w:tcPr>
                  <w:tcW w:w="1019" w:type="pct"/>
                  <w:vAlign w:val="center"/>
                  <w:hideMark/>
                </w:tcPr>
                <w:p w14:paraId="761CB776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1,193,819 € </w:t>
                  </w:r>
                </w:p>
              </w:tc>
            </w:tr>
            <w:tr w:rsidR="00690A3B" w:rsidRPr="00690A3B" w14:paraId="420F1B4C" w14:textId="77777777" w:rsidTr="0088701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pct"/>
                  <w:vAlign w:val="center"/>
                  <w:hideMark/>
                </w:tcPr>
                <w:p w14:paraId="7B2C2DD6" w14:textId="77777777" w:rsidR="00690A3B" w:rsidRPr="00690A3B" w:rsidRDefault="00690A3B" w:rsidP="00D832FB">
                  <w:pPr>
                    <w:spacing w:line="288" w:lineRule="auto"/>
                    <w:rPr>
                      <w:rFonts w:eastAsia="Times New Roman" w:cstheme="minorHAnsi"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color w:val="000000"/>
                    </w:rPr>
                    <w:t xml:space="preserve">Totali Vjetor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68E77775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C00000"/>
                    </w:rPr>
                  </w:pPr>
                  <w:r w:rsidRPr="00690A3B">
                    <w:rPr>
                      <w:rFonts w:eastAsiaTheme="minorEastAsia" w:cstheme="minorHAnsi"/>
                      <w:b/>
                      <w:bCs/>
                      <w:color w:val="000000"/>
                    </w:rPr>
                    <w:t xml:space="preserve">952,325 €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12DEA224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b/>
                      <w:bCs/>
                      <w:color w:val="000000"/>
                    </w:rPr>
                    <w:t xml:space="preserve">834,468 € </w:t>
                  </w:r>
                </w:p>
              </w:tc>
              <w:tc>
                <w:tcPr>
                  <w:tcW w:w="927" w:type="pct"/>
                  <w:vAlign w:val="center"/>
                  <w:hideMark/>
                </w:tcPr>
                <w:p w14:paraId="01FF025E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b/>
                      <w:bCs/>
                      <w:color w:val="000000"/>
                    </w:rPr>
                    <w:t xml:space="preserve">922,090 € </w:t>
                  </w:r>
                </w:p>
              </w:tc>
              <w:tc>
                <w:tcPr>
                  <w:tcW w:w="1019" w:type="pct"/>
                  <w:vAlign w:val="center"/>
                  <w:hideMark/>
                </w:tcPr>
                <w:p w14:paraId="2F0A87F9" w14:textId="77777777" w:rsidR="00690A3B" w:rsidRPr="00690A3B" w:rsidRDefault="00690A3B" w:rsidP="00D832FB">
                  <w:pPr>
                    <w:spacing w:line="288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690A3B">
                    <w:rPr>
                      <w:rFonts w:eastAsiaTheme="minorEastAsia" w:cstheme="minorHAnsi"/>
                      <w:b/>
                      <w:bCs/>
                      <w:color w:val="000000"/>
                    </w:rPr>
                    <w:t xml:space="preserve">2,708,882 € </w:t>
                  </w:r>
                </w:p>
              </w:tc>
            </w:tr>
          </w:tbl>
          <w:p w14:paraId="3AF1C225" w14:textId="77777777" w:rsidR="00690A3B" w:rsidRPr="00690A3B" w:rsidRDefault="00690A3B" w:rsidP="00D832FB">
            <w:pPr>
              <w:spacing w:line="288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1C54A2B2" w14:textId="77777777" w:rsidR="00690A3B" w:rsidRPr="00690A3B" w:rsidRDefault="00690A3B" w:rsidP="00D832F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75F2539D" w14:textId="77777777" w:rsidR="00690A3B" w:rsidRPr="00690A3B" w:rsidRDefault="00690A3B" w:rsidP="00D832F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14:paraId="2276A355" w14:textId="0C09D337" w:rsidR="00B94EE6" w:rsidRPr="00B94EE6" w:rsidRDefault="00B94EE6" w:rsidP="00C0464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C64CB78" w14:textId="77777777" w:rsidR="00B94EE6" w:rsidRPr="00B94EE6" w:rsidRDefault="00B94EE6" w:rsidP="00B94E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01DEA166" w14:textId="77777777" w:rsidR="00B94EE6" w:rsidRPr="00B94EE6" w:rsidRDefault="00B94EE6" w:rsidP="00B94E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MINISTRI I SHTETIT PËR PUSHTETIN VENDOR </w:t>
      </w:r>
    </w:p>
    <w:p w14:paraId="54E2819F" w14:textId="77777777" w:rsidR="00B94EE6" w:rsidRPr="00B94EE6" w:rsidRDefault="00B94EE6" w:rsidP="00B94E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0E0BD4D8" w14:textId="6FD8B950" w:rsidR="00982355" w:rsidRPr="002F7088" w:rsidRDefault="00B94EE6" w:rsidP="002F70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94E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Arbjan MAZNIKU</w:t>
      </w:r>
    </w:p>
    <w:sectPr w:rsidR="00982355" w:rsidRPr="002F7088" w:rsidSect="00901EF0">
      <w:footerReference w:type="default" r:id="rId12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A24B3" w14:textId="77777777" w:rsidR="00EA7326" w:rsidRDefault="00EA7326" w:rsidP="00B94EE6">
      <w:pPr>
        <w:spacing w:after="0" w:line="240" w:lineRule="auto"/>
      </w:pPr>
      <w:r>
        <w:separator/>
      </w:r>
    </w:p>
  </w:endnote>
  <w:endnote w:type="continuationSeparator" w:id="0">
    <w:p w14:paraId="255FBB6C" w14:textId="77777777" w:rsidR="00EA7326" w:rsidRDefault="00EA7326" w:rsidP="00B9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6304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59C44" w14:textId="2D5477B0" w:rsidR="00A71558" w:rsidRDefault="00A71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A2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DBD6394" w14:textId="77777777" w:rsidR="00A71558" w:rsidRDefault="00A71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B01D2" w14:textId="77777777" w:rsidR="00EA7326" w:rsidRDefault="00EA7326" w:rsidP="00B94EE6">
      <w:pPr>
        <w:spacing w:after="0" w:line="240" w:lineRule="auto"/>
      </w:pPr>
      <w:r>
        <w:separator/>
      </w:r>
    </w:p>
  </w:footnote>
  <w:footnote w:type="continuationSeparator" w:id="0">
    <w:p w14:paraId="5942DD62" w14:textId="77777777" w:rsidR="00EA7326" w:rsidRDefault="00EA7326" w:rsidP="00B94EE6">
      <w:pPr>
        <w:spacing w:after="0" w:line="240" w:lineRule="auto"/>
      </w:pPr>
      <w:r>
        <w:continuationSeparator/>
      </w:r>
    </w:p>
  </w:footnote>
  <w:footnote w:id="1">
    <w:p w14:paraId="48EA4D12" w14:textId="76DF5B9C" w:rsidR="00A71558" w:rsidRPr="00362134" w:rsidRDefault="00A71558" w:rsidP="00362134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Miratuar me VKM nr.</w:t>
      </w:r>
      <w:r w:rsidRPr="00362134">
        <w:t xml:space="preserve">252, datë 20.4.2023 </w:t>
      </w:r>
      <w:r>
        <w:t>“</w:t>
      </w:r>
      <w:r w:rsidRPr="00362134">
        <w:t>PËR MIRATIMIN E STRATEGJISË NDËRSEKTORIALE PËR DECENTRALIZIMIN DHE QEVERISJEN VENDORE 2023–2030, TË PLANIT TË SAJ TË VEPRIMIT 2023–2025 E TË PASAPORTËS SË INDIKATORËVE</w:t>
      </w:r>
      <w:r>
        <w:t>”</w:t>
      </w:r>
    </w:p>
  </w:footnote>
  <w:footnote w:id="2">
    <w:p w14:paraId="76B60A66" w14:textId="7B5AF3B7" w:rsidR="00A71558" w:rsidRPr="008450EE" w:rsidRDefault="00A71558" w:rsidP="00A90FF2">
      <w:pPr>
        <w:pStyle w:val="FootnoteText"/>
        <w:spacing w:before="60" w:after="60"/>
        <w:rPr>
          <w:rFonts w:cstheme="minorHAnsi"/>
          <w:sz w:val="18"/>
          <w:szCs w:val="18"/>
        </w:rPr>
      </w:pPr>
      <w:r w:rsidRPr="008450EE">
        <w:rPr>
          <w:rStyle w:val="FootnoteReference"/>
          <w:rFonts w:cstheme="minorHAnsi"/>
          <w:sz w:val="18"/>
          <w:szCs w:val="18"/>
        </w:rPr>
        <w:footnoteRef/>
      </w:r>
      <w:r w:rsidRPr="008450E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Po aty.</w:t>
      </w:r>
    </w:p>
  </w:footnote>
  <w:footnote w:id="3">
    <w:p w14:paraId="0AB987BC" w14:textId="77777777" w:rsidR="00A71558" w:rsidRPr="008450EE" w:rsidRDefault="00A71558" w:rsidP="00E9090C">
      <w:pPr>
        <w:pStyle w:val="FootnoteText"/>
        <w:spacing w:before="60" w:after="60"/>
        <w:rPr>
          <w:rFonts w:cstheme="minorHAnsi"/>
          <w:sz w:val="18"/>
          <w:szCs w:val="18"/>
        </w:rPr>
      </w:pPr>
      <w:r w:rsidRPr="008450EE">
        <w:rPr>
          <w:rStyle w:val="FootnoteReference"/>
          <w:rFonts w:cstheme="minorHAnsi"/>
          <w:sz w:val="18"/>
          <w:szCs w:val="18"/>
        </w:rPr>
        <w:footnoteRef/>
      </w:r>
      <w:r w:rsidRPr="008450EE">
        <w:rPr>
          <w:rFonts w:cstheme="minorHAnsi"/>
          <w:sz w:val="18"/>
          <w:szCs w:val="18"/>
        </w:rPr>
        <w:t xml:space="preserve"> Faqja në internet e Shkollës Shqiptare të Administratës Publike (ASPA).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2B86"/>
    <w:multiLevelType w:val="hybridMultilevel"/>
    <w:tmpl w:val="C0AAC1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074E4"/>
    <w:multiLevelType w:val="multilevel"/>
    <w:tmpl w:val="38BAB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443C5"/>
    <w:multiLevelType w:val="hybridMultilevel"/>
    <w:tmpl w:val="EF148130"/>
    <w:lvl w:ilvl="0" w:tplc="7F16D734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E4B4ED8"/>
    <w:multiLevelType w:val="hybridMultilevel"/>
    <w:tmpl w:val="E46A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63A4"/>
    <w:multiLevelType w:val="hybridMultilevel"/>
    <w:tmpl w:val="8E4226A0"/>
    <w:lvl w:ilvl="0" w:tplc="60D2B574">
      <w:start w:val="1"/>
      <w:numFmt w:val="lowerLetter"/>
      <w:lvlText w:val="%1)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F50FC"/>
    <w:multiLevelType w:val="hybridMultilevel"/>
    <w:tmpl w:val="775A3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97F5A"/>
    <w:multiLevelType w:val="hybridMultilevel"/>
    <w:tmpl w:val="C9D6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815BAB"/>
    <w:multiLevelType w:val="hybridMultilevel"/>
    <w:tmpl w:val="193456AA"/>
    <w:lvl w:ilvl="0" w:tplc="599C0B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5E81D60"/>
    <w:multiLevelType w:val="multilevel"/>
    <w:tmpl w:val="248EA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81076406">
    <w:abstractNumId w:val="7"/>
  </w:num>
  <w:num w:numId="2" w16cid:durableId="601231163">
    <w:abstractNumId w:val="4"/>
  </w:num>
  <w:num w:numId="3" w16cid:durableId="1159616576">
    <w:abstractNumId w:val="2"/>
  </w:num>
  <w:num w:numId="4" w16cid:durableId="1712268135">
    <w:abstractNumId w:val="0"/>
  </w:num>
  <w:num w:numId="5" w16cid:durableId="1397820370">
    <w:abstractNumId w:val="5"/>
  </w:num>
  <w:num w:numId="6" w16cid:durableId="616958244">
    <w:abstractNumId w:val="3"/>
  </w:num>
  <w:num w:numId="7" w16cid:durableId="1660841530">
    <w:abstractNumId w:val="1"/>
  </w:num>
  <w:num w:numId="8" w16cid:durableId="362243439">
    <w:abstractNumId w:val="6"/>
  </w:num>
  <w:num w:numId="9" w16cid:durableId="1403403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513"/>
    <w:rsid w:val="00001F4D"/>
    <w:rsid w:val="000157F7"/>
    <w:rsid w:val="0004186D"/>
    <w:rsid w:val="00042DCD"/>
    <w:rsid w:val="00055CC3"/>
    <w:rsid w:val="00064EEC"/>
    <w:rsid w:val="000676B2"/>
    <w:rsid w:val="000834E5"/>
    <w:rsid w:val="000840D1"/>
    <w:rsid w:val="00084603"/>
    <w:rsid w:val="00086EF6"/>
    <w:rsid w:val="00090639"/>
    <w:rsid w:val="00091567"/>
    <w:rsid w:val="000A27CA"/>
    <w:rsid w:val="000A7AE0"/>
    <w:rsid w:val="000B408B"/>
    <w:rsid w:val="000C3C52"/>
    <w:rsid w:val="000D4035"/>
    <w:rsid w:val="000F5117"/>
    <w:rsid w:val="000F5DF1"/>
    <w:rsid w:val="00102166"/>
    <w:rsid w:val="00102763"/>
    <w:rsid w:val="00104C33"/>
    <w:rsid w:val="00113A25"/>
    <w:rsid w:val="00114A80"/>
    <w:rsid w:val="00116094"/>
    <w:rsid w:val="001348CA"/>
    <w:rsid w:val="00166498"/>
    <w:rsid w:val="00166D09"/>
    <w:rsid w:val="00170B88"/>
    <w:rsid w:val="001A29E3"/>
    <w:rsid w:val="001B22B2"/>
    <w:rsid w:val="001D5557"/>
    <w:rsid w:val="00221BC8"/>
    <w:rsid w:val="0022302B"/>
    <w:rsid w:val="00235D8C"/>
    <w:rsid w:val="002548E9"/>
    <w:rsid w:val="00261108"/>
    <w:rsid w:val="00290B14"/>
    <w:rsid w:val="00292BF6"/>
    <w:rsid w:val="002A4B24"/>
    <w:rsid w:val="002B03B0"/>
    <w:rsid w:val="002C0994"/>
    <w:rsid w:val="002C1714"/>
    <w:rsid w:val="002C4A1B"/>
    <w:rsid w:val="002C672E"/>
    <w:rsid w:val="002D4C31"/>
    <w:rsid w:val="002E4CD7"/>
    <w:rsid w:val="002F7088"/>
    <w:rsid w:val="00327BA5"/>
    <w:rsid w:val="00340675"/>
    <w:rsid w:val="0036035D"/>
    <w:rsid w:val="00362134"/>
    <w:rsid w:val="003A3942"/>
    <w:rsid w:val="003B2669"/>
    <w:rsid w:val="003B2B49"/>
    <w:rsid w:val="003B3DAB"/>
    <w:rsid w:val="003D6604"/>
    <w:rsid w:val="00400D69"/>
    <w:rsid w:val="0041544C"/>
    <w:rsid w:val="00430633"/>
    <w:rsid w:val="0043527F"/>
    <w:rsid w:val="00453D65"/>
    <w:rsid w:val="00473802"/>
    <w:rsid w:val="0048504F"/>
    <w:rsid w:val="004B0514"/>
    <w:rsid w:val="004C1D59"/>
    <w:rsid w:val="004C24E8"/>
    <w:rsid w:val="004F3218"/>
    <w:rsid w:val="004F6001"/>
    <w:rsid w:val="005017B4"/>
    <w:rsid w:val="005116FD"/>
    <w:rsid w:val="00544179"/>
    <w:rsid w:val="00565471"/>
    <w:rsid w:val="00567A55"/>
    <w:rsid w:val="0057784D"/>
    <w:rsid w:val="005A05D8"/>
    <w:rsid w:val="005B5D5A"/>
    <w:rsid w:val="005C52EE"/>
    <w:rsid w:val="005D466D"/>
    <w:rsid w:val="00600E60"/>
    <w:rsid w:val="00607A09"/>
    <w:rsid w:val="006202D7"/>
    <w:rsid w:val="00626167"/>
    <w:rsid w:val="00636314"/>
    <w:rsid w:val="0066128A"/>
    <w:rsid w:val="00665989"/>
    <w:rsid w:val="006738E2"/>
    <w:rsid w:val="00676770"/>
    <w:rsid w:val="00685330"/>
    <w:rsid w:val="00690A3B"/>
    <w:rsid w:val="00690B8E"/>
    <w:rsid w:val="006A349E"/>
    <w:rsid w:val="006A67ED"/>
    <w:rsid w:val="006B2BBF"/>
    <w:rsid w:val="006B7981"/>
    <w:rsid w:val="006C1837"/>
    <w:rsid w:val="006E0973"/>
    <w:rsid w:val="006E7454"/>
    <w:rsid w:val="006F70F7"/>
    <w:rsid w:val="0070790A"/>
    <w:rsid w:val="00726D4D"/>
    <w:rsid w:val="00736476"/>
    <w:rsid w:val="007372E0"/>
    <w:rsid w:val="00744D0B"/>
    <w:rsid w:val="0075128A"/>
    <w:rsid w:val="0076324A"/>
    <w:rsid w:val="00766459"/>
    <w:rsid w:val="00786D38"/>
    <w:rsid w:val="00794B0A"/>
    <w:rsid w:val="007A7D1B"/>
    <w:rsid w:val="007B4AA0"/>
    <w:rsid w:val="007E3A77"/>
    <w:rsid w:val="008040FB"/>
    <w:rsid w:val="008133E2"/>
    <w:rsid w:val="008223DD"/>
    <w:rsid w:val="008268D9"/>
    <w:rsid w:val="0088701C"/>
    <w:rsid w:val="00896612"/>
    <w:rsid w:val="008E2053"/>
    <w:rsid w:val="00901EF0"/>
    <w:rsid w:val="00921E44"/>
    <w:rsid w:val="0092615F"/>
    <w:rsid w:val="00942874"/>
    <w:rsid w:val="00962365"/>
    <w:rsid w:val="00982355"/>
    <w:rsid w:val="00982754"/>
    <w:rsid w:val="0098282B"/>
    <w:rsid w:val="0099317C"/>
    <w:rsid w:val="009A2712"/>
    <w:rsid w:val="009C0D1F"/>
    <w:rsid w:val="009F08FB"/>
    <w:rsid w:val="00A032FC"/>
    <w:rsid w:val="00A301F6"/>
    <w:rsid w:val="00A71558"/>
    <w:rsid w:val="00A734E4"/>
    <w:rsid w:val="00A904D8"/>
    <w:rsid w:val="00A90FF2"/>
    <w:rsid w:val="00AA6BB5"/>
    <w:rsid w:val="00AA737C"/>
    <w:rsid w:val="00AB64B3"/>
    <w:rsid w:val="00AB70D8"/>
    <w:rsid w:val="00AC3154"/>
    <w:rsid w:val="00AC3ACD"/>
    <w:rsid w:val="00AD04AA"/>
    <w:rsid w:val="00AD5EFB"/>
    <w:rsid w:val="00AE5365"/>
    <w:rsid w:val="00AE635C"/>
    <w:rsid w:val="00B056D5"/>
    <w:rsid w:val="00B0627B"/>
    <w:rsid w:val="00B118FE"/>
    <w:rsid w:val="00B33332"/>
    <w:rsid w:val="00B3606D"/>
    <w:rsid w:val="00B7153D"/>
    <w:rsid w:val="00B7326D"/>
    <w:rsid w:val="00B94EE6"/>
    <w:rsid w:val="00BD73FC"/>
    <w:rsid w:val="00BE2D0D"/>
    <w:rsid w:val="00BF0339"/>
    <w:rsid w:val="00BF051D"/>
    <w:rsid w:val="00C01F04"/>
    <w:rsid w:val="00C0464D"/>
    <w:rsid w:val="00C0497E"/>
    <w:rsid w:val="00C1509A"/>
    <w:rsid w:val="00C21058"/>
    <w:rsid w:val="00C23538"/>
    <w:rsid w:val="00C37ACF"/>
    <w:rsid w:val="00C55C20"/>
    <w:rsid w:val="00C56C1D"/>
    <w:rsid w:val="00C7196B"/>
    <w:rsid w:val="00C8571E"/>
    <w:rsid w:val="00CB2D53"/>
    <w:rsid w:val="00CD7EDF"/>
    <w:rsid w:val="00D13DDD"/>
    <w:rsid w:val="00D208E7"/>
    <w:rsid w:val="00D43513"/>
    <w:rsid w:val="00D507E7"/>
    <w:rsid w:val="00D55E3E"/>
    <w:rsid w:val="00D62FD5"/>
    <w:rsid w:val="00D832FB"/>
    <w:rsid w:val="00D979CD"/>
    <w:rsid w:val="00DA7FCA"/>
    <w:rsid w:val="00DE7027"/>
    <w:rsid w:val="00DF3984"/>
    <w:rsid w:val="00E11625"/>
    <w:rsid w:val="00E1664F"/>
    <w:rsid w:val="00E31E49"/>
    <w:rsid w:val="00E62B00"/>
    <w:rsid w:val="00E70E7F"/>
    <w:rsid w:val="00E77C14"/>
    <w:rsid w:val="00E9090C"/>
    <w:rsid w:val="00EA0B2E"/>
    <w:rsid w:val="00EA243F"/>
    <w:rsid w:val="00EA7326"/>
    <w:rsid w:val="00EC2311"/>
    <w:rsid w:val="00EC3FBF"/>
    <w:rsid w:val="00ED1990"/>
    <w:rsid w:val="00EF086F"/>
    <w:rsid w:val="00EF08DF"/>
    <w:rsid w:val="00EF3462"/>
    <w:rsid w:val="00F22E72"/>
    <w:rsid w:val="00F3040B"/>
    <w:rsid w:val="00F339A8"/>
    <w:rsid w:val="00F634F2"/>
    <w:rsid w:val="00F821E3"/>
    <w:rsid w:val="00F90D65"/>
    <w:rsid w:val="00F945A2"/>
    <w:rsid w:val="00FA1F12"/>
    <w:rsid w:val="00FA34F4"/>
    <w:rsid w:val="00FB2FB4"/>
    <w:rsid w:val="00FF2314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EB7A2"/>
  <w15:docId w15:val="{958114F1-699E-43B7-9FE9-8D4D5D10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2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7F"/>
    <w:rPr>
      <w:rFonts w:ascii="Tahoma" w:hAnsi="Tahoma" w:cs="Tahoma"/>
      <w:sz w:val="16"/>
      <w:szCs w:val="16"/>
      <w:lang w:val="sq-AL"/>
    </w:rPr>
  </w:style>
  <w:style w:type="paragraph" w:styleId="Revision">
    <w:name w:val="Revision"/>
    <w:hidden/>
    <w:uiPriority w:val="99"/>
    <w:semiHidden/>
    <w:rsid w:val="00453D65"/>
    <w:pPr>
      <w:spacing w:after="0" w:line="240" w:lineRule="auto"/>
    </w:pPr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10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166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166"/>
    <w:rPr>
      <w:b/>
      <w:bCs/>
      <w:sz w:val="20"/>
      <w:szCs w:val="20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B9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4EE6"/>
    <w:rPr>
      <w:rFonts w:ascii="Times New Roman" w:eastAsia="Times New Roman" w:hAnsi="Times New Roman" w:cs="Times New Roman"/>
      <w:sz w:val="20"/>
      <w:szCs w:val="20"/>
      <w:lang w:val="sq-AL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94E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0F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79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4E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C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4E8"/>
    <w:rPr>
      <w:lang w:val="sq-AL"/>
    </w:rPr>
  </w:style>
  <w:style w:type="table" w:customStyle="1" w:styleId="ListTable21">
    <w:name w:val="List Table 21"/>
    <w:basedOn w:val="TableNormal"/>
    <w:uiPriority w:val="47"/>
    <w:rsid w:val="00690A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690A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0x00B04FA1D26CC2D747AB21C2D0C46327F1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B04FA1D26CC2D747AB21C2D0C46327F1" ma:contentTypeVersion="" ma:contentTypeDescription="" ma:contentTypeScope="" ma:versionID="e150826e0a18435d8a3dc6cabe8c4a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9643F-3856-48F6-8A6D-DDA5455718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F4C088B-E367-0249-B150-AE105B4CB6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D82752-B169-492C-A147-45DED26E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 "Për mënyrën e përdorimit të gjuhës së pakicave kombëtare në marrdhëniet ndërmjet personave që i përkasin pakicave kombëtare dhe organeve të vetëqeverisjes vendore".</vt:lpstr>
    </vt:vector>
  </TitlesOfParts>
  <Company/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 "Për mënyrën e përdorimit të gjuhës së pakicave kombëtare në marrdhëniet ndërmjet personave që i përkasin pakicave kombëtare dhe organeve të vetëqeverisjes vendore".</dc:title>
  <dc:subject/>
  <dc:creator>Dorela Kararaj</dc:creator>
  <cp:keywords/>
  <dc:description/>
  <cp:lastModifiedBy>User</cp:lastModifiedBy>
  <cp:revision>9</cp:revision>
  <cp:lastPrinted>2024-10-30T13:47:00Z</cp:lastPrinted>
  <dcterms:created xsi:type="dcterms:W3CDTF">2024-12-15T14:52:00Z</dcterms:created>
  <dcterms:modified xsi:type="dcterms:W3CDTF">2024-12-16T11:13:00Z</dcterms:modified>
</cp:coreProperties>
</file>