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06484190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b/>
          <w:bCs/>
          <w:sz w:val="22"/>
          <w:szCs w:val="22"/>
        </w:rPr>
      </w:sdtEndPr>
      <w:sdtContent>
        <w:p w14:paraId="1BA3C80B" w14:textId="1718F7A9" w:rsidR="000124EA" w:rsidRPr="0047462D" w:rsidDel="000124EA" w:rsidRDefault="000124EA" w:rsidP="000C5EF9">
          <w:pPr>
            <w:pStyle w:val="NoSpacing"/>
            <w:rPr>
              <w:rFonts w:ascii="Times New Roman" w:eastAsiaTheme="majorEastAsia" w:hAnsi="Times New Roman" w:cs="Times New Roman"/>
              <w:sz w:val="72"/>
              <w:szCs w:val="72"/>
            </w:rPr>
          </w:pPr>
        </w:p>
        <w:p w14:paraId="753DFE8C" w14:textId="77777777" w:rsidR="006247FC" w:rsidRPr="0047462D" w:rsidRDefault="0047462D" w:rsidP="000C5EF9">
          <w:pPr>
            <w:pStyle w:val="NoSpacing"/>
            <w:rPr>
              <w:rFonts w:ascii="Times New Roman" w:hAnsi="Times New Roman" w:cs="Times New Roman"/>
              <w:b/>
              <w:bCs/>
            </w:rPr>
          </w:pPr>
        </w:p>
      </w:sdtContent>
    </w:sdt>
    <w:p w14:paraId="665B35AC" w14:textId="77777777" w:rsidR="00186BFA" w:rsidRPr="0047462D" w:rsidRDefault="00186BFA" w:rsidP="00D5741E">
      <w:pPr>
        <w:pStyle w:val="Char2"/>
        <w:spacing w:before="160" w:after="0" w:line="560" w:lineRule="atLeast"/>
        <w:contextualSpacing/>
        <w:textDirection w:val="btLr"/>
        <w:rPr>
          <w:rFonts w:ascii="Times New Roman" w:eastAsiaTheme="majorEastAsia" w:hAnsi="Times New Roman" w:cs="Times New Roman"/>
          <w:b/>
          <w:caps/>
          <w:noProof/>
          <w:kern w:val="24"/>
          <w:sz w:val="24"/>
          <w:szCs w:val="24"/>
          <w:lang w:val="el-GR"/>
        </w:rPr>
      </w:pPr>
    </w:p>
    <w:p w14:paraId="5426E837" w14:textId="772D055F" w:rsidR="00186BFA" w:rsidRPr="0047462D" w:rsidRDefault="00725D7B" w:rsidP="005552AA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b/>
          <w:caps/>
          <w:noProof/>
          <w:kern w:val="24"/>
          <w:sz w:val="100"/>
          <w:szCs w:val="100"/>
          <w:lang w:val="el-GR"/>
        </w:rPr>
      </w:pPr>
      <w:r w:rsidRPr="0047462D">
        <w:rPr>
          <w:rFonts w:ascii="Times New Roman" w:eastAsiaTheme="majorEastAsia" w:hAnsi="Times New Roman" w:cs="Times New Roman"/>
          <w:b/>
          <w:caps/>
          <w:noProof/>
          <w:kern w:val="24"/>
          <w:sz w:val="100"/>
          <w:szCs w:val="100"/>
        </w:rPr>
        <w:drawing>
          <wp:inline distT="0" distB="0" distL="0" distR="0" wp14:anchorId="15340B8B" wp14:editId="45DCE614">
            <wp:extent cx="1647825" cy="1922463"/>
            <wp:effectExtent l="0" t="0" r="0" b="190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872" cy="19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772EC" w14:textId="77777777" w:rsidR="00186BFA" w:rsidRPr="0047462D" w:rsidRDefault="00186BFA" w:rsidP="005552AA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b/>
          <w:caps/>
          <w:noProof/>
          <w:kern w:val="24"/>
          <w:sz w:val="100"/>
          <w:szCs w:val="100"/>
          <w:lang w:val="el-GR"/>
        </w:rPr>
      </w:pPr>
    </w:p>
    <w:p w14:paraId="79F0CBFB" w14:textId="77777777" w:rsidR="005552AA" w:rsidRPr="0047462D" w:rsidRDefault="005552AA" w:rsidP="005552AA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Times New Roman" w:eastAsiaTheme="majorEastAsia" w:hAnsi="Times New Roman" w:cs="Times New Roman"/>
          <w:b/>
          <w:caps/>
          <w:noProof/>
          <w:kern w:val="24"/>
          <w:sz w:val="36"/>
          <w:szCs w:val="36"/>
        </w:rPr>
      </w:pPr>
      <w:r w:rsidRPr="0047462D">
        <w:rPr>
          <w:rFonts w:ascii="Times New Roman" w:eastAsiaTheme="majorEastAsia" w:hAnsi="Times New Roman" w:cs="Times New Roman"/>
          <w:b/>
          <w:caps/>
          <w:noProof/>
          <w:kern w:val="24"/>
          <w:sz w:val="36"/>
          <w:szCs w:val="36"/>
        </w:rPr>
        <w:t>PLANI I INTEGRITETIT</w:t>
      </w:r>
    </w:p>
    <w:p w14:paraId="25CE4CF4" w14:textId="77777777" w:rsidR="005552AA" w:rsidRPr="0047462D" w:rsidRDefault="00C42EF2" w:rsidP="00C42EF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7462D">
        <w:rPr>
          <w:rFonts w:ascii="Times New Roman" w:hAnsi="Times New Roman" w:cs="Times New Roman"/>
          <w:b/>
          <w:bCs/>
          <w:sz w:val="36"/>
          <w:szCs w:val="36"/>
        </w:rPr>
        <w:t>BASHKIA HIMAR</w:t>
      </w:r>
      <w:r w:rsidR="00606FCF" w:rsidRPr="0047462D">
        <w:rPr>
          <w:rFonts w:ascii="Times New Roman" w:hAnsi="Times New Roman" w:cs="Times New Roman"/>
          <w:b/>
          <w:bCs/>
          <w:sz w:val="36"/>
          <w:szCs w:val="36"/>
        </w:rPr>
        <w:t>Ë</w:t>
      </w:r>
    </w:p>
    <w:p w14:paraId="766AEE5A" w14:textId="77777777" w:rsidR="005552AA" w:rsidRPr="0047462D" w:rsidRDefault="005552AA" w:rsidP="005552AA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bCs/>
          <w:sz w:val="52"/>
          <w:lang w:val="sq-AL"/>
        </w:rPr>
      </w:pPr>
    </w:p>
    <w:p w14:paraId="7F46D7FF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BD941A7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8B892CA" w14:textId="77777777" w:rsidR="005552AA" w:rsidRPr="0047462D" w:rsidRDefault="005552AA" w:rsidP="005552AA">
      <w:pPr>
        <w:jc w:val="center"/>
        <w:rPr>
          <w:rFonts w:ascii="Times New Roman" w:eastAsia="Malgun Gothic" w:hAnsi="Times New Roman" w:cs="Times New Roman"/>
          <w:b/>
          <w:bCs/>
          <w:sz w:val="52"/>
          <w:lang w:val="sq-AL"/>
        </w:rPr>
      </w:pPr>
      <w:r w:rsidRPr="0047462D">
        <w:rPr>
          <w:rFonts w:ascii="Times New Roman" w:eastAsia="Malgun Gothic" w:hAnsi="Times New Roman" w:cs="Times New Roman"/>
          <w:b/>
          <w:bCs/>
          <w:sz w:val="52"/>
          <w:lang w:val="sq-AL"/>
        </w:rPr>
        <w:t>2022-2025</w:t>
      </w:r>
    </w:p>
    <w:p w14:paraId="1BE4112C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7738AE5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6A438BA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52100A1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0C65705" w14:textId="061CB636" w:rsidR="00C42B95" w:rsidRPr="0047462D" w:rsidRDefault="005552AA" w:rsidP="008D52E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</w:t>
      </w:r>
      <w:r w:rsidR="00186BFA" w:rsidRPr="0047462D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186BFA"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>nr</w:t>
      </w:r>
      <w:r w:rsidR="007B17B6" w:rsidRPr="0047462D">
        <w:rPr>
          <w:rFonts w:ascii="Times New Roman" w:hAnsi="Times New Roman" w:cs="Times New Roman"/>
          <w:b/>
          <w:bCs/>
          <w:sz w:val="24"/>
          <w:szCs w:val="24"/>
        </w:rPr>
        <w:t>_____,</w:t>
      </w:r>
      <w:r w:rsidR="00186BFA"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Datë </w:t>
      </w:r>
      <w:r w:rsidR="007B17B6" w:rsidRPr="0047462D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86BFA"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>2022</w:t>
      </w:r>
      <w:r w:rsidR="00186BFA" w:rsidRPr="00474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të Këshillit Bashkiak </w:t>
      </w:r>
    </w:p>
    <w:p w14:paraId="594B858D" w14:textId="77777777" w:rsidR="005552AA" w:rsidRPr="0047462D" w:rsidRDefault="005552AA" w:rsidP="00555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F47F1" w14:textId="77777777" w:rsidR="00D5741E" w:rsidRPr="0047462D" w:rsidRDefault="005552AA" w:rsidP="000C5EF9">
      <w:pPr>
        <w:pStyle w:val="Header"/>
        <w:rPr>
          <w:rFonts w:ascii="Times New Roman" w:hAnsi="Times New Roman" w:cs="Times New Roman"/>
        </w:rPr>
      </w:pPr>
      <w:bookmarkStart w:id="0" w:name="_Hlk78533200"/>
      <w:bookmarkEnd w:id="0"/>
      <w:r w:rsidRPr="0047462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DC805D4" wp14:editId="4D94418C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62D">
        <w:rPr>
          <w:rFonts w:ascii="Times New Roman" w:hAnsi="Times New Roman" w:cs="Times New Roman"/>
          <w:noProof/>
        </w:rPr>
        <w:t xml:space="preserve">                                                     </w:t>
      </w:r>
      <w:r w:rsidRPr="0047462D">
        <w:rPr>
          <w:rFonts w:ascii="Times New Roman" w:hAnsi="Times New Roman" w:cs="Times New Roman"/>
          <w:noProof/>
        </w:rPr>
        <w:drawing>
          <wp:inline distT="0" distB="0" distL="0" distR="0" wp14:anchorId="4BA38627" wp14:editId="5B5E6E64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BA9A" w14:textId="77777777" w:rsidR="00D5741E" w:rsidRPr="0047462D" w:rsidRDefault="00D5741E" w:rsidP="005B55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0E5574" w14:textId="77777777" w:rsidR="005552AA" w:rsidRPr="0047462D" w:rsidRDefault="005552AA" w:rsidP="005B55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b/>
          <w:sz w:val="24"/>
          <w:szCs w:val="24"/>
        </w:rPr>
        <w:t xml:space="preserve">Grupi i Punës për hartimin e Planit të Integritetit në Bashkinë e </w:t>
      </w:r>
      <w:r w:rsidR="000D2516" w:rsidRPr="0047462D">
        <w:rPr>
          <w:rFonts w:ascii="Times New Roman" w:eastAsia="Times New Roman" w:hAnsi="Times New Roman" w:cs="Times New Roman"/>
          <w:b/>
          <w:sz w:val="24"/>
          <w:szCs w:val="24"/>
        </w:rPr>
        <w:t>Himar</w:t>
      </w:r>
      <w:r w:rsidR="00606FCF" w:rsidRPr="0047462D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5B5579" w:rsidRPr="0047462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4BF0FCC3" w14:textId="77777777" w:rsidR="005552AA" w:rsidRPr="0047462D" w:rsidRDefault="005552AA" w:rsidP="005B55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D9276" w14:textId="77777777" w:rsidR="005552AA" w:rsidRPr="0047462D" w:rsidRDefault="007B17B6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Raj</w:t>
      </w:r>
      <w:r w:rsidR="00C42EF2" w:rsidRPr="0047462D">
        <w:rPr>
          <w:rFonts w:ascii="Times New Roman" w:eastAsia="Times New Roman" w:hAnsi="Times New Roman" w:cs="Times New Roman"/>
          <w:sz w:val="24"/>
          <w:szCs w:val="24"/>
        </w:rPr>
        <w:t>monda Zisi</w:t>
      </w:r>
      <w:r w:rsidR="005552AA" w:rsidRPr="00474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6BFA"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="00186BFA"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="00186BFA"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="00186BFA"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="005B5579" w:rsidRPr="0047462D">
        <w:rPr>
          <w:rFonts w:ascii="Times New Roman" w:eastAsia="Times New Roman" w:hAnsi="Times New Roman" w:cs="Times New Roman"/>
          <w:sz w:val="24"/>
          <w:szCs w:val="24"/>
        </w:rPr>
        <w:t>Koordinatore</w:t>
      </w:r>
    </w:p>
    <w:p w14:paraId="4488BFF7" w14:textId="77777777" w:rsidR="005B5579" w:rsidRPr="0047462D" w:rsidRDefault="005B5579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Mimoza Breçani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An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tare</w:t>
      </w:r>
    </w:p>
    <w:p w14:paraId="4D392D63" w14:textId="77777777" w:rsidR="005B5579" w:rsidRPr="0047462D" w:rsidRDefault="005B5579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Andon Xani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An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tar</w:t>
      </w:r>
    </w:p>
    <w:p w14:paraId="258F13D2" w14:textId="77777777" w:rsidR="005B5579" w:rsidRPr="0047462D" w:rsidRDefault="005B5579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Laert Mezani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tar</w:t>
      </w:r>
    </w:p>
    <w:p w14:paraId="7CF8257E" w14:textId="77777777" w:rsidR="005B5579" w:rsidRPr="0047462D" w:rsidRDefault="005B5579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Mimoza Adhami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tare</w:t>
      </w:r>
    </w:p>
    <w:p w14:paraId="56C35A8B" w14:textId="77777777" w:rsidR="005B5579" w:rsidRPr="0047462D" w:rsidRDefault="005B5579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Gentian Stratob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rdha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tar</w:t>
      </w:r>
    </w:p>
    <w:p w14:paraId="1F75656F" w14:textId="77777777" w:rsidR="005B5579" w:rsidRPr="0047462D" w:rsidRDefault="005B5579" w:rsidP="005B5579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Sokrat Kreku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</w:r>
      <w:r w:rsidRPr="0047462D"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>tar</w:t>
      </w:r>
    </w:p>
    <w:p w14:paraId="75C10C1E" w14:textId="77777777" w:rsidR="006F280F" w:rsidRPr="0047462D" w:rsidRDefault="006F280F" w:rsidP="005B55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9FACEF7" w14:textId="77777777" w:rsidR="006F280F" w:rsidRPr="0047462D" w:rsidRDefault="006F280F" w:rsidP="005B55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5E29B24" w14:textId="77777777" w:rsidR="005552AA" w:rsidRPr="0047462D" w:rsidRDefault="005552AA" w:rsidP="005B557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b/>
          <w:sz w:val="24"/>
          <w:szCs w:val="24"/>
        </w:rPr>
        <w:t>Grupi i Punës, Instituti për Demokraci dhe Ndërmjetësim:</w:t>
      </w:r>
    </w:p>
    <w:p w14:paraId="1166A3E0" w14:textId="77777777" w:rsidR="005552AA" w:rsidRPr="0047462D" w:rsidRDefault="005552AA" w:rsidP="005B55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97C27" w14:textId="77777777" w:rsidR="005B5579" w:rsidRPr="0047462D" w:rsidRDefault="005552AA" w:rsidP="005B557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C42EF2" w:rsidRPr="0047462D">
        <w:rPr>
          <w:rFonts w:ascii="Times New Roman" w:eastAsia="Times New Roman" w:hAnsi="Times New Roman" w:cs="Times New Roman"/>
          <w:sz w:val="24"/>
          <w:szCs w:val="24"/>
        </w:rPr>
        <w:t>Ilirjana Nano</w:t>
      </w:r>
      <w:r w:rsidRPr="0047462D">
        <w:rPr>
          <w:rFonts w:ascii="Times New Roman" w:eastAsia="Times New Roman" w:hAnsi="Times New Roman" w:cs="Times New Roman"/>
          <w:sz w:val="24"/>
          <w:szCs w:val="24"/>
        </w:rPr>
        <w:t xml:space="preserve">, Eksperte për Etikën dhe Integritetin </w:t>
      </w:r>
    </w:p>
    <w:p w14:paraId="660CAB59" w14:textId="77777777" w:rsidR="005B5579" w:rsidRPr="0047462D" w:rsidRDefault="005B5579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</w:rPr>
        <w:t>Ledia Canga, Eksperte e Menaxhimit të Riskut</w:t>
      </w:r>
    </w:p>
    <w:p w14:paraId="0F16649B" w14:textId="77777777" w:rsidR="00C42B95" w:rsidRPr="0047462D" w:rsidRDefault="00C42B95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E37AB" w14:textId="77777777" w:rsidR="00C42B95" w:rsidRPr="0047462D" w:rsidRDefault="00C42B95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A7F26" w14:textId="77777777" w:rsidR="00C42B95" w:rsidRPr="0047462D" w:rsidRDefault="00C42B95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22658" w14:textId="74F5E55E" w:rsidR="00416EA2" w:rsidRPr="0047462D" w:rsidRDefault="00416EA2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D3A77" w14:textId="3168AFB0" w:rsidR="00416EA2" w:rsidRPr="0047462D" w:rsidRDefault="00416EA2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C61EA" w14:textId="77777777" w:rsidR="00416EA2" w:rsidRPr="0047462D" w:rsidRDefault="00416EA2" w:rsidP="005B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67005" w14:textId="77777777" w:rsidR="005552AA" w:rsidRPr="0047462D" w:rsidRDefault="005552AA" w:rsidP="00555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4696D" w14:textId="490544BF" w:rsidR="005552AA" w:rsidRPr="0047462D" w:rsidRDefault="005552AA" w:rsidP="005552AA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sq-AL"/>
        </w:rPr>
      </w:pPr>
      <w:r w:rsidRPr="0047462D">
        <w:rPr>
          <w:bdr w:val="none" w:sz="0" w:space="0" w:color="auto" w:frame="1"/>
          <w:shd w:val="clear" w:color="auto" w:fill="FFFFFF"/>
          <w:lang w:val="sq-AL"/>
        </w:rPr>
        <w:t xml:space="preserve">Ky Plan Integriteti është hartuar në kuadër të komponentit  “Zgjerimi i praktikës standarde të planifikimit të integritetit në nivel vendor” të Projektit STAR3 “Mbështetja dhe </w:t>
      </w:r>
      <w:r w:rsidR="00E6286E" w:rsidRPr="0047462D">
        <w:rPr>
          <w:bdr w:val="none" w:sz="0" w:space="0" w:color="auto" w:frame="1"/>
          <w:shd w:val="clear" w:color="auto" w:fill="FFFFFF"/>
        </w:rPr>
        <w:t>a</w:t>
      </w:r>
      <w:r w:rsidRPr="0047462D">
        <w:rPr>
          <w:bdr w:val="none" w:sz="0" w:space="0" w:color="auto" w:frame="1"/>
          <w:shd w:val="clear" w:color="auto" w:fill="FFFFFF"/>
          <w:lang w:val="sq-AL"/>
        </w:rPr>
        <w:t xml:space="preserve">vancimi i </w:t>
      </w:r>
      <w:r w:rsidR="00E6286E" w:rsidRPr="0047462D">
        <w:rPr>
          <w:bdr w:val="none" w:sz="0" w:space="0" w:color="auto" w:frame="1"/>
          <w:shd w:val="clear" w:color="auto" w:fill="FFFFFF"/>
        </w:rPr>
        <w:t>r</w:t>
      </w:r>
      <w:r w:rsidRPr="0047462D">
        <w:rPr>
          <w:bdr w:val="none" w:sz="0" w:space="0" w:color="auto" w:frame="1"/>
          <w:shd w:val="clear" w:color="auto" w:fill="FFFFFF"/>
          <w:lang w:val="sq-AL"/>
        </w:rPr>
        <w:t>eformave të qeverisjes vendore”. </w:t>
      </w:r>
      <w:r w:rsidRPr="0047462D">
        <w:rPr>
          <w:sz w:val="28"/>
          <w:szCs w:val="28"/>
          <w:bdr w:val="none" w:sz="0" w:space="0" w:color="auto" w:frame="1"/>
          <w:lang w:val="sq-AL"/>
        </w:rPr>
        <w:t> </w:t>
      </w:r>
      <w:r w:rsidRPr="0047462D">
        <w:rPr>
          <w:bdr w:val="none" w:sz="0" w:space="0" w:color="auto" w:frame="1"/>
          <w:shd w:val="clear" w:color="auto" w:fill="FFFFFF"/>
          <w:lang w:val="sq-AL"/>
        </w:rPr>
        <w:t>Projekti STAR3 zbatohet nga UNDP</w:t>
      </w:r>
      <w:r w:rsidR="00836289" w:rsidRPr="0047462D">
        <w:rPr>
          <w:bdr w:val="none" w:sz="0" w:space="0" w:color="auto" w:frame="1"/>
          <w:shd w:val="clear" w:color="auto" w:fill="FFFFFF"/>
        </w:rPr>
        <w:t xml:space="preserve">-ja </w:t>
      </w:r>
      <w:r w:rsidRPr="0047462D">
        <w:rPr>
          <w:bdr w:val="none" w:sz="0" w:space="0" w:color="auto" w:frame="1"/>
          <w:shd w:val="clear" w:color="auto" w:fill="FFFFFF"/>
          <w:lang w:val="sq-AL"/>
        </w:rPr>
        <w:t>në Shqipëri në bashkëpunim me Ministrinë e Brendshme dhe financohet nga Bashkimi Evropian dhe qeveritë e Suedisë dhe Zvicrës, UNDP në Shqipëri dhe nga vet</w:t>
      </w:r>
      <w:r w:rsidR="00836289" w:rsidRPr="0047462D">
        <w:rPr>
          <w:bdr w:val="none" w:sz="0" w:space="0" w:color="auto" w:frame="1"/>
          <w:shd w:val="clear" w:color="auto" w:fill="FFFFFF"/>
          <w:lang w:val="sq-AL"/>
        </w:rPr>
        <w:t>ë</w:t>
      </w:r>
      <w:r w:rsidRPr="0047462D">
        <w:rPr>
          <w:bdr w:val="none" w:sz="0" w:space="0" w:color="auto" w:frame="1"/>
          <w:shd w:val="clear" w:color="auto" w:fill="FFFFFF"/>
          <w:lang w:val="sq-AL"/>
        </w:rPr>
        <w:t xml:space="preserve"> </w:t>
      </w:r>
      <w:r w:rsidR="00B02DFC" w:rsidRPr="0047462D">
        <w:rPr>
          <w:bdr w:val="none" w:sz="0" w:space="0" w:color="auto" w:frame="1"/>
          <w:shd w:val="clear" w:color="auto" w:fill="FFFFFF"/>
        </w:rPr>
        <w:t>q</w:t>
      </w:r>
      <w:r w:rsidRPr="0047462D">
        <w:rPr>
          <w:bdr w:val="none" w:sz="0" w:space="0" w:color="auto" w:frame="1"/>
          <w:shd w:val="clear" w:color="auto" w:fill="FFFFFF"/>
          <w:lang w:val="sq-AL"/>
        </w:rPr>
        <w:t xml:space="preserve">everia </w:t>
      </w:r>
      <w:r w:rsidR="00B02DFC" w:rsidRPr="0047462D">
        <w:rPr>
          <w:bdr w:val="none" w:sz="0" w:space="0" w:color="auto" w:frame="1"/>
          <w:shd w:val="clear" w:color="auto" w:fill="FFFFFF"/>
        </w:rPr>
        <w:t>s</w:t>
      </w:r>
      <w:r w:rsidRPr="0047462D">
        <w:rPr>
          <w:bdr w:val="none" w:sz="0" w:space="0" w:color="auto" w:frame="1"/>
          <w:shd w:val="clear" w:color="auto" w:fill="FFFFFF"/>
          <w:lang w:val="sq-AL"/>
        </w:rPr>
        <w:t>hqiptare. Pikëpamjet dhe mendimet e shprehura në këtë dokument nuk reflektojnë domosdoshmërisht pikëpamjet dhe mendimet e UNDP</w:t>
      </w:r>
      <w:r w:rsidR="00836289" w:rsidRPr="0047462D">
        <w:rPr>
          <w:bdr w:val="none" w:sz="0" w:space="0" w:color="auto" w:frame="1"/>
          <w:shd w:val="clear" w:color="auto" w:fill="FFFFFF"/>
        </w:rPr>
        <w:t>-s</w:t>
      </w:r>
      <w:r w:rsidR="00836289" w:rsidRPr="0047462D">
        <w:rPr>
          <w:bdr w:val="none" w:sz="0" w:space="0" w:color="auto" w:frame="1"/>
          <w:shd w:val="clear" w:color="auto" w:fill="FFFFFF"/>
          <w:lang w:val="sq-AL"/>
        </w:rPr>
        <w:t>ë</w:t>
      </w:r>
      <w:r w:rsidRPr="0047462D">
        <w:rPr>
          <w:bdr w:val="none" w:sz="0" w:space="0" w:color="auto" w:frame="1"/>
          <w:shd w:val="clear" w:color="auto" w:fill="FFFFFF"/>
          <w:lang w:val="sq-AL"/>
        </w:rPr>
        <w:t xml:space="preserve"> në Shqipëri, apo të partnerëve të saj zbatues dhe financues.</w:t>
      </w:r>
    </w:p>
    <w:p w14:paraId="6E7D4CF1" w14:textId="77777777" w:rsidR="005552AA" w:rsidRPr="0047462D" w:rsidRDefault="005552AA" w:rsidP="005552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FDAB4A" w14:textId="77777777" w:rsidR="00C42B95" w:rsidRPr="0047462D" w:rsidRDefault="005552AA" w:rsidP="000C5EF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  <w:r w:rsidRPr="0047462D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50BDE591" wp14:editId="201CD374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12BE5" w14:textId="77777777" w:rsidR="003D44F8" w:rsidRPr="0047462D" w:rsidRDefault="003D44F8" w:rsidP="003D44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1DCD40" w14:textId="77777777" w:rsidR="005552AA" w:rsidRPr="0047462D" w:rsidRDefault="005552AA" w:rsidP="003D44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</w:pPr>
      <w:r w:rsidRPr="004746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Deklarata e Integritetit Institucional </w:t>
      </w:r>
    </w:p>
    <w:p w14:paraId="080FB8D5" w14:textId="7FCCB016" w:rsidR="00804F77" w:rsidRPr="0047462D" w:rsidRDefault="00C9079D" w:rsidP="0080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Qeveri</w:t>
      </w:r>
      <w:r w:rsidR="00416EA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sja vendore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mund të funksionojë në mënyrë efektive vetëm nëse </w:t>
      </w:r>
      <w:r w:rsidR="00416EA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g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416EA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zon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besimin e qytetarëve të </w:t>
      </w:r>
      <w:r w:rsidR="00FB606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saj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  <w:r w:rsidR="00150F34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Bashkit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A9330A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ka</w:t>
      </w:r>
      <w:r w:rsidR="00150F34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një rol vendimtar në ndërtimin e </w:t>
      </w:r>
      <w:r w:rsidR="00F0292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0292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tij besimi</w:t>
      </w:r>
      <w:r w:rsidR="007512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 shkak të autonomisë </w:t>
      </w:r>
      <w:r w:rsidR="00C31F4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q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31F4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g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31F4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zo</w:t>
      </w:r>
      <w:r w:rsidR="0043433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j</w:t>
      </w:r>
      <w:r w:rsidR="00C31F4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31F4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shpërndarjen e burimeve, rolit ndërmjetës në </w:t>
      </w:r>
      <w:r w:rsidR="00951D25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raport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</w:t>
      </w:r>
      <w:r w:rsidR="00DF687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qeverisjen qendrore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si dhe 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</w:t>
      </w:r>
      <w:r w:rsidR="00804F7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nit m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qytetar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ve dhe t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022AD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zgjedhur prej tyre.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Ndërsa decentralizimi i pushtetit përparon, cilësia e qeverisjes vendore bëhet edhe më vendimtare. </w:t>
      </w:r>
    </w:p>
    <w:p w14:paraId="52EC56E0" w14:textId="77777777" w:rsidR="00804F77" w:rsidRPr="0047462D" w:rsidRDefault="00804F77" w:rsidP="0080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204C658" w14:textId="6656B23D" w:rsidR="003D44F8" w:rsidRPr="0047462D" w:rsidRDefault="00804F77" w:rsidP="008060C8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 angazhimin e luftës kundër korrupsionit, promovimi i etikës publike, transparencës dhe vendimmarrjes me  pjesëmarrje qytetare</w:t>
      </w:r>
      <w:r w:rsidR="00836289" w:rsidRPr="004746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64585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jan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4585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thelb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64585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sore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.  P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 k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a</w:t>
      </w:r>
      <w:r w:rsidR="00E6286E" w:rsidRPr="0047462D">
        <w:rPr>
          <w:rFonts w:ascii="Times New Roman" w:eastAsia="Times New Roman" w:hAnsi="Times New Roman" w:cs="Times New Roman"/>
          <w:sz w:val="24"/>
          <w:szCs w:val="24"/>
        </w:rPr>
        <w:t>rs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ye, </w:t>
      </w:r>
      <w:r w:rsidR="00E6286E" w:rsidRPr="0047462D">
        <w:rPr>
          <w:rFonts w:ascii="Times New Roman" w:eastAsia="Times New Roman" w:hAnsi="Times New Roman" w:cs="Times New Roman"/>
          <w:sz w:val="24"/>
          <w:szCs w:val="24"/>
        </w:rPr>
        <w:t>B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ashkia e Himar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ka 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zhvilluar 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këtë Plan Integriteti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si nj</w:t>
      </w:r>
      <w:r w:rsidR="00F21E70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politik</w:t>
      </w:r>
      <w:r w:rsidR="00F21E70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vendore me karakter parandalues p</w:t>
      </w:r>
      <w:r w:rsidR="00F21E70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 forcimin e integritetit t</w:t>
      </w:r>
      <w:r w:rsidR="00F21E70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bashkis</w:t>
      </w:r>
      <w:r w:rsidR="00F21E70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  <w:r w:rsidR="003E1C16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Nëpërmjet angazhimit për zbatimin e këtij Plani Integriteti, Bashkia Himarë synon të rrisë përpjekjet në kuadër të luftës kundër korrupsionit, të rrisë llogaridhënien, të mundësojë përmirësimin e transparencës dhe aksesin në informacion, të përmirësojë efektshmёrinё operacionale të strukturave duke siguruar shërbime publike cil</w:t>
      </w:r>
      <w:r w:rsidR="00F21E70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3E1C16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sore  për qytetarët. </w:t>
      </w:r>
    </w:p>
    <w:p w14:paraId="6C3A0DFC" w14:textId="2C0BD293" w:rsidR="005552AA" w:rsidRPr="0047462D" w:rsidRDefault="0039162B" w:rsidP="0080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ë ndërgjegjshëm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sfidat me t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cilat p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rballen nj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e vet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qeverisjes vendore n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rgjith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si</w:t>
      </w:r>
      <w:r w:rsidR="003E1C16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836289" w:rsidRPr="0047462D">
        <w:rPr>
          <w:rFonts w:ascii="Times New Roman" w:hAnsi="Times New Roman" w:cs="Times New Roman"/>
          <w:sz w:val="24"/>
          <w:szCs w:val="24"/>
        </w:rPr>
        <w:t>B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ashkia Himar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veçanti jan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rritje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5495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ashtu si </w:t>
      </w:r>
      <w:r w:rsidR="005252ED" w:rsidRPr="0047462D">
        <w:rPr>
          <w:rFonts w:ascii="Times New Roman" w:hAnsi="Times New Roman" w:cs="Times New Roman"/>
          <w:sz w:val="24"/>
          <w:szCs w:val="24"/>
        </w:rPr>
        <w:t xml:space="preserve">edhe </w:t>
      </w:r>
      <w:r w:rsidR="00F5495A" w:rsidRPr="0047462D">
        <w:rPr>
          <w:rFonts w:ascii="Times New Roman" w:hAnsi="Times New Roman" w:cs="Times New Roman"/>
          <w:sz w:val="24"/>
          <w:szCs w:val="24"/>
          <w:lang w:val="sq-AL"/>
        </w:rPr>
        <w:t>nevojat e q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ytetar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495A" w:rsidRPr="0047462D">
        <w:rPr>
          <w:rFonts w:ascii="Times New Roman" w:hAnsi="Times New Roman" w:cs="Times New Roman"/>
          <w:sz w:val="24"/>
          <w:szCs w:val="24"/>
          <w:lang w:val="sq-AL"/>
        </w:rPr>
        <w:t>ve p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5495A" w:rsidRPr="0047462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rbime cil</w:t>
      </w:r>
      <w:r w:rsidR="00D5741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2E42" w:rsidRPr="0047462D">
        <w:rPr>
          <w:rFonts w:ascii="Times New Roman" w:hAnsi="Times New Roman" w:cs="Times New Roman"/>
          <w:sz w:val="24"/>
          <w:szCs w:val="24"/>
          <w:lang w:val="sq-AL"/>
        </w:rPr>
        <w:t>sore</w:t>
      </w:r>
      <w:r w:rsidR="001C181F" w:rsidRPr="0047462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u angazhuam n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proces </w:t>
      </w:r>
      <w:r w:rsidR="00C9079D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21E70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planifikimit t</w:t>
      </w:r>
      <w:r w:rsidR="00F21E70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9079D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integritetit </w:t>
      </w:r>
      <w:r w:rsidR="00F67D5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me synimin 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rritur efektivitetin e pun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836289" w:rsidRPr="0047462D">
        <w:rPr>
          <w:rFonts w:ascii="Times New Roman" w:hAnsi="Times New Roman" w:cs="Times New Roman"/>
          <w:sz w:val="24"/>
          <w:szCs w:val="24"/>
        </w:rPr>
        <w:t>s</w:t>
      </w:r>
      <w:r w:rsidR="00E06385" w:rsidRPr="0047462D">
        <w:rPr>
          <w:rFonts w:ascii="Times New Roman" w:hAnsi="Times New Roman" w:cs="Times New Roman"/>
          <w:sz w:val="24"/>
          <w:szCs w:val="24"/>
          <w:lang w:val="sq-AL"/>
        </w:rPr>
        <w:t>on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7FD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D7FD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adresimin e</w:t>
      </w:r>
      <w:r w:rsidR="00F67D5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tyr</w:t>
      </w:r>
      <w:r w:rsidR="00645852" w:rsidRPr="0047462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A82E42" w:rsidRPr="0047462D">
        <w:rPr>
          <w:rFonts w:ascii="Times New Roman" w:hAnsi="Times New Roman" w:cs="Times New Roman"/>
          <w:sz w:val="24"/>
          <w:szCs w:val="24"/>
        </w:rPr>
        <w:t xml:space="preserve">. </w:t>
      </w:r>
      <w:r w:rsidR="00CD4F3D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Duke patur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një qasje gjithpërfshirëse dhe afatgjatë për parandalimin e korrupsionit, </w:t>
      </w:r>
      <w:r w:rsidR="0076237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e konsiderojmë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miratimi</w:t>
      </w:r>
      <w:r w:rsidR="00E86F7F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86F7F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këtij Plani </w:t>
      </w:r>
      <w:r w:rsidR="00BC68A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 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 </w:t>
      </w:r>
      <w:r w:rsidR="00191F1C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hap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 cili dërgon një sinjal të qartë të synimit tonë për ta bërë këtë prioritet t</w:t>
      </w:r>
      <w:r w:rsidR="00F21E7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E1C1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institucionit për vitet në vijim. </w:t>
      </w:r>
      <w:r w:rsidR="0081089A" w:rsidRPr="0047462D">
        <w:rPr>
          <w:rFonts w:ascii="Times New Roman" w:hAnsi="Times New Roman" w:cs="Times New Roman"/>
          <w:sz w:val="24"/>
          <w:szCs w:val="24"/>
        </w:rPr>
        <w:t>N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81089A" w:rsidRPr="0047462D">
        <w:rPr>
          <w:rFonts w:ascii="Times New Roman" w:hAnsi="Times New Roman" w:cs="Times New Roman"/>
          <w:sz w:val="24"/>
          <w:szCs w:val="24"/>
        </w:rPr>
        <w:t>p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81089A" w:rsidRPr="0047462D">
        <w:rPr>
          <w:rFonts w:ascii="Times New Roman" w:hAnsi="Times New Roman" w:cs="Times New Roman"/>
          <w:sz w:val="24"/>
          <w:szCs w:val="24"/>
        </w:rPr>
        <w:t>rmjet miratimit t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81089A" w:rsidRPr="0047462D">
        <w:rPr>
          <w:rFonts w:ascii="Times New Roman" w:hAnsi="Times New Roman" w:cs="Times New Roman"/>
          <w:sz w:val="24"/>
          <w:szCs w:val="24"/>
        </w:rPr>
        <w:t xml:space="preserve"> 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Plani</w:t>
      </w:r>
      <w:r w:rsidR="0081089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t t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81089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Integritetit, n</w:t>
      </w:r>
      <w:r w:rsidR="00E6286E" w:rsidRPr="0047462D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9231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mbështesim 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konsolidimin 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e një 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administrate vendore sa m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etike dhe me integritet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, si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nj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E050D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qasje institucionale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rezistent</w:t>
      </w:r>
      <w:r w:rsidR="00E050D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e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ndaj risqeve t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01127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integritetit dhe praktikave korruptive. </w:t>
      </w:r>
    </w:p>
    <w:p w14:paraId="7F49EAAA" w14:textId="3BCED80D" w:rsidR="003E1C16" w:rsidRPr="0047462D" w:rsidRDefault="003E1C16" w:rsidP="00806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0C84668" w14:textId="7C774B1A" w:rsidR="00014FDF" w:rsidRPr="0047462D" w:rsidRDefault="0001127D" w:rsidP="00F21E7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Ne 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shprehim besimin tonë të plotë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se zbatimi i </w:t>
      </w:r>
      <w:r w:rsidR="00F16ED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k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F16EDD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tij plani 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do të kontribuojë në mënyrë pozitive në 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rmbushje</w:t>
      </w:r>
      <w:r w:rsidR="00F67D54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misionit ton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 nj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qeverisje sa m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pran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qytetar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52EA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ve</w:t>
      </w:r>
      <w:r w:rsidR="005552A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.</w:t>
      </w:r>
    </w:p>
    <w:p w14:paraId="1E41C0B3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B8A605A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69F536B" w14:textId="67FFC64A" w:rsidR="005552AA" w:rsidRPr="0047462D" w:rsidRDefault="00C42EF2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Jorgo GORO</w:t>
      </w:r>
    </w:p>
    <w:p w14:paraId="095015A1" w14:textId="77777777" w:rsidR="005552AA" w:rsidRPr="0047462D" w:rsidRDefault="005552AA" w:rsidP="00CE4C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62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Kryetar i Bashkisë </w:t>
      </w:r>
      <w:r w:rsidR="00C42EF2" w:rsidRPr="0047462D">
        <w:rPr>
          <w:rFonts w:ascii="Times New Roman" w:hAnsi="Times New Roman" w:cs="Times New Roman"/>
          <w:b/>
          <w:bCs/>
          <w:sz w:val="24"/>
          <w:szCs w:val="24"/>
        </w:rPr>
        <w:t>Himar</w:t>
      </w:r>
      <w:r w:rsidR="00D5741E" w:rsidRPr="0047462D">
        <w:rPr>
          <w:rFonts w:ascii="Times New Roman" w:hAnsi="Times New Roman" w:cs="Times New Roman"/>
          <w:b/>
          <w:bCs/>
          <w:sz w:val="24"/>
          <w:szCs w:val="24"/>
        </w:rPr>
        <w:t>ë</w:t>
      </w:r>
    </w:p>
    <w:p w14:paraId="605A6839" w14:textId="77777777" w:rsidR="003D44F8" w:rsidRPr="0047462D" w:rsidRDefault="003D44F8" w:rsidP="0055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75D4F64" w14:textId="77777777" w:rsidR="003D44F8" w:rsidRPr="0047462D" w:rsidRDefault="003D44F8" w:rsidP="0055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1BB6C66" w14:textId="77777777" w:rsidR="003D44F8" w:rsidRPr="0047462D" w:rsidRDefault="003D44F8" w:rsidP="0055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E3A39F5" w14:textId="77777777" w:rsidR="003D44F8" w:rsidRPr="0047462D" w:rsidRDefault="003D44F8" w:rsidP="0055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</w:p>
    <w:p w14:paraId="0ACE28A0" w14:textId="77777777" w:rsidR="006F280F" w:rsidRPr="0047462D" w:rsidRDefault="006F280F" w:rsidP="0055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n-GB"/>
        </w:rPr>
      </w:pPr>
    </w:p>
    <w:p w14:paraId="21F93394" w14:textId="77777777" w:rsidR="005552AA" w:rsidRPr="0047462D" w:rsidRDefault="005552AA" w:rsidP="0055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462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Tabela e përmbajtjes</w:t>
      </w:r>
    </w:p>
    <w:p w14:paraId="703C8A1B" w14:textId="77777777" w:rsidR="005552AA" w:rsidRPr="0047462D" w:rsidRDefault="005552AA" w:rsidP="005552AA">
      <w:pPr>
        <w:rPr>
          <w:rFonts w:ascii="Times New Roman" w:hAnsi="Times New Roman" w:cs="Times New Roman"/>
          <w:sz w:val="24"/>
          <w:szCs w:val="24"/>
        </w:rPr>
      </w:pPr>
    </w:p>
    <w:p w14:paraId="5D8B29BD" w14:textId="01C92FF5" w:rsidR="005552AA" w:rsidRPr="0047462D" w:rsidRDefault="005552AA" w:rsidP="005552AA">
      <w:pPr>
        <w:pStyle w:val="TOC1"/>
        <w:rPr>
          <w:sz w:val="24"/>
          <w:szCs w:val="24"/>
        </w:rPr>
      </w:pPr>
      <w:r w:rsidRPr="0047462D">
        <w:rPr>
          <w:b/>
          <w:bCs/>
          <w:sz w:val="24"/>
          <w:szCs w:val="24"/>
        </w:rPr>
        <w:t>1</w:t>
      </w:r>
      <w:r w:rsidRPr="0047462D">
        <w:rPr>
          <w:sz w:val="24"/>
          <w:szCs w:val="24"/>
        </w:rPr>
        <w:t xml:space="preserve">. </w:t>
      </w:r>
      <w:r w:rsidR="00CF2EA9" w:rsidRPr="0047462D">
        <w:rPr>
          <w:sz w:val="24"/>
          <w:szCs w:val="24"/>
        </w:rPr>
        <w:fldChar w:fldCharType="begin"/>
      </w:r>
      <w:r w:rsidRPr="0047462D">
        <w:rPr>
          <w:sz w:val="24"/>
          <w:szCs w:val="24"/>
        </w:rPr>
        <w:instrText xml:space="preserve"> TOC \o "1-3" \h \z \u </w:instrText>
      </w:r>
      <w:r w:rsidR="00CF2EA9" w:rsidRPr="0047462D">
        <w:rPr>
          <w:sz w:val="24"/>
          <w:szCs w:val="24"/>
        </w:rPr>
        <w:fldChar w:fldCharType="separate"/>
      </w:r>
      <w:hyperlink w:anchor="_Toc24384710" w:history="1">
        <w:r w:rsidRPr="0047462D">
          <w:rPr>
            <w:rStyle w:val="Hyperlink"/>
            <w:color w:val="auto"/>
            <w:sz w:val="24"/>
            <w:szCs w:val="24"/>
          </w:rPr>
          <w:t>Rëndësia e Planit të Integritetit</w:t>
        </w:r>
        <w:r w:rsidRPr="0047462D">
          <w:rPr>
            <w:webHidden/>
            <w:sz w:val="24"/>
            <w:szCs w:val="24"/>
          </w:rPr>
          <w:tab/>
        </w:r>
      </w:hyperlink>
      <w:r w:rsidR="002D1B45" w:rsidRPr="0047462D">
        <w:rPr>
          <w:sz w:val="24"/>
          <w:szCs w:val="24"/>
          <w:lang w:val="en-US"/>
        </w:rPr>
        <w:t>5</w:t>
      </w:r>
    </w:p>
    <w:p w14:paraId="3ECD2249" w14:textId="51DF24B4" w:rsidR="005552AA" w:rsidRPr="0047462D" w:rsidRDefault="0047462D" w:rsidP="005552AA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5552AA" w:rsidRPr="0047462D">
          <w:rPr>
            <w:rStyle w:val="Hyperlink"/>
            <w:color w:val="auto"/>
          </w:rPr>
          <w:t>1.1</w:t>
        </w:r>
        <w:r w:rsidR="005552AA" w:rsidRPr="0047462D">
          <w:rPr>
            <w:rFonts w:eastAsiaTheme="minorEastAsia"/>
          </w:rPr>
          <w:tab/>
        </w:r>
        <w:r w:rsidR="005552AA" w:rsidRPr="0047462D">
          <w:rPr>
            <w:rStyle w:val="Hyperlink"/>
            <w:color w:val="auto"/>
          </w:rPr>
          <w:t>Procesi i hartimit të Planit të Integritetit</w:t>
        </w:r>
        <w:r w:rsidR="005552AA" w:rsidRPr="0047462D">
          <w:rPr>
            <w:webHidden/>
          </w:rPr>
          <w:tab/>
        </w:r>
      </w:hyperlink>
      <w:r w:rsidR="002D1B45" w:rsidRPr="0047462D">
        <w:rPr>
          <w:lang w:val="en-US"/>
        </w:rPr>
        <w:t>6</w:t>
      </w:r>
      <w:r w:rsidR="005552AA" w:rsidRPr="0047462D">
        <w:rPr>
          <w:rFonts w:eastAsiaTheme="minorEastAsia"/>
        </w:rPr>
        <w:t xml:space="preserve"> </w:t>
      </w:r>
    </w:p>
    <w:p w14:paraId="5EA91034" w14:textId="420B8699" w:rsidR="005552AA" w:rsidRPr="0047462D" w:rsidRDefault="0047462D" w:rsidP="005552AA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5552AA" w:rsidRPr="0047462D">
          <w:rPr>
            <w:rStyle w:val="Hyperlink"/>
            <w:color w:val="auto"/>
          </w:rPr>
          <w:t>1.2</w:t>
        </w:r>
        <w:r w:rsidR="005552AA" w:rsidRPr="0047462D">
          <w:rPr>
            <w:rFonts w:eastAsiaTheme="minorEastAsia"/>
          </w:rPr>
          <w:tab/>
        </w:r>
        <w:r w:rsidR="005552AA" w:rsidRPr="0047462D">
          <w:rPr>
            <w:rStyle w:val="Hyperlink"/>
            <w:color w:val="auto"/>
          </w:rPr>
          <w:t xml:space="preserve">Qasja metodologjike </w:t>
        </w:r>
        <w:r w:rsidR="005552AA" w:rsidRPr="0047462D">
          <w:rPr>
            <w:webHidden/>
          </w:rPr>
          <w:tab/>
        </w:r>
      </w:hyperlink>
      <w:r w:rsidR="002D1B45" w:rsidRPr="0047462D">
        <w:rPr>
          <w:lang w:val="en-US"/>
        </w:rPr>
        <w:t>7</w:t>
      </w:r>
    </w:p>
    <w:p w14:paraId="16DF71E3" w14:textId="3B26EEFE" w:rsidR="005552AA" w:rsidRPr="0047462D" w:rsidRDefault="0047462D" w:rsidP="005552AA">
      <w:pPr>
        <w:pStyle w:val="TOC1"/>
        <w:rPr>
          <w:sz w:val="24"/>
          <w:szCs w:val="24"/>
        </w:rPr>
      </w:pPr>
      <w:hyperlink w:anchor="_Toc24384716" w:history="1">
        <w:r w:rsidR="005552AA" w:rsidRPr="0047462D">
          <w:rPr>
            <w:rStyle w:val="Hyperlink"/>
            <w:b/>
            <w:color w:val="auto"/>
            <w:sz w:val="24"/>
            <w:szCs w:val="24"/>
          </w:rPr>
          <w:t>2.</w:t>
        </w:r>
        <w:r w:rsidR="005552AA" w:rsidRPr="0047462D">
          <w:rPr>
            <w:sz w:val="24"/>
            <w:szCs w:val="24"/>
          </w:rPr>
          <w:t xml:space="preserve"> </w:t>
        </w:r>
        <w:r w:rsidR="005552AA" w:rsidRPr="0047462D">
          <w:rPr>
            <w:rStyle w:val="Hyperlink"/>
            <w:color w:val="auto"/>
            <w:sz w:val="24"/>
            <w:szCs w:val="24"/>
          </w:rPr>
          <w:t>Objektivat e identifikuara dhe niveli i përgjithshëm i c</w:t>
        </w:r>
        <w:r w:rsidR="005252ED" w:rsidRPr="0047462D">
          <w:rPr>
            <w:rStyle w:val="Hyperlink"/>
            <w:color w:val="auto"/>
            <w:sz w:val="24"/>
            <w:szCs w:val="24"/>
          </w:rPr>
          <w:t>e</w:t>
        </w:r>
        <w:r w:rsidR="005552AA" w:rsidRPr="0047462D">
          <w:rPr>
            <w:rStyle w:val="Hyperlink"/>
            <w:color w:val="auto"/>
            <w:sz w:val="24"/>
            <w:szCs w:val="24"/>
          </w:rPr>
          <w:t>nueshmërisë së integritetit</w:t>
        </w:r>
        <w:r w:rsidR="005552AA" w:rsidRPr="0047462D">
          <w:rPr>
            <w:webHidden/>
            <w:sz w:val="24"/>
            <w:szCs w:val="24"/>
          </w:rPr>
          <w:tab/>
        </w:r>
      </w:hyperlink>
      <w:r w:rsidR="002D1B45" w:rsidRPr="0047462D">
        <w:rPr>
          <w:sz w:val="24"/>
          <w:szCs w:val="24"/>
          <w:lang w:val="en-US"/>
        </w:rPr>
        <w:t>8</w:t>
      </w:r>
    </w:p>
    <w:p w14:paraId="1520C086" w14:textId="224E0E01" w:rsidR="005552AA" w:rsidRPr="0047462D" w:rsidRDefault="0047462D" w:rsidP="005552AA">
      <w:pPr>
        <w:pStyle w:val="TOC1"/>
        <w:rPr>
          <w:sz w:val="24"/>
          <w:szCs w:val="24"/>
          <w:lang w:val="en-US"/>
        </w:rPr>
      </w:pPr>
      <w:hyperlink w:anchor="_Toc24384717" w:history="1">
        <w:r w:rsidR="005552AA" w:rsidRPr="0047462D">
          <w:rPr>
            <w:rStyle w:val="Hyperlink"/>
            <w:b/>
            <w:color w:val="auto"/>
            <w:sz w:val="24"/>
            <w:szCs w:val="24"/>
          </w:rPr>
          <w:t>3.</w:t>
        </w:r>
        <w:r w:rsidR="005552AA" w:rsidRPr="0047462D">
          <w:rPr>
            <w:sz w:val="24"/>
            <w:szCs w:val="24"/>
          </w:rPr>
          <w:t xml:space="preserve"> </w:t>
        </w:r>
        <w:r w:rsidR="005552AA" w:rsidRPr="0047462D">
          <w:rPr>
            <w:rStyle w:val="Hyperlink"/>
            <w:bCs/>
            <w:color w:val="auto"/>
            <w:sz w:val="24"/>
            <w:szCs w:val="24"/>
          </w:rPr>
          <w:t>P</w:t>
        </w:r>
        <w:r w:rsidR="005552AA" w:rsidRPr="0047462D">
          <w:rPr>
            <w:rStyle w:val="Hyperlink"/>
            <w:color w:val="auto"/>
            <w:sz w:val="24"/>
            <w:szCs w:val="24"/>
          </w:rPr>
          <w:t>lani i veprimit</w:t>
        </w:r>
      </w:hyperlink>
      <w:r w:rsidR="00FC4822" w:rsidRPr="0047462D">
        <w:rPr>
          <w:sz w:val="24"/>
          <w:szCs w:val="24"/>
          <w:lang w:val="en-US"/>
        </w:rPr>
        <w:t>……………………………..</w:t>
      </w:r>
      <w:r w:rsidR="005552AA" w:rsidRPr="0047462D">
        <w:rPr>
          <w:sz w:val="24"/>
          <w:szCs w:val="24"/>
        </w:rPr>
        <w:t>.............................................................................</w:t>
      </w:r>
      <w:r w:rsidR="002D7131" w:rsidRPr="0047462D">
        <w:rPr>
          <w:sz w:val="24"/>
          <w:szCs w:val="24"/>
        </w:rPr>
        <w:t xml:space="preserve"> </w:t>
      </w:r>
      <w:r w:rsidR="005552AA" w:rsidRPr="0047462D">
        <w:rPr>
          <w:sz w:val="24"/>
          <w:szCs w:val="24"/>
        </w:rPr>
        <w:t>1</w:t>
      </w:r>
      <w:r w:rsidR="002D7131" w:rsidRPr="0047462D">
        <w:rPr>
          <w:sz w:val="24"/>
          <w:szCs w:val="24"/>
          <w:lang w:val="en-US"/>
        </w:rPr>
        <w:t>1</w:t>
      </w:r>
    </w:p>
    <w:p w14:paraId="24868ADB" w14:textId="77777777" w:rsidR="005552AA" w:rsidRPr="0047462D" w:rsidRDefault="00CF2EA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5889B38C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5B9E058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6E06BAF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5A8FD8A3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sq-AL"/>
        </w:rPr>
      </w:pPr>
    </w:p>
    <w:p w14:paraId="5B76CAAB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749D9B6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73201EB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480764E" w14:textId="77777777" w:rsidR="005552AA" w:rsidRPr="0047462D" w:rsidRDefault="005552AA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F475152" w14:textId="77777777" w:rsidR="000C5EF9" w:rsidRPr="0047462D" w:rsidRDefault="000C5EF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E079F76" w14:textId="77777777" w:rsidR="000C5EF9" w:rsidRPr="0047462D" w:rsidRDefault="000C5EF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57D688F" w14:textId="77777777" w:rsidR="000C5EF9" w:rsidRPr="0047462D" w:rsidRDefault="000C5EF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20DEA3" w14:textId="77777777" w:rsidR="000C5EF9" w:rsidRPr="0047462D" w:rsidRDefault="000C5EF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309DEE5" w14:textId="292DBB0C" w:rsidR="000C5EF9" w:rsidRPr="0047462D" w:rsidRDefault="000C5EF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A6D726E" w14:textId="77777777" w:rsidR="003D7CF9" w:rsidRPr="0047462D" w:rsidRDefault="003D7CF9" w:rsidP="005552A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D4C816A" w14:textId="77777777" w:rsidR="00ED123D" w:rsidRPr="0047462D" w:rsidRDefault="00ED123D" w:rsidP="00F6763C">
      <w:pPr>
        <w:pStyle w:val="NormalWeb"/>
        <w:jc w:val="both"/>
        <w:rPr>
          <w:b/>
          <w:bCs/>
        </w:rPr>
      </w:pPr>
    </w:p>
    <w:p w14:paraId="293A1EAA" w14:textId="68FA16E0" w:rsidR="005552AA" w:rsidRPr="0047462D" w:rsidRDefault="00014FDF" w:rsidP="00F6763C">
      <w:pPr>
        <w:pStyle w:val="NormalWeb"/>
        <w:jc w:val="both"/>
        <w:rPr>
          <w:b/>
          <w:bCs/>
        </w:rPr>
      </w:pPr>
      <w:r w:rsidRPr="0047462D">
        <w:rPr>
          <w:b/>
          <w:bCs/>
        </w:rPr>
        <w:lastRenderedPageBreak/>
        <w:t>R</w:t>
      </w:r>
      <w:r w:rsidR="005552AA" w:rsidRPr="0047462D">
        <w:rPr>
          <w:b/>
          <w:bCs/>
        </w:rPr>
        <w:t xml:space="preserve">ëndësia e Planit të Integritetit </w:t>
      </w:r>
    </w:p>
    <w:p w14:paraId="35B727EA" w14:textId="6313B3D3" w:rsidR="00455FE7" w:rsidRPr="0047462D" w:rsidRDefault="005552AA" w:rsidP="00F6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468718748"/>
      <w:bookmarkStart w:id="2" w:name="_Toc468718799"/>
      <w:bookmarkStart w:id="3" w:name="_Toc23168729"/>
      <w:r w:rsidRPr="0047462D">
        <w:rPr>
          <w:rFonts w:ascii="Times New Roman" w:eastAsiaTheme="minorEastAsia" w:hAnsi="Times New Roman" w:cs="Times New Roman"/>
          <w:sz w:val="24"/>
          <w:szCs w:val="24"/>
        </w:rPr>
        <w:t>Plani i Integritetit është një mekanizëm institucional</w:t>
      </w:r>
      <w:r w:rsidR="00283279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5252ED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5252ED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r </w:t>
      </w:r>
      <w:r w:rsidR="007674A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promovuar etikën publike, </w:t>
      </w:r>
      <w:r w:rsidR="0028327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përgjegjshmërinë, transparencën dhe pjesëmarrjen e qytetarëve</w:t>
      </w:r>
      <w:r w:rsidR="007674A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67334F" w:rsidRPr="00474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>Ai është një komponent shumë i rëndësishëm i proceseve të përgjithshme planifikuese të bashkisë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si dhe dokument 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operacional 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pune, ku përcaktohen masa konkrete për trajtimin e risqeve të 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>integritetit me q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>llimin final p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rmbushjen e 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>objektiva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>ve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strategjikë për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forcimin e integritetit t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bashki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>ë. Ai është rezultat i një procesi vlerësimi të riskut të integritetit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proceseve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nënproceseve të punës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>si dhe pozicioneve apo funskioneve t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pun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67334F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>së bashkisë</w:t>
      </w:r>
      <w:r w:rsidR="005252ED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sipas fushave të funksioni</w:t>
      </w:r>
      <w:r w:rsidR="008F55A9" w:rsidRPr="0047462D">
        <w:rPr>
          <w:rFonts w:ascii="Times New Roman" w:eastAsiaTheme="minorEastAsia" w:hAnsi="Times New Roman" w:cs="Times New Roman"/>
          <w:sz w:val="24"/>
          <w:szCs w:val="24"/>
        </w:rPr>
        <w:t>mit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të saj.</w:t>
      </w:r>
    </w:p>
    <w:p w14:paraId="4E8312C6" w14:textId="62A4767A" w:rsidR="00865EB3" w:rsidRPr="0047462D" w:rsidRDefault="005552AA" w:rsidP="00F6763C">
      <w:pPr>
        <w:pStyle w:val="yiv6741303730msonormal"/>
        <w:shd w:val="clear" w:color="auto" w:fill="FFFFFF"/>
        <w:jc w:val="both"/>
        <w:rPr>
          <w:rFonts w:eastAsiaTheme="minorEastAsia"/>
        </w:rPr>
      </w:pPr>
      <w:r w:rsidRPr="0047462D">
        <w:rPr>
          <w:rFonts w:eastAsiaTheme="minorEastAsia"/>
        </w:rPr>
        <w:t>Kuadri rregullator</w:t>
      </w:r>
      <w:r w:rsidR="0067334F" w:rsidRPr="0047462D">
        <w:rPr>
          <w:rFonts w:eastAsiaTheme="minorEastAsia"/>
        </w:rPr>
        <w:t xml:space="preserve"> n</w:t>
      </w:r>
      <w:r w:rsidR="00120CAB" w:rsidRPr="0047462D">
        <w:rPr>
          <w:rFonts w:eastAsiaTheme="minorEastAsia"/>
        </w:rPr>
        <w:t>ë</w:t>
      </w:r>
      <w:r w:rsidR="0067334F" w:rsidRPr="0047462D">
        <w:rPr>
          <w:rFonts w:eastAsiaTheme="minorEastAsia"/>
        </w:rPr>
        <w:t xml:space="preserve"> fuqi</w:t>
      </w:r>
      <w:r w:rsidRPr="0047462D">
        <w:rPr>
          <w:rFonts w:eastAsiaTheme="minorEastAsia"/>
        </w:rPr>
        <w:t xml:space="preserve"> për hartimin dhe zbatimin e këtij instrumenti në qeverisjen vendore në Republikën e Shqipërisë përfshin: </w:t>
      </w:r>
    </w:p>
    <w:p w14:paraId="15741CCF" w14:textId="6AE1AFF1" w:rsidR="008F55A9" w:rsidRPr="0047462D" w:rsidRDefault="005552AA" w:rsidP="00F6763C">
      <w:pPr>
        <w:pStyle w:val="yiv6741303730msonormal"/>
        <w:numPr>
          <w:ilvl w:val="0"/>
          <w:numId w:val="3"/>
        </w:numPr>
        <w:shd w:val="clear" w:color="auto" w:fill="FFFFFF"/>
        <w:jc w:val="both"/>
      </w:pPr>
      <w:r w:rsidRPr="0047462D">
        <w:t>Strategjinë Ndërsektoriale Antikorrupsion 2015-</w:t>
      </w:r>
      <w:r w:rsidR="0041025C" w:rsidRPr="0047462D">
        <w:t>2023 miratuar me Vendimin e K</w:t>
      </w:r>
      <w:r w:rsidR="00120CAB" w:rsidRPr="0047462D">
        <w:t>ë</w:t>
      </w:r>
      <w:r w:rsidR="0041025C" w:rsidRPr="0047462D">
        <w:t>shillit t</w:t>
      </w:r>
      <w:r w:rsidR="00120CAB" w:rsidRPr="0047462D">
        <w:t>ë</w:t>
      </w:r>
      <w:r w:rsidR="0041025C" w:rsidRPr="0047462D">
        <w:t xml:space="preserve"> Ministrave nr. 247 datë 20.3.2015</w:t>
      </w:r>
      <w:r w:rsidR="007C413E" w:rsidRPr="0047462D">
        <w:t xml:space="preserve"> dhe ndryshuar me Vendimin e K</w:t>
      </w:r>
      <w:r w:rsidR="00120CAB" w:rsidRPr="0047462D">
        <w:t>ë</w:t>
      </w:r>
      <w:r w:rsidR="007C413E" w:rsidRPr="0047462D">
        <w:t>shillit t</w:t>
      </w:r>
      <w:r w:rsidR="00120CAB" w:rsidRPr="0047462D">
        <w:t>ë</w:t>
      </w:r>
      <w:r w:rsidR="007C413E" w:rsidRPr="0047462D">
        <w:t xml:space="preserve"> Ministrave nr. 516 datë </w:t>
      </w:r>
      <w:r w:rsidR="00E6286E" w:rsidRPr="0047462D">
        <w:t>0</w:t>
      </w:r>
      <w:r w:rsidR="007C413E" w:rsidRPr="0047462D">
        <w:t>1.</w:t>
      </w:r>
      <w:r w:rsidR="00E6286E" w:rsidRPr="0047462D">
        <w:t>0</w:t>
      </w:r>
      <w:r w:rsidR="007C413E" w:rsidRPr="0047462D">
        <w:t xml:space="preserve">7.2020 </w:t>
      </w:r>
    </w:p>
    <w:p w14:paraId="2281F3BD" w14:textId="03E1EC20" w:rsidR="008F55A9" w:rsidRPr="0047462D" w:rsidRDefault="005552AA" w:rsidP="00F6763C">
      <w:pPr>
        <w:pStyle w:val="yiv6741303730msonormal"/>
        <w:numPr>
          <w:ilvl w:val="0"/>
          <w:numId w:val="3"/>
        </w:numPr>
        <w:shd w:val="clear" w:color="auto" w:fill="FFFFFF"/>
        <w:jc w:val="both"/>
      </w:pPr>
      <w:r w:rsidRPr="0047462D">
        <w:t xml:space="preserve">Planin e Veprimit </w:t>
      </w:r>
      <w:r w:rsidR="0041025C" w:rsidRPr="0047462D">
        <w:t>2020</w:t>
      </w:r>
      <w:r w:rsidRPr="0047462D">
        <w:t>-</w:t>
      </w:r>
      <w:r w:rsidR="0041025C" w:rsidRPr="0047462D">
        <w:t xml:space="preserve">2023 </w:t>
      </w:r>
      <w:r w:rsidRPr="0047462D">
        <w:t>në zbatim të Strategjisë</w:t>
      </w:r>
      <w:r w:rsidR="0041025C" w:rsidRPr="0047462D">
        <w:t xml:space="preserve"> </w:t>
      </w:r>
      <w:r w:rsidR="0041025C" w:rsidRPr="0047462D">
        <w:rPr>
          <w:bCs/>
          <w:lang w:val="sq-AL"/>
        </w:rPr>
        <w:t xml:space="preserve">Ndërsektoriale kundër Korrupsionit 2015-2023 e të Pasaportës së Indikatorëve </w:t>
      </w:r>
      <w:r w:rsidRPr="0047462D">
        <w:t xml:space="preserve">miratuar me Vendimin e Këshillit të Ministrave </w:t>
      </w:r>
      <w:r w:rsidR="0041025C" w:rsidRPr="0047462D">
        <w:rPr>
          <w:bCs/>
          <w:lang w:val="sq-AL"/>
        </w:rPr>
        <w:t xml:space="preserve">nr. 516  datë 01.07.2020 </w:t>
      </w:r>
    </w:p>
    <w:p w14:paraId="2ADFD3E3" w14:textId="47423A73" w:rsidR="005552AA" w:rsidRPr="0047462D" w:rsidRDefault="005552AA" w:rsidP="00F6763C">
      <w:pPr>
        <w:pStyle w:val="yiv6741303730msonormal"/>
        <w:numPr>
          <w:ilvl w:val="0"/>
          <w:numId w:val="3"/>
        </w:numPr>
        <w:shd w:val="clear" w:color="auto" w:fill="FFFFFF"/>
        <w:jc w:val="both"/>
        <w:rPr>
          <w:rFonts w:eastAsiaTheme="minorEastAsia"/>
        </w:rPr>
      </w:pPr>
      <w:r w:rsidRPr="0047462D">
        <w:t xml:space="preserve">Metodologjinë për Vlerësimin e Riskut të Integritetit për Njësitë e Vetëqeverisjes Vendore, e rekomanduar për t’u zbatuar nga Ministria e Drejtësisë për zhvillimin dhe zbatimin e planeve të integritetit (shtator 2019). </w:t>
      </w:r>
      <w:r w:rsidRPr="0047462D">
        <w:rPr>
          <w:rStyle w:val="FootnoteReference"/>
        </w:rPr>
        <w:footnoteReference w:id="1"/>
      </w:r>
    </w:p>
    <w:p w14:paraId="67D073D8" w14:textId="77777777" w:rsidR="005552AA" w:rsidRPr="0047462D" w:rsidRDefault="005552AA" w:rsidP="00F676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7462D">
        <w:rPr>
          <w:rFonts w:ascii="Times New Roman" w:eastAsiaTheme="minorEastAsia" w:hAnsi="Times New Roman" w:cs="Times New Roman"/>
          <w:sz w:val="24"/>
          <w:szCs w:val="24"/>
        </w:rPr>
        <w:t xml:space="preserve">Plani i Integritetit </w:t>
      </w:r>
      <w:r w:rsidR="00915A28" w:rsidRPr="0047462D">
        <w:rPr>
          <w:rFonts w:ascii="Times New Roman" w:eastAsiaTheme="minorEastAsia" w:hAnsi="Times New Roman" w:cs="Times New Roman"/>
          <w:sz w:val="24"/>
          <w:szCs w:val="24"/>
        </w:rPr>
        <w:t>konsiderohet nj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915A28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instrument i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rëndësishëm në realizimin e objektivave të mëposhtme për Bashkinë </w:t>
      </w:r>
      <w:r w:rsidR="00455FE7" w:rsidRPr="0047462D">
        <w:rPr>
          <w:rFonts w:ascii="Times New Roman" w:eastAsiaTheme="minorEastAsia" w:hAnsi="Times New Roman" w:cs="Times New Roman"/>
          <w:sz w:val="24"/>
          <w:szCs w:val="24"/>
        </w:rPr>
        <w:t>Himar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42F91124" w14:textId="0BA3C73B" w:rsidR="003068FE" w:rsidRPr="0047462D" w:rsidRDefault="00550731" w:rsidP="00F6763C">
      <w:pPr>
        <w:pStyle w:val="NormalWeb"/>
        <w:numPr>
          <w:ilvl w:val="0"/>
          <w:numId w:val="6"/>
        </w:numPr>
        <w:spacing w:after="160"/>
        <w:jc w:val="both"/>
        <w:rPr>
          <w:rFonts w:eastAsiaTheme="minorHAnsi"/>
          <w:lang w:val="sq-AL"/>
        </w:rPr>
      </w:pPr>
      <w:r w:rsidRPr="0047462D">
        <w:rPr>
          <w:lang w:val="sq-AL"/>
        </w:rPr>
        <w:t>Menaxhimi i burimeve njer</w:t>
      </w:r>
      <w:r w:rsidR="00F80549" w:rsidRPr="0047462D">
        <w:rPr>
          <w:lang w:val="sq-AL"/>
        </w:rPr>
        <w:t>ë</w:t>
      </w:r>
      <w:r w:rsidRPr="0047462D">
        <w:rPr>
          <w:lang w:val="sq-AL"/>
        </w:rPr>
        <w:t xml:space="preserve">zore </w:t>
      </w:r>
      <w:r w:rsidR="0067334F" w:rsidRPr="0047462D">
        <w:rPr>
          <w:lang w:val="sq-AL"/>
        </w:rPr>
        <w:t>t</w:t>
      </w:r>
      <w:r w:rsidR="00120CAB" w:rsidRPr="0047462D">
        <w:rPr>
          <w:lang w:val="sq-AL"/>
        </w:rPr>
        <w:t>ë</w:t>
      </w:r>
      <w:r w:rsidR="0067334F" w:rsidRPr="0047462D">
        <w:rPr>
          <w:lang w:val="sq-AL"/>
        </w:rPr>
        <w:t xml:space="preserve"> bashkis</w:t>
      </w:r>
      <w:r w:rsidR="00120CAB" w:rsidRPr="0047462D">
        <w:rPr>
          <w:lang w:val="sq-AL"/>
        </w:rPr>
        <w:t>ë</w:t>
      </w:r>
      <w:r w:rsidR="0067334F" w:rsidRPr="0047462D">
        <w:rPr>
          <w:lang w:val="sq-AL"/>
        </w:rPr>
        <w:t xml:space="preserve"> </w:t>
      </w:r>
      <w:r w:rsidRPr="0047462D">
        <w:rPr>
          <w:lang w:val="sq-AL"/>
        </w:rPr>
        <w:t>m</w:t>
      </w:r>
      <w:r w:rsidR="00BF1DD4" w:rsidRPr="0047462D">
        <w:rPr>
          <w:lang w:val="sq-AL"/>
        </w:rPr>
        <w:t>e</w:t>
      </w:r>
      <w:r w:rsidRPr="0047462D">
        <w:rPr>
          <w:lang w:val="sq-AL"/>
        </w:rPr>
        <w:t xml:space="preserve"> q</w:t>
      </w:r>
      <w:r w:rsidR="00F80549" w:rsidRPr="0047462D">
        <w:rPr>
          <w:lang w:val="sq-AL"/>
        </w:rPr>
        <w:t>ë</w:t>
      </w:r>
      <w:r w:rsidRPr="0047462D">
        <w:rPr>
          <w:lang w:val="sq-AL"/>
        </w:rPr>
        <w:t>llim forcimin e</w:t>
      </w:r>
      <w:r w:rsidR="003068FE" w:rsidRPr="0047462D">
        <w:rPr>
          <w:lang w:val="sq-AL"/>
        </w:rPr>
        <w:t xml:space="preserve"> rezistencës institucionale ndaj shkeljeve të integritetit</w:t>
      </w:r>
      <w:r w:rsidR="007E57C2" w:rsidRPr="0047462D">
        <w:rPr>
          <w:lang w:val="sq-AL"/>
        </w:rPr>
        <w:t>.</w:t>
      </w:r>
    </w:p>
    <w:p w14:paraId="68136C97" w14:textId="438077E0" w:rsidR="00BE0F6F" w:rsidRPr="0047462D" w:rsidRDefault="003068FE" w:rsidP="00F6763C">
      <w:pPr>
        <w:pStyle w:val="NormalWeb"/>
        <w:numPr>
          <w:ilvl w:val="0"/>
          <w:numId w:val="6"/>
        </w:numPr>
        <w:rPr>
          <w:lang w:val="sq-AL"/>
        </w:rPr>
      </w:pPr>
      <w:r w:rsidRPr="0047462D">
        <w:rPr>
          <w:lang w:val="sq-AL"/>
        </w:rPr>
        <w:t>P</w:t>
      </w:r>
      <w:r w:rsidR="00F80549" w:rsidRPr="0047462D">
        <w:rPr>
          <w:lang w:val="sq-AL"/>
        </w:rPr>
        <w:t>ë</w:t>
      </w:r>
      <w:r w:rsidRPr="0047462D">
        <w:rPr>
          <w:lang w:val="sq-AL"/>
        </w:rPr>
        <w:t>rmir</w:t>
      </w:r>
      <w:r w:rsidR="00F80549" w:rsidRPr="0047462D">
        <w:rPr>
          <w:lang w:val="sq-AL"/>
        </w:rPr>
        <w:t>ë</w:t>
      </w:r>
      <w:r w:rsidRPr="0047462D">
        <w:rPr>
          <w:lang w:val="sq-AL"/>
        </w:rPr>
        <w:t xml:space="preserve">simi i kuadrit të brendshëm rregullator dhe strategjik </w:t>
      </w:r>
      <w:r w:rsidR="0067334F" w:rsidRPr="0047462D">
        <w:rPr>
          <w:lang w:val="sq-AL"/>
        </w:rPr>
        <w:t>p</w:t>
      </w:r>
      <w:r w:rsidR="00120CAB" w:rsidRPr="0047462D">
        <w:rPr>
          <w:lang w:val="sq-AL"/>
        </w:rPr>
        <w:t>ë</w:t>
      </w:r>
      <w:r w:rsidR="0067334F" w:rsidRPr="0047462D">
        <w:rPr>
          <w:lang w:val="sq-AL"/>
        </w:rPr>
        <w:t xml:space="preserve">r </w:t>
      </w:r>
      <w:r w:rsidRPr="0047462D">
        <w:rPr>
          <w:lang w:val="sq-AL"/>
        </w:rPr>
        <w:t>aspekte  të veçanta të etikës dhe integritetit</w:t>
      </w:r>
      <w:r w:rsidR="007E57C2" w:rsidRPr="0047462D">
        <w:rPr>
          <w:lang w:val="sq-AL"/>
        </w:rPr>
        <w:t>.</w:t>
      </w:r>
    </w:p>
    <w:p w14:paraId="1A3B9127" w14:textId="55746F69" w:rsidR="00F15C77" w:rsidRPr="0047462D" w:rsidRDefault="003864A7" w:rsidP="00F6763C">
      <w:pPr>
        <w:pStyle w:val="NormalWeb"/>
        <w:numPr>
          <w:ilvl w:val="0"/>
          <w:numId w:val="6"/>
        </w:numPr>
        <w:spacing w:after="0"/>
        <w:rPr>
          <w:lang w:val="sq-AL"/>
        </w:rPr>
      </w:pPr>
      <w:r w:rsidRPr="0047462D">
        <w:rPr>
          <w:rFonts w:eastAsiaTheme="minorEastAsia"/>
          <w:lang w:val="sq-AL"/>
        </w:rPr>
        <w:t>Përmirësimi i transparencës proaktive të bashkisë për të mundësuar rritjen e llogaridhënies dhe aksesit të qytetarëve në informacion.</w:t>
      </w:r>
    </w:p>
    <w:p w14:paraId="5F8F8066" w14:textId="6EE2EE9A" w:rsidR="00615521" w:rsidRPr="0047462D" w:rsidRDefault="0005654D" w:rsidP="00F6763C">
      <w:pPr>
        <w:pStyle w:val="NormalWeb"/>
        <w:numPr>
          <w:ilvl w:val="0"/>
          <w:numId w:val="6"/>
        </w:numPr>
        <w:spacing w:after="0"/>
        <w:rPr>
          <w:lang w:val="sq-AL"/>
        </w:rPr>
      </w:pPr>
      <w:r w:rsidRPr="0047462D">
        <w:rPr>
          <w:lang w:val="sq-AL"/>
        </w:rPr>
        <w:t>Menaxhimi i</w:t>
      </w:r>
      <w:r w:rsidR="00615521" w:rsidRPr="0047462D">
        <w:rPr>
          <w:lang w:val="sq-AL"/>
        </w:rPr>
        <w:t xml:space="preserve"> riskut të integritetit me fokus në fusha</w:t>
      </w:r>
      <w:r w:rsidR="0067334F" w:rsidRPr="0047462D">
        <w:rPr>
          <w:lang w:val="sq-AL"/>
        </w:rPr>
        <w:t xml:space="preserve">t e </w:t>
      </w:r>
      <w:r w:rsidR="00615521" w:rsidRPr="0047462D">
        <w:rPr>
          <w:lang w:val="sq-AL"/>
        </w:rPr>
        <w:t xml:space="preserve"> përgjegjësisë së bashkisë</w:t>
      </w:r>
      <w:r w:rsidR="00BE0F6F" w:rsidRPr="0047462D">
        <w:rPr>
          <w:lang w:val="sq-AL"/>
        </w:rPr>
        <w:t>.</w:t>
      </w:r>
    </w:p>
    <w:p w14:paraId="1F3DC104" w14:textId="12E87386" w:rsidR="005552AA" w:rsidRPr="0047462D" w:rsidRDefault="00455FE7" w:rsidP="00F676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Plani i Integritetit për bashkinë e Himar</w:t>
      </w:r>
      <w:r w:rsidR="00606FCF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është përgatitur me pjesëmarrjen e gjithë stafit të bashkisë, të udhëhequr nga </w:t>
      </w:r>
      <w:bookmarkStart w:id="4" w:name="_Hlk91357742"/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Grupi i Punës dhe me asistencën teknike të Institutit për Demokraci dhe Ndërmjetësim (IDM). </w:t>
      </w:r>
      <w:bookmarkEnd w:id="4"/>
      <w:r w:rsidR="005552AA" w:rsidRPr="0047462D">
        <w:rPr>
          <w:rFonts w:ascii="Times New Roman" w:hAnsi="Times New Roman" w:cs="Times New Roman"/>
          <w:sz w:val="24"/>
          <w:szCs w:val="24"/>
        </w:rPr>
        <w:t xml:space="preserve">Plani i Integritetit, i miratuar me vendim të Këshillit Bashkiak, është i detyrueshëm për zbatim në Bashkinë </w:t>
      </w:r>
      <w:r w:rsidRPr="0047462D">
        <w:rPr>
          <w:rFonts w:ascii="Times New Roman" w:hAnsi="Times New Roman" w:cs="Times New Roman"/>
          <w:sz w:val="24"/>
          <w:szCs w:val="24"/>
        </w:rPr>
        <w:t>Himar</w:t>
      </w:r>
      <w:r w:rsidR="00606FCF" w:rsidRPr="0047462D">
        <w:rPr>
          <w:rFonts w:ascii="Times New Roman" w:hAnsi="Times New Roman" w:cs="Times New Roman"/>
          <w:sz w:val="24"/>
          <w:szCs w:val="24"/>
        </w:rPr>
        <w:t>ë</w:t>
      </w:r>
      <w:r w:rsidR="00C64EE0" w:rsidRPr="0047462D">
        <w:rPr>
          <w:rFonts w:ascii="Times New Roman" w:hAnsi="Times New Roman" w:cs="Times New Roman"/>
          <w:sz w:val="24"/>
          <w:szCs w:val="24"/>
        </w:rPr>
        <w:t>.</w:t>
      </w:r>
    </w:p>
    <w:p w14:paraId="1F2288E0" w14:textId="77777777" w:rsidR="00455FE7" w:rsidRPr="0047462D" w:rsidRDefault="00455FE7" w:rsidP="00F676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9CBBA" w14:textId="77777777" w:rsidR="005552AA" w:rsidRPr="0047462D" w:rsidRDefault="005552AA" w:rsidP="00F6763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62D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Pr="0047462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Bashkinë </w:t>
      </w:r>
      <w:r w:rsidR="0008635E" w:rsidRPr="0047462D">
        <w:rPr>
          <w:rFonts w:ascii="Times New Roman" w:hAnsi="Times New Roman" w:cs="Times New Roman"/>
          <w:b/>
          <w:sz w:val="24"/>
          <w:szCs w:val="24"/>
        </w:rPr>
        <w:t>H</w:t>
      </w:r>
      <w:r w:rsidR="004F3F8C" w:rsidRPr="0047462D">
        <w:rPr>
          <w:rFonts w:ascii="Times New Roman" w:hAnsi="Times New Roman" w:cs="Times New Roman"/>
          <w:b/>
          <w:sz w:val="24"/>
          <w:szCs w:val="24"/>
        </w:rPr>
        <w:t>i</w:t>
      </w:r>
      <w:r w:rsidR="0008635E" w:rsidRPr="0047462D">
        <w:rPr>
          <w:rFonts w:ascii="Times New Roman" w:hAnsi="Times New Roman" w:cs="Times New Roman"/>
          <w:b/>
          <w:sz w:val="24"/>
          <w:szCs w:val="24"/>
        </w:rPr>
        <w:t>mar</w:t>
      </w:r>
      <w:r w:rsidR="00606FCF" w:rsidRPr="0047462D">
        <w:rPr>
          <w:rFonts w:ascii="Times New Roman" w:hAnsi="Times New Roman" w:cs="Times New Roman"/>
          <w:b/>
          <w:sz w:val="24"/>
          <w:szCs w:val="24"/>
        </w:rPr>
        <w:t>ë</w:t>
      </w:r>
    </w:p>
    <w:p w14:paraId="46394396" w14:textId="4A76BC37" w:rsidR="0008635E" w:rsidRPr="0047462D" w:rsidRDefault="0008635E" w:rsidP="00F676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Procesi i hartimit të Planit të Integritetit në Bashkinë </w:t>
      </w:r>
      <w:r w:rsidR="00775B6E" w:rsidRPr="0047462D">
        <w:rPr>
          <w:rFonts w:ascii="Times New Roman" w:eastAsiaTheme="minorEastAsia" w:hAnsi="Times New Roman" w:cs="Times New Roman"/>
          <w:sz w:val="24"/>
          <w:szCs w:val="24"/>
        </w:rPr>
        <w:t>Himar</w:t>
      </w:r>
      <w:r w:rsidR="007B17B6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="00442DDA" w:rsidRPr="0047462D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>filloi n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muajin </w:t>
      </w:r>
      <w:r w:rsidR="00C64EE0" w:rsidRPr="0047462D">
        <w:rPr>
          <w:rFonts w:ascii="Times New Roman" w:eastAsiaTheme="minorEastAsia" w:hAnsi="Times New Roman" w:cs="Times New Roman"/>
          <w:sz w:val="24"/>
          <w:szCs w:val="24"/>
        </w:rPr>
        <w:t xml:space="preserve">dhjetor 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>2021 dhe p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>rfundoi n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47462D">
        <w:rPr>
          <w:rFonts w:ascii="Times New Roman" w:eastAsiaTheme="minorEastAsia" w:hAnsi="Times New Roman" w:cs="Times New Roman"/>
          <w:sz w:val="24"/>
          <w:szCs w:val="24"/>
        </w:rPr>
        <w:t xml:space="preserve"> muajin prill 2022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. Stafi i bashkisë u angazhua përgjatë gjithë procesit të planifikimit të integritetit dhe vlerësimit të riskut pë</w:t>
      </w:r>
      <w:r w:rsidR="000501C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mes përdorimit të disa instrumenteve që</w:t>
      </w:r>
      <w:r w:rsidR="000501C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udh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0501C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zon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0501C5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Metodologjia e Vlerësimit të Riskut për Njësitë e Vetëqeverisjes Vendore.</w:t>
      </w:r>
    </w:p>
    <w:p w14:paraId="1DE2A0FE" w14:textId="77777777" w:rsidR="0008635E" w:rsidRPr="0047462D" w:rsidRDefault="0008635E" w:rsidP="00F676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1A46FF66" w14:textId="7AA48C9B" w:rsidR="0008635E" w:rsidRPr="0047462D" w:rsidRDefault="00C375AC" w:rsidP="00F676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08635E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rocesi i planifikimit të integritetit </w:t>
      </w:r>
      <w:r w:rsidR="00DF152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n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F152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bashkin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F152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Himar</w:t>
      </w:r>
      <w:r w:rsidR="000124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F1525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08635E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kaloi në fazat e mëposhtme</w:t>
      </w:r>
      <w:r w:rsidR="007B63A6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:</w:t>
      </w:r>
    </w:p>
    <w:p w14:paraId="30C0BEB4" w14:textId="77777777" w:rsidR="0008635E" w:rsidRPr="0047462D" w:rsidRDefault="0008635E" w:rsidP="00F6763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</w:p>
    <w:p w14:paraId="6D60C047" w14:textId="77777777" w:rsidR="0008635E" w:rsidRPr="0047462D" w:rsidRDefault="0008635E" w:rsidP="00F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7462D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Faza 1: </w:t>
      </w:r>
      <w:r w:rsidRPr="004746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33BD492C" w14:textId="77777777" w:rsidR="009B6941" w:rsidRPr="0047462D" w:rsidRDefault="009B6941" w:rsidP="00F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FBAA8E1" w14:textId="7CAC7CD4" w:rsidR="0008635E" w:rsidRPr="0047462D" w:rsidRDefault="0008635E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Bashkia Himar</w:t>
      </w:r>
      <w:r w:rsidR="00606FCF" w:rsidRPr="004746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ë</w:t>
      </w:r>
      <w:r w:rsidRPr="004746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n</w:t>
      </w:r>
      <w:r w:rsidR="00606FCF" w:rsidRPr="004746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ë</w:t>
      </w:r>
      <w:r w:rsidRPr="004746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nshkroi </w:t>
      </w:r>
      <w:r w:rsidR="009B6941" w:rsidRPr="004746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marrëveshjen e bashkëpunimit </w:t>
      </w:r>
      <w:r w:rsidR="004C2C0B" w:rsidRPr="004746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me IDM </w:t>
      </w:r>
      <w:r w:rsidR="00442DDA" w:rsidRPr="004746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“</w:t>
      </w:r>
      <w:r w:rsidR="004C2C0B" w:rsidRPr="0047462D">
        <w:rPr>
          <w:rFonts w:ascii="Times New Roman" w:hAnsi="Times New Roman" w:cs="Times New Roman"/>
          <w:sz w:val="24"/>
          <w:szCs w:val="24"/>
        </w:rPr>
        <w:t xml:space="preserve">Për Zhvillimin e Planit të Integritetit për Bashkinë </w:t>
      </w:r>
      <w:r w:rsidR="00E044F4" w:rsidRPr="0047462D">
        <w:rPr>
          <w:rFonts w:ascii="Times New Roman" w:hAnsi="Times New Roman" w:cs="Times New Roman"/>
          <w:sz w:val="24"/>
          <w:szCs w:val="24"/>
        </w:rPr>
        <w:t>Himar</w:t>
      </w:r>
      <w:r w:rsidR="00E044F4" w:rsidRPr="0047462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ë</w:t>
      </w:r>
      <w:r w:rsidR="00442DDA" w:rsidRPr="0047462D">
        <w:rPr>
          <w:rFonts w:ascii="Times New Roman" w:hAnsi="Times New Roman" w:cs="Times New Roman"/>
          <w:sz w:val="24"/>
          <w:szCs w:val="24"/>
        </w:rPr>
        <w:t>”</w:t>
      </w:r>
      <w:r w:rsidR="004C2C0B" w:rsidRPr="0047462D">
        <w:rPr>
          <w:rFonts w:ascii="Times New Roman" w:hAnsi="Times New Roman" w:cs="Times New Roman"/>
          <w:sz w:val="24"/>
          <w:szCs w:val="24"/>
        </w:rPr>
        <w:t xml:space="preserve">, datë </w:t>
      </w:r>
      <w:r w:rsidR="00F36E06" w:rsidRPr="0047462D">
        <w:rPr>
          <w:rFonts w:ascii="Times New Roman" w:hAnsi="Times New Roman" w:cs="Times New Roman"/>
          <w:sz w:val="24"/>
          <w:szCs w:val="24"/>
        </w:rPr>
        <w:t>29.7.2021.</w:t>
      </w:r>
      <w:r w:rsidR="008D52ED" w:rsidRPr="0047462D">
        <w:rPr>
          <w:rFonts w:ascii="Times New Roman" w:hAnsi="Times New Roman" w:cs="Times New Roman"/>
          <w:sz w:val="24"/>
          <w:szCs w:val="24"/>
        </w:rPr>
        <w:t xml:space="preserve">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Me urdhër </w:t>
      </w:r>
      <w:r w:rsidR="00905AF8" w:rsidRPr="0047462D">
        <w:rPr>
          <w:rFonts w:ascii="Times New Roman" w:hAnsi="Times New Roman" w:cs="Times New Roman"/>
          <w:sz w:val="24"/>
          <w:szCs w:val="24"/>
        </w:rPr>
        <w:t>nr. 151, dat</w:t>
      </w:r>
      <w:r w:rsidR="00606FCF" w:rsidRPr="0047462D">
        <w:rPr>
          <w:rFonts w:ascii="Times New Roman" w:hAnsi="Times New Roman" w:cs="Times New Roman"/>
          <w:sz w:val="24"/>
          <w:szCs w:val="24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</w:rPr>
        <w:t xml:space="preserve"> 03.08.2021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të Kryetarit të 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Bashkisë </w:t>
      </w:r>
      <w:r w:rsidR="00905AF8" w:rsidRPr="0047462D">
        <w:rPr>
          <w:rFonts w:ascii="Times New Roman" w:hAnsi="Times New Roman" w:cs="Times New Roman"/>
          <w:sz w:val="24"/>
          <w:szCs w:val="24"/>
        </w:rPr>
        <w:t>u</w:t>
      </w:r>
      <w:r w:rsidRPr="0047462D">
        <w:rPr>
          <w:rFonts w:ascii="Times New Roman" w:hAnsi="Times New Roman" w:cs="Times New Roman"/>
          <w:sz w:val="24"/>
          <w:szCs w:val="24"/>
        </w:rPr>
        <w:t xml:space="preserve">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ngrit Grupi i Punës për hartimin e Planit të Integritetit për bashkinë. </w:t>
      </w:r>
      <w:r w:rsidR="009B6941" w:rsidRPr="0047462D">
        <w:rPr>
          <w:rFonts w:ascii="Times New Roman" w:hAnsi="Times New Roman" w:cs="Times New Roman"/>
          <w:sz w:val="24"/>
          <w:szCs w:val="24"/>
          <w:lang w:val="sq-AL"/>
        </w:rPr>
        <w:t>Grupi i Pun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6941" w:rsidRPr="0047462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përbëhet nga 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6 (gjasht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anëtarë dhe 1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(nj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koordinator për të udhëhequr procesin e planifikimit. </w:t>
      </w:r>
    </w:p>
    <w:p w14:paraId="36EDACFC" w14:textId="77777777" w:rsidR="009B6941" w:rsidRPr="0047462D" w:rsidRDefault="009B6941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121317" w14:textId="79AB99EF" w:rsidR="009B6941" w:rsidRPr="0047462D" w:rsidRDefault="009B6941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IDM zhvilloi një sesion trajnimi me anëtarët  e grupit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s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ngritur pran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42DDA" w:rsidRPr="0047462D">
        <w:rPr>
          <w:rFonts w:ascii="Times New Roman" w:hAnsi="Times New Roman" w:cs="Times New Roman"/>
          <w:sz w:val="24"/>
          <w:szCs w:val="24"/>
        </w:rPr>
        <w:t>B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ashkis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Himar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për të prezantuar procesin, qasjen metodologjike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procesin planifikues të integritet</w:t>
      </w:r>
      <w:r w:rsidR="007D5C1F" w:rsidRPr="0047462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t, fazat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instrumentet përkatëse. </w:t>
      </w:r>
      <w:r w:rsidRPr="0047462D">
        <w:rPr>
          <w:rFonts w:ascii="Times New Roman" w:hAnsi="Times New Roman" w:cs="Times New Roman"/>
          <w:sz w:val="24"/>
          <w:szCs w:val="24"/>
        </w:rPr>
        <w:t>Trajnimi gjithashtu pati n</w:t>
      </w:r>
      <w:r w:rsidR="00606FCF" w:rsidRPr="0047462D">
        <w:rPr>
          <w:rFonts w:ascii="Times New Roman" w:hAnsi="Times New Roman" w:cs="Times New Roman"/>
          <w:sz w:val="24"/>
          <w:szCs w:val="24"/>
        </w:rPr>
        <w:t>ë</w:t>
      </w:r>
      <w:r w:rsidRPr="0047462D">
        <w:rPr>
          <w:rFonts w:ascii="Times New Roman" w:hAnsi="Times New Roman" w:cs="Times New Roman"/>
          <w:sz w:val="24"/>
          <w:szCs w:val="24"/>
        </w:rPr>
        <w:t xml:space="preserve"> fokus edhe </w:t>
      </w:r>
      <w:r w:rsidR="00C01E22" w:rsidRPr="0047462D">
        <w:rPr>
          <w:rFonts w:ascii="Times New Roman" w:hAnsi="Times New Roman" w:cs="Times New Roman"/>
          <w:sz w:val="24"/>
          <w:szCs w:val="24"/>
        </w:rPr>
        <w:t>legjislacionin e zbatuesh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C01E22" w:rsidRPr="0047462D">
        <w:rPr>
          <w:rFonts w:ascii="Times New Roman" w:hAnsi="Times New Roman" w:cs="Times New Roman"/>
          <w:sz w:val="24"/>
          <w:szCs w:val="24"/>
        </w:rPr>
        <w:t>m p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C01E22" w:rsidRPr="0047462D">
        <w:rPr>
          <w:rFonts w:ascii="Times New Roman" w:hAnsi="Times New Roman" w:cs="Times New Roman"/>
          <w:sz w:val="24"/>
          <w:szCs w:val="24"/>
        </w:rPr>
        <w:t>r nj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C01E22" w:rsidRPr="0047462D">
        <w:rPr>
          <w:rFonts w:ascii="Times New Roman" w:hAnsi="Times New Roman" w:cs="Times New Roman"/>
          <w:sz w:val="24"/>
          <w:szCs w:val="24"/>
        </w:rPr>
        <w:t>sit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C01E22" w:rsidRPr="0047462D">
        <w:rPr>
          <w:rFonts w:ascii="Times New Roman" w:hAnsi="Times New Roman" w:cs="Times New Roman"/>
          <w:sz w:val="24"/>
          <w:szCs w:val="24"/>
        </w:rPr>
        <w:t xml:space="preserve"> e qeverisjes vendore n</w:t>
      </w:r>
      <w:r w:rsidR="000124EA" w:rsidRPr="0047462D">
        <w:rPr>
          <w:rFonts w:ascii="Times New Roman" w:hAnsi="Times New Roman" w:cs="Times New Roman"/>
          <w:sz w:val="24"/>
          <w:szCs w:val="24"/>
        </w:rPr>
        <w:t>ë</w:t>
      </w:r>
      <w:r w:rsidR="00C01E22" w:rsidRPr="0047462D">
        <w:rPr>
          <w:rFonts w:ascii="Times New Roman" w:hAnsi="Times New Roman" w:cs="Times New Roman"/>
          <w:sz w:val="24"/>
          <w:szCs w:val="24"/>
        </w:rPr>
        <w:t xml:space="preserve"> lidhje me </w:t>
      </w:r>
      <w:r w:rsidRPr="0047462D">
        <w:rPr>
          <w:rFonts w:ascii="Times New Roman" w:hAnsi="Times New Roman" w:cs="Times New Roman"/>
          <w:sz w:val="24"/>
          <w:szCs w:val="24"/>
        </w:rPr>
        <w:t>çështjet e integritetit dhe etikës në administratën publike.</w:t>
      </w:r>
      <w:r w:rsidR="00913250" w:rsidRPr="0047462D">
        <w:rPr>
          <w:rFonts w:ascii="Times New Roman" w:hAnsi="Times New Roman" w:cs="Times New Roman"/>
          <w:sz w:val="24"/>
          <w:szCs w:val="24"/>
        </w:rPr>
        <w:t xml:space="preserve"> </w:t>
      </w:r>
      <w:r w:rsidR="008D688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Ky sesion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shërbeu edhe si një mundësi diskutimi rreth pritshmërive të p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lanit 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integritetit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dhe aspekteve të ndryshme të procesit.  </w:t>
      </w:r>
    </w:p>
    <w:p w14:paraId="6B73477F" w14:textId="77777777" w:rsidR="00775B6E" w:rsidRPr="0047462D" w:rsidRDefault="00775B6E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AD3CA" w14:textId="77777777" w:rsidR="00775B6E" w:rsidRPr="0047462D" w:rsidRDefault="00775B6E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BC194" w14:textId="5C2B621B" w:rsidR="0008635E" w:rsidRPr="0047462D" w:rsidRDefault="0008635E" w:rsidP="00F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  <w:r w:rsidRPr="0047462D">
        <w:rPr>
          <w:rFonts w:ascii="Times New Roman" w:hAnsi="Times New Roman" w:cs="Times New Roman"/>
          <w:b/>
          <w:sz w:val="24"/>
          <w:szCs w:val="24"/>
          <w:lang w:val="sq-AL"/>
        </w:rPr>
        <w:t xml:space="preserve">Faza 2: </w:t>
      </w:r>
      <w:r w:rsidRPr="004746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 xml:space="preserve">Identifikimi dhe analizimi </w:t>
      </w:r>
      <w:r w:rsidR="00E6286E" w:rsidRPr="004746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 </w:t>
      </w:r>
      <w:r w:rsidRPr="0047462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  <w:t>risqeve të integritetit</w:t>
      </w:r>
    </w:p>
    <w:p w14:paraId="776E1265" w14:textId="77777777" w:rsidR="0008635E" w:rsidRPr="0047462D" w:rsidRDefault="0008635E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4C49F68" w14:textId="27729CEC" w:rsidR="004C2C0B" w:rsidRPr="0047462D" w:rsidRDefault="004C2C0B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2D">
        <w:rPr>
          <w:rFonts w:ascii="Times New Roman" w:hAnsi="Times New Roman" w:cs="Times New Roman"/>
          <w:sz w:val="24"/>
          <w:szCs w:val="24"/>
        </w:rPr>
        <w:t>Në këtë fazë Grupi i Punës dhe ekipi i ekspertëve të IDM</w:t>
      </w:r>
      <w:r w:rsidR="008E6021" w:rsidRPr="0047462D">
        <w:rPr>
          <w:rFonts w:ascii="Times New Roman" w:hAnsi="Times New Roman" w:cs="Times New Roman"/>
          <w:sz w:val="24"/>
          <w:szCs w:val="24"/>
        </w:rPr>
        <w:t>-s</w:t>
      </w:r>
      <w:r w:rsidR="008E6021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</w:rPr>
        <w:t xml:space="preserve"> kryen identifikimin dhe analizimin e risqeve të integritetit. Ky proces përfshiu vlerësimin e kuadrit të brendshëm rregullator të bashkisë, realizimin e 7 grupeve të diskutimit (fokus-grupe) me përfaqësues të drejtorive të ndryshme dhe administrimin e një pyetësori elektronik anonim me punonjësit e institucionit. Grupi i Punës përdori të dhënat e mbledhura dhe analizën cilësore për të vlerësuar situatën aktuale të ekspozimit të bashkisë ndaj korrupsionit dhe parregullsive të tjera.</w:t>
      </w:r>
    </w:p>
    <w:p w14:paraId="16243638" w14:textId="77777777" w:rsidR="008F55A9" w:rsidRPr="0047462D" w:rsidRDefault="008F55A9" w:rsidP="00F6763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0640C93B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q-AL"/>
        </w:rPr>
      </w:pPr>
    </w:p>
    <w:p w14:paraId="7E748976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62D">
        <w:rPr>
          <w:rFonts w:ascii="Times New Roman" w:hAnsi="Times New Roman" w:cs="Times New Roman"/>
          <w:b/>
          <w:bCs/>
          <w:sz w:val="24"/>
          <w:szCs w:val="24"/>
        </w:rPr>
        <w:t xml:space="preserve">Faza 3: Vlerësimi i risqeve të integritetit </w:t>
      </w:r>
    </w:p>
    <w:p w14:paraId="57CA7A70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7FD39" w14:textId="004327D3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2D">
        <w:rPr>
          <w:rFonts w:ascii="Times New Roman" w:hAnsi="Times New Roman" w:cs="Times New Roman"/>
          <w:sz w:val="24"/>
          <w:szCs w:val="24"/>
        </w:rPr>
        <w:t>Grupi i Punës në bashki me asistencën teknike të ekspertëve të IDM</w:t>
      </w:r>
      <w:r w:rsidR="008E6021" w:rsidRPr="0047462D">
        <w:rPr>
          <w:rFonts w:ascii="Times New Roman" w:hAnsi="Times New Roman" w:cs="Times New Roman"/>
          <w:sz w:val="24"/>
          <w:szCs w:val="24"/>
        </w:rPr>
        <w:t>-s</w:t>
      </w:r>
      <w:r w:rsidR="008E6021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</w:rPr>
        <w:t xml:space="preserve"> kreu vlerësimin e intesitetit të risqeve të integritetit të identifkuara në fazën e mëparshme, duke marrë në konsideratë mundësinë e ndodhjes apo shfaqjes së risqeve</w:t>
      </w:r>
      <w:r w:rsidR="008E6021" w:rsidRPr="0047462D">
        <w:rPr>
          <w:rFonts w:ascii="Times New Roman" w:hAnsi="Times New Roman" w:cs="Times New Roman"/>
          <w:sz w:val="24"/>
          <w:szCs w:val="24"/>
        </w:rPr>
        <w:t>,</w:t>
      </w:r>
      <w:r w:rsidRPr="0047462D">
        <w:rPr>
          <w:rFonts w:ascii="Times New Roman" w:hAnsi="Times New Roman" w:cs="Times New Roman"/>
          <w:sz w:val="24"/>
          <w:szCs w:val="24"/>
        </w:rPr>
        <w:t xml:space="preserve"> si dhe impaktin e tyre në integritetin e bashkisë. Në këtë fazë u vlerësua</w:t>
      </w:r>
      <w:r w:rsidR="004205EA" w:rsidRPr="0047462D">
        <w:rPr>
          <w:rFonts w:ascii="Times New Roman" w:hAnsi="Times New Roman" w:cs="Times New Roman"/>
          <w:sz w:val="24"/>
          <w:szCs w:val="24"/>
        </w:rPr>
        <w:t>n</w:t>
      </w:r>
      <w:r w:rsidRPr="0047462D">
        <w:rPr>
          <w:rFonts w:ascii="Times New Roman" w:hAnsi="Times New Roman" w:cs="Times New Roman"/>
          <w:sz w:val="24"/>
          <w:szCs w:val="24"/>
        </w:rPr>
        <w:t xml:space="preserve"> cilat risqe janë relevante në kontekstin e bashkisë për t</w:t>
      </w:r>
      <w:r w:rsidR="008E6021" w:rsidRPr="0047462D">
        <w:rPr>
          <w:rFonts w:ascii="Times New Roman" w:hAnsi="Times New Roman" w:cs="Times New Roman"/>
          <w:sz w:val="24"/>
          <w:szCs w:val="24"/>
        </w:rPr>
        <w:t>’</w:t>
      </w:r>
      <w:r w:rsidRPr="0047462D">
        <w:rPr>
          <w:rFonts w:ascii="Times New Roman" w:hAnsi="Times New Roman" w:cs="Times New Roman"/>
          <w:sz w:val="24"/>
          <w:szCs w:val="24"/>
        </w:rPr>
        <w:t>u trajtuar me masat</w:t>
      </w:r>
      <w:r w:rsidR="004205EA" w:rsidRPr="0047462D">
        <w:rPr>
          <w:rFonts w:ascii="Times New Roman" w:hAnsi="Times New Roman" w:cs="Times New Roman"/>
          <w:sz w:val="24"/>
          <w:szCs w:val="24"/>
        </w:rPr>
        <w:t xml:space="preserve"> e kontrollit </w:t>
      </w:r>
      <w:r w:rsidRPr="0047462D">
        <w:rPr>
          <w:rFonts w:ascii="Times New Roman" w:hAnsi="Times New Roman" w:cs="Times New Roman"/>
          <w:sz w:val="24"/>
          <w:szCs w:val="24"/>
        </w:rPr>
        <w:t>përkatës. Procesi vijoi me renditjen e risqeve sipas prioritetit dhe u përcaktua se cilat prej tyre do të ndiqen me përparësi duke vënë në dispozicion burimet ekzistuese të bashkisë për trajtimin e tyre.</w:t>
      </w:r>
    </w:p>
    <w:p w14:paraId="4C4A21B6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C3130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62D">
        <w:rPr>
          <w:rFonts w:ascii="Times New Roman" w:hAnsi="Times New Roman" w:cs="Times New Roman"/>
          <w:b/>
          <w:sz w:val="24"/>
          <w:szCs w:val="24"/>
        </w:rPr>
        <w:t>Faza 4: Plani i veprimit për menaxhimin e integritetit dhe miratimi</w:t>
      </w:r>
    </w:p>
    <w:p w14:paraId="2FF7D1C2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36D8B7" w14:textId="300101B2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62D">
        <w:rPr>
          <w:rFonts w:ascii="Times New Roman" w:hAnsi="Times New Roman" w:cs="Times New Roman"/>
          <w:sz w:val="24"/>
          <w:szCs w:val="24"/>
        </w:rPr>
        <w:t>Grupi i Punës propozoi masa kontrolli, rekomandime dhe aktivitete për adresimin e risqeve të integritetit me qëllim parandalimin, zvog</w:t>
      </w:r>
      <w:r w:rsidR="008E6021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</w:rPr>
        <w:t>limin dhe el</w:t>
      </w:r>
      <w:r w:rsidR="008E6021" w:rsidRPr="0047462D">
        <w:rPr>
          <w:rFonts w:ascii="Times New Roman" w:hAnsi="Times New Roman" w:cs="Times New Roman"/>
          <w:sz w:val="24"/>
          <w:szCs w:val="24"/>
        </w:rPr>
        <w:t>i</w:t>
      </w:r>
      <w:r w:rsidRPr="0047462D">
        <w:rPr>
          <w:rFonts w:ascii="Times New Roman" w:hAnsi="Times New Roman" w:cs="Times New Roman"/>
          <w:sz w:val="24"/>
          <w:szCs w:val="24"/>
        </w:rPr>
        <w:t xml:space="preserve">minimin e tyre. Në këtë fazë u përcaktuan strukturat përgjegjëse në bashki për zbatimin e masave të kontrollit si dhe afatet kohore për zbatimin e tyre. </w:t>
      </w:r>
    </w:p>
    <w:p w14:paraId="4024CB22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1AB58" w14:textId="77777777" w:rsidR="00913250" w:rsidRPr="0047462D" w:rsidRDefault="00913250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74090" w14:textId="77777777" w:rsidR="005552AA" w:rsidRPr="0047462D" w:rsidRDefault="005552AA" w:rsidP="00F67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b/>
          <w:sz w:val="24"/>
          <w:szCs w:val="24"/>
          <w:lang w:val="sq-AL"/>
        </w:rPr>
        <w:t>1.2 Qasja metodologjike</w:t>
      </w:r>
    </w:p>
    <w:p w14:paraId="352495E0" w14:textId="77777777" w:rsidR="005552AA" w:rsidRPr="0047462D" w:rsidRDefault="005552AA" w:rsidP="00F676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79689BE" w14:textId="0162BA82" w:rsidR="00775B6E" w:rsidRPr="0047462D" w:rsidRDefault="005552AA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Grupi i punës, në procesin e zhvillimit të planit të integritetit, ka zbatuar dy metoda kryesore për të analizuar dhe vlerësuar c</w:t>
      </w:r>
      <w:r w:rsidR="008E6021" w:rsidRPr="0047462D">
        <w:rPr>
          <w:rFonts w:ascii="Times New Roman" w:hAnsi="Times New Roman" w:cs="Times New Roman"/>
          <w:sz w:val="24"/>
          <w:szCs w:val="24"/>
        </w:rPr>
        <w:t>e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nueshmërinë e integritetit: metoda cilësore dhe ajo sasiore. </w:t>
      </w:r>
    </w:p>
    <w:p w14:paraId="452F0FEC" w14:textId="77777777" w:rsidR="00775B6E" w:rsidRPr="0047462D" w:rsidRDefault="00775B6E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22799FB" w14:textId="33207172" w:rsidR="003504BA" w:rsidRPr="0047462D" w:rsidRDefault="009F3896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7462D">
        <w:rPr>
          <w:rFonts w:ascii="Times New Roman" w:hAnsi="Times New Roman" w:cs="Times New Roman"/>
          <w:sz w:val="24"/>
          <w:szCs w:val="24"/>
          <w:lang w:val="el-GR"/>
        </w:rPr>
        <w:t>Shqyrtimi i literatur</w:t>
      </w:r>
      <w:r w:rsidR="00606FCF" w:rsidRPr="0047462D">
        <w:rPr>
          <w:rFonts w:ascii="Times New Roman" w:hAnsi="Times New Roman" w:cs="Times New Roman"/>
          <w:sz w:val="24"/>
          <w:szCs w:val="24"/>
          <w:lang w:val="el-GR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el-GR"/>
        </w:rPr>
        <w:t>s p</w:t>
      </w:r>
      <w:r w:rsidR="005552AA" w:rsidRPr="0047462D">
        <w:rPr>
          <w:rFonts w:ascii="Times New Roman" w:hAnsi="Times New Roman" w:cs="Times New Roman"/>
          <w:sz w:val="24"/>
          <w:szCs w:val="24"/>
          <w:lang w:val="sq-AL"/>
        </w:rPr>
        <w:t>ërfshi</w:t>
      </w:r>
      <w:r w:rsidRPr="0047462D">
        <w:rPr>
          <w:rFonts w:ascii="Times New Roman" w:hAnsi="Times New Roman" w:cs="Times New Roman"/>
          <w:sz w:val="24"/>
          <w:szCs w:val="24"/>
          <w:lang w:val="el-GR"/>
        </w:rPr>
        <w:t>u:</w:t>
      </w:r>
    </w:p>
    <w:p w14:paraId="244B256D" w14:textId="77777777" w:rsidR="009F3896" w:rsidRPr="0047462D" w:rsidRDefault="00A31061" w:rsidP="00F67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</w:rPr>
        <w:t>S</w:t>
      </w:r>
      <w:r w:rsidRPr="0047462D">
        <w:rPr>
          <w:rFonts w:ascii="Times New Roman" w:hAnsi="Times New Roman" w:cs="Times New Roman"/>
          <w:sz w:val="24"/>
          <w:szCs w:val="24"/>
          <w:lang w:val="el-GR"/>
        </w:rPr>
        <w:t xml:space="preserve">tudimin </w:t>
      </w:r>
      <w:r w:rsidR="009F3896" w:rsidRPr="0047462D">
        <w:rPr>
          <w:rFonts w:ascii="Times New Roman" w:hAnsi="Times New Roman" w:cs="Times New Roman"/>
          <w:sz w:val="24"/>
          <w:szCs w:val="24"/>
          <w:lang w:val="el-GR"/>
        </w:rPr>
        <w:t xml:space="preserve">e 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>kuadri</w:t>
      </w:r>
      <w:r w:rsidR="009F3896" w:rsidRPr="0047462D">
        <w:rPr>
          <w:rFonts w:ascii="Times New Roman" w:hAnsi="Times New Roman" w:cs="Times New Roman"/>
          <w:sz w:val="24"/>
          <w:szCs w:val="24"/>
          <w:lang w:val="el-GR"/>
        </w:rPr>
        <w:t>t t</w:t>
      </w:r>
      <w:r w:rsidR="00606FCF" w:rsidRPr="0047462D">
        <w:rPr>
          <w:rFonts w:ascii="Times New Roman" w:hAnsi="Times New Roman" w:cs="Times New Roman"/>
          <w:sz w:val="24"/>
          <w:szCs w:val="24"/>
          <w:lang w:val="el-GR"/>
        </w:rPr>
        <w:t>ë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brendshëm rregullator të bashkisë </w:t>
      </w:r>
      <w:r w:rsidR="00646F71" w:rsidRPr="0047462D">
        <w:rPr>
          <w:rFonts w:ascii="Times New Roman" w:hAnsi="Times New Roman" w:cs="Times New Roman"/>
          <w:sz w:val="24"/>
          <w:szCs w:val="24"/>
          <w:lang w:val="sq-AL"/>
        </w:rPr>
        <w:t>duke p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46F71" w:rsidRPr="0047462D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>: urdhra, manuale, dokument</w:t>
      </w:r>
      <w:r w:rsidR="009F3896" w:rsidRPr="0047462D">
        <w:rPr>
          <w:rFonts w:ascii="Times New Roman" w:hAnsi="Times New Roman" w:cs="Times New Roman"/>
          <w:sz w:val="24"/>
          <w:szCs w:val="24"/>
          <w:lang w:val="el-GR"/>
        </w:rPr>
        <w:t>e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politikash, rregullore dhe akte të brendshme;</w:t>
      </w:r>
    </w:p>
    <w:p w14:paraId="71E78802" w14:textId="4399C2A7" w:rsidR="009F3896" w:rsidRPr="0047462D" w:rsidRDefault="00A31061" w:rsidP="00F67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</w:rPr>
        <w:t xml:space="preserve">Studimin </w:t>
      </w:r>
      <w:r w:rsidR="009F3896" w:rsidRPr="0047462D">
        <w:rPr>
          <w:rFonts w:ascii="Times New Roman" w:hAnsi="Times New Roman" w:cs="Times New Roman"/>
          <w:sz w:val="24"/>
          <w:szCs w:val="24"/>
        </w:rPr>
        <w:t>e r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>aporte</w:t>
      </w:r>
      <w:r w:rsidR="009F3896" w:rsidRPr="0047462D">
        <w:rPr>
          <w:rFonts w:ascii="Times New Roman" w:hAnsi="Times New Roman" w:cs="Times New Roman"/>
          <w:sz w:val="24"/>
          <w:szCs w:val="24"/>
        </w:rPr>
        <w:t xml:space="preserve">ve 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F974DD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>ndryshme mbi veprimtarinë e bashkisë, ose studime mbi qeverisjen vendore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duke p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rfshir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: Raporte 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ontrollit 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art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htetit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, K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omisionerit p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bik</w:t>
      </w:r>
      <w:r w:rsidR="008E6021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qyrjen e 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rbimit </w:t>
      </w:r>
      <w:r w:rsidR="00FA3811" w:rsidRPr="0047462D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0C2394" w:rsidRPr="0047462D">
        <w:rPr>
          <w:rFonts w:ascii="Times New Roman" w:hAnsi="Times New Roman" w:cs="Times New Roman"/>
          <w:sz w:val="24"/>
          <w:szCs w:val="24"/>
          <w:lang w:val="sq-AL"/>
        </w:rPr>
        <w:t>ivil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5A59A485" w14:textId="77777777" w:rsidR="009F3896" w:rsidRPr="0047462D" w:rsidRDefault="00036D27" w:rsidP="00F67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Monitorimin</w:t>
      </w:r>
      <w:r w:rsidR="00A31061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F3896" w:rsidRPr="0047462D">
        <w:rPr>
          <w:rFonts w:ascii="Times New Roman" w:hAnsi="Times New Roman" w:cs="Times New Roman"/>
          <w:sz w:val="24"/>
          <w:szCs w:val="24"/>
          <w:lang w:val="sq-AL"/>
        </w:rPr>
        <w:t>e faqes zyrtare të bashkisë, programit të transparencës, regjistrit të kërkesave dhe përgjigjeve etj.</w:t>
      </w:r>
    </w:p>
    <w:p w14:paraId="3C095C75" w14:textId="77777777" w:rsidR="009F3896" w:rsidRPr="0047462D" w:rsidRDefault="009F3896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2CBBAF" w14:textId="5D8E463C" w:rsidR="005552AA" w:rsidRPr="0047462D" w:rsidRDefault="005552AA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Në vijim</w:t>
      </w:r>
      <w:r w:rsidRPr="0047462D">
        <w:rPr>
          <w:rFonts w:ascii="Times New Roman" w:hAnsi="Times New Roman" w:cs="Times New Roman"/>
          <w:sz w:val="24"/>
          <w:szCs w:val="24"/>
        </w:rPr>
        <w:t>,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është kryer analizimi i të dhënave nga </w:t>
      </w:r>
      <w:r w:rsidR="008E6021" w:rsidRPr="0047462D">
        <w:rPr>
          <w:rFonts w:ascii="Times New Roman" w:hAnsi="Times New Roman" w:cs="Times New Roman"/>
          <w:sz w:val="24"/>
          <w:szCs w:val="24"/>
        </w:rPr>
        <w:t>focus-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grupet me stafin e bashkisë. Takimet e fokusuara shërbyen për të identifikuar ngjarje negative në realizimin e proceseve të punës, praktika pune dhe funksione të cilat janё tё ekspozuara ndaj shkeljeve të integritetit, sjellje joetike e joprofesionale dhe parregullsi të tjera. </w:t>
      </w:r>
    </w:p>
    <w:p w14:paraId="252917D8" w14:textId="77777777" w:rsidR="00842F76" w:rsidRPr="0047462D" w:rsidRDefault="00842F76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848932" w14:textId="2ED7BFA8" w:rsidR="005552AA" w:rsidRPr="0047462D" w:rsidRDefault="00842F76" w:rsidP="00F676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Proceset</w:t>
      </w:r>
      <w:r w:rsidR="004205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n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205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nproceset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 punës që u morën në analizë</w:t>
      </w:r>
      <w:r w:rsidR="004205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205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 identifikimin dhe analizimin e risqeve t</w:t>
      </w:r>
      <w:r w:rsidR="00120CAB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205E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integritetit 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 përkasin shtatë fushave të veprimtaris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</w:t>
      </w:r>
      <w:r w:rsidR="00606FC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bashkisë, të pasqyruara 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>në dokumentin e Metodologjisë së Vlerësimit të Riskut të Integritetit për Njësitë e Vetëqeverisjes Vendore</w:t>
      </w:r>
      <w:r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Pr="0047462D">
        <w:rPr>
          <w:rFonts w:ascii="Times New Roman" w:eastAsiaTheme="majorEastAsia" w:hAnsi="Times New Roman" w:cs="Times New Roman"/>
          <w:sz w:val="24"/>
          <w:szCs w:val="24"/>
          <w:lang w:val="sq-AL"/>
        </w:rPr>
        <w:t>Fusha e menaxhimit financiar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  <w:r w:rsidR="008C22A6"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B02DFC" w:rsidRPr="0047462D">
        <w:rPr>
          <w:rFonts w:ascii="Times New Roman" w:eastAsia="Calibri" w:hAnsi="Times New Roman" w:cs="Times New Roman"/>
          <w:sz w:val="24"/>
          <w:szCs w:val="24"/>
        </w:rPr>
        <w:t>F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menaxhimit të burimeve njerëzore; </w:t>
      </w:r>
      <w:r w:rsidR="00B02DFC" w:rsidRPr="0047462D">
        <w:rPr>
          <w:rFonts w:ascii="Times New Roman" w:eastAsia="Calibri" w:hAnsi="Times New Roman" w:cs="Times New Roman"/>
          <w:sz w:val="24"/>
          <w:szCs w:val="24"/>
        </w:rPr>
        <w:t>F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kontrollit, auditimit dhe </w:t>
      </w:r>
      <w:r w:rsidR="008E6021" w:rsidRPr="0047462D">
        <w:rPr>
          <w:rFonts w:ascii="Times New Roman" w:eastAsia="Calibri" w:hAnsi="Times New Roman" w:cs="Times New Roman"/>
          <w:sz w:val="24"/>
          <w:szCs w:val="24"/>
        </w:rPr>
        <w:t>e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mekanizmave kundër korrupsionit; </w:t>
      </w:r>
      <w:r w:rsidR="00B02DFC" w:rsidRPr="0047462D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</w:t>
      </w:r>
      <w:r w:rsidR="00B02DFC" w:rsidRPr="0047462D">
        <w:rPr>
          <w:rFonts w:ascii="Times New Roman" w:eastAsia="Calibri" w:hAnsi="Times New Roman" w:cs="Times New Roman"/>
          <w:sz w:val="24"/>
          <w:szCs w:val="24"/>
        </w:rPr>
        <w:t>F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>usha e administrimit dhe menaxhimit të pronave;</w:t>
      </w:r>
      <w:r w:rsidR="008C22A6"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B02DFC" w:rsidRPr="0047462D">
        <w:rPr>
          <w:rFonts w:ascii="Times New Roman" w:eastAsia="Calibri" w:hAnsi="Times New Roman" w:cs="Times New Roman"/>
          <w:sz w:val="24"/>
          <w:szCs w:val="24"/>
        </w:rPr>
        <w:t>F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>usha e planifikimit, administrimit dhe zhvillimit të territorit;</w:t>
      </w:r>
      <w:r w:rsidR="008C22A6"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B02DFC" w:rsidRPr="0047462D">
        <w:rPr>
          <w:rFonts w:ascii="Times New Roman" w:eastAsia="Calibri" w:hAnsi="Times New Roman" w:cs="Times New Roman"/>
          <w:sz w:val="24"/>
          <w:szCs w:val="24"/>
        </w:rPr>
        <w:t>F</w:t>
      </w:r>
      <w:r w:rsidRPr="0047462D">
        <w:rPr>
          <w:rFonts w:ascii="Times New Roman" w:eastAsia="Calibri" w:hAnsi="Times New Roman" w:cs="Times New Roman"/>
          <w:sz w:val="24"/>
          <w:szCs w:val="24"/>
          <w:lang w:val="sq-AL"/>
        </w:rPr>
        <w:t>usha e arkivimit, ruajtjes, administrimit të dokumenteve dhe informacionit, si dhe të dokumenteve elektronike.</w:t>
      </w:r>
    </w:p>
    <w:p w14:paraId="5B9000D4" w14:textId="77777777" w:rsidR="00842F76" w:rsidRPr="0047462D" w:rsidRDefault="00842F76" w:rsidP="00F6763C">
      <w:pPr>
        <w:pStyle w:val="ListParagraph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7CB1A9" w14:textId="180BBD70" w:rsidR="00A566CD" w:rsidRPr="0047462D" w:rsidRDefault="005552AA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Metoda tjetër e përdorur ishte ajo sasiore, përmes vlerësimit me anё tё njё pyetësori të strukturuar që pë</w:t>
      </w:r>
      <w:r w:rsidR="009F3896" w:rsidRPr="0047462D">
        <w:rPr>
          <w:rFonts w:ascii="Times New Roman" w:hAnsi="Times New Roman" w:cs="Times New Roman"/>
          <w:sz w:val="24"/>
          <w:szCs w:val="24"/>
        </w:rPr>
        <w:t>r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fshinte pyetje mbi çështje të veçanta të integritetit dhe etikës në institucion. Pyetësori është një mjet shumë i rëndësishëm për mbledhjen e të dhënave të sakta dhe të kuantifikuara të risqeve të integritetit për aspekte të veçanta të integritetit në  bashki. Këtij pyetësori punonjësit e bashkisë iu përgjigjën në mënyrë anonime. A</w:t>
      </w:r>
      <w:r w:rsidR="005D4708" w:rsidRPr="0047462D">
        <w:rPr>
          <w:rFonts w:ascii="Times New Roman" w:hAnsi="Times New Roman" w:cs="Times New Roman"/>
          <w:sz w:val="24"/>
          <w:szCs w:val="24"/>
          <w:lang w:val="sq-AL"/>
        </w:rPr>
        <w:t>nketimi përfshiu një kampion me</w:t>
      </w:r>
      <w:r w:rsidR="005B5579" w:rsidRPr="0047462D">
        <w:rPr>
          <w:rFonts w:ascii="Times New Roman" w:hAnsi="Times New Roman" w:cs="Times New Roman"/>
          <w:sz w:val="24"/>
          <w:szCs w:val="24"/>
        </w:rPr>
        <w:t xml:space="preserve"> 66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punonjës të institucionit me një nivel statistikor besueshmërie 95%. Shkalla e vlerësuar e gabimit është +/- 6 %. 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Demografia e kampionit ka në përbërje shpërndarjen gjinore, moshore dhe të vjetërsisë në profesion të 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lastRenderedPageBreak/>
        <w:t>popullatës së synuar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. Të anketuarit meshkuj përbëjnë </w:t>
      </w:r>
      <w:r w:rsidR="00F80948" w:rsidRPr="0047462D">
        <w:rPr>
          <w:rFonts w:ascii="Times New Roman" w:hAnsi="Times New Roman" w:cs="Times New Roman"/>
          <w:sz w:val="24"/>
          <w:szCs w:val="24"/>
          <w:lang w:val="sq-AL"/>
        </w:rPr>
        <w:t>45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80948" w:rsidRPr="0047462D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të kampionit krahasuar me punonjëset gra që janë</w:t>
      </w:r>
      <w:r w:rsidR="005B5579" w:rsidRPr="0047462D">
        <w:rPr>
          <w:rFonts w:ascii="Times New Roman" w:hAnsi="Times New Roman" w:cs="Times New Roman"/>
          <w:sz w:val="24"/>
          <w:szCs w:val="24"/>
        </w:rPr>
        <w:t xml:space="preserve"> 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t>54.7%</w:t>
      </w:r>
      <w:r w:rsidR="005B5579" w:rsidRPr="0047462D">
        <w:rPr>
          <w:rFonts w:ascii="Times New Roman" w:hAnsi="Times New Roman" w:cs="Times New Roman"/>
          <w:sz w:val="24"/>
          <w:szCs w:val="24"/>
        </w:rPr>
        <w:t>.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Punonjësit e moshës 26-35 vjeç kanë përqindjen më të madhe në kampion me 4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t>0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B5579" w:rsidRPr="0047462D">
        <w:rPr>
          <w:rFonts w:ascii="Times New Roman" w:hAnsi="Times New Roman" w:cs="Times New Roman"/>
          <w:sz w:val="24"/>
          <w:szCs w:val="24"/>
          <w:lang w:val="sq-AL"/>
        </w:rPr>
        <w:t>9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r w:rsidR="00881C4E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1C4E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anketuarit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në moshë 36-45 vjeç përbëjnë 2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.2% të kampionit. Kategoria e grup</w:t>
      </w:r>
      <w:r w:rsidR="00543F68" w:rsidRPr="0047462D">
        <w:rPr>
          <w:rFonts w:ascii="Times New Roman" w:hAnsi="Times New Roman" w:cs="Times New Roman"/>
          <w:sz w:val="24"/>
          <w:szCs w:val="24"/>
        </w:rPr>
        <w:t>-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moshës 46-55 vjeç përfaqësojnë 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24.2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% të kampionit. 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rkoh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dy kategorit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(m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rinjt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) deri n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mosh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n 25 vjeç p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10.6%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anketuarve dhe (m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vjetrit) mbi mosh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n 56 vjeç p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jn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vet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>m 3% t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AF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kampionit. </w:t>
      </w:r>
    </w:p>
    <w:p w14:paraId="50B888C5" w14:textId="64C6445C" w:rsidR="00A566CD" w:rsidRPr="0047462D" w:rsidRDefault="00A566CD" w:rsidP="00F6763C">
      <w:pPr>
        <w:spacing w:before="100" w:beforeAutospacing="1" w:after="0" w:afterAutospacing="1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7462D">
        <w:rPr>
          <w:rFonts w:ascii="Times New Roman" w:eastAsiaTheme="minorHAnsi" w:hAnsi="Times New Roman" w:cs="Times New Roman"/>
          <w:b/>
          <w:sz w:val="24"/>
          <w:szCs w:val="24"/>
        </w:rPr>
        <w:t xml:space="preserve">2. </w:t>
      </w:r>
      <w:r w:rsidRPr="0047462D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Objektivat e identifikuara dhe niveli i përgjithshëm i c</w:t>
      </w:r>
      <w:r w:rsidR="00543F68" w:rsidRPr="0047462D">
        <w:rPr>
          <w:rFonts w:ascii="Times New Roman" w:eastAsiaTheme="minorHAnsi" w:hAnsi="Times New Roman" w:cs="Times New Roman"/>
          <w:b/>
          <w:sz w:val="24"/>
          <w:szCs w:val="24"/>
        </w:rPr>
        <w:t>e</w:t>
      </w:r>
      <w:r w:rsidRPr="0047462D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nueshmërisë së integritetit</w:t>
      </w:r>
    </w:p>
    <w:p w14:paraId="5263C861" w14:textId="57A1E520" w:rsidR="00A566CD" w:rsidRPr="0047462D" w:rsidRDefault="00A566CD" w:rsidP="00F6763C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Plani i Integritetit për </w:t>
      </w:r>
      <w:r w:rsidR="00E6286E" w:rsidRPr="0047462D">
        <w:rPr>
          <w:rFonts w:ascii="Times New Roman" w:hAnsi="Times New Roman" w:cs="Times New Roman"/>
          <w:sz w:val="24"/>
          <w:szCs w:val="24"/>
        </w:rPr>
        <w:t>B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ashkinë Himar</w:t>
      </w:r>
      <w:r w:rsidR="007B17B6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për periudhën 2022–2025 synon p</w:t>
      </w:r>
      <w:r w:rsidR="007B17B6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rmbushjen e  objektivave t</w:t>
      </w:r>
      <w:r w:rsidR="007B17B6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7B17B6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posht</w:t>
      </w:r>
      <w:r w:rsidR="007B17B6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m, përmes zbatimit të masave përkatëse, nga 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funk</w:t>
      </w:r>
      <w:r w:rsidR="00E6286E" w:rsidRPr="0047462D">
        <w:rPr>
          <w:rFonts w:ascii="Times New Roman" w:hAnsi="Times New Roman" w:cs="Times New Roman"/>
          <w:sz w:val="24"/>
          <w:szCs w:val="24"/>
        </w:rPr>
        <w:t>s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ionet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/strukturat përgjegjëse</w:t>
      </w:r>
      <w:r w:rsidR="00D032F0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brenda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afati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kohor të p</w:t>
      </w:r>
      <w:r w:rsidR="007B17B6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rcaktuar.</w:t>
      </w:r>
    </w:p>
    <w:p w14:paraId="590B10C5" w14:textId="78DFD6D6" w:rsidR="00A4741A" w:rsidRPr="0047462D" w:rsidRDefault="00A566CD" w:rsidP="00F6763C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Objektivat e planit synojnë të hedhin hapat e parë në 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konsolidimin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e sistemit të menaxhimit të integritetit në bashki duke 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rregull</w:t>
      </w:r>
      <w:r w:rsidR="00E6286E" w:rsidRPr="0047462D">
        <w:rPr>
          <w:rFonts w:ascii="Times New Roman" w:hAnsi="Times New Roman" w:cs="Times New Roman"/>
          <w:sz w:val="24"/>
          <w:szCs w:val="24"/>
        </w:rPr>
        <w:t>u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ar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aspekte të punës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, kuadrit rregullator si dhe duke zhvilluar burimet njer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zor</w:t>
      </w:r>
      <w:r w:rsidR="00D032F0" w:rsidRPr="0047462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me synimin p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përmirës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integritetin dhe forc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uar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rezistencë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instituciona</w:t>
      </w:r>
      <w:r w:rsidR="004205EA" w:rsidRPr="0047462D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e ndaj shkeljeve të </w:t>
      </w:r>
      <w:r w:rsidR="00BF58D3" w:rsidRPr="0047462D">
        <w:rPr>
          <w:rFonts w:ascii="Times New Roman" w:hAnsi="Times New Roman" w:cs="Times New Roman"/>
          <w:sz w:val="24"/>
          <w:szCs w:val="24"/>
          <w:lang w:val="sq-AL"/>
        </w:rPr>
        <w:t>tij.</w:t>
      </w:r>
    </w:p>
    <w:p w14:paraId="4CF3EAF0" w14:textId="52B036C7" w:rsidR="00D032F0" w:rsidRPr="0047462D" w:rsidRDefault="00D032F0" w:rsidP="00F6763C">
      <w:pPr>
        <w:pStyle w:val="NormalWeb"/>
        <w:numPr>
          <w:ilvl w:val="1"/>
          <w:numId w:val="18"/>
        </w:numPr>
        <w:spacing w:after="160"/>
        <w:jc w:val="both"/>
        <w:rPr>
          <w:rFonts w:eastAsiaTheme="minorHAnsi"/>
          <w:i/>
          <w:iCs/>
          <w:lang w:val="sq-AL"/>
        </w:rPr>
      </w:pPr>
      <w:r w:rsidRPr="0047462D">
        <w:rPr>
          <w:i/>
          <w:iCs/>
          <w:lang w:val="sq-AL"/>
        </w:rPr>
        <w:t>Menaxhimi i burimeve njerëzore t</w:t>
      </w:r>
      <w:r w:rsidR="00120CAB" w:rsidRPr="0047462D">
        <w:rPr>
          <w:i/>
          <w:iCs/>
          <w:lang w:val="sq-AL"/>
        </w:rPr>
        <w:t>ë</w:t>
      </w:r>
      <w:r w:rsidRPr="0047462D">
        <w:rPr>
          <w:i/>
          <w:iCs/>
          <w:lang w:val="sq-AL"/>
        </w:rPr>
        <w:t xml:space="preserve"> bashkis</w:t>
      </w:r>
      <w:r w:rsidR="00120CAB" w:rsidRPr="0047462D">
        <w:rPr>
          <w:i/>
          <w:iCs/>
          <w:lang w:val="sq-AL"/>
        </w:rPr>
        <w:t>ë</w:t>
      </w:r>
      <w:r w:rsidRPr="0047462D">
        <w:rPr>
          <w:i/>
          <w:iCs/>
          <w:lang w:val="sq-AL"/>
        </w:rPr>
        <w:t xml:space="preserve"> me qëllim forcimin e rezistencës institucionale ndaj shkeljeve të integritetit.</w:t>
      </w:r>
    </w:p>
    <w:p w14:paraId="402FE267" w14:textId="61ED8824" w:rsidR="00A4741A" w:rsidRPr="0047462D" w:rsidRDefault="00D331C8" w:rsidP="00F6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Profesionalizmi dhe integriteti i </w:t>
      </w:r>
      <w:r w:rsidR="00D032F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administrat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032F0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vendore dhe aftësia për të funksionuar në mënyrë transparente, llogaridhënëse dhe të përgjegjshme do të</w:t>
      </w:r>
      <w:r w:rsidR="00DD5DE3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5DE3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rmir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5DE3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soj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5DE3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5DE3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sin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D5DE3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efektivitetin e ofrimit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shërbimeve publike</w:t>
      </w:r>
      <w:r w:rsidR="00AA2728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AA2728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qytetarët.</w:t>
      </w:r>
      <w:r w:rsidR="0071385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kuad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7138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>bjektivi i par</w:t>
      </w:r>
      <w:r w:rsidR="00F80549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 Planit të Integritetit të </w:t>
      </w:r>
      <w:r w:rsidR="00027D7E" w:rsidRPr="0047462D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713859" w:rsidRPr="0047462D">
        <w:rPr>
          <w:rFonts w:ascii="Times New Roman" w:hAnsi="Times New Roman" w:cs="Times New Roman"/>
          <w:sz w:val="24"/>
          <w:szCs w:val="24"/>
          <w:lang w:val="sq-AL"/>
        </w:rPr>
        <w:t>ashkis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7CDE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Himar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37CDE" w:rsidRPr="0047462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synon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zhvillimin 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>e burimeve njerëzore në bashki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me q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llim p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rgatitjen e nj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administrate vendore 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aft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 dhe me njohurit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e duhura p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menaxhuar risqet e integritetit 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bashki. Nga </w:t>
      </w:r>
      <w:r w:rsidR="00147D9A" w:rsidRPr="0047462D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na tjet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r, p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ërmirësimi i proceseve të menaxhimit të burimeve njerëzore në institucion, do të sigurojë 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konsolidimin e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mekanizma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="00A4741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garantues të integritetit në institucion, me qëllim rritjen e profesionalizimit të personelit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. M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tej identifikimi i nevojave specifike t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personelit p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r trajnim dhe planifikimi i brendsh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m i aktiviteteve p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ngritjen 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e kapaciteteve</w:t>
      </w:r>
      <w:r w:rsidR="009A521C" w:rsidRPr="0047462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906216" w:rsidRPr="0047462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rritjen e performanc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B41E42" w:rsidRPr="0047462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1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41E42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47D9A" w:rsidRPr="0047462D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rbimeve 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C5D8F" w:rsidRPr="0047462D">
        <w:rPr>
          <w:rFonts w:ascii="Times New Roman" w:hAnsi="Times New Roman" w:cs="Times New Roman"/>
          <w:sz w:val="24"/>
          <w:szCs w:val="24"/>
          <w:lang w:val="sq-AL"/>
        </w:rPr>
        <w:t>ofruara p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5D8F" w:rsidRPr="0047462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qytetar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44E9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C589C" w:rsidRPr="0047462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80D5613" w14:textId="64EF72FF" w:rsidR="00A4741A" w:rsidRPr="0047462D" w:rsidRDefault="008A5884" w:rsidP="00F6763C">
      <w:pPr>
        <w:pStyle w:val="NormalWeb"/>
        <w:rPr>
          <w:i/>
          <w:iCs/>
          <w:lang w:val="sq-AL"/>
        </w:rPr>
      </w:pPr>
      <w:r w:rsidRPr="0047462D">
        <w:rPr>
          <w:i/>
          <w:iCs/>
          <w:lang w:val="sq-AL"/>
        </w:rPr>
        <w:t>2.2 Përmirësimi i kuadrit të brendshëm rregullator dhe strategjik p</w:t>
      </w:r>
      <w:r w:rsidR="00120CAB" w:rsidRPr="0047462D">
        <w:rPr>
          <w:i/>
          <w:iCs/>
          <w:lang w:val="sq-AL"/>
        </w:rPr>
        <w:t>ë</w:t>
      </w:r>
      <w:r w:rsidRPr="0047462D">
        <w:rPr>
          <w:i/>
          <w:iCs/>
          <w:lang w:val="sq-AL"/>
        </w:rPr>
        <w:t>r aspekte  të veçanta të etikës dhe integritetit.</w:t>
      </w:r>
    </w:p>
    <w:p w14:paraId="127468F1" w14:textId="7FEEB8A9" w:rsidR="006E71D3" w:rsidRPr="0047462D" w:rsidRDefault="005E7F11" w:rsidP="00F6763C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Objektivi i dytë i Planit të Integritetit të Bashkisë Himarë, synon </w:t>
      </w:r>
      <w:r w:rsidR="00D331C8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331C8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rmir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331C8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simin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kuadrit të brendshëm rregullator në aspekte të veçanta të etikës dhe integritetit. </w:t>
      </w:r>
      <w:r w:rsidR="003850B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ishikimi i kuadrit rregullator është i nevojshëm për të qartësuar parashikimet ekzistuese, si dhe për të krijuar një kuadër rregullator efektiv, duke 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hartuar rregulla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reja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që lidhen me </w:t>
      </w:r>
      <w:r w:rsidR="003850B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qart</w:t>
      </w:r>
      <w:r w:rsidR="00F8054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850B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simin e linjave t</w:t>
      </w:r>
      <w:r w:rsidR="00F8054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850B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raportimit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brenda bashkis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me nj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sit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buxhetore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saj</w:t>
      </w:r>
      <w:r w:rsidR="003850B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aspekte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7516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etik</w:t>
      </w:r>
      <w:r w:rsidR="00F8054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375162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dhe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integritetit, rregullimin e qartë të funksioneve e detyrave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drejtorive e </w:t>
      </w:r>
      <w:r w:rsidR="00C05350" w:rsidRPr="0047462D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5350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q-AL"/>
        </w:rPr>
        <w:t>ë</w:t>
      </w:r>
      <w:r w:rsidR="00C05350" w:rsidRPr="0047462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strukturave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bashkis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C05350" w:rsidRPr="004746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edhe duke pasqyruar ndryshimet që ka pësuar struktura institucionale. </w:t>
      </w:r>
      <w:r w:rsidR="00F70181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Gjithashtu, n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 k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objektiv parashikohet edhe hartimi i nj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dokument</w:t>
      </w:r>
      <w:r w:rsidR="00C05350" w:rsidRPr="0047462D">
        <w:rPr>
          <w:rFonts w:ascii="Times New Roman" w:eastAsia="Times New Roman" w:hAnsi="Times New Roman" w:cs="Times New Roman"/>
          <w:sz w:val="24"/>
          <w:szCs w:val="24"/>
        </w:rPr>
        <w:t>e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sh strategjik</w:t>
      </w:r>
      <w:r w:rsidR="00C05350" w:rsidRPr="0047462D">
        <w:rPr>
          <w:rFonts w:ascii="Times New Roman" w:eastAsia="Times New Roman" w:hAnsi="Times New Roman" w:cs="Times New Roman"/>
          <w:sz w:val="24"/>
          <w:szCs w:val="24"/>
        </w:rPr>
        <w:t>e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Kodi i Sjelljes dhe dokumente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tilla si 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Plani Strategjik i Zhvillimi</w:t>
      </w:r>
      <w:r w:rsidR="00C600E4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, Strategjia p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r administrimin e pronave t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bashkis</w:t>
      </w:r>
      <w:r w:rsidR="00DC3B9E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F3046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etj.</w:t>
      </w:r>
    </w:p>
    <w:p w14:paraId="40DDEBA4" w14:textId="6A933197" w:rsidR="00D1011B" w:rsidRPr="0047462D" w:rsidRDefault="006E71D3" w:rsidP="00F6763C">
      <w:pPr>
        <w:pStyle w:val="NormalWeb"/>
        <w:spacing w:after="0"/>
        <w:rPr>
          <w:lang w:val="sq-AL"/>
        </w:rPr>
      </w:pPr>
      <w:r w:rsidRPr="0047462D">
        <w:rPr>
          <w:rFonts w:eastAsia="MS Mincho"/>
          <w:i/>
          <w:iCs/>
          <w:lang w:val="sq-AL"/>
        </w:rPr>
        <w:lastRenderedPageBreak/>
        <w:t xml:space="preserve">2.3 </w:t>
      </w:r>
      <w:r w:rsidRPr="0047462D">
        <w:rPr>
          <w:rFonts w:eastAsiaTheme="minorEastAsia"/>
          <w:i/>
          <w:iCs/>
          <w:lang w:val="sq-AL"/>
        </w:rPr>
        <w:t>P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>rmir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>simi i transparencës proaktive t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 xml:space="preserve"> bashkis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 xml:space="preserve"> për të mund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>suar rritjen e llogaridh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>nies dhe aksesit t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 xml:space="preserve"> qytetar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>ve n</w:t>
      </w:r>
      <w:r w:rsidR="00F80549" w:rsidRPr="0047462D">
        <w:rPr>
          <w:rFonts w:eastAsiaTheme="minorEastAsia"/>
          <w:i/>
          <w:iCs/>
          <w:lang w:val="sq-AL"/>
        </w:rPr>
        <w:t>ë</w:t>
      </w:r>
      <w:r w:rsidRPr="0047462D">
        <w:rPr>
          <w:rFonts w:eastAsiaTheme="minorEastAsia"/>
          <w:i/>
          <w:iCs/>
          <w:lang w:val="sq-AL"/>
        </w:rPr>
        <w:t xml:space="preserve"> informacion.</w:t>
      </w:r>
    </w:p>
    <w:p w14:paraId="1F3E3AF1" w14:textId="4D974959" w:rsidR="00A4741A" w:rsidRPr="0047462D" w:rsidRDefault="00D1011B" w:rsidP="00F6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Transparenca dhe pjesëmarrja qytetare në vendimmarrje kontribuojnë në luftën kundër korrupsionit si dhe rritjen </w:t>
      </w:r>
      <w:r w:rsidR="00C05350" w:rsidRPr="0047462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besimit publik për bashkinë. Nga ana tjetër këto mjete ndihmojnë </w:t>
      </w:r>
      <w:r w:rsidR="00F15C7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nj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15C7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sit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F15C77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qeverisjes</w:t>
      </w:r>
      <w:r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vendore që të përdorin aftësitë dhe përvojën e qytetarëve për të mundësuar vendimmarrje më të mirë dhe ofrimin e më shumë shërbime publike efektive.</w:t>
      </w:r>
      <w:r w:rsidR="0085056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56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569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56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kuad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0569" w:rsidRPr="0047462D">
        <w:rPr>
          <w:rFonts w:ascii="Times New Roman" w:hAnsi="Times New Roman" w:cs="Times New Roman"/>
          <w:sz w:val="24"/>
          <w:szCs w:val="24"/>
          <w:lang w:val="sq-AL"/>
        </w:rPr>
        <w:t>r, o</w:t>
      </w:r>
      <w:r w:rsidR="006E71D3" w:rsidRPr="0047462D">
        <w:rPr>
          <w:rFonts w:ascii="Times New Roman" w:hAnsi="Times New Roman" w:cs="Times New Roman"/>
          <w:sz w:val="24"/>
          <w:szCs w:val="24"/>
          <w:lang w:val="sq-AL"/>
        </w:rPr>
        <w:t>bjektivi i tret</w:t>
      </w:r>
      <w:r w:rsidR="00F80549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E71D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 Planit të Integritetit të Bashkisë Himarë, synon </w:t>
      </w:r>
      <w:r w:rsidR="006E71D3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forcimin e llogaridhënies publike dhe transparencës në bashki, duke përmirësuar transparencën proaktive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institucionit, n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rmjet plot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simit dhe p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rdit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simit t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rregullt t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Programit t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Transparenc</w:t>
      </w:r>
      <w:r w:rsidR="00F8054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457FF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E71D3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. Përmirësimi i këtyre proceseve do të ndikojë në rritjen e besimit të publikut</w:t>
      </w:r>
      <w:r w:rsidR="009F576C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</w:t>
      </w:r>
      <w:r w:rsidR="006E71D3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përfshirjen e tij në veprimtarinë e bashkisë </w:t>
      </w:r>
      <w:r w:rsidR="002D58B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duke shf</w:t>
      </w:r>
      <w:r w:rsidR="0048625A" w:rsidRPr="0047462D">
        <w:rPr>
          <w:rFonts w:ascii="Times New Roman" w:eastAsiaTheme="minorEastAsia" w:hAnsi="Times New Roman" w:cs="Times New Roman"/>
          <w:sz w:val="24"/>
          <w:szCs w:val="24"/>
        </w:rPr>
        <w:t>r</w:t>
      </w:r>
      <w:r w:rsidR="002D58B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yt</w:t>
      </w:r>
      <w:r w:rsidR="00DC3B9E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2D58B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zuar aksesin e shtuar n</w:t>
      </w:r>
      <w:r w:rsidR="00DC3B9E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2D58BA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informacion</w:t>
      </w:r>
      <w:r w:rsidR="006E71D3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.</w:t>
      </w:r>
      <w:r w:rsidR="006E71D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5350" w:rsidRPr="0047462D">
        <w:rPr>
          <w:rFonts w:ascii="Times New Roman" w:hAnsi="Times New Roman" w:cs="Times New Roman"/>
          <w:sz w:val="24"/>
          <w:szCs w:val="24"/>
        </w:rPr>
        <w:t>e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sishme e masav</w:t>
      </w:r>
      <w:r w:rsidR="00D010DE" w:rsidRPr="0047462D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n k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="00C05350" w:rsidRPr="0047462D">
        <w:rPr>
          <w:rFonts w:ascii="Times New Roman" w:hAnsi="Times New Roman" w:cs="Times New Roman"/>
          <w:sz w:val="24"/>
          <w:szCs w:val="24"/>
        </w:rPr>
        <w:t>,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i dedikohen transparenc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s financiare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fush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352A3" w:rsidRPr="0047462D">
        <w:rPr>
          <w:rFonts w:ascii="Times New Roman" w:hAnsi="Times New Roman" w:cs="Times New Roman"/>
          <w:sz w:val="24"/>
          <w:szCs w:val="24"/>
          <w:lang w:val="sq-AL"/>
        </w:rPr>
        <w:t>n e kontrollit dhe auditimit</w:t>
      </w:r>
      <w:r w:rsidR="00C05350" w:rsidRPr="0047462D">
        <w:rPr>
          <w:rFonts w:ascii="Times New Roman" w:hAnsi="Times New Roman" w:cs="Times New Roman"/>
          <w:sz w:val="24"/>
          <w:szCs w:val="24"/>
        </w:rPr>
        <w:t>,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si dhe transparenc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hartimin e dokumenteve strategjike p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r bashkin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3167FB9B" w14:textId="568D1074" w:rsidR="005552AA" w:rsidRPr="0047462D" w:rsidRDefault="00A566CD" w:rsidP="00F6763C">
      <w:pPr>
        <w:pStyle w:val="NormalWeb"/>
        <w:spacing w:after="0"/>
        <w:rPr>
          <w:i/>
          <w:lang w:val="sq-AL"/>
        </w:rPr>
      </w:pPr>
      <w:bookmarkStart w:id="5" w:name="_Hlk92358852"/>
      <w:r w:rsidRPr="0047462D">
        <w:rPr>
          <w:i/>
          <w:lang w:val="sq-AL"/>
        </w:rPr>
        <w:t>2.</w:t>
      </w:r>
      <w:r w:rsidR="00880F5E" w:rsidRPr="0047462D">
        <w:rPr>
          <w:i/>
          <w:lang w:val="sq-AL"/>
        </w:rPr>
        <w:t xml:space="preserve">4 </w:t>
      </w:r>
      <w:r w:rsidR="00D1011B" w:rsidRPr="0047462D">
        <w:rPr>
          <w:i/>
          <w:lang w:val="sq-AL"/>
        </w:rPr>
        <w:t>Menaxhimi i riskut të integritetit me fokus në fushat e përgjegjësisë së bashkisë</w:t>
      </w:r>
      <w:r w:rsidR="00D1011B" w:rsidRPr="0047462D" w:rsidDel="00D1011B">
        <w:rPr>
          <w:i/>
          <w:lang w:val="sq-AL"/>
        </w:rPr>
        <w:t xml:space="preserve"> </w:t>
      </w:r>
    </w:p>
    <w:bookmarkEnd w:id="5"/>
    <w:p w14:paraId="7D2C2ACB" w14:textId="52A9FB6F" w:rsidR="00C11C49" w:rsidRPr="0047462D" w:rsidRDefault="005552AA" w:rsidP="00F6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Objektivi i </w:t>
      </w:r>
      <w:r w:rsidR="00880F5E" w:rsidRPr="0047462D">
        <w:rPr>
          <w:rFonts w:ascii="Times New Roman" w:hAnsi="Times New Roman" w:cs="Times New Roman"/>
          <w:sz w:val="24"/>
          <w:szCs w:val="24"/>
          <w:lang w:val="sq-AL"/>
        </w:rPr>
        <w:t>kat</w:t>
      </w:r>
      <w:r w:rsidR="00F80549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0F5E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rt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i Planit të Integritetit të Bashkisë </w:t>
      </w:r>
      <w:r w:rsidR="00842F76" w:rsidRPr="0047462D">
        <w:rPr>
          <w:rFonts w:ascii="Times New Roman" w:hAnsi="Times New Roman" w:cs="Times New Roman"/>
          <w:sz w:val="24"/>
          <w:szCs w:val="24"/>
          <w:lang w:val="sq-AL"/>
        </w:rPr>
        <w:t>Himar</w:t>
      </w:r>
      <w:r w:rsidR="00606FCF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, synon menaxhimin e riskut të integritetit 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>me fokus n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fusha si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: fusha e menaxhimit financiar, menaxhimi i pronave të bashkisë, shërbime</w:t>
      </w:r>
      <w:r w:rsidR="00842F76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publike</w:t>
      </w:r>
      <w:r w:rsidR="000E463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; zhvillimi dhe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planifikimi i territorit</w:t>
      </w:r>
      <w:r w:rsidR="000E463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dhe arkivimi i dokument</w:t>
      </w:r>
      <w:r w:rsidR="0048625A" w:rsidRPr="0047462D">
        <w:rPr>
          <w:rFonts w:ascii="Times New Roman" w:hAnsi="Times New Roman" w:cs="Times New Roman"/>
          <w:sz w:val="24"/>
          <w:szCs w:val="24"/>
        </w:rPr>
        <w:t>e</w:t>
      </w:r>
      <w:r w:rsidR="000E4638" w:rsidRPr="0047462D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>rmjet zbatimit t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masave t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parashikuara n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>n k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C3B9E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="00C05350" w:rsidRPr="0047462D">
        <w:rPr>
          <w:rFonts w:ascii="Times New Roman" w:hAnsi="Times New Roman" w:cs="Times New Roman"/>
          <w:sz w:val="24"/>
          <w:szCs w:val="24"/>
        </w:rPr>
        <w:t>,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synohet </w:t>
      </w:r>
      <w:r w:rsidR="000717DC" w:rsidRPr="0047462D">
        <w:rPr>
          <w:rFonts w:ascii="Times New Roman" w:hAnsi="Times New Roman" w:cs="Times New Roman"/>
          <w:sz w:val="24"/>
          <w:szCs w:val="24"/>
          <w:lang w:val="sq-AL"/>
        </w:rPr>
        <w:t>menaxhimi i</w:t>
      </w:r>
      <w:r w:rsidR="00416C59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riskut të integritetit </w:t>
      </w:r>
      <w:r w:rsidR="00D1011B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120CAB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011B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realizimin e </w:t>
      </w:r>
      <w:r w:rsidR="00416C5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procese</w:t>
      </w:r>
      <w:r w:rsidR="00D94516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ve dhe n</w:t>
      </w:r>
      <w:r w:rsidR="00DC3B9E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D94516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>nproceseve</w:t>
      </w:r>
      <w:r w:rsidR="00416C59" w:rsidRPr="0047462D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veçanta të punës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</w:t>
      </w:r>
      <w:r w:rsidR="00B92DC4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ushtrimin e funksioneve t</w:t>
      </w:r>
      <w:r w:rsidR="00120CA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ve</w:t>
      </w:r>
      <w:r w:rsidR="0048625A" w:rsidRPr="0047462D">
        <w:rPr>
          <w:rFonts w:ascii="Times New Roman" w:eastAsia="Times New Roman" w:hAnsi="Times New Roman" w:cs="Times New Roman"/>
          <w:sz w:val="24"/>
          <w:szCs w:val="24"/>
        </w:rPr>
        <w:t>ç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anta </w:t>
      </w:r>
      <w:r w:rsidR="00416C5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të cila</w:t>
      </w:r>
      <w:r w:rsidR="00D1011B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416C59" w:rsidRPr="004746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janë vlerësuar si më të ekspozuara ndaj risqeve të tilla.</w:t>
      </w:r>
    </w:p>
    <w:p w14:paraId="2272A482" w14:textId="254673EA" w:rsidR="005552AA" w:rsidRPr="0047462D" w:rsidRDefault="005552AA" w:rsidP="00F676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A05F9D" w14:textId="5B0DAAE1" w:rsidR="00335AEA" w:rsidRPr="0047462D" w:rsidRDefault="00A566CD" w:rsidP="00F6763C">
      <w:pPr>
        <w:pStyle w:val="NormalWeb"/>
        <w:spacing w:after="0"/>
        <w:rPr>
          <w:rFonts w:eastAsiaTheme="minorHAnsi"/>
          <w:b/>
        </w:rPr>
      </w:pPr>
      <w:r w:rsidRPr="0047462D">
        <w:rPr>
          <w:rFonts w:eastAsiaTheme="minorHAnsi"/>
          <w:b/>
        </w:rPr>
        <w:t xml:space="preserve">3. </w:t>
      </w:r>
      <w:r w:rsidR="005552AA" w:rsidRPr="0047462D">
        <w:rPr>
          <w:rFonts w:eastAsiaTheme="minorHAnsi"/>
          <w:b/>
        </w:rPr>
        <w:t>Plani i Veprimit</w:t>
      </w:r>
    </w:p>
    <w:p w14:paraId="23F366CC" w14:textId="3319C271" w:rsidR="002F6AD8" w:rsidRPr="0047462D" w:rsidRDefault="001922E7" w:rsidP="00F676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462D">
        <w:rPr>
          <w:rFonts w:ascii="Times New Roman" w:hAnsi="Times New Roman" w:cs="Times New Roman"/>
          <w:sz w:val="24"/>
          <w:szCs w:val="24"/>
          <w:lang w:val="sq-AL"/>
        </w:rPr>
        <w:t>Plani i Veprimit përfshin tërësinë e masave që synojnë të adresojnë risqet dhe faktorët e risqeve të integritetit</w:t>
      </w:r>
      <w:r w:rsidRPr="0047462D">
        <w:rPr>
          <w:rFonts w:ascii="Times New Roman" w:hAnsi="Times New Roman" w:cs="Times New Roman"/>
          <w:sz w:val="24"/>
          <w:szCs w:val="24"/>
        </w:rPr>
        <w:t>,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të vlerësuara sipas fushave përgjegjës</w:t>
      </w:r>
      <w:r w:rsidR="0048625A" w:rsidRPr="0047462D">
        <w:rPr>
          <w:rFonts w:ascii="Times New Roman" w:hAnsi="Times New Roman" w:cs="Times New Roman"/>
          <w:sz w:val="24"/>
          <w:szCs w:val="24"/>
        </w:rPr>
        <w:t xml:space="preserve">e 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së </w:t>
      </w:r>
      <w:r w:rsidRPr="0047462D">
        <w:rPr>
          <w:rFonts w:ascii="Times New Roman" w:hAnsi="Times New Roman" w:cs="Times New Roman"/>
          <w:sz w:val="24"/>
          <w:szCs w:val="24"/>
        </w:rPr>
        <w:t>B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ashkisë Himar</w:t>
      </w:r>
      <w:r w:rsidR="000124EA" w:rsidRPr="0047462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7462D">
        <w:rPr>
          <w:rFonts w:ascii="Times New Roman" w:hAnsi="Times New Roman" w:cs="Times New Roman"/>
          <w:sz w:val="24"/>
          <w:szCs w:val="24"/>
          <w:lang w:val="sq-AL"/>
        </w:rPr>
        <w:t>. Ai është një mjet plotësues i politikave dhe kornizës rregullatore për përmirësimin dhe forcimin e integritetit institucional.</w:t>
      </w:r>
      <w:r w:rsidR="00335AEA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6AD8" w:rsidRPr="0047462D">
        <w:rPr>
          <w:rFonts w:ascii="Times New Roman" w:hAnsi="Times New Roman" w:cs="Times New Roman"/>
          <w:sz w:val="24"/>
          <w:szCs w:val="24"/>
          <w:lang w:val="sq-AL"/>
        </w:rPr>
        <w:t>Monitorimi i Planit të Veprimit është periodik (çdo vit) dhe pasqyron kryerjen e aktiviteteve nga ana e punonjësve/grupeve të punonjësve përgjegjës për zbatimin e masave të miratuara në të. Monitorimi do të përcaktojë nëse këto masa të zbatuara kanë qenë efi</w:t>
      </w:r>
      <w:r w:rsidR="006927C8" w:rsidRPr="0047462D">
        <w:rPr>
          <w:rFonts w:ascii="Times New Roman" w:hAnsi="Times New Roman" w:cs="Times New Roman"/>
          <w:sz w:val="24"/>
          <w:szCs w:val="24"/>
        </w:rPr>
        <w:t>c</w:t>
      </w:r>
      <w:r w:rsidR="002F6AD8" w:rsidRPr="0047462D">
        <w:rPr>
          <w:rFonts w:ascii="Times New Roman" w:hAnsi="Times New Roman" w:cs="Times New Roman"/>
          <w:sz w:val="24"/>
          <w:szCs w:val="24"/>
          <w:lang w:val="sq-AL"/>
        </w:rPr>
        <w:t xml:space="preserve">ente, nëse kanë nxjerrë në pah ndryshime të kontekstit të institucionit apo ndryshime të vetë risqeve, të cilat mund të kërkojnë rishikimin e masave ekzistuese dhe prioriteteve të risqeve (planit të veprimit), si edhe nxjerrjen e mësimeve për planifikim më të mirë në të ardhmen. Raportimi është një procedurë e rregullt, që siguron zbatimin e  masave të Planit të Integritetit për risqet e integritetit sipas afateve kohore të parashikuara. Ky proces ndiqet nga personi përgjegjës, i caktuar nga titullari i bashkisë, i cili është përgjegjës për të ndjekur progresin e zbatimit. Frekuenca minimale e raportimit është brenda njё periudhe gjashtëmujore. </w:t>
      </w:r>
    </w:p>
    <w:p w14:paraId="7AC65D98" w14:textId="77777777" w:rsidR="00D1011B" w:rsidRPr="0047462D" w:rsidRDefault="00D1011B">
      <w:pPr>
        <w:spacing w:after="0" w:line="276" w:lineRule="auto"/>
        <w:rPr>
          <w:rFonts w:ascii="Times New Roman" w:hAnsi="Times New Roman" w:cs="Times New Roman"/>
        </w:rPr>
        <w:sectPr w:rsidR="00D1011B" w:rsidRPr="0047462D" w:rsidSect="00D1011B">
          <w:footerReference w:type="even" r:id="rId13"/>
          <w:footerReference w:type="default" r:id="rId14"/>
          <w:type w:val="continuous"/>
          <w:pgSz w:w="12240" w:h="15840"/>
          <w:pgMar w:top="1800" w:right="1440" w:bottom="1800" w:left="1440" w:header="720" w:footer="720" w:gutter="0"/>
          <w:cols w:space="720"/>
          <w:docGrid w:linePitch="360"/>
        </w:sectPr>
      </w:pPr>
    </w:p>
    <w:p w14:paraId="27017B85" w14:textId="77777777" w:rsidR="00D1011B" w:rsidRPr="0047462D" w:rsidRDefault="00D1011B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</w:p>
    <w:p w14:paraId="7EEC54FC" w14:textId="77777777" w:rsidR="00D1011B" w:rsidRPr="0047462D" w:rsidRDefault="00D1011B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</w:p>
    <w:p w14:paraId="4B85462D" w14:textId="77777777" w:rsidR="00D1011B" w:rsidRPr="0047462D" w:rsidRDefault="00D1011B">
      <w:pPr>
        <w:spacing w:after="0" w:line="276" w:lineRule="auto"/>
        <w:rPr>
          <w:rFonts w:ascii="Times New Roman" w:hAnsi="Times New Roman" w:cs="Times New Roman"/>
          <w:b/>
          <w:sz w:val="40"/>
          <w:szCs w:val="40"/>
        </w:rPr>
      </w:pPr>
    </w:p>
    <w:p w14:paraId="52E20549" w14:textId="77777777" w:rsidR="00D1011B" w:rsidRPr="0047462D" w:rsidRDefault="00D1011B">
      <w:pPr>
        <w:spacing w:after="0" w:line="276" w:lineRule="auto"/>
        <w:rPr>
          <w:rFonts w:ascii="Times New Roman" w:hAnsi="Times New Roman" w:cs="Times New Roman"/>
          <w:b/>
          <w:sz w:val="56"/>
          <w:szCs w:val="56"/>
        </w:rPr>
      </w:pPr>
    </w:p>
    <w:p w14:paraId="6324D620" w14:textId="77777777" w:rsidR="001443BF" w:rsidRPr="0047462D" w:rsidRDefault="00D1011B" w:rsidP="008060C8">
      <w:pPr>
        <w:spacing w:after="0"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62D">
        <w:rPr>
          <w:rFonts w:ascii="Times New Roman" w:hAnsi="Times New Roman" w:cs="Times New Roman"/>
          <w:b/>
          <w:sz w:val="56"/>
          <w:szCs w:val="56"/>
        </w:rPr>
        <w:t>Plani i Veprimit</w:t>
      </w:r>
    </w:p>
    <w:p w14:paraId="43F1B2A9" w14:textId="6E58445E" w:rsidR="00D13ACD" w:rsidRPr="0047462D" w:rsidRDefault="001443BF" w:rsidP="008060C8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462D">
        <w:rPr>
          <w:rFonts w:ascii="Times New Roman" w:hAnsi="Times New Roman" w:cs="Times New Roman"/>
          <w:b/>
          <w:sz w:val="56"/>
          <w:szCs w:val="56"/>
        </w:rPr>
        <w:t>2022-2025</w:t>
      </w:r>
      <w:r w:rsidR="00D13ACD" w:rsidRPr="0047462D">
        <w:rPr>
          <w:rFonts w:ascii="Times New Roman" w:hAnsi="Times New Roman" w:cs="Times New Roman"/>
          <w:b/>
          <w:sz w:val="40"/>
          <w:szCs w:val="40"/>
        </w:rPr>
        <w:br w:type="page"/>
      </w:r>
    </w:p>
    <w:tbl>
      <w:tblPr>
        <w:tblpPr w:leftFromText="180" w:rightFromText="180" w:horzAnchor="margin" w:tblpXSpec="center" w:tblpY="-212"/>
        <w:tblW w:w="15309" w:type="dxa"/>
        <w:tblLook w:val="04A0" w:firstRow="1" w:lastRow="0" w:firstColumn="1" w:lastColumn="0" w:noHBand="0" w:noVBand="1"/>
      </w:tblPr>
      <w:tblGrid>
        <w:gridCol w:w="567"/>
        <w:gridCol w:w="3652"/>
        <w:gridCol w:w="1843"/>
        <w:gridCol w:w="1276"/>
        <w:gridCol w:w="5103"/>
        <w:gridCol w:w="2868"/>
      </w:tblGrid>
      <w:tr w:rsidR="00850CB6" w:rsidRPr="0047462D" w14:paraId="49CE9375" w14:textId="77777777" w:rsidTr="00D13ACD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A5FE1E0" w14:textId="3A9BB1B2" w:rsidR="000E4638" w:rsidRPr="0047462D" w:rsidRDefault="000E4638" w:rsidP="000C5EF9">
            <w:pPr>
              <w:pStyle w:val="NormalWeb"/>
              <w:spacing w:after="160"/>
              <w:jc w:val="both"/>
              <w:rPr>
                <w:rFonts w:eastAsiaTheme="minorHAnsi"/>
                <w:b/>
                <w:bCs/>
                <w:i/>
                <w:iCs/>
                <w:sz w:val="22"/>
                <w:szCs w:val="22"/>
                <w:lang w:val="sq-AL"/>
              </w:rPr>
            </w:pPr>
            <w:r w:rsidRPr="0047462D">
              <w:rPr>
                <w:b/>
                <w:bCs/>
                <w:sz w:val="22"/>
                <w:szCs w:val="22"/>
                <w:lang w:eastAsia="en-GB"/>
              </w:rPr>
              <w:lastRenderedPageBreak/>
              <w:t xml:space="preserve">Objektivi 1: </w:t>
            </w:r>
            <w:r w:rsidRPr="0047462D">
              <w:rPr>
                <w:b/>
                <w:bCs/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A31201" w:rsidRPr="0047462D">
              <w:rPr>
                <w:b/>
                <w:bCs/>
                <w:i/>
                <w:iCs/>
                <w:sz w:val="22"/>
                <w:szCs w:val="22"/>
                <w:lang w:val="sq-AL"/>
              </w:rPr>
              <w:t xml:space="preserve"> Menaxhimi i burimeve njerëzore t</w:t>
            </w:r>
            <w:r w:rsidR="00120CAB" w:rsidRPr="0047462D">
              <w:rPr>
                <w:b/>
                <w:bCs/>
                <w:i/>
                <w:iCs/>
                <w:sz w:val="22"/>
                <w:szCs w:val="22"/>
                <w:lang w:val="sq-AL"/>
              </w:rPr>
              <w:t>ë</w:t>
            </w:r>
            <w:r w:rsidR="00A31201" w:rsidRPr="0047462D">
              <w:rPr>
                <w:b/>
                <w:bCs/>
                <w:i/>
                <w:iCs/>
                <w:sz w:val="22"/>
                <w:szCs w:val="22"/>
                <w:lang w:val="sq-AL"/>
              </w:rPr>
              <w:t xml:space="preserve"> bashkis</w:t>
            </w:r>
            <w:r w:rsidR="00120CAB" w:rsidRPr="0047462D">
              <w:rPr>
                <w:b/>
                <w:bCs/>
                <w:i/>
                <w:iCs/>
                <w:sz w:val="22"/>
                <w:szCs w:val="22"/>
                <w:lang w:val="sq-AL"/>
              </w:rPr>
              <w:t>ë</w:t>
            </w:r>
            <w:r w:rsidR="00A31201" w:rsidRPr="0047462D">
              <w:rPr>
                <w:b/>
                <w:bCs/>
                <w:i/>
                <w:iCs/>
                <w:sz w:val="22"/>
                <w:szCs w:val="22"/>
                <w:lang w:val="sq-AL"/>
              </w:rPr>
              <w:t xml:space="preserve"> me qëllim forcimin e rezistencës institucionale ndaj shkeljeve të integritetit.</w:t>
            </w:r>
          </w:p>
          <w:p w14:paraId="3B69181B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850CB6" w:rsidRPr="0047462D" w14:paraId="3335787B" w14:textId="77777777" w:rsidTr="00D13AC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4FBCC91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AE3A115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9A76445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5BE630A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43EA4469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0D4F3874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Personi përgjegjës për zbatimin e masës dhe afati I fundit për zbatimin e aktiviteteve</w:t>
            </w:r>
          </w:p>
        </w:tc>
      </w:tr>
      <w:tr w:rsidR="00850CB6" w:rsidRPr="0047462D" w14:paraId="3EBA1A79" w14:textId="77777777" w:rsidTr="00D13ACD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255BE552" w14:textId="6B4E3904" w:rsidR="00D13ACD" w:rsidRPr="0047462D" w:rsidRDefault="00BF21A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793E13" w14:textId="77777777" w:rsidR="00D13ACD" w:rsidRPr="0047462D" w:rsidRDefault="00F3247E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apacitete teknike të kufizuara në Sektorin e Burimeve Njerëzore. </w:t>
            </w:r>
          </w:p>
          <w:p w14:paraId="334F3D17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5B33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A25DB7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1F313" w14:textId="07F27AD1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="00836B4F" w:rsidRPr="0047462D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. Organizimi i trajnimeve orientuese për punonjësit e rinj</w:t>
            </w:r>
            <w:r w:rsidR="003D63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n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3D63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sektorin e BNJ</w:t>
            </w:r>
            <w:r w:rsidR="00077591" w:rsidRPr="0047462D">
              <w:rPr>
                <w:rFonts w:ascii="Times New Roman" w:eastAsia="Times New Roman" w:hAnsi="Times New Roman" w:cs="Times New Roman"/>
                <w:lang w:eastAsia="en-GB"/>
              </w:rPr>
              <w:t>-s</w:t>
            </w:r>
            <w:r w:rsidR="00077591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. Përfshirja e këtyre trajnimeve në </w:t>
            </w:r>
            <w:r w:rsidR="00077591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077591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jetor të bashkisë për trajnimet.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639" w14:textId="6334657C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</w:t>
            </w:r>
            <w:r w:rsidR="0048625A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zore dhe Shërbimeve Mbështetëse</w:t>
            </w:r>
          </w:p>
          <w:p w14:paraId="4520A5C6" w14:textId="77777777" w:rsidR="00934DEB" w:rsidRPr="0047462D" w:rsidRDefault="00934DEB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0847832" w14:textId="77777777" w:rsidR="00934DEB" w:rsidRPr="0047462D" w:rsidRDefault="00934DEB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503D2C8" w14:textId="77777777" w:rsidR="00D13ACD" w:rsidRPr="0047462D" w:rsidRDefault="00934DEB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</w:t>
            </w:r>
            <w:r w:rsidR="00F05589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</w:t>
            </w:r>
          </w:p>
        </w:tc>
      </w:tr>
      <w:tr w:rsidR="00850CB6" w:rsidRPr="0047462D" w14:paraId="0625ADC7" w14:textId="77777777" w:rsidTr="00D13ACD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0496694E" w14:textId="78AE92FC" w:rsidR="00D13ACD" w:rsidRPr="0047462D" w:rsidRDefault="00BF21A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2848B" w14:textId="2CE9F649" w:rsidR="00D13ACD" w:rsidRPr="0047462D" w:rsidRDefault="00D13ACD" w:rsidP="009843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Vështirësi për </w:t>
            </w:r>
            <w:r w:rsidR="00984333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84333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rekrutuar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punonjës të kualifikuar </w:t>
            </w:r>
            <w:r w:rsidR="00984333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84333" w:rsidRPr="0047462D">
              <w:rPr>
                <w:rFonts w:ascii="Times New Roman" w:eastAsia="Times New Roman" w:hAnsi="Times New Roman" w:cs="Times New Roman"/>
                <w:lang w:eastAsia="en-GB"/>
              </w:rPr>
              <w:t>r pozicionet e pun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84333" w:rsidRPr="0047462D">
              <w:rPr>
                <w:rFonts w:ascii="Times New Roman" w:eastAsia="Times New Roman" w:hAnsi="Times New Roman" w:cs="Times New Roman"/>
                <w:lang w:eastAsia="en-GB"/>
              </w:rPr>
              <w:t>s t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84333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shpallura,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për shkak të pagave të ulëta.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C9C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25F46B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1E8C1C" w14:textId="7C5E57FF" w:rsidR="00B50F7A" w:rsidRPr="0047462D" w:rsidRDefault="00B50F7A" w:rsidP="00B50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62D">
              <w:rPr>
                <w:rFonts w:ascii="Times New Roman" w:hAnsi="Times New Roman" w:cs="Times New Roman"/>
              </w:rPr>
              <w:t>1. Hartimi dhe miratimi i një dokumenti të brendshëm politik</w:t>
            </w:r>
            <w:r w:rsidR="00077591" w:rsidRPr="0047462D">
              <w:rPr>
                <w:rFonts w:ascii="Times New Roman" w:hAnsi="Times New Roman" w:cs="Times New Roman"/>
              </w:rPr>
              <w:t>,</w:t>
            </w:r>
            <w:r w:rsidRPr="0047462D">
              <w:rPr>
                <w:rFonts w:ascii="Times New Roman" w:hAnsi="Times New Roman" w:cs="Times New Roman"/>
              </w:rPr>
              <w:t xml:space="preserve"> në lidhje me zhvillimin profesional dhe promovimin/ngritjen në detyrë për të motivuar punonjësit </w:t>
            </w:r>
            <w:r w:rsidR="00984333" w:rsidRPr="0047462D">
              <w:rPr>
                <w:rFonts w:ascii="Times New Roman" w:hAnsi="Times New Roman" w:cs="Times New Roman"/>
              </w:rPr>
              <w:t xml:space="preserve">e </w:t>
            </w:r>
            <w:r w:rsidRPr="0047462D">
              <w:rPr>
                <w:rFonts w:ascii="Times New Roman" w:hAnsi="Times New Roman" w:cs="Times New Roman"/>
              </w:rPr>
              <w:t xml:space="preserve">bashkisë.                                                                                                                                       </w:t>
            </w:r>
          </w:p>
          <w:p w14:paraId="09F1BC7B" w14:textId="77777777" w:rsidR="00B50F7A" w:rsidRPr="0047462D" w:rsidRDefault="00B50F7A" w:rsidP="00B50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62D">
              <w:rPr>
                <w:rFonts w:ascii="Times New Roman" w:hAnsi="Times New Roman" w:cs="Times New Roman"/>
              </w:rPr>
              <w:t xml:space="preserve">2. Informimi i personelit të bashkisë mbi këtë dokument të miratuar.                   </w:t>
            </w:r>
          </w:p>
          <w:p w14:paraId="19D877E7" w14:textId="77777777" w:rsidR="00D13ACD" w:rsidRPr="0047462D" w:rsidRDefault="00B50F7A" w:rsidP="00B50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hAnsi="Times New Roman" w:cs="Times New Roman"/>
              </w:rPr>
              <w:t>3. Publikimi i këtij dokumenti në Programin e Transparencës së bashkisë.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BC2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677015D9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20324C3" w14:textId="77777777" w:rsidR="00B50F7A" w:rsidRPr="0047462D" w:rsidRDefault="00B50F7A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drejt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n e informimit </w:t>
            </w:r>
          </w:p>
          <w:p w14:paraId="5DA61B23" w14:textId="77777777" w:rsidR="000901B5" w:rsidRPr="0047462D" w:rsidRDefault="000901B5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86C06CC" w14:textId="77777777" w:rsidR="000901B5" w:rsidRPr="0047462D" w:rsidRDefault="000901B5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2024</w:t>
            </w:r>
          </w:p>
          <w:p w14:paraId="734DAE53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</w:tr>
      <w:tr w:rsidR="00850CB6" w:rsidRPr="0047462D" w14:paraId="73CC05B8" w14:textId="77777777" w:rsidTr="00D13A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6E885613" w14:textId="12D7D992" w:rsidR="00F3247E" w:rsidRPr="0047462D" w:rsidRDefault="00BF21A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5B0C3D" w14:textId="6DD25694" w:rsidR="00F3247E" w:rsidRPr="0047462D" w:rsidRDefault="002A183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Vak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nca p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 pozicione pune </w:t>
            </w:r>
            <w:r w:rsidR="00F3247E" w:rsidRPr="0047462D">
              <w:rPr>
                <w:rFonts w:ascii="Times New Roman" w:eastAsia="Times New Roman" w:hAnsi="Times New Roman" w:cs="Times New Roman"/>
                <w:lang w:eastAsia="en-GB"/>
              </w:rPr>
              <w:t>n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3247E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bashki, ve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ç</w:t>
            </w:r>
            <w:r w:rsidR="00F3247E" w:rsidRPr="0047462D">
              <w:rPr>
                <w:rFonts w:ascii="Times New Roman" w:eastAsia="Times New Roman" w:hAnsi="Times New Roman" w:cs="Times New Roman"/>
                <w:lang w:eastAsia="en-GB"/>
              </w:rPr>
              <w:t>an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3247E" w:rsidRPr="0047462D">
              <w:rPr>
                <w:rFonts w:ascii="Times New Roman" w:eastAsia="Times New Roman" w:hAnsi="Times New Roman" w:cs="Times New Roman"/>
                <w:lang w:eastAsia="en-GB"/>
              </w:rPr>
              <w:t>risht n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3247E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pozicione drejtuese.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B61" w14:textId="77777777" w:rsidR="00F3247E" w:rsidRPr="0047462D" w:rsidRDefault="00A70D24" w:rsidP="003330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14:paraId="62B165BE" w14:textId="77777777" w:rsidR="00F3247E" w:rsidRPr="0047462D" w:rsidRDefault="00A70D24" w:rsidP="00C0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0D61" w14:textId="77777777" w:rsidR="00F3247E" w:rsidRPr="0047462D" w:rsidRDefault="00F3247E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Iniciimi i procedurave</w:t>
            </w:r>
            <w:r w:rsidR="0036718B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36718B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rekrutimit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për plotësimin e vendeve vakante në bashki.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1688" w14:textId="77777777" w:rsidR="00F3247E" w:rsidRPr="0047462D" w:rsidRDefault="00F3247E" w:rsidP="00F32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Njerezore dhe Shërbimeve Mbështetëse</w:t>
            </w:r>
          </w:p>
          <w:p w14:paraId="47A44682" w14:textId="77777777" w:rsidR="00F3247E" w:rsidRPr="0047462D" w:rsidRDefault="00F3247E" w:rsidP="00F32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431C0AC" w14:textId="77777777" w:rsidR="00F3247E" w:rsidRPr="0047462D" w:rsidRDefault="00F3247E" w:rsidP="00F32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3B938FD" w14:textId="77777777" w:rsidR="00F3247E" w:rsidRPr="0047462D" w:rsidRDefault="00F3247E" w:rsidP="00F324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</w:t>
            </w:r>
          </w:p>
        </w:tc>
      </w:tr>
      <w:tr w:rsidR="00850CB6" w:rsidRPr="0047462D" w14:paraId="19C961B5" w14:textId="77777777" w:rsidTr="00D13ACD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75044C71" w14:textId="28A9C3DB" w:rsidR="00D13ACD" w:rsidRPr="0047462D" w:rsidRDefault="00BF21A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4.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F57AC5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Katalogu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rshkrimeve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vendeve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pun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bashki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sht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paplot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AAD0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Ligjor dhe Kontraktual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46CBFD6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83927" w14:textId="23C22BAE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Plotësimi i katalogut të përshkrimeve të punës për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ç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do pozicion pune në bashki. 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2. Informimi 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>i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punonj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sve t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bashkis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60C9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  <w:p w14:paraId="48DEF422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Burimeve Njerëzore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dhe Shërbimeve Mbështetëse 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dhe çdo drejtori </w:t>
            </w:r>
          </w:p>
          <w:p w14:paraId="2C489285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729CDCE" w14:textId="77777777" w:rsidR="00D13ACD" w:rsidRPr="0047462D" w:rsidRDefault="00CF103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Gjashtëmujori i </w:t>
            </w:r>
            <w:r w:rsidR="00770374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dyt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</w:t>
            </w:r>
            <w:r w:rsidR="00770374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</w:t>
            </w:r>
          </w:p>
        </w:tc>
      </w:tr>
      <w:tr w:rsidR="00850CB6" w:rsidRPr="0047462D" w14:paraId="5EF71BF9" w14:textId="77777777" w:rsidTr="00D13AC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DB6189F" w14:textId="7FEC2505" w:rsidR="00D13ACD" w:rsidRPr="0047462D" w:rsidRDefault="00BF21A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5.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DB6A9F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Mungesa e planeve vjetore të </w:t>
            </w:r>
            <w:r w:rsidR="00716616" w:rsidRPr="0047462D">
              <w:rPr>
                <w:rFonts w:ascii="Times New Roman" w:eastAsia="Times New Roman" w:hAnsi="Times New Roman" w:cs="Times New Roman"/>
                <w:lang w:eastAsia="en-GB"/>
              </w:rPr>
              <w:t>pun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716616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të drejtorive të bashkisë.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2DF4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6DBB75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8531" w14:textId="28A4530F" w:rsidR="00D13ACD" w:rsidRPr="0047462D" w:rsidRDefault="00D13ACD" w:rsidP="002A18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Hartimi i planeve vjetore të punës për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ç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do drejtori të bashkisë.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                                                                  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2. 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>Dor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>zimi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tyre pran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titullarit t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bashkis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                             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3.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Informimi i punonj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sve t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drejtoris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r planet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e pun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95B64"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953A" w14:textId="3D4F518A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Sekr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tari i përgjithshëm dhe Drejtoritë përkat</w:t>
            </w:r>
            <w:r w:rsidR="008E3722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se </w:t>
            </w:r>
          </w:p>
          <w:p w14:paraId="0B887F41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E86A866" w14:textId="652D8F3A" w:rsidR="00D13ACD" w:rsidRPr="0047462D" w:rsidRDefault="00716616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 dhe n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vazhdim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si</w:t>
            </w:r>
            <w:r w:rsidR="00816EE9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47462D" w14:paraId="7F7B94AE" w14:textId="77777777" w:rsidTr="00D13ACD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48F902A0" w14:textId="5988FE1E" w:rsidR="00D13ACD" w:rsidRPr="0047462D" w:rsidRDefault="00BF21A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6.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E68A25" w14:textId="0869566C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es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e 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lani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rendshëm 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6927C8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trajnimeve.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500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Informacioni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EB4661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FF15" w14:textId="71499996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Përcaktimi në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regulloren e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rendshme i detyrimit për hartimin e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lanit të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rendshëm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rajnimeve.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2. Përcaktimi në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regulloren e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rendshme i detyrimit për kryerjen e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nalizës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jetore të </w:t>
            </w:r>
            <w:r w:rsidR="008E3722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erfomancës, si bazë për identifikimin e nevojave për trajnim dhe hartimin e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lanit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rajnimeve.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3. Hartimi i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lanit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rendshëm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rajnimeve dhe analizës së performancës, çdo vit.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AE9C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62945250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F26B761" w14:textId="77777777" w:rsidR="008265A6" w:rsidRPr="0047462D" w:rsidRDefault="008265A6" w:rsidP="008265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Grupi punës i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ngritur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urdh</w:t>
            </w:r>
            <w:r w:rsidR="000124EA" w:rsidRPr="0047462D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r t</w:t>
            </w:r>
            <w:r w:rsidR="000124EA" w:rsidRPr="0047462D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Kryetarit t</w:t>
            </w:r>
            <w:r w:rsidR="000124EA" w:rsidRPr="0047462D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Bashkis</w:t>
            </w:r>
            <w:r w:rsidR="000124EA" w:rsidRPr="0047462D">
              <w:rPr>
                <w:rFonts w:ascii="Times New Roman" w:eastAsia="Times New Roman" w:hAnsi="Times New Roman" w:cs="Times New Roman"/>
                <w:lang w:val="sq-AL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për rishikimin e rregullores </w:t>
            </w:r>
          </w:p>
          <w:p w14:paraId="3B55E8CB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9D08497" w14:textId="77777777" w:rsidR="00D13ACD" w:rsidRPr="0047462D" w:rsidRDefault="008265A6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</w:t>
            </w:r>
          </w:p>
        </w:tc>
      </w:tr>
      <w:tr w:rsidR="00850CB6" w:rsidRPr="0047462D" w14:paraId="0314D3C3" w14:textId="77777777" w:rsidTr="00D13AC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4303D2C5" w14:textId="77CC111C" w:rsidR="00D13ACD" w:rsidRPr="0047462D" w:rsidRDefault="00BF21A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7.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B99747" w14:textId="09141D29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regjistrit të deklarimit të dhuratave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n</w:t>
            </w:r>
            <w:r w:rsidR="00120CA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2A1838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bashki.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BC0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B43DFD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F98F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Krijimi i regjistrit për deklarimin e dhuratave në bashki</w:t>
            </w:r>
          </w:p>
          <w:p w14:paraId="0C04DD50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2. Informimi i personelit në lidhje me krijimin e regjistrit dhe detyrimet që lidhen me deklarimin e dhuratave.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EAEE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05036E07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FA0B38B" w14:textId="77777777" w:rsidR="00D13ACD" w:rsidRPr="0047462D" w:rsidRDefault="00CF652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</w:t>
            </w:r>
          </w:p>
        </w:tc>
      </w:tr>
      <w:tr w:rsidR="00850CB6" w:rsidRPr="0047462D" w14:paraId="7CF34DA4" w14:textId="77777777" w:rsidTr="00D13AC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10C817B" w14:textId="64CBF4C6" w:rsidR="00D13ACD" w:rsidRPr="0047462D" w:rsidRDefault="00BF21A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8.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D03AE1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regjistrit të konfliktit të interesit.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97F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64C38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6ED71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Krijimi i regjistrit për deklarimin e konfliktit të interesit në bashki.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Informimi i personelit në lidhje me krijimin e regjistrit dhe detyrimet që lidhen me deklarimin e konfliktit të interesit.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D82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686BDCAD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CFDBAC8" w14:textId="77777777" w:rsidR="00D13ACD" w:rsidRPr="0047462D" w:rsidRDefault="0076534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</w:t>
            </w:r>
          </w:p>
        </w:tc>
      </w:tr>
      <w:tr w:rsidR="00850CB6" w:rsidRPr="0047462D" w14:paraId="43CCAA32" w14:textId="77777777" w:rsidTr="00D13AC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12D70DDC" w14:textId="114466D4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9.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3B6B7A" w14:textId="2E9853C8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Njohuri të kufizuara të personelit në lidhje me 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ç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ështjet e etikës dhe parandalimit të konfliktit të interesit.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1282" w14:textId="54DF4F4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ADC5AB" w14:textId="08B517EB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ECB1" w14:textId="2A7899E5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Organizimi i trajnimeve për personelin në lidhje me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ç</w:t>
            </w:r>
            <w:r w:rsidR="00D12DE7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shtje të etikës dhe parandalimit të konfliktit të interesit.                                                                                                                      2. Përfshirja e këtyre trajnimeve në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ashkisë për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rajnimet.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67F0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262F2A32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A7288FE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Gjashtëmujori i dytë i vitit 2023</w:t>
            </w:r>
          </w:p>
          <w:p w14:paraId="3E790549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50CB6" w:rsidRPr="0047462D" w14:paraId="68E529C4" w14:textId="77777777" w:rsidTr="006173B0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725CE6C1" w14:textId="0CC088D2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10.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0D7A3D" w14:textId="20AB2B4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Kapacitete të kufizuara të personelit të bashkisë (EMP-të) për hartimin e kërkesave buxhetore gjatë procesit të përgatitjes së PBA-së.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6761" w14:textId="71D73335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5E5B965" w14:textId="67D4735C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4AA3" w14:textId="715940B9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Organizimi i trajnimeve të brendshme për personelin e drejtorive të përfshira në përgatitjen e PBA-së, për hartimin e kërkesave buxhetore.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2. Parashikimi i këtyre trajnimeve në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ashkisë për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rajnimet.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410C" w14:textId="17C7C06B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Planifikimit të Buxhetit dhe Integrimit E</w:t>
            </w:r>
            <w:r w:rsidR="00816EE9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ropian </w:t>
            </w:r>
          </w:p>
          <w:p w14:paraId="2DDF19FD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2F4D454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Burimeve Njerëzore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 dhe Shërbimeve Mbështetëse </w:t>
            </w:r>
          </w:p>
          <w:p w14:paraId="6582770D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169F4E7" w14:textId="591E1413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</w:p>
        </w:tc>
      </w:tr>
      <w:tr w:rsidR="00850CB6" w:rsidRPr="0047462D" w14:paraId="26C2129F" w14:textId="77777777" w:rsidTr="0099175F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682AF728" w14:textId="5209A1B7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58AEDE" w14:textId="24D2EF62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prezantimit të një vlere reale të aseteve për shkak të pamundësisë së vlerësimit të tyre me kapacitete a</w:t>
            </w:r>
            <w:r w:rsidR="006927C8" w:rsidRPr="0047462D">
              <w:rPr>
                <w:rFonts w:ascii="Times New Roman" w:eastAsia="Times New Roman" w:hAnsi="Times New Roman" w:cs="Times New Roman"/>
                <w:lang w:eastAsia="en-GB"/>
              </w:rPr>
              <w:t>k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tuale të personelit të bashkisë.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65B9" w14:textId="084882D6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Financiar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1003357" w14:textId="60D0098E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4EDF" w14:textId="3E2ECF16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Vlerësimi i mundësisë së rektrutimit të specialistëve të nevojshëm dhe me kualifikimet e duhura në fushën e inxhinierisë dhe IT-së.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2. Organizimi i trajnimeve në lidhje me procedurat e vlerësimit të aseteve për personelin e përfshirë. Përfshirja e këtyre trajnimeve në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ashkisë për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rajnimet.                                                                                                          3. Ngritja e një grupi pune në bashki me qëllim kryerjen e vlerësimit të aseteve.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5CC1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Drejtoria e Burimeve Njerëzore dhe Shërbimeve Mbështetëse </w:t>
            </w:r>
          </w:p>
          <w:p w14:paraId="7BEC33AC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F874C57" w14:textId="6410FF2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Financës, Planifikimit të Buxhetit dhe Integrimit E</w:t>
            </w:r>
            <w:r w:rsidR="00816EE9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ropian</w:t>
            </w:r>
          </w:p>
          <w:p w14:paraId="74886D02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2E498AD" w14:textId="30CAE9E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</w:p>
        </w:tc>
      </w:tr>
      <w:tr w:rsidR="00850CB6" w:rsidRPr="0047462D" w14:paraId="3C198A4E" w14:textId="77777777" w:rsidTr="00D13AC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18C4EF93" w14:textId="118FE8FA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278DE1" w14:textId="3CEACF28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Kapacitete teknike dhe burime njerëzore të kufizuara në sektorin (e ri) të prokurimeve.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C269" w14:textId="171A08FA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E810F88" w14:textId="5CD71152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0F6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Organizimi i trajnimeve të brendshme lidhur me ndryshimet ligjore në fushën e prokurimeve publike, për stafin e sektorit të prokurimeve. </w:t>
            </w:r>
          </w:p>
          <w:p w14:paraId="0C54A5F8" w14:textId="43B76B1D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2. Përfshirja e këtyre trajnimeve në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ashkisë për </w:t>
            </w:r>
            <w:r w:rsidR="00D12DE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rajnimet. </w:t>
            </w:r>
          </w:p>
          <w:p w14:paraId="266FE473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3. Plotësimi i vakancës në sektorin e prokurimeve, sipas strukturës së miratuar të bashkisë.</w:t>
            </w:r>
          </w:p>
          <w:p w14:paraId="683DC8FE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E2F3" w14:textId="6C263709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Drejtoria e Burimeve Njerëzore dhe Shërbimeve Mbështetëse </w:t>
            </w:r>
          </w:p>
          <w:p w14:paraId="505E4F94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D1FCFA9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Juridike</w:t>
            </w:r>
          </w:p>
          <w:p w14:paraId="586E59A4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554AA64" w14:textId="1C71BADA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</w:p>
        </w:tc>
      </w:tr>
      <w:tr w:rsidR="00850CB6" w:rsidRPr="0047462D" w14:paraId="136CE186" w14:textId="77777777" w:rsidTr="008060C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1C65D6DF" w14:textId="75779E04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13.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F0E6FB" w14:textId="155DC49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 njerëzore të kufizuara në njësinë e auditit, me pasojë efektivitetin e kryerjes së funksioneve të njësisë.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E6F9" w14:textId="494B8D2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Strategjik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7EDCB6" w14:textId="7271EE45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0E82" w14:textId="08F4FF0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Plotësimi i Sektorit së Auditimit të Brendshëm me burime njerëzore sipas kritereve të përcaktuara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462D">
              <w:rPr>
                <w:rFonts w:ascii="Times New Roman" w:hAnsi="Times New Roman" w:cs="Times New Roman"/>
              </w:rPr>
              <w:t xml:space="preserve">bazën ligjore përkatëse dhe në përputhje me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strukturën e miratuar të bashkisë.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5A4F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30318694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CC74347" w14:textId="7704BB99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</w:p>
        </w:tc>
      </w:tr>
      <w:tr w:rsidR="00850CB6" w:rsidRPr="0047462D" w14:paraId="1DED6863" w14:textId="77777777" w:rsidTr="008060C8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59DF3333" w14:textId="5DF85995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14.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BC1A7F" w14:textId="6B77FE7C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Kapacitete teknike të kufizuara të anëtarëve të GMS</w:t>
            </w:r>
            <w:r w:rsidR="004D0874" w:rsidRPr="0047462D">
              <w:rPr>
                <w:rFonts w:ascii="Times New Roman" w:eastAsia="Times New Roman" w:hAnsi="Times New Roman" w:cs="Times New Roman"/>
                <w:lang w:eastAsia="en-GB"/>
              </w:rPr>
              <w:t>-s</w:t>
            </w:r>
            <w:r w:rsidR="004D0874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në lidhje me menaxhimin e riskut.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5459" w14:textId="0FAF9EE4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1DCED8" w14:textId="5F6F5024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1F9E" w14:textId="00D3FA95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Organizimi i trajnimeve për anëtarët e GMS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-s</w:t>
            </w:r>
            <w:r w:rsidR="002F0E44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në lidhje me menaxhimin e riskut.                                                                           2. Përfshirja e këtyre trajnimeve në 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ashkisë për 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rajnimet e 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ersonelit.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1ED6" w14:textId="19989F84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Drejtoria e Burimeve Njerëzore dhe </w:t>
            </w:r>
            <w:r w:rsidR="002F0E44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e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Shërbimeve Mbështetëse </w:t>
            </w:r>
          </w:p>
          <w:p w14:paraId="1E1A012A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6AB60D4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GMS</w:t>
            </w:r>
          </w:p>
          <w:p w14:paraId="57AE842C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14:paraId="59EAC0A5" w14:textId="5D11800C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</w:t>
            </w:r>
          </w:p>
        </w:tc>
      </w:tr>
      <w:tr w:rsidR="00850CB6" w:rsidRPr="0047462D" w14:paraId="5F00D04E" w14:textId="77777777" w:rsidTr="00CE482B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76769AB0" w14:textId="6226FE3F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15.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19585C" w14:textId="036A341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Njohuri të kufizuara të personelit në lidhje me procedurat e sinjalizimit, funksionin e sinjalizuesit dhe kontaktin e njësisë së sinjalizimit.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962A" w14:textId="1C5C0C4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Indicie Korrupsioni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010B3CE" w14:textId="124FB7B1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CAEA" w14:textId="15E4392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Organizimi i trajnimeve për personelin e bashkisë në lidhje me procedurat e sinjalizimit. Përfshirja e tyre në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ashkisë për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rajnimet.                                                                                                                                                                                                                                                                                    2. Informimi i të gjithë punonjësve mbi rregulloren e sinjalizuesit dhe vënia në dispozicion e saj.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3. Rikujtesë periodike e punonjësve mbi funksionin dhe kontaktin e sinjalizuesit.                                                                                                                                                                                            4. Publikimi i informacionit për njësinë e sinjalizimit dhe kontaktet e saj në Programin e Transparencës.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A69A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  <w:p w14:paraId="363F1FE9" w14:textId="77777777" w:rsidR="008060C8" w:rsidRPr="0047462D" w:rsidRDefault="008060C8" w:rsidP="008060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62D">
              <w:rPr>
                <w:rFonts w:ascii="Times New Roman" w:hAnsi="Times New Roman" w:cs="Times New Roman"/>
              </w:rPr>
              <w:t>Sektori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i Auditimit të Brendshëm</w:t>
            </w:r>
          </w:p>
          <w:p w14:paraId="2EB80FCD" w14:textId="77777777" w:rsidR="008060C8" w:rsidRPr="0047462D" w:rsidRDefault="008060C8" w:rsidP="008060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43035D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33E4E319" w14:textId="77777777" w:rsidR="008060C8" w:rsidRPr="0047462D" w:rsidRDefault="008060C8" w:rsidP="008060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4B4E1F" w14:textId="36840EAA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 dhe në vazhdimësi</w:t>
            </w:r>
            <w:r w:rsidR="00816EE9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47462D" w14:paraId="36A36262" w14:textId="77777777" w:rsidTr="00D13AC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0594EBF4" w14:textId="75EC6635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16.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2CA823" w14:textId="7CD2B0E3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Kapacitete teknike të kufizuara në drejtorinë e shërbimeve publike të bashkisë.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EE7" w14:textId="39D8F591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81D7C1A" w14:textId="53519451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D8C6" w14:textId="5CEA8440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Realizimi i trajnimeve periodike për punonjësit e Drejtorisë së Shërbimeve Publike në lidhje me vlerësimin e performancës së ofruesve të shërbimeve publike. Përfshirja e tyre në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lanin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jetor të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rajnimeve.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C744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Drejtoria e Burimeve Njerëzore  dhe Shërbimeve Mbështetëse </w:t>
            </w:r>
          </w:p>
          <w:p w14:paraId="6A9B4402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618CE56E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754A8B98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Drejtoria e Burimeve Njerëzore  dhe Shërbimeve Mbështetëse </w:t>
            </w:r>
          </w:p>
          <w:p w14:paraId="47DA2FDE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063EE9FE" w14:textId="186B35FC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</w:t>
            </w:r>
            <w:r w:rsidRPr="0047462D" w:rsidDel="0000770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val="sq-AL" w:eastAsia="en-GB"/>
              </w:rPr>
              <w:t>2023.</w:t>
            </w:r>
          </w:p>
        </w:tc>
      </w:tr>
      <w:tr w:rsidR="00850CB6" w:rsidRPr="0047462D" w14:paraId="4F7BEC52" w14:textId="77777777" w:rsidTr="00D13ACD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7410789D" w14:textId="6AB23463" w:rsidR="008060C8" w:rsidRPr="0047462D" w:rsidRDefault="00BF21A1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17.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F02575" w14:textId="6402D252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 njerëzore të pamjaftueshme në Drejtorinë e Planifikimit dhe Zhvillimit të Territorit. (topograf, gjeodez, specialist për shqyrtimin e ankesave etj.)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CE40" w14:textId="5B4B8275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CA316E" w14:textId="7AD8A734" w:rsidR="008060C8" w:rsidRPr="0047462D" w:rsidRDefault="008060C8" w:rsidP="0080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7AE3" w14:textId="111A512E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Vlerësimi i nevojave për burime njerëzore në Drejtorinë e Planifikimit dhe Zhvillimit të Territorit. Dorëzim i rezultateve të vlerësimit te Kryetari i Bashkisë.</w:t>
            </w:r>
          </w:p>
          <w:p w14:paraId="0AD75468" w14:textId="7AD7469D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2.  Shpallja e vakancave ekzistuese për përmbushjen e organikës në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rejtorinë e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lanifikimit dhe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dministrimit të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erritorit.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5697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Planifikimit dhe Zhvillimit të Territorit</w:t>
            </w:r>
          </w:p>
          <w:p w14:paraId="3873C0F0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BBD881C" w14:textId="59FA9BE1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</w:t>
            </w:r>
            <w:r w:rsidR="00885D57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zore dhe Shërbimeve Mbështetëse</w:t>
            </w:r>
          </w:p>
          <w:p w14:paraId="411B7A9B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63B5D61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</w:p>
          <w:p w14:paraId="01CDCE9C" w14:textId="77777777" w:rsidR="008060C8" w:rsidRPr="0047462D" w:rsidRDefault="008060C8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53EA5B90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60C77821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5F587B81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6086E4D2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320527C7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0AD3CED2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7AB1F360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17D2A6B5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075238E9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785DFD3C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212CE557" w14:textId="0F392C96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1F701EF5" w14:textId="2B6053C7" w:rsidR="007D728D" w:rsidRPr="0047462D" w:rsidRDefault="007D728D" w:rsidP="008E0567">
      <w:pPr>
        <w:spacing w:after="0" w:line="276" w:lineRule="auto"/>
        <w:rPr>
          <w:rFonts w:ascii="Times New Roman" w:hAnsi="Times New Roman" w:cs="Times New Roman"/>
        </w:rPr>
      </w:pPr>
      <w:bookmarkStart w:id="6" w:name="_GoBack"/>
      <w:bookmarkEnd w:id="6"/>
    </w:p>
    <w:tbl>
      <w:tblPr>
        <w:tblpPr w:leftFromText="180" w:rightFromText="180" w:horzAnchor="margin" w:tblpXSpec="center" w:tblpY="-212"/>
        <w:tblW w:w="15309" w:type="dxa"/>
        <w:tblLook w:val="04A0" w:firstRow="1" w:lastRow="0" w:firstColumn="1" w:lastColumn="0" w:noHBand="0" w:noVBand="1"/>
      </w:tblPr>
      <w:tblGrid>
        <w:gridCol w:w="567"/>
        <w:gridCol w:w="3652"/>
        <w:gridCol w:w="1843"/>
        <w:gridCol w:w="1276"/>
        <w:gridCol w:w="5103"/>
        <w:gridCol w:w="2868"/>
      </w:tblGrid>
      <w:tr w:rsidR="00850CB6" w:rsidRPr="0047462D" w14:paraId="42DC845A" w14:textId="77777777" w:rsidTr="008C23E2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86DAEED" w14:textId="4BE607E2" w:rsidR="007D728D" w:rsidRPr="0047462D" w:rsidRDefault="007D728D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lastRenderedPageBreak/>
              <w:t xml:space="preserve">Objektivi 2: </w:t>
            </w:r>
            <w:r w:rsidRPr="004746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q-AL"/>
              </w:rPr>
              <w:t xml:space="preserve"> </w:t>
            </w:r>
            <w:r w:rsidRPr="0047462D">
              <w:rPr>
                <w:rFonts w:ascii="Times New Roman" w:hAnsi="Times New Roman" w:cs="Times New Roman"/>
                <w:b/>
                <w:bCs/>
                <w:i/>
                <w:iCs/>
                <w:lang w:val="sq-AL"/>
              </w:rPr>
              <w:t xml:space="preserve"> Përmirësimi i kuadrit të brendshëm rregullator dhe strategjik për aspekte</w:t>
            </w:r>
            <w:r w:rsidR="00850CB6" w:rsidRPr="0047462D">
              <w:rPr>
                <w:rFonts w:ascii="Times New Roman" w:hAnsi="Times New Roman" w:cs="Times New Roman"/>
                <w:b/>
                <w:bCs/>
                <w:i/>
                <w:iCs/>
                <w:lang w:val="sq-AL"/>
              </w:rPr>
              <w:t xml:space="preserve"> </w:t>
            </w:r>
            <w:r w:rsidRPr="0047462D">
              <w:rPr>
                <w:rFonts w:ascii="Times New Roman" w:hAnsi="Times New Roman" w:cs="Times New Roman"/>
                <w:b/>
                <w:bCs/>
                <w:i/>
                <w:iCs/>
                <w:lang w:val="sq-AL"/>
              </w:rPr>
              <w:t>të veçanta të etikës dhe integritetit.</w:t>
            </w:r>
          </w:p>
        </w:tc>
      </w:tr>
      <w:tr w:rsidR="00850CB6" w:rsidRPr="0047462D" w14:paraId="413949FB" w14:textId="77777777" w:rsidTr="008C23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0CE4AC3" w14:textId="77777777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516DB0E" w14:textId="77777777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8DE751C" w14:textId="77777777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093FA8E3" w14:textId="77777777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6A3ECDBA" w14:textId="77777777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06673A6E" w14:textId="7D474BDB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Personi përgjegjës për zbatimin e masës dhe afati </w:t>
            </w:r>
            <w:r w:rsidR="00885D57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fundit për zbatimin e aktiviteteve</w:t>
            </w:r>
          </w:p>
        </w:tc>
      </w:tr>
      <w:tr w:rsidR="00850CB6" w:rsidRPr="0047462D" w14:paraId="34D82764" w14:textId="77777777" w:rsidTr="007D728D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4DD7E89E" w14:textId="7A6A2B29" w:rsidR="007D728D" w:rsidRPr="0047462D" w:rsidRDefault="00EE487A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18.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6B9E6" w14:textId="1198AB82" w:rsidR="007D728D" w:rsidRPr="0047462D" w:rsidRDefault="007D728D" w:rsidP="007D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Kodit t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Sjelljes p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 administrat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 e bashkis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B35A" w14:textId="0FE82D76" w:rsidR="007D728D" w:rsidRPr="0047462D" w:rsidRDefault="007D728D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1B54D7" w14:textId="579BF1A4" w:rsidR="007D728D" w:rsidRPr="0047462D" w:rsidRDefault="007D728D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2B171" w14:textId="25EF1C86" w:rsidR="007D728D" w:rsidRPr="0047462D" w:rsidRDefault="007D728D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Hartimi dhe miratimi i Kodit t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Sjelljes p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 administrat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 e bashkis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duke p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rfshir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rregulla në lidhje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me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parandalimin dhe deklarimin e konfliktit të interesit, veprimtarive të jashtme, pranimit dhe deklarimit të dhuratave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, si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dhe deklarimit të pasurisë.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AF45" w14:textId="416BA239" w:rsidR="007D728D" w:rsidRPr="0047462D" w:rsidRDefault="007D728D" w:rsidP="007D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Drejtoria e Burimeve Njerëzore  dhe Shërbimeve Mbështetëse </w:t>
            </w:r>
          </w:p>
          <w:p w14:paraId="593B37BA" w14:textId="4FD5BE4D" w:rsidR="007D728D" w:rsidRPr="0047462D" w:rsidRDefault="007D728D" w:rsidP="007D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55F260BF" w14:textId="5A48E7E3" w:rsidR="007D728D" w:rsidRPr="0047462D" w:rsidRDefault="007D728D" w:rsidP="007D72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Juridike</w:t>
            </w:r>
          </w:p>
          <w:p w14:paraId="7135946A" w14:textId="3E1FBBF7" w:rsidR="007D728D" w:rsidRPr="0047462D" w:rsidRDefault="007D728D" w:rsidP="007D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908E224" w14:textId="2F8BA510" w:rsidR="007D728D" w:rsidRPr="0047462D" w:rsidRDefault="007D728D" w:rsidP="007D72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</w:t>
            </w:r>
          </w:p>
        </w:tc>
      </w:tr>
      <w:tr w:rsidR="00850CB6" w:rsidRPr="0047462D" w14:paraId="0B7E291A" w14:textId="77777777" w:rsidTr="000E0A2D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64C06077" w14:textId="11C05EB7" w:rsidR="008C41F1" w:rsidRPr="0047462D" w:rsidRDefault="00EE487A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19.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419789" w14:textId="694E0CB9" w:rsidR="008C41F1" w:rsidRPr="0047462D" w:rsidRDefault="008C41F1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Mungesë e qartësisë së linjave të hiearkisë mes drejtorive të bashkisë dhe komunikimit ndërmjet tyre</w:t>
            </w:r>
            <w:r w:rsidR="004D0874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në </w:t>
            </w:r>
            <w:r w:rsidR="004D0874"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regulloren e </w:t>
            </w:r>
            <w:r w:rsidR="004D0874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rendshme të institucionit.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899" w14:textId="213F5D5C" w:rsidR="008C41F1" w:rsidRPr="0047462D" w:rsidRDefault="008C41F1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70E9A7" w14:textId="16ED509D" w:rsidR="008C41F1" w:rsidRPr="0047462D" w:rsidRDefault="008C41F1" w:rsidP="008C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C07DDE" w14:textId="7790A962" w:rsidR="008C41F1" w:rsidRPr="0047462D" w:rsidRDefault="008C41F1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Parashikimi i qartë i linjave të kontrollit (raportuese/bashkëpunuese/informuese) në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regulloren e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rendshme të </w:t>
            </w:r>
            <w:r w:rsidR="00885D57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62D3" w14:textId="77777777" w:rsidR="008C41F1" w:rsidRPr="0047462D" w:rsidRDefault="008C41F1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Grupi punës i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ngritur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urdhër të Kryetarit të Bashkisë për rishikimin e rregullores </w:t>
            </w:r>
          </w:p>
          <w:p w14:paraId="639E1616" w14:textId="77777777" w:rsidR="008C41F1" w:rsidRPr="0047462D" w:rsidRDefault="008C41F1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1A96B16" w14:textId="42C2373D" w:rsidR="008C41F1" w:rsidRPr="0047462D" w:rsidRDefault="008C41F1" w:rsidP="008C41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</w:t>
            </w:r>
          </w:p>
        </w:tc>
      </w:tr>
      <w:tr w:rsidR="00850CB6" w:rsidRPr="0047462D" w14:paraId="25D2FE24" w14:textId="77777777" w:rsidTr="00AD2574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40583A35" w14:textId="325C7034" w:rsidR="003C112F" w:rsidRPr="0047462D" w:rsidRDefault="00EE487A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20.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BDD42E" w14:textId="4EC3AAE6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Rregullorja e </w:t>
            </w:r>
            <w:r w:rsidR="004D0874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rendshme nuk parashikon detyrat, funksionet dhe p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rgjegj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sit</w:t>
            </w:r>
            <w:r w:rsidR="006D1E1B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e Autoritetit P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rgjegj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 p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 Parandalimin e Konfliktit t</w:t>
            </w:r>
            <w:r w:rsidR="005637C9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Interes</w:t>
            </w:r>
            <w:r w:rsidR="004D0874" w:rsidRPr="0047462D">
              <w:rPr>
                <w:rFonts w:ascii="Times New Roman" w:eastAsia="Times New Roman" w:hAnsi="Times New Roman" w:cs="Times New Roman"/>
                <w:lang w:eastAsia="en-GB"/>
              </w:rPr>
              <w:t>it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A2C7" w14:textId="7831DC46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4EA3BB" w14:textId="2BDC69C9" w:rsidR="003C112F" w:rsidRPr="0047462D" w:rsidRDefault="003C112F" w:rsidP="003C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EC0517" w14:textId="1FFF6382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Parashikimi në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regulloren e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rendshme i detyrave, funksioneve dhe përgjegjësive të Autoritetit Përgjegjës për Parandalimin e Konfliktit të Interesave.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CAB8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Grupi punës i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ngritur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me urdhër të Kryetarit të Bashkisë për rishikimin e rregullores </w:t>
            </w:r>
          </w:p>
          <w:p w14:paraId="0166E611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C8C1A1E" w14:textId="6394B8E5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</w:t>
            </w:r>
          </w:p>
        </w:tc>
      </w:tr>
      <w:tr w:rsidR="00850CB6" w:rsidRPr="0047462D" w14:paraId="64350112" w14:textId="77777777" w:rsidTr="00AD2574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3547CBF7" w14:textId="13E7367F" w:rsidR="003C112F" w:rsidRPr="0047462D" w:rsidRDefault="00EE487A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21.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688305" w14:textId="06732B3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Mungesa e planeve të detajuara vendore.  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AD0" w14:textId="0B4D8AC4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B238CB" w14:textId="38D13401" w:rsidR="003C112F" w:rsidRPr="0047462D" w:rsidRDefault="003C112F" w:rsidP="003C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39854F" w14:textId="14C05C43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Në varësi të interesit për zhvillim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të hartohen Planet e Detajuara Vendore duke respektuar përcaktimet në Planin e Përgjithshëm Vendor.   Finalizimi i PDV-ve që janë në proces hartimi.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2. Konsultimi i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laneve të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d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etajuara vendore me qytetarët dhe grupet e interesit.                                                                                                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67A" w14:textId="49CBC813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 Drejtoria e Planifikimit dhe Zhvillimit të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erritorit</w:t>
            </w:r>
          </w:p>
          <w:p w14:paraId="5926612C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06AC06F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për njoftimin dhe konsultimin publik</w:t>
            </w:r>
          </w:p>
          <w:p w14:paraId="0A6527F0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1BBFF11" w14:textId="65B9CBD8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</w:p>
        </w:tc>
      </w:tr>
      <w:tr w:rsidR="00850CB6" w:rsidRPr="0047462D" w14:paraId="7672532D" w14:textId="77777777" w:rsidTr="0099551B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4753D07F" w14:textId="4366E016" w:rsidR="003C112F" w:rsidRPr="0047462D" w:rsidRDefault="00EE487A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22.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726FF3" w14:textId="7E74EE61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Mungesë e Planit Strategjik të institucionit.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B8FC" w14:textId="55D8B278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4EE7130" w14:textId="75437CE2" w:rsidR="003C112F" w:rsidRPr="0047462D" w:rsidRDefault="003C112F" w:rsidP="003C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792FE1" w14:textId="472BB4AE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Hartimi, konsultimi, miratimi i Planit Strategjik të Bashkisë Himarë.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2. Publikimi i planit të miratuar në Programin e Transparencës së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7DBE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Grup pune i ngritur me urdhër të Kryetarit të Bashkisë</w:t>
            </w:r>
          </w:p>
          <w:p w14:paraId="2867C9E0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0B866C6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Koordinatori për të drejtën e informimit 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</w:p>
          <w:p w14:paraId="2D4B8FF3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62EA4B9" w14:textId="46DE24D5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2024</w:t>
            </w:r>
          </w:p>
        </w:tc>
      </w:tr>
      <w:tr w:rsidR="00850CB6" w:rsidRPr="0047462D" w14:paraId="5158FBFA" w14:textId="77777777" w:rsidTr="005D416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30F38EBC" w14:textId="096E42C0" w:rsidR="003C112F" w:rsidRPr="0047462D" w:rsidRDefault="00EE487A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23.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786DC" w14:textId="47F8D073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një strategjie të miratuar të administrimit të pronave bashkiake.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11E" w14:textId="2F61974E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438268" w14:textId="4DF668C5" w:rsidR="003C112F" w:rsidRPr="0047462D" w:rsidRDefault="003C112F" w:rsidP="003C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EA6B3" w14:textId="011E3AD1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Hartimi, konsultimi, miratimi dhe publikimi i strategjisë së administrimit të pronave bashkiake.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10F4" w14:textId="64F026D3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Grup pune i ngritur me urdhër të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K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ryetarit të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</w:t>
            </w:r>
          </w:p>
          <w:p w14:paraId="796E6736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B7A70B0" w14:textId="7D81C11C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për njoftimin dhe konsultimin publi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k</w:t>
            </w:r>
          </w:p>
          <w:p w14:paraId="4341E355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1BB1416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Koordinatori për të drejtën e informimit </w:t>
            </w:r>
          </w:p>
          <w:p w14:paraId="10FE7287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C7C530D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2025</w:t>
            </w:r>
          </w:p>
          <w:p w14:paraId="188AE16F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37DEF7A" w14:textId="77777777" w:rsidR="003C112F" w:rsidRPr="0047462D" w:rsidRDefault="003C112F" w:rsidP="003C11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</w:tc>
      </w:tr>
    </w:tbl>
    <w:p w14:paraId="297ACAAB" w14:textId="77777777" w:rsidR="007D728D" w:rsidRPr="0047462D" w:rsidRDefault="007D728D" w:rsidP="008E0567">
      <w:pPr>
        <w:spacing w:after="0" w:line="276" w:lineRule="auto"/>
        <w:rPr>
          <w:rFonts w:ascii="Times New Roman" w:hAnsi="Times New Roman" w:cs="Times New Roman"/>
        </w:rPr>
      </w:pPr>
    </w:p>
    <w:p w14:paraId="52670CF3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5668B804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0A686752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62505D8C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4021BCDE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695777E6" w14:textId="2300AFC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6C64298D" w14:textId="599AF245" w:rsidR="00AD2574" w:rsidRPr="0047462D" w:rsidRDefault="00AD2574" w:rsidP="008E0567">
      <w:pPr>
        <w:spacing w:after="0" w:line="276" w:lineRule="auto"/>
        <w:rPr>
          <w:rFonts w:ascii="Times New Roman" w:hAnsi="Times New Roman" w:cs="Times New Roman"/>
        </w:rPr>
      </w:pPr>
    </w:p>
    <w:p w14:paraId="284D1836" w14:textId="30A68C9C" w:rsidR="00AD2574" w:rsidRPr="0047462D" w:rsidRDefault="00AD2574" w:rsidP="008E0567">
      <w:pPr>
        <w:spacing w:after="0" w:line="276" w:lineRule="auto"/>
        <w:rPr>
          <w:rFonts w:ascii="Times New Roman" w:hAnsi="Times New Roman" w:cs="Times New Roman"/>
        </w:rPr>
      </w:pPr>
    </w:p>
    <w:p w14:paraId="006D10F8" w14:textId="7330BAD4" w:rsidR="00AD2574" w:rsidRPr="0047462D" w:rsidRDefault="00AD2574" w:rsidP="008E0567">
      <w:pPr>
        <w:spacing w:after="0" w:line="276" w:lineRule="auto"/>
        <w:rPr>
          <w:rFonts w:ascii="Times New Roman" w:hAnsi="Times New Roman" w:cs="Times New Roman"/>
        </w:rPr>
      </w:pPr>
    </w:p>
    <w:p w14:paraId="2F7C54D3" w14:textId="77777777" w:rsidR="00AD2574" w:rsidRPr="0047462D" w:rsidRDefault="00AD2574" w:rsidP="008E0567">
      <w:pPr>
        <w:spacing w:after="0" w:line="276" w:lineRule="auto"/>
        <w:rPr>
          <w:rFonts w:ascii="Times New Roman" w:hAnsi="Times New Roman" w:cs="Times New Roman"/>
        </w:rPr>
      </w:pPr>
    </w:p>
    <w:p w14:paraId="1F770C57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12"/>
        <w:tblW w:w="15276" w:type="dxa"/>
        <w:tblLook w:val="04A0" w:firstRow="1" w:lastRow="0" w:firstColumn="1" w:lastColumn="0" w:noHBand="0" w:noVBand="1"/>
      </w:tblPr>
      <w:tblGrid>
        <w:gridCol w:w="528"/>
        <w:gridCol w:w="3833"/>
        <w:gridCol w:w="1843"/>
        <w:gridCol w:w="1217"/>
        <w:gridCol w:w="5020"/>
        <w:gridCol w:w="2835"/>
      </w:tblGrid>
      <w:tr w:rsidR="00850CB6" w:rsidRPr="0047462D" w14:paraId="196C6514" w14:textId="77777777" w:rsidTr="008C23E2">
        <w:trPr>
          <w:trHeight w:val="30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0196609" w14:textId="5A08AF09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lastRenderedPageBreak/>
              <w:t xml:space="preserve">Objektivi 3: </w:t>
            </w:r>
            <w:r w:rsidRPr="0047462D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sq-AL"/>
              </w:rPr>
              <w:t xml:space="preserve"> Përmirësimi i transparencës proaktive të bashkisë për të mundësuar rritjen e llogaridhënies dhe aksesit të qytetarëve në informacion.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</w:p>
        </w:tc>
      </w:tr>
      <w:tr w:rsidR="00850CB6" w:rsidRPr="0047462D" w14:paraId="0430A678" w14:textId="77777777" w:rsidTr="008C23E2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6E6E62D7" w14:textId="77777777" w:rsidR="00AD2574" w:rsidRPr="0047462D" w:rsidRDefault="00AD2574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BD2C340" w14:textId="77777777" w:rsidR="00AD2574" w:rsidRPr="0047462D" w:rsidRDefault="00AD2574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F992C83" w14:textId="77777777" w:rsidR="00AD2574" w:rsidRPr="0047462D" w:rsidRDefault="00AD2574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24D9B9F" w14:textId="77777777" w:rsidR="00AD2574" w:rsidRPr="0047462D" w:rsidRDefault="00AD2574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6657EA51" w14:textId="77777777" w:rsidR="00AD2574" w:rsidRPr="0047462D" w:rsidRDefault="00AD2574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5C5112C" w14:textId="53E75ED4" w:rsidR="00AD2574" w:rsidRPr="0047462D" w:rsidRDefault="00AD2574" w:rsidP="008C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Personi përgjegjës për zbatimin e masës dhe afati </w:t>
            </w:r>
            <w:r w:rsidR="00EC6866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fundit për zbatimin e aktiviteteve</w:t>
            </w:r>
          </w:p>
        </w:tc>
      </w:tr>
      <w:tr w:rsidR="00850CB6" w:rsidRPr="0047462D" w14:paraId="488F3540" w14:textId="77777777" w:rsidTr="005F4A1A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96F0922" w14:textId="13392D91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24.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3864" w14:textId="09953ADF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Programi i Transparencës së bashkisë nuk është i plotësuar dhe i përditësuar.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268" w14:textId="3D00282C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Reputacional dhe Imazhi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E2AD99" w14:textId="2C81FE28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9ACD" w14:textId="289CA121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Përditësimi i Programit të Transparencës së 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 dhe plotësimi i tij me informacionin e kërkuar sipas ligjit për të drejtën e informimit dhe udhëzimeve të KDI</w:t>
            </w:r>
            <w:r w:rsidR="00EC6866" w:rsidRPr="0047462D">
              <w:rPr>
                <w:rFonts w:ascii="Times New Roman" w:eastAsia="Times New Roman" w:hAnsi="Times New Roman" w:cs="Times New Roman"/>
                <w:lang w:eastAsia="en-GB"/>
              </w:rPr>
              <w:t>-s</w:t>
            </w:r>
            <w:r w:rsidR="00EC6866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034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për të drejtën e informimit në bashkëpunim me drejtoritë e bashkisë.</w:t>
            </w:r>
          </w:p>
          <w:p w14:paraId="219EC033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359012F" w14:textId="6240177A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</w:p>
        </w:tc>
      </w:tr>
      <w:tr w:rsidR="00850CB6" w:rsidRPr="0047462D" w14:paraId="59B5C276" w14:textId="77777777" w:rsidTr="0048741D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6EF299F9" w14:textId="7048D73A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25.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CEA7" w14:textId="60840A22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Mungesë e Planit Vjetor për Procesin e Vendimmarrjes me Pjesëmarrje.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DC5" w14:textId="4485964A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FCDA734" w14:textId="53E369DA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A949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Hartimi i Planit vjetor për Procesin e Vendimmarrjes me Pjesëmarrje sipas parashikimeve të Ligjit për Njoftimin dhe Konsultimin Publik. </w:t>
            </w:r>
          </w:p>
          <w:p w14:paraId="6F947185" w14:textId="554B2E3C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2. Publikimi i tij në Programin e Transparencës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9009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Koordinatori për njoftimin dhe konsultimin publik</w:t>
            </w:r>
          </w:p>
          <w:p w14:paraId="7B5773B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6500555B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Sekretari i Këshillit Bashkiak</w:t>
            </w:r>
          </w:p>
          <w:p w14:paraId="58D75E59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594B5173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Koordinatori për të drejtën e informimit </w:t>
            </w:r>
          </w:p>
          <w:p w14:paraId="39808FCE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419A250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CD3F048" w14:textId="36748DB0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</w:t>
            </w:r>
          </w:p>
        </w:tc>
      </w:tr>
      <w:tr w:rsidR="00850CB6" w:rsidRPr="0047462D" w14:paraId="08E1F614" w14:textId="77777777" w:rsidTr="00D7062D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13257B59" w14:textId="485F0955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26.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C3AD" w14:textId="4380139E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Mungesë e Raportit Vjetor të Transparencës në Procesin e Vendimmarjes.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C1E" w14:textId="14865131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Reputacional dhe Imazhi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1AA748C" w14:textId="7FE57B1F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FD0B" w14:textId="21B1488D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Hartimi i Raportit Vjetor të Transparencës në Procesin e Vendimmarjes (Raporti i Konsultimit Publik) sipas parashikimeve të Ligjit për Njoftimin dhe Konsultimin Publik.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Publikimi i Raportit Vjetor të Transparencës në Procesin e Vendimmarjes në Programin e Transparencës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1F78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Koordinatori për njoftimin dhe konsultimin publik</w:t>
            </w:r>
          </w:p>
          <w:p w14:paraId="0F78F4B2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2E5009B0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Sekretari i Këshillit Bashkiak</w:t>
            </w:r>
          </w:p>
          <w:p w14:paraId="4F90612E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70ECFD0C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Koordinatori për të drejtën e informimit </w:t>
            </w:r>
          </w:p>
          <w:p w14:paraId="4EB49F4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2506D8C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F097532" w14:textId="62875126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</w:t>
            </w:r>
          </w:p>
        </w:tc>
      </w:tr>
      <w:tr w:rsidR="00850CB6" w:rsidRPr="0047462D" w14:paraId="5809AD5A" w14:textId="77777777" w:rsidTr="001D02C2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0C723252" w14:textId="519CC570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27.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331C" w14:textId="7EB1073D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Mungesa e publikimit të Kartës së Auditit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6472" w14:textId="686FA971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5A42C24" w14:textId="1EC455C1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1E2E" w14:textId="63513718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Publikimi i Kartës së Auditit në Programin e Transparencës së 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F6B9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Sektori i Auditimit të Brendshëm </w:t>
            </w:r>
          </w:p>
          <w:p w14:paraId="115EED01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1B6F205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Koordinatori për të drejtën e informimit </w:t>
            </w:r>
          </w:p>
          <w:p w14:paraId="626F5533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818BCA4" w14:textId="642465E3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2022</w:t>
            </w:r>
          </w:p>
        </w:tc>
      </w:tr>
      <w:tr w:rsidR="00850CB6" w:rsidRPr="0047462D" w14:paraId="4C14F9FC" w14:textId="77777777" w:rsidTr="00515396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05BEB732" w14:textId="4E06FE56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28.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9D95" w14:textId="647DC7CD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publikimit të Raporteve të Brendshme të Auditit.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1B3F" w14:textId="4866DCDD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Ligjor dhe Kontraktual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1A099F" w14:textId="2D33D883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CD82" w14:textId="3C64EE73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Publikimi i Raporteve të Brendshme të Auditit në Programin e Transparencës së 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2CF2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Sektori i Auditimit të Brendshëm </w:t>
            </w:r>
          </w:p>
          <w:p w14:paraId="499520CC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91806A0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për të drejtën e informimit</w:t>
            </w:r>
          </w:p>
          <w:p w14:paraId="29C32422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1ABEFA2" w14:textId="3DBB70C8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Gjashtëmujori i dytë i vitit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2022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dhe në vazhdimësi</w:t>
            </w:r>
          </w:p>
        </w:tc>
      </w:tr>
      <w:tr w:rsidR="00850CB6" w:rsidRPr="0047462D" w14:paraId="12474550" w14:textId="77777777" w:rsidTr="008C23E2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190D6CB9" w14:textId="074EBBBE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29.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BA11" w14:textId="0E6E45E1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Mospublikimi i procedurave dhe kritereve për marrjen e lejeve/licensave nga bashkia.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F53F" w14:textId="377B7F10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Reputacional dhe Imazhi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D327E8" w14:textId="17C656BE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EE10" w14:textId="52F3568E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Përditësimi i faqes zyrtare të Bashkisë me informacionin e plotë të procedurave dhe kritereve për lejet/licen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at.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8861" w14:textId="071C901E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Shërbimeve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Publike dhe Mirëmbajtjes, </w:t>
            </w:r>
          </w:p>
          <w:p w14:paraId="615ED09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D76465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për të drejtën e informimit</w:t>
            </w:r>
          </w:p>
          <w:p w14:paraId="0D765F7D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BEF9C2D" w14:textId="07EC31EE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</w:t>
            </w:r>
            <w:r w:rsidRPr="0047462D" w:rsidDel="0000770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val="sq-AL" w:eastAsia="en-GB"/>
              </w:rPr>
              <w:t>2022</w:t>
            </w:r>
            <w:r w:rsidR="00397B86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47462D" w14:paraId="311002B2" w14:textId="77777777" w:rsidTr="00774247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3DE1F5D1" w14:textId="3D6A82B7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30.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1BC2" w14:textId="689B1C44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Mospublikimi i regjistrit të kontratave publike të lidhura nga bashkia.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AA3C" w14:textId="21984D79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Reputacional dhe Imazhi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6708196" w14:textId="6AE0DC98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1D66" w14:textId="768D339E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Publikimi i regjistrit të kontratave publike duke përfshirë të gjithë elementet e parashikuar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në modelin e PT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-s</w:t>
            </w:r>
            <w:r w:rsidR="00397B86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për njësitë e qeverisjes vendore të miratuar nga KDI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-ja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C270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Shërbimeve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Publike dhe Mirëmbajtjes </w:t>
            </w:r>
          </w:p>
          <w:p w14:paraId="56AF11F6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550EAF4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Koordinatori për të drejtën e informimit</w:t>
            </w:r>
          </w:p>
          <w:p w14:paraId="5C524B49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EFCBDF4" w14:textId="5C1F15A5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</w:t>
            </w:r>
            <w:r w:rsidRPr="0047462D" w:rsidDel="0000770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val="sq-AL" w:eastAsia="en-GB"/>
              </w:rPr>
              <w:t>2022.</w:t>
            </w:r>
          </w:p>
        </w:tc>
      </w:tr>
      <w:tr w:rsidR="00850CB6" w:rsidRPr="0047462D" w14:paraId="2D73CF58" w14:textId="77777777" w:rsidTr="00B12CDF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6DD7A4F3" w14:textId="3DC6F33F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lastRenderedPageBreak/>
              <w:t>31.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029B" w14:textId="347742DF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Mospublikimi i regjistrit të pronave bashkiake në pronësi dhe administrim.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9F65" w14:textId="5E4D2500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Informacioni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7FAA2C" w14:textId="50914F7C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5AF1" w14:textId="71A323C2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Publikimi i regjistrit të pronave bashkiake në faqen zyrtare të Bashkisë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AFE8" w14:textId="77777777" w:rsidR="00AD2574" w:rsidRPr="0047462D" w:rsidRDefault="00AD2574" w:rsidP="00AD2574">
            <w:pPr>
              <w:rPr>
                <w:rFonts w:ascii="Times New Roman" w:hAnsi="Times New Roman" w:cs="Times New Roman"/>
              </w:rPr>
            </w:pPr>
            <w:r w:rsidRPr="0047462D">
              <w:rPr>
                <w:rFonts w:ascii="Times New Roman" w:hAnsi="Times New Roman" w:cs="Times New Roman"/>
              </w:rPr>
              <w:t>Sektori i menaxhimit të aseteve</w:t>
            </w:r>
          </w:p>
          <w:p w14:paraId="7B2C1671" w14:textId="77777777" w:rsidR="00AD2574" w:rsidRPr="0047462D" w:rsidRDefault="00AD2574" w:rsidP="00AD2574">
            <w:pPr>
              <w:rPr>
                <w:rFonts w:ascii="Times New Roman" w:hAnsi="Times New Roman" w:cs="Times New Roman"/>
              </w:rPr>
            </w:pPr>
          </w:p>
          <w:p w14:paraId="6565F1F9" w14:textId="77777777" w:rsidR="00AD2574" w:rsidRPr="0047462D" w:rsidRDefault="00AD2574" w:rsidP="00AD2574">
            <w:pPr>
              <w:rPr>
                <w:rFonts w:ascii="Times New Roman" w:hAnsi="Times New Roman" w:cs="Times New Roman"/>
              </w:rPr>
            </w:pPr>
            <w:r w:rsidRPr="0047462D">
              <w:rPr>
                <w:rFonts w:ascii="Times New Roman" w:hAnsi="Times New Roman" w:cs="Times New Roman"/>
              </w:rPr>
              <w:t xml:space="preserve">Koordinatori për të drejtën e informimit </w:t>
            </w:r>
          </w:p>
          <w:p w14:paraId="1300C04A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29D73E4" w14:textId="1EDDA0C4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2024</w:t>
            </w:r>
          </w:p>
        </w:tc>
      </w:tr>
      <w:tr w:rsidR="00850CB6" w:rsidRPr="0047462D" w14:paraId="2E028D31" w14:textId="77777777" w:rsidTr="008C23E2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</w:tcPr>
          <w:p w14:paraId="5978618D" w14:textId="5FC910DE" w:rsidR="00AD2574" w:rsidRPr="0047462D" w:rsidRDefault="00EE487A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32.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37D5" w14:textId="3EA6BD08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Mungesë transparence në lidhje me raportet 4</w:t>
            </w:r>
            <w:r w:rsidR="00655D22" w:rsidRPr="0047462D"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mujore të monitorimit të zbatimit të buxhetit dhe buxhetit vjetor të miratuar.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EFDE" w14:textId="5316A319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Burimet Njerëzore/ Reputacional dhe Imazhi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1C23D7" w14:textId="267BEA5F" w:rsidR="00AD2574" w:rsidRPr="0047462D" w:rsidRDefault="00AD2574" w:rsidP="00AD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C340" w14:textId="6E254590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Publikimi i rregullt në Programin e Transparencës së 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 i raporteve 4-mujore të monitorimit të zbatimit të buxhetit dhe buxhetit vjetor të miratuar.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0C93" w14:textId="49584D50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 Planifikimit të Buxhetit dhe Integrimit E</w:t>
            </w:r>
            <w:r w:rsidR="00397B86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ropian  </w:t>
            </w:r>
          </w:p>
          <w:p w14:paraId="4CC742E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35FBB5F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Koordinatori për të drejtën e informimit 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</w:p>
          <w:p w14:paraId="5AA3D83E" w14:textId="77777777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12A476A" w14:textId="5AABAD38" w:rsidR="00AD2574" w:rsidRPr="0047462D" w:rsidRDefault="00AD2574" w:rsidP="00AD2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2022</w:t>
            </w:r>
          </w:p>
        </w:tc>
      </w:tr>
    </w:tbl>
    <w:p w14:paraId="52F41EFB" w14:textId="77777777" w:rsidR="00C62243" w:rsidRPr="0047462D" w:rsidRDefault="00C62243" w:rsidP="008E0567">
      <w:pPr>
        <w:spacing w:after="0" w:line="276" w:lineRule="auto"/>
        <w:rPr>
          <w:rFonts w:ascii="Times New Roman" w:hAnsi="Times New Roman" w:cs="Times New Roman"/>
        </w:rPr>
      </w:pPr>
    </w:p>
    <w:p w14:paraId="00A6C3C5" w14:textId="0721305D" w:rsidR="00193229" w:rsidRPr="0047462D" w:rsidRDefault="00D13ACD" w:rsidP="00AD2574">
      <w:pPr>
        <w:spacing w:after="0" w:line="276" w:lineRule="auto"/>
        <w:rPr>
          <w:rFonts w:ascii="Times New Roman" w:hAnsi="Times New Roman" w:cs="Times New Roman"/>
        </w:rPr>
      </w:pPr>
      <w:r w:rsidRPr="0047462D">
        <w:rPr>
          <w:rFonts w:ascii="Times New Roman" w:hAnsi="Times New Roman" w:cs="Times New Roman"/>
        </w:rPr>
        <w:br w:type="page"/>
      </w:r>
    </w:p>
    <w:p w14:paraId="18B10FD2" w14:textId="77777777" w:rsidR="008E0567" w:rsidRPr="0047462D" w:rsidRDefault="008E0567" w:rsidP="005A78E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12"/>
        <w:tblW w:w="15276" w:type="dxa"/>
        <w:tblLook w:val="04A0" w:firstRow="1" w:lastRow="0" w:firstColumn="1" w:lastColumn="0" w:noHBand="0" w:noVBand="1"/>
      </w:tblPr>
      <w:tblGrid>
        <w:gridCol w:w="528"/>
        <w:gridCol w:w="3833"/>
        <w:gridCol w:w="1843"/>
        <w:gridCol w:w="1217"/>
        <w:gridCol w:w="5020"/>
        <w:gridCol w:w="2835"/>
      </w:tblGrid>
      <w:tr w:rsidR="00850CB6" w:rsidRPr="0047462D" w14:paraId="208B5CDB" w14:textId="77777777" w:rsidTr="00D13ACD">
        <w:trPr>
          <w:trHeight w:val="30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6141257" w14:textId="13A077E4" w:rsidR="00193229" w:rsidRPr="0047462D" w:rsidRDefault="00794C8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GB"/>
              </w:rPr>
              <w:t xml:space="preserve">Objektivi 4: </w:t>
            </w:r>
            <w:r w:rsidR="00F47CFB" w:rsidRPr="0047462D">
              <w:rPr>
                <w:rFonts w:ascii="Times New Roman" w:hAnsi="Times New Roman" w:cs="Times New Roman"/>
                <w:b/>
                <w:bCs/>
                <w:i/>
                <w:iCs/>
                <w:lang w:val="sq-AL"/>
              </w:rPr>
              <w:t xml:space="preserve"> </w:t>
            </w:r>
            <w:r w:rsidR="00A31201" w:rsidRPr="0047462D">
              <w:rPr>
                <w:rFonts w:ascii="Times New Roman" w:hAnsi="Times New Roman" w:cs="Times New Roman"/>
                <w:b/>
                <w:bCs/>
                <w:i/>
                <w:lang w:val="sq-AL"/>
              </w:rPr>
              <w:t xml:space="preserve"> Menaxhimi i riskut të integritetit me fokus në fushat e përgjegjësisë së bashkisë</w:t>
            </w:r>
            <w:r w:rsidR="00A31201" w:rsidRPr="0047462D" w:rsidDel="00D1011B">
              <w:rPr>
                <w:rFonts w:ascii="Times New Roman" w:hAnsi="Times New Roman" w:cs="Times New Roman"/>
                <w:b/>
                <w:bCs/>
                <w:i/>
                <w:lang w:val="sq-AL"/>
              </w:rPr>
              <w:t xml:space="preserve"> </w:t>
            </w:r>
          </w:p>
          <w:p w14:paraId="5B106F51" w14:textId="469D441F" w:rsidR="005A78E1" w:rsidRPr="0047462D" w:rsidRDefault="00C6503C" w:rsidP="00F73952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Fusha e 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Shërbimeve Publike </w:t>
            </w:r>
          </w:p>
        </w:tc>
      </w:tr>
      <w:tr w:rsidR="00850CB6" w:rsidRPr="0047462D" w14:paraId="4B6C3A11" w14:textId="77777777" w:rsidTr="00D13ACD">
        <w:trPr>
          <w:trHeight w:val="12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D75FCA7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26A43E5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1BB8EFE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3698835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29B1C3E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39738D6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Personi përgjegjës për zbatimin e masës dhe afati I fundit për zbatimin e aktiviteteve</w:t>
            </w:r>
          </w:p>
        </w:tc>
      </w:tr>
      <w:tr w:rsidR="00850CB6" w:rsidRPr="0047462D" w14:paraId="2E0C7610" w14:textId="77777777" w:rsidTr="00D13ACD">
        <w:trPr>
          <w:trHeight w:val="15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11FC6D3A" w14:textId="2E0EAF89" w:rsidR="005A78E1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33.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5C0" w14:textId="62938676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 e një strukture/njësie të përhershme në bashki, të dedikuar p</w:t>
            </w:r>
            <w:r w:rsidR="000453D3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 procesin e monitorimit t</w:t>
            </w:r>
            <w:r w:rsidR="000453D3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zbatimit të kontratave publike për shërbimet publike.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BC2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3D967B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0D5" w14:textId="216AD024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Vlerësimi i nevojës së krijimit të një njësie dedikuar monitorimit dhe mbikëqyrjes së performancës së shërbimit, me burime njerëzore të mjaftueshme dhe teknike në fushë.</w:t>
            </w:r>
            <w:r w:rsidRPr="0047462D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 xml:space="preserve"> (të paktën 2 persona</w:t>
            </w:r>
            <w:r w:rsidR="00397B86" w:rsidRPr="0047462D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;</w:t>
            </w:r>
            <w:r w:rsidRPr="0047462D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 xml:space="preserve"> jurist dhe inxhinier)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2. Raporti i vlerësimit t’i komunikohet titullarit të bashkisë.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E2E" w14:textId="77777777" w:rsidR="00305B5D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Shërbimeve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Publike dhe Mirëmbajtjes </w:t>
            </w:r>
          </w:p>
          <w:p w14:paraId="5D65EA65" w14:textId="77777777" w:rsidR="00305B5D" w:rsidRPr="0047462D" w:rsidRDefault="00305B5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9DDFCCF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Juridike</w:t>
            </w:r>
          </w:p>
          <w:p w14:paraId="44385C0D" w14:textId="77777777" w:rsidR="00305B5D" w:rsidRPr="0047462D" w:rsidRDefault="00305B5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1304A2C" w14:textId="77777777" w:rsidR="00305B5D" w:rsidRPr="0047462D" w:rsidRDefault="00305B5D" w:rsidP="00305B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e Burimeve Njerëzore dhe Shërbimeve Mbështetëse</w:t>
            </w:r>
          </w:p>
          <w:p w14:paraId="749A3F97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C867A3E" w14:textId="77777777" w:rsidR="005A78E1" w:rsidRPr="0047462D" w:rsidRDefault="00305B5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 </w:t>
            </w:r>
          </w:p>
        </w:tc>
      </w:tr>
      <w:tr w:rsidR="00850CB6" w:rsidRPr="0047462D" w14:paraId="11CB2630" w14:textId="77777777" w:rsidTr="008E0567">
        <w:trPr>
          <w:trHeight w:val="27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2F1A1FFA" w14:textId="5DECF3AF" w:rsidR="005A78E1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34.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D55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Mungesa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nj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sistemi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vler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simin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performanc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ofruesve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sh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rbimeve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29B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BCFE26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97B" w14:textId="0E241EDA" w:rsidR="005A78E1" w:rsidRPr="0047462D" w:rsidRDefault="00BE2984" w:rsidP="0080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Të vlerësohet </w:t>
            </w:r>
            <w:r w:rsidR="0017712D" w:rsidRPr="0047462D">
              <w:rPr>
                <w:rFonts w:ascii="Times New Roman" w:eastAsia="Times New Roman" w:hAnsi="Times New Roman" w:cs="Times New Roman"/>
                <w:lang w:eastAsia="en-GB"/>
              </w:rPr>
              <w:t>mund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17712D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sia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e krijimit të një sistemi për vlerësimin e performancës së ofruesve të shërbimeve, e cila </w:t>
            </w:r>
            <w:r w:rsidR="0017712D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17712D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popullohet me të dhëna historike lidhur me performancën e ofruesve të shërbimeve.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26B5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Shërbimeve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Publike dhe Mirëmbajtjes</w:t>
            </w:r>
          </w:p>
          <w:p w14:paraId="60BDE257" w14:textId="77777777" w:rsidR="0017712D" w:rsidRPr="0047462D" w:rsidRDefault="0017712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FA115B8" w14:textId="77777777" w:rsidR="005A78E1" w:rsidRPr="0047462D" w:rsidRDefault="0017712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</w:t>
            </w:r>
            <w:r w:rsidRPr="0047462D" w:rsidDel="0000770A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val="sq-AL" w:eastAsia="en-GB"/>
              </w:rPr>
              <w:t>2022.</w:t>
            </w:r>
          </w:p>
        </w:tc>
      </w:tr>
    </w:tbl>
    <w:p w14:paraId="3984BA1B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33E48044" w14:textId="77777777" w:rsidR="005A78E1" w:rsidRPr="0047462D" w:rsidRDefault="00D13ACD" w:rsidP="00D13ACD">
      <w:pPr>
        <w:spacing w:after="0" w:line="276" w:lineRule="auto"/>
        <w:rPr>
          <w:rFonts w:ascii="Times New Roman" w:hAnsi="Times New Roman" w:cs="Times New Roman"/>
        </w:rPr>
      </w:pPr>
      <w:r w:rsidRPr="0047462D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XSpec="center" w:tblpY="331"/>
        <w:tblW w:w="15451" w:type="dxa"/>
        <w:tblLook w:val="04A0" w:firstRow="1" w:lastRow="0" w:firstColumn="1" w:lastColumn="0" w:noHBand="0" w:noVBand="1"/>
      </w:tblPr>
      <w:tblGrid>
        <w:gridCol w:w="622"/>
        <w:gridCol w:w="3739"/>
        <w:gridCol w:w="1984"/>
        <w:gridCol w:w="1134"/>
        <w:gridCol w:w="4962"/>
        <w:gridCol w:w="3010"/>
      </w:tblGrid>
      <w:tr w:rsidR="00850CB6" w:rsidRPr="0047462D" w14:paraId="4D079DA3" w14:textId="77777777" w:rsidTr="00D13ACD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60197E1A" w14:textId="49A7131A" w:rsidR="005A78E1" w:rsidRPr="0047462D" w:rsidRDefault="00193229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4.2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Fusha e administrimit dhe menaxhim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shd w:val="clear" w:color="auto" w:fill="548DD4" w:themeFill="text2" w:themeFillTint="99"/>
                <w:lang w:eastAsia="en-GB"/>
              </w:rPr>
              <w:t>it t</w:t>
            </w:r>
            <w:r w:rsidR="000453D3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548DD4" w:themeFill="text2" w:themeFillTint="99"/>
                <w:lang w:val="sq-AL"/>
              </w:rPr>
              <w:t>ë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shd w:val="clear" w:color="auto" w:fill="548DD4" w:themeFill="text2" w:themeFillTint="99"/>
                <w:lang w:eastAsia="en-GB"/>
              </w:rPr>
              <w:t xml:space="preserve"> pronave</w:t>
            </w:r>
          </w:p>
        </w:tc>
      </w:tr>
      <w:tr w:rsidR="00850CB6" w:rsidRPr="0047462D" w14:paraId="1E162B68" w14:textId="77777777" w:rsidTr="00D13ACD">
        <w:trPr>
          <w:trHeight w:val="12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8374929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BFE86A8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E80AFED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9E9E939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DA4E62E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A1F4E92" w14:textId="10B38651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Personi përgjegjës për zbatimin e masës dhe afati </w:t>
            </w:r>
            <w:r w:rsidR="0065021B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fundit për zbatimin e aktiviteteve</w:t>
            </w:r>
          </w:p>
        </w:tc>
      </w:tr>
      <w:tr w:rsidR="00850CB6" w:rsidRPr="0047462D" w14:paraId="3643500D" w14:textId="77777777" w:rsidTr="00D13ACD">
        <w:trPr>
          <w:trHeight w:val="18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38BEBB4" w14:textId="394FDEAC" w:rsidR="005A78E1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35.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7B3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Mungesa e një inventari të </w:t>
            </w:r>
            <w:r w:rsidR="00A6205E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A6205E" w:rsidRPr="0047462D">
              <w:rPr>
                <w:rFonts w:ascii="Times New Roman" w:eastAsia="Times New Roman" w:hAnsi="Times New Roman" w:cs="Times New Roman"/>
                <w:lang w:eastAsia="en-GB"/>
              </w:rPr>
              <w:t>rdit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A6205E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suar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të pronave të bashkisë, si pasojë e vonesave dhe mangësive proceduriale.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9AB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378BE37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D8E" w14:textId="7F0C82E7" w:rsidR="00016ABF" w:rsidRPr="0047462D" w:rsidRDefault="00BE2984" w:rsidP="00C00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Vijimi i procesit nga ana </w:t>
            </w:r>
            <w:r w:rsidR="00655D22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e 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grupit të punës për inventarizimin e administrimit të pronave 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>ashkiake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>r specifikimin e kategoris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>, gjendjes dhe situat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>s 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pronave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bashkis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016ABF"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  <w:p w14:paraId="15AE77CE" w14:textId="77777777" w:rsidR="005A78E1" w:rsidRPr="0047462D" w:rsidRDefault="005A78E1" w:rsidP="00C00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DCB" w14:textId="77777777" w:rsidR="00C008CF" w:rsidRPr="0047462D" w:rsidRDefault="00C008CF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Kryetari i Bashkis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14:paraId="10E7AB49" w14:textId="77777777" w:rsidR="00C008CF" w:rsidRPr="0047462D" w:rsidRDefault="00C008CF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2A2D0A2" w14:textId="77777777" w:rsidR="005A78E1" w:rsidRPr="0047462D" w:rsidRDefault="00C008CF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Grupi i pun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 p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 inventarizimin e pronave</w:t>
            </w:r>
          </w:p>
          <w:p w14:paraId="5B2AAAC5" w14:textId="77777777" w:rsidR="00C008CF" w:rsidRPr="0047462D" w:rsidRDefault="00C008CF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EE63231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020477C" w14:textId="77777777" w:rsidR="005A78E1" w:rsidRPr="0047462D" w:rsidRDefault="00C008CF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Gjashtëmujori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i dytë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i vitit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>2023</w:t>
            </w:r>
          </w:p>
          <w:p w14:paraId="61633709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n-GB"/>
              </w:rPr>
            </w:pPr>
          </w:p>
        </w:tc>
      </w:tr>
      <w:tr w:rsidR="00850CB6" w:rsidRPr="0047462D" w14:paraId="2C0AE883" w14:textId="77777777" w:rsidTr="00D13ACD">
        <w:trPr>
          <w:trHeight w:val="12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4F62DF42" w14:textId="2DB5BACD" w:rsidR="005A78E1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36.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CD55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Mungesë e një 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>fondi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dedikuar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për procesin e hipotekimit të pronave të inventarizuara të bashkisë.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E01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Financiar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D751B7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998A" w14:textId="47FFD921" w:rsidR="005A78E1" w:rsidRPr="0047462D" w:rsidRDefault="00BE2984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>Buxhetimi i nj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fondi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dedikuar p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>r procesin e hipotekimit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pronave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1608C7" w:rsidRPr="0047462D">
              <w:rPr>
                <w:rFonts w:ascii="Times New Roman" w:eastAsia="Times New Roman" w:hAnsi="Times New Roman" w:cs="Times New Roman"/>
                <w:lang w:eastAsia="en-GB"/>
              </w:rPr>
              <w:t>inventarizuara t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1608C7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>bashkis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913C69"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4EF4" w14:textId="7368BC0D" w:rsidR="005A78E1" w:rsidRPr="0047462D" w:rsidRDefault="005A78E1" w:rsidP="00913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 Planifikimit të Buxhetit dhe Integrimit 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ropian</w:t>
            </w:r>
          </w:p>
          <w:p w14:paraId="656A9804" w14:textId="77777777" w:rsidR="00913C69" w:rsidRPr="0047462D" w:rsidRDefault="00913C69" w:rsidP="00913C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556C631" w14:textId="77777777" w:rsidR="00913C69" w:rsidRPr="0047462D" w:rsidRDefault="00913C69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2023</w:t>
            </w:r>
          </w:p>
          <w:p w14:paraId="2CFE1F7E" w14:textId="77777777" w:rsidR="005A78E1" w:rsidRPr="0047462D" w:rsidRDefault="005A78E1" w:rsidP="000C5EF9">
            <w:pPr>
              <w:spacing w:after="0" w:line="240" w:lineRule="auto"/>
              <w:ind w:left="659" w:hanging="659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986A4DC" w14:textId="77777777" w:rsidR="005A78E1" w:rsidRPr="0047462D" w:rsidRDefault="005A78E1" w:rsidP="005A78E1">
      <w:pPr>
        <w:rPr>
          <w:rFonts w:ascii="Times New Roman" w:hAnsi="Times New Roman" w:cs="Times New Roman"/>
        </w:rPr>
      </w:pPr>
    </w:p>
    <w:p w14:paraId="7D6F5965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33C570DA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38872A18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3466BED3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64B371E7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53258F2C" w14:textId="74AAC01D" w:rsidR="00D13ACD" w:rsidRPr="0047462D" w:rsidRDefault="00D13ACD" w:rsidP="005A78E1">
      <w:pPr>
        <w:rPr>
          <w:rFonts w:ascii="Times New Roman" w:hAnsi="Times New Roman" w:cs="Times New Roman"/>
        </w:rPr>
      </w:pPr>
    </w:p>
    <w:p w14:paraId="559905DB" w14:textId="77777777" w:rsidR="00BE2984" w:rsidRPr="0047462D" w:rsidRDefault="00BE2984" w:rsidP="005A78E1">
      <w:pPr>
        <w:rPr>
          <w:rFonts w:ascii="Times New Roman" w:hAnsi="Times New Roman" w:cs="Times New Roman"/>
        </w:rPr>
      </w:pPr>
    </w:p>
    <w:p w14:paraId="62F2662C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08468200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7"/>
        <w:tblW w:w="15134" w:type="dxa"/>
        <w:tblLook w:val="04A0" w:firstRow="1" w:lastRow="0" w:firstColumn="1" w:lastColumn="0" w:noHBand="0" w:noVBand="1"/>
      </w:tblPr>
      <w:tblGrid>
        <w:gridCol w:w="557"/>
        <w:gridCol w:w="3538"/>
        <w:gridCol w:w="1967"/>
        <w:gridCol w:w="1136"/>
        <w:gridCol w:w="5243"/>
        <w:gridCol w:w="2693"/>
      </w:tblGrid>
      <w:tr w:rsidR="00850CB6" w:rsidRPr="0047462D" w14:paraId="5CF4AF5F" w14:textId="77777777" w:rsidTr="000C5EF9">
        <w:trPr>
          <w:trHeight w:val="300"/>
        </w:trPr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3F5EF94" w14:textId="77777777" w:rsidR="00BA5008" w:rsidRPr="0047462D" w:rsidRDefault="00C6503C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4.3</w:t>
            </w:r>
            <w:r w:rsidR="00BA5008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Fusha e Menaxhimit Financiar</w:t>
            </w:r>
          </w:p>
        </w:tc>
      </w:tr>
      <w:tr w:rsidR="00850CB6" w:rsidRPr="0047462D" w14:paraId="5834046C" w14:textId="77777777" w:rsidTr="000C5EF9">
        <w:trPr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1F8A89A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B68F4A9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47ED3A1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4089B855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E715DA1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E21F800" w14:textId="5761AC28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Personi përgjegjës për zbatimin e masës dhe afati </w:t>
            </w:r>
            <w:r w:rsidR="0065021B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fundit për zbatimin e aktiviteteve</w:t>
            </w:r>
          </w:p>
        </w:tc>
      </w:tr>
      <w:tr w:rsidR="00850CB6" w:rsidRPr="0047462D" w14:paraId="22FAD2ED" w14:textId="77777777" w:rsidTr="000C5EF9">
        <w:trPr>
          <w:trHeight w:val="18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E9A76B4" w14:textId="74F40176" w:rsidR="00BA5008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37.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C8BE91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Planifikime jo të sakta të të ardhurave të pritshme nga taksat dhe tarifat vendore.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9F16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Financiar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3AE3BC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8DD8" w14:textId="48EB750D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Kryerja e një analize mbi shkaqet që krijojnë vështirësi në vjeljen e taksave dhe tarifave vendore dhe marrja në konsideratë e gjetjeve të analizës gjatë rishikimit të paketës fiskale. Dorëzimi i kësaj analize në Këshillin Bashkiak.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Përditësimi i bazës së të dhënave të bashkisë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mbi të cilën mbështetet hartimi i Paketës Fiskale. Dhënia e aksesit të personelit përkatës në këtë bazë të dhënash.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7C8C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të Ardhurave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14:paraId="2F83E1F9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180E27F" w14:textId="4B199661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 Planifikimit të Buxhetit dhe Integrimit 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ropian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. </w:t>
            </w:r>
          </w:p>
          <w:p w14:paraId="787E288E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  <w:p w14:paraId="1AE6CAB2" w14:textId="2FAADCF5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 dhe në vazhdimësi</w:t>
            </w:r>
            <w:r w:rsidR="0065021B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47462D" w14:paraId="59E9A760" w14:textId="77777777" w:rsidTr="000C5EF9">
        <w:trPr>
          <w:trHeight w:val="176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0B7A93C9" w14:textId="64152498" w:rsidR="00BA5008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38.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6A5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Realizime buxhetore të pjesshme në zërat e të ardhurave.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3BA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Financiar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665BCBF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AB60" w14:textId="027205D8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Marrja e masave administrative dhe juridike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lidhur me detyrimet e prapambetura të aktiviteteve sezonale.</w:t>
            </w:r>
          </w:p>
          <w:p w14:paraId="12E9775E" w14:textId="7D78A4AA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2. Hartimi i nje PSV-je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për procedurën e dhënies së lejeve sezonale dhe kontraktimit të shërbimeve.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Realizimi i vlerësimeve objektive në etapat e dhënies së lejeve të bizneseve sezonale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ku të parashtrohen qartazi detyrimet kundrejt Bashkisë.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FD6F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Shërbimeve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Publike dhe Mirëmbajtjes</w:t>
            </w:r>
          </w:p>
          <w:p w14:paraId="6BCB4C36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713798FE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Juridike</w:t>
            </w:r>
          </w:p>
          <w:p w14:paraId="7CF53F55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678B91D8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 xml:space="preserve">ejtoria e të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</w:t>
            </w: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rdhurave</w:t>
            </w:r>
          </w:p>
          <w:p w14:paraId="7066EFF2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38100702" w14:textId="0BF64998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parë i vitit 2023 dhe në vazhdimësi</w:t>
            </w:r>
            <w:r w:rsidR="0065021B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47462D" w14:paraId="3ACFE2F5" w14:textId="77777777" w:rsidTr="000C5EF9">
        <w:trPr>
          <w:trHeight w:val="18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73C6EAEF" w14:textId="1B69AEF3" w:rsidR="00BA5008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39.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398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Procedura e nxjerrjes jashtë përdorimit të aseteve nuk realizohet rregullisht.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5FEF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Financiar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C012C4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B2DC" w14:textId="17660F30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Ngritja e Komisioneve për asgjësimin e aseteve që e kanë humbur vlerën e tyre në respektim të dispozitave të standardeve të kontabilitetit për nxjerrjen jashtë përdorimit të aseteve.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Realizimi periodik i inventarizimeve të aktiveve të q</w:t>
            </w:r>
            <w:r w:rsidR="0065021B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ndrueshme të trupëzuara dhe atyre të patrupëzuara.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6A9A" w14:textId="1F7E21A6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 Planifikimit të Buxhetit dhe Integrimit E</w:t>
            </w:r>
            <w:r w:rsidR="0065021B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ropian </w:t>
            </w:r>
          </w:p>
          <w:p w14:paraId="7FB47720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94AF704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Juridike</w:t>
            </w:r>
          </w:p>
          <w:p w14:paraId="5BF33FF9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1DEA2666" w14:textId="44DDAF6D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dytë i vitit 2022 dhe në vazhdimësi</w:t>
            </w:r>
            <w:r w:rsidR="0065021B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47462D" w14:paraId="51935C24" w14:textId="77777777" w:rsidTr="000C5EF9">
        <w:trPr>
          <w:trHeight w:val="6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442AAEB" w14:textId="4D1AD6C8" w:rsidR="00BA5008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40.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A3D204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Mangësi në administrimin dhe ruajtjen e dokumenteve financiare.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25B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7A207" w14:textId="77777777" w:rsidR="00BA5008" w:rsidRPr="0047462D" w:rsidRDefault="00BA5008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F8869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Ngritja e një grupi pune në bashki për të realizuar procesin e inventarizimit të dokumenteve financiare të bashkisë.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01E2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 Planifikimit të Buxhetit dhe Integrimit Europian</w:t>
            </w:r>
          </w:p>
          <w:p w14:paraId="6E71F77E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530860D" w14:textId="77777777" w:rsidR="00BA5008" w:rsidRPr="0047462D" w:rsidRDefault="00BA500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Gjashtëmujori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val="sq-AL" w:eastAsia="en-GB"/>
              </w:rPr>
              <w:t>i dytë i vitit 2025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. </w:t>
            </w:r>
          </w:p>
        </w:tc>
      </w:tr>
    </w:tbl>
    <w:p w14:paraId="1D42AC7E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21E02854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2F77EE17" w14:textId="77777777" w:rsidR="00D13ACD" w:rsidRPr="0047462D" w:rsidRDefault="00D13ACD">
      <w:pPr>
        <w:spacing w:after="0" w:line="276" w:lineRule="auto"/>
        <w:rPr>
          <w:rFonts w:ascii="Times New Roman" w:hAnsi="Times New Roman" w:cs="Times New Roman"/>
        </w:rPr>
      </w:pPr>
      <w:r w:rsidRPr="0047462D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XSpec="center" w:tblpY="331"/>
        <w:tblW w:w="15451" w:type="dxa"/>
        <w:tblLook w:val="04A0" w:firstRow="1" w:lastRow="0" w:firstColumn="1" w:lastColumn="0" w:noHBand="0" w:noVBand="1"/>
      </w:tblPr>
      <w:tblGrid>
        <w:gridCol w:w="529"/>
        <w:gridCol w:w="3832"/>
        <w:gridCol w:w="1713"/>
        <w:gridCol w:w="1492"/>
        <w:gridCol w:w="4875"/>
        <w:gridCol w:w="3010"/>
      </w:tblGrid>
      <w:tr w:rsidR="00850CB6" w:rsidRPr="0047462D" w14:paraId="3C98104D" w14:textId="77777777" w:rsidTr="000C5EF9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26F5BE73" w14:textId="77777777" w:rsidR="00D13ACD" w:rsidRPr="0047462D" w:rsidRDefault="00C6503C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4.4</w:t>
            </w:r>
            <w:r w:rsidR="00D13ACD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Fusha e planifikimit, administrimit dhe zhvillimit të territorit</w:t>
            </w:r>
          </w:p>
        </w:tc>
      </w:tr>
      <w:tr w:rsidR="00850CB6" w:rsidRPr="0047462D" w14:paraId="19B413DA" w14:textId="77777777" w:rsidTr="00D13ACD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0B6419A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AFF6C70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3EFE712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758063F8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9881767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54F6C36D" w14:textId="52700FE6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Personi përgjegjës për zbatimin e masës dhe afati </w:t>
            </w:r>
            <w:r w:rsidR="0065021B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fundit për zbatimin e aktiviteteve</w:t>
            </w:r>
          </w:p>
        </w:tc>
      </w:tr>
      <w:tr w:rsidR="00850CB6" w:rsidRPr="0047462D" w14:paraId="00895413" w14:textId="77777777" w:rsidTr="00D13ACD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2C6A5136" w14:textId="1DF0825A" w:rsidR="00D13ACD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41.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553E" w14:textId="3F94B6E9" w:rsidR="00D13ACD" w:rsidRPr="0047462D" w:rsidRDefault="00AF583B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Bashk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punim</w:t>
            </w:r>
            <w:r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joefektiv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me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Agjencin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Shtet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rore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8D5EB9" w:rsidRPr="0047462D">
              <w:rPr>
                <w:rFonts w:ascii="Times New Roman" w:eastAsia="Times New Roman" w:hAnsi="Times New Roman" w:cs="Times New Roman"/>
                <w:lang w:eastAsia="en-GB"/>
              </w:rPr>
              <w:t>Kadastr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8D5EB9"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,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n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kuad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>ë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procesit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regjistrimit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pronave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 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bashkis</w:t>
            </w:r>
            <w:r w:rsidR="00D13ACD" w:rsidRPr="0047462D">
              <w:rPr>
                <w:rFonts w:ascii="Times New Roman" w:eastAsia="Times New Roman" w:hAnsi="Times New Roman" w:cs="Times New Roman"/>
                <w:lang w:val="el-GR" w:eastAsia="en-GB"/>
              </w:rPr>
              <w:t xml:space="preserve">ë.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015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Strategjik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35B3730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 lartë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F2F2" w14:textId="75A460C9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Lidhja e një </w:t>
            </w:r>
            <w:r w:rsidR="008D5EB9" w:rsidRPr="0047462D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arrëveshje bashkëpunimi me ASHK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-n</w:t>
            </w:r>
            <w:r w:rsidR="00057BB9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për prioritetizimin e hipotekimit të </w:t>
            </w:r>
            <w:r w:rsidR="008D5EB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pronave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të </w:t>
            </w:r>
            <w:r w:rsidR="008D5EB9" w:rsidRPr="0047462D">
              <w:rPr>
                <w:rFonts w:ascii="Times New Roman" w:eastAsia="Times New Roman" w:hAnsi="Times New Roman" w:cs="Times New Roman"/>
                <w:lang w:eastAsia="en-GB"/>
              </w:rPr>
              <w:t>b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ashkisë.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04D5" w14:textId="77777777" w:rsidR="008D5EB9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Kryetari </w:t>
            </w:r>
            <w:r w:rsidR="008D5EB9" w:rsidRPr="0047462D">
              <w:rPr>
                <w:rFonts w:ascii="Times New Roman" w:eastAsia="Times New Roman" w:hAnsi="Times New Roman" w:cs="Times New Roman"/>
                <w:lang w:eastAsia="en-GB"/>
              </w:rPr>
              <w:t>i Bashkis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</w:p>
          <w:p w14:paraId="27A72DD5" w14:textId="77777777" w:rsidR="008D5EB9" w:rsidRPr="0047462D" w:rsidRDefault="008D5EB9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395FEAC" w14:textId="1EE0F4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Drejtoria e Planifikimit dhe Zhvillimit të </w:t>
            </w:r>
            <w:r w:rsidR="00143123" w:rsidRPr="0047462D">
              <w:rPr>
                <w:rFonts w:ascii="Times New Roman" w:eastAsia="Times New Roman" w:hAnsi="Times New Roman" w:cs="Times New Roman"/>
                <w:lang w:eastAsia="en-GB"/>
              </w:rPr>
              <w:t>T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erritorit</w:t>
            </w:r>
          </w:p>
          <w:p w14:paraId="3C57F276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14FD7AE0" w14:textId="77777777" w:rsidR="008D5EB9" w:rsidRPr="0047462D" w:rsidRDefault="008D5EB9" w:rsidP="008D5E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2023</w:t>
            </w:r>
          </w:p>
          <w:p w14:paraId="5B5FAD54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50CB6" w:rsidRPr="0047462D" w14:paraId="200BEA0C" w14:textId="77777777" w:rsidTr="00D13ACD">
        <w:trPr>
          <w:trHeight w:val="24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2F6B073D" w14:textId="44D67223" w:rsidR="00D13ACD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42.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7AB1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Mungesë </w:t>
            </w:r>
            <w:r w:rsidR="00175389" w:rsidRPr="0047462D">
              <w:rPr>
                <w:rFonts w:ascii="Times New Roman" w:eastAsia="Times New Roman" w:hAnsi="Times New Roman" w:cs="Times New Roman"/>
                <w:lang w:eastAsia="en-GB"/>
              </w:rPr>
              <w:t>e infrastruktur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175389" w:rsidRPr="0047462D">
              <w:rPr>
                <w:rFonts w:ascii="Times New Roman" w:eastAsia="Times New Roman" w:hAnsi="Times New Roman" w:cs="Times New Roman"/>
                <w:lang w:eastAsia="en-GB"/>
              </w:rPr>
              <w:t>s 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6E1316" w:rsidRPr="0047462D">
              <w:rPr>
                <w:rFonts w:ascii="Times New Roman" w:eastAsia="Times New Roman" w:hAnsi="Times New Roman" w:cs="Times New Roman"/>
                <w:lang w:eastAsia="en-GB"/>
              </w:rPr>
              <w:t>Teknologjis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6E1316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6E1316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Informacionit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për Drejtorinë e Planifikimit dhe Administrimit të Territorit.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AE0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5E58F1" w14:textId="77777777" w:rsidR="00D13ACD" w:rsidRPr="0047462D" w:rsidRDefault="00D13ACD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0006" w14:textId="4F555191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1. Të vlerësohet nevoja për pajisjen e Drejtorisë së Planifikimit dhe Administrimit të Territorit me instrument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të Teknologjisë së Informacionit (në formën e "back-up UPS" etj.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Të realizohet prokurimi për blerjen e instrument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ve të nevojsh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me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të Teknologjisë së Informacionit për të siguruar mbarëvajtje të vazhdueshme dhe për të mos penguar procesin operacional</w:t>
            </w:r>
            <w:r w:rsidR="00DE1A98"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C44B" w14:textId="77777777" w:rsidR="00DE1A98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Drejtoria e Planifikimit dhe Administrimit të Territorit </w:t>
            </w:r>
          </w:p>
          <w:p w14:paraId="2C2F2A1E" w14:textId="77777777" w:rsidR="00DE1A98" w:rsidRPr="0047462D" w:rsidRDefault="00DE1A9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86F9592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Drejtoria Juridike (sektori i prokurimeve)</w:t>
            </w:r>
          </w:p>
          <w:p w14:paraId="5BC9BF41" w14:textId="77777777" w:rsidR="00DE1A98" w:rsidRPr="0047462D" w:rsidRDefault="00DE1A9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5BB09D0" w14:textId="35832AE9" w:rsidR="00DE1A98" w:rsidRPr="0047462D" w:rsidRDefault="00DE1A98" w:rsidP="00DE1A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Planifikimit të Buxhetit dhe Integrimit E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ropian </w:t>
            </w:r>
          </w:p>
          <w:p w14:paraId="53744B4D" w14:textId="77777777" w:rsidR="00DE1A98" w:rsidRPr="0047462D" w:rsidRDefault="00DE1A9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F79A18A" w14:textId="77777777" w:rsidR="00D13ACD" w:rsidRPr="0047462D" w:rsidRDefault="00D13ACD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836F96E" w14:textId="125750DD" w:rsidR="00D13ACD" w:rsidRPr="0047462D" w:rsidRDefault="00DE1A98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dyt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2022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8B1089" w:rsidRPr="0047462D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 w:rsidR="00D13ACD" w:rsidRPr="0047462D">
              <w:rPr>
                <w:rFonts w:ascii="Times New Roman" w:eastAsia="Times New Roman" w:hAnsi="Times New Roman" w:cs="Times New Roman"/>
                <w:lang w:eastAsia="en-GB"/>
              </w:rPr>
              <w:t>për t’u planifikuar në buxhetin e vitit 202</w:t>
            </w:r>
            <w:r w:rsidR="00D878F8" w:rsidRPr="0047462D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="008B1089" w:rsidRPr="0047462D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</w:tc>
      </w:tr>
    </w:tbl>
    <w:p w14:paraId="041E9638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24759D3D" w14:textId="77777777" w:rsidR="00D13ACD" w:rsidRPr="0047462D" w:rsidRDefault="00D13ACD" w:rsidP="005A78E1">
      <w:pPr>
        <w:rPr>
          <w:rFonts w:ascii="Times New Roman" w:hAnsi="Times New Roman" w:cs="Times New Roman"/>
        </w:rPr>
      </w:pPr>
    </w:p>
    <w:p w14:paraId="4F1DFE28" w14:textId="77777777" w:rsidR="00D13ACD" w:rsidRPr="0047462D" w:rsidRDefault="00D13ACD" w:rsidP="008E0567">
      <w:pPr>
        <w:spacing w:after="0" w:line="276" w:lineRule="auto"/>
        <w:rPr>
          <w:rFonts w:ascii="Times New Roman" w:hAnsi="Times New Roman" w:cs="Times New Roman"/>
        </w:rPr>
      </w:pPr>
      <w:r w:rsidRPr="0047462D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XSpec="center" w:tblpY="312"/>
        <w:tblW w:w="15559" w:type="dxa"/>
        <w:tblLook w:val="04A0" w:firstRow="1" w:lastRow="0" w:firstColumn="1" w:lastColumn="0" w:noHBand="0" w:noVBand="1"/>
      </w:tblPr>
      <w:tblGrid>
        <w:gridCol w:w="556"/>
        <w:gridCol w:w="3805"/>
        <w:gridCol w:w="1810"/>
        <w:gridCol w:w="1450"/>
        <w:gridCol w:w="4820"/>
        <w:gridCol w:w="3118"/>
      </w:tblGrid>
      <w:tr w:rsidR="00850CB6" w:rsidRPr="0047462D" w14:paraId="041E3CC8" w14:textId="77777777" w:rsidTr="00D13ACD">
        <w:trPr>
          <w:trHeight w:val="30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4CAC2BEF" w14:textId="67C5B076" w:rsidR="005A78E1" w:rsidRPr="0047462D" w:rsidRDefault="00C6503C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lastRenderedPageBreak/>
              <w:t>4.5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Fusha e arkivimit, ruajtjes dhe administrimit  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shd w:val="clear" w:color="auto" w:fill="548DD4" w:themeFill="text2" w:themeFillTint="99"/>
                <w:lang w:eastAsia="en-GB"/>
              </w:rPr>
              <w:t>t</w:t>
            </w:r>
            <w:r w:rsidR="000453D3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548DD4" w:themeFill="text2" w:themeFillTint="99"/>
                <w:lang w:val="sq-AL"/>
              </w:rPr>
              <w:t>ë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dokument</w:t>
            </w:r>
            <w:r w:rsidR="000453D3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</w:t>
            </w:r>
            <w:r w:rsidR="005A78E1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ve dhe informacionit dhe dokumentave elektronik</w:t>
            </w:r>
          </w:p>
        </w:tc>
      </w:tr>
      <w:tr w:rsidR="00850CB6" w:rsidRPr="0047462D" w14:paraId="299F7F95" w14:textId="77777777" w:rsidTr="00D13ACD">
        <w:trPr>
          <w:trHeight w:val="12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70E66AD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Nr.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1E85C029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Risku dhe ngjarjet e mundshme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0C29990C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Kategoria e faktorëve të riskut (Burimi i rrezikut/ Tipi i impaktit)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2E12505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Rreziku Inherent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02560B7C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Kontrolli 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br/>
              <w:t>(rekomandime)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A86E8" w:fill="4A86E8"/>
            <w:vAlign w:val="center"/>
            <w:hideMark/>
          </w:tcPr>
          <w:p w14:paraId="3A033F48" w14:textId="6A73FF88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Personi përgjegjës për zbatimin e masës dhe afati </w:t>
            </w:r>
            <w:r w:rsidR="00057BB9"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</w:t>
            </w:r>
            <w:r w:rsidRPr="0047462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fundit për zbatimin e aktiviteteve</w:t>
            </w:r>
          </w:p>
        </w:tc>
      </w:tr>
      <w:tr w:rsidR="00850CB6" w:rsidRPr="0047462D" w14:paraId="716C1BD6" w14:textId="77777777" w:rsidTr="00D13ACD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66EE3A1D" w14:textId="6A36AED5" w:rsidR="005A78E1" w:rsidRPr="0047462D" w:rsidRDefault="00EE487A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43.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335" w14:textId="3F1A1570" w:rsidR="005A78E1" w:rsidRPr="0047462D" w:rsidRDefault="007B2F0F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Pamjaftueshm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ria e hap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sir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</w:t>
            </w:r>
            <w:r w:rsidR="00EA09FB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>fizike p</w:t>
            </w:r>
            <w:r w:rsidR="000453D3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>r ruajtjen e fondit arkivor të bashkisë si pasojë e mosasgjësimit të dokumenteve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 w:rsidR="005A78E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0EF0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Mjedisi/ Informacioni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930299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9B4" w14:textId="77777777" w:rsidR="005A78E1" w:rsidRPr="0047462D" w:rsidRDefault="005A78E1" w:rsidP="00C62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>Vler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simi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periodik i 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>nevoj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>s 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ruajtjes 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dokumenteve sipas legjislacionit për arkivat</w:t>
            </w:r>
            <w:r w:rsidR="00FC7BB1" w:rsidRPr="0047462D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414" w14:textId="77777777" w:rsidR="005A78E1" w:rsidRPr="0047462D" w:rsidRDefault="00250794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Sektori i Sekretaris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dhe Arkivit</w:t>
            </w:r>
          </w:p>
          <w:p w14:paraId="564ACB1E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E5F19C4" w14:textId="7F1F026F" w:rsidR="005A78E1" w:rsidRPr="0047462D" w:rsidRDefault="00250794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2023 dhe n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vazhdim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si</w:t>
            </w:r>
            <w:r w:rsidR="00057BB9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.</w:t>
            </w:r>
          </w:p>
        </w:tc>
      </w:tr>
      <w:tr w:rsidR="00850CB6" w:rsidRPr="00850CB6" w14:paraId="403FEA50" w14:textId="77777777" w:rsidTr="00D13ACD">
        <w:trPr>
          <w:trHeight w:val="15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4C2F4" w:fill="A4C2F4"/>
            <w:vAlign w:val="center"/>
            <w:hideMark/>
          </w:tcPr>
          <w:p w14:paraId="5B74E451" w14:textId="1AD1C329" w:rsidR="005A78E1" w:rsidRPr="0047462D" w:rsidRDefault="00EE487A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44.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CFC5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Mungesa e digjitalizimit të fondit arkivor. 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71F6" w14:textId="7777777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Operacional/ Informacioni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12C974" w14:textId="77777777" w:rsidR="005A78E1" w:rsidRPr="0047462D" w:rsidRDefault="005A78E1" w:rsidP="000C5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Mesatar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2DE0" w14:textId="3DA9D1C7" w:rsidR="005A78E1" w:rsidRPr="0047462D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1. Hartimi i një plani pune për digjitalizimin e fondit arkivor të bashkisë duke përcaktuar ndarjen e përgjegjësive dhe detyrave, 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si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dhe afatet për përfundimin e procesit.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br/>
              <w:t>2. Sigurimi i pajisjes së serverit për digjitalizimin e fondit arkivor.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FD5" w14:textId="77777777" w:rsidR="00C55B16" w:rsidRPr="0047462D" w:rsidRDefault="00C55B16" w:rsidP="00C55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Sektori i Sekretaris</w:t>
            </w:r>
            <w:r w:rsidR="000124EA" w:rsidRPr="0047462D">
              <w:rPr>
                <w:rFonts w:ascii="Times New Roman" w:eastAsia="Times New Roman" w:hAnsi="Times New Roman" w:cs="Times New Roman"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 dhe Arkivit</w:t>
            </w:r>
          </w:p>
          <w:p w14:paraId="696166D4" w14:textId="77777777" w:rsidR="00C55B16" w:rsidRPr="0047462D" w:rsidRDefault="00C55B16" w:rsidP="00C55B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</w:p>
          <w:p w14:paraId="58B2B4F2" w14:textId="471F624F" w:rsidR="00C55B16" w:rsidRPr="0047462D" w:rsidRDefault="00C55B16" w:rsidP="00C55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Drejtoria e Financës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, Planifikimit të Buxhetit dhe Integrimit E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ropian </w:t>
            </w:r>
          </w:p>
          <w:p w14:paraId="5AD49143" w14:textId="77777777" w:rsidR="00C55B16" w:rsidRPr="0047462D" w:rsidRDefault="00C55B16" w:rsidP="00C55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27D5A004" w14:textId="113D9527" w:rsidR="00C55B16" w:rsidRPr="0047462D" w:rsidRDefault="00C55B16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Specialisti 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 xml:space="preserve">i </w:t>
            </w:r>
            <w:r w:rsidRPr="0047462D">
              <w:rPr>
                <w:rFonts w:ascii="Times New Roman" w:eastAsia="Times New Roman" w:hAnsi="Times New Roman" w:cs="Times New Roman"/>
                <w:lang w:eastAsia="en-GB"/>
              </w:rPr>
              <w:t>IT</w:t>
            </w:r>
            <w:r w:rsidR="00057BB9" w:rsidRPr="0047462D">
              <w:rPr>
                <w:rFonts w:ascii="Times New Roman" w:eastAsia="Times New Roman" w:hAnsi="Times New Roman" w:cs="Times New Roman"/>
                <w:lang w:eastAsia="en-GB"/>
              </w:rPr>
              <w:t>-s</w:t>
            </w:r>
            <w:r w:rsidR="00057BB9" w:rsidRPr="0047462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sq-AL"/>
              </w:rPr>
              <w:t>ë</w:t>
            </w:r>
          </w:p>
          <w:p w14:paraId="496889C7" w14:textId="77777777" w:rsidR="00C55B16" w:rsidRPr="0047462D" w:rsidRDefault="00C55B16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A7A6658" w14:textId="77777777" w:rsidR="00C55B16" w:rsidRPr="0047462D" w:rsidRDefault="00C55B16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Gjashtëmujori i par</w:t>
            </w:r>
            <w:r w:rsidR="000124EA"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ë</w:t>
            </w:r>
            <w:r w:rsidRPr="0047462D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 xml:space="preserve"> i vitit 2025</w:t>
            </w:r>
          </w:p>
          <w:p w14:paraId="54B509A5" w14:textId="77777777" w:rsidR="005A78E1" w:rsidRPr="00850CB6" w:rsidRDefault="005A78E1" w:rsidP="000C5E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q-AL" w:eastAsia="en-GB"/>
              </w:rPr>
            </w:pPr>
            <w:r w:rsidRPr="0047462D">
              <w:rPr>
                <w:rFonts w:ascii="Times New Roman" w:eastAsia="Times New Roman" w:hAnsi="Times New Roman" w:cs="Times New Roman"/>
                <w:lang w:val="sq-AL" w:eastAsia="en-GB"/>
              </w:rPr>
              <w:t>.</w:t>
            </w:r>
            <w:r w:rsidRPr="00850CB6">
              <w:rPr>
                <w:rFonts w:ascii="Times New Roman" w:eastAsia="Times New Roman" w:hAnsi="Times New Roman" w:cs="Times New Roman"/>
                <w:lang w:val="sq-AL" w:eastAsia="en-GB"/>
              </w:rPr>
              <w:t xml:space="preserve"> </w:t>
            </w:r>
          </w:p>
        </w:tc>
      </w:tr>
    </w:tbl>
    <w:p w14:paraId="6F0CE410" w14:textId="77777777" w:rsidR="005A78E1" w:rsidRPr="00850CB6" w:rsidRDefault="005A78E1" w:rsidP="005A78E1">
      <w:pPr>
        <w:rPr>
          <w:rFonts w:ascii="Times New Roman" w:hAnsi="Times New Roman" w:cs="Times New Roman"/>
          <w:lang w:val="el-GR"/>
        </w:rPr>
      </w:pPr>
    </w:p>
    <w:p w14:paraId="5C963452" w14:textId="77777777" w:rsidR="005A78E1" w:rsidRPr="00850CB6" w:rsidRDefault="005A78E1" w:rsidP="005A78E1">
      <w:pPr>
        <w:ind w:left="-540"/>
        <w:rPr>
          <w:rFonts w:ascii="Times New Roman" w:hAnsi="Times New Roman" w:cs="Times New Roman"/>
        </w:rPr>
      </w:pPr>
    </w:p>
    <w:p w14:paraId="09620708" w14:textId="77777777" w:rsidR="00C62243" w:rsidRPr="00850CB6" w:rsidRDefault="00C62243" w:rsidP="00F15F22">
      <w:pPr>
        <w:rPr>
          <w:rFonts w:ascii="Times New Roman" w:hAnsi="Times New Roman" w:cs="Times New Roman"/>
          <w:lang w:val="el-GR"/>
        </w:rPr>
      </w:pPr>
    </w:p>
    <w:p w14:paraId="10B47E33" w14:textId="77777777" w:rsidR="00C62243" w:rsidRPr="00850CB6" w:rsidRDefault="00C62243" w:rsidP="00F15F22">
      <w:pPr>
        <w:rPr>
          <w:rFonts w:ascii="Times New Roman" w:hAnsi="Times New Roman" w:cs="Times New Roman"/>
          <w:lang w:val="el-GR"/>
        </w:rPr>
      </w:pPr>
    </w:p>
    <w:p w14:paraId="775A1828" w14:textId="77777777" w:rsidR="00C62243" w:rsidRPr="00850CB6" w:rsidRDefault="00C62243" w:rsidP="00F15F22">
      <w:pPr>
        <w:rPr>
          <w:rFonts w:ascii="Times New Roman" w:hAnsi="Times New Roman" w:cs="Times New Roman"/>
          <w:lang w:val="el-GR"/>
        </w:rPr>
      </w:pPr>
    </w:p>
    <w:p w14:paraId="565DA81F" w14:textId="77777777" w:rsidR="00C62243" w:rsidRPr="00850CB6" w:rsidRDefault="00C62243" w:rsidP="00F15F22">
      <w:pPr>
        <w:rPr>
          <w:rFonts w:ascii="Times New Roman" w:hAnsi="Times New Roman" w:cs="Times New Roman"/>
          <w:lang w:val="el-GR"/>
        </w:rPr>
      </w:pPr>
    </w:p>
    <w:p w14:paraId="6207952F" w14:textId="77777777" w:rsidR="005A78E1" w:rsidRPr="00850CB6" w:rsidRDefault="005A78E1" w:rsidP="00F15F22">
      <w:pPr>
        <w:rPr>
          <w:rFonts w:ascii="Times New Roman" w:hAnsi="Times New Roman" w:cs="Times New Roman"/>
        </w:rPr>
      </w:pPr>
    </w:p>
    <w:sectPr w:rsidR="005A78E1" w:rsidRPr="00850CB6" w:rsidSect="008060C8">
      <w:pgSz w:w="15840" w:h="12240" w:orient="landscape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0B3F9" w14:textId="77777777" w:rsidR="00B46466" w:rsidRDefault="00B46466" w:rsidP="005552AA">
      <w:pPr>
        <w:spacing w:after="0" w:line="240" w:lineRule="auto"/>
      </w:pPr>
      <w:r>
        <w:separator/>
      </w:r>
    </w:p>
  </w:endnote>
  <w:endnote w:type="continuationSeparator" w:id="0">
    <w:p w14:paraId="33E5574A" w14:textId="77777777" w:rsidR="00B46466" w:rsidRDefault="00B46466" w:rsidP="005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4768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A4E80D" w14:textId="77777777" w:rsidR="000C5EF9" w:rsidRDefault="000C5EF9" w:rsidP="00C42E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672F3D" w14:textId="77777777" w:rsidR="000C5EF9" w:rsidRDefault="000C5EF9" w:rsidP="00C42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476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5022E3" w14:textId="2DDD7597" w:rsidR="000C5EF9" w:rsidRDefault="000C5EF9" w:rsidP="00C42E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462D"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3E57147D" w14:textId="77777777" w:rsidR="000C5EF9" w:rsidRDefault="000C5EF9" w:rsidP="00C42E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5747" w14:textId="77777777" w:rsidR="00B46466" w:rsidRDefault="00B46466" w:rsidP="005552AA">
      <w:pPr>
        <w:spacing w:after="0" w:line="240" w:lineRule="auto"/>
      </w:pPr>
      <w:r>
        <w:separator/>
      </w:r>
    </w:p>
  </w:footnote>
  <w:footnote w:type="continuationSeparator" w:id="0">
    <w:p w14:paraId="4B7825A9" w14:textId="77777777" w:rsidR="00B46466" w:rsidRDefault="00B46466" w:rsidP="005552AA">
      <w:pPr>
        <w:spacing w:after="0" w:line="240" w:lineRule="auto"/>
      </w:pPr>
      <w:r>
        <w:continuationSeparator/>
      </w:r>
    </w:p>
  </w:footnote>
  <w:footnote w:id="1">
    <w:p w14:paraId="38E1927C" w14:textId="0761BADC" w:rsidR="000C5EF9" w:rsidRPr="00915A28" w:rsidRDefault="000C5EF9" w:rsidP="005552AA">
      <w:pPr>
        <w:pStyle w:val="FootnoteText"/>
        <w:rPr>
          <w:rFonts w:ascii="Times New Roman" w:hAnsi="Times New Roman" w:cs="Times New Roman"/>
          <w:sz w:val="22"/>
        </w:rPr>
      </w:pPr>
      <w:r w:rsidRPr="00ED123D">
        <w:rPr>
          <w:rStyle w:val="FootnoteReference"/>
          <w:rFonts w:ascii="Times New Roman" w:hAnsi="Times New Roman" w:cs="Times New Roman"/>
          <w:sz w:val="22"/>
        </w:rPr>
        <w:footnoteRef/>
      </w:r>
      <w:r w:rsidRPr="00ED123D">
        <w:rPr>
          <w:rFonts w:ascii="Times New Roman" w:hAnsi="Times New Roman" w:cs="Times New Roman"/>
          <w:sz w:val="22"/>
        </w:rPr>
        <w:t>MVRINJVV është hartuar nga IDM</w:t>
      </w:r>
      <w:r w:rsidR="00442DDA" w:rsidRPr="00ED123D">
        <w:rPr>
          <w:rFonts w:ascii="Times New Roman" w:hAnsi="Times New Roman" w:cs="Times New Roman"/>
          <w:sz w:val="22"/>
        </w:rPr>
        <w:t>-ja</w:t>
      </w:r>
      <w:r w:rsidRPr="00ED123D">
        <w:rPr>
          <w:rFonts w:ascii="Times New Roman" w:hAnsi="Times New Roman" w:cs="Times New Roman"/>
          <w:sz w:val="22"/>
        </w:rPr>
        <w:t xml:space="preserve"> në kuadër të projektit “Forcimi i etikës dhe integritetit në Qeverisjen Vendore” në kuadër të projektit STAR 2 - Konsolidimi i Reformës Territoriale dhe Administrative, i zbatuar nga UNDP</w:t>
      </w:r>
      <w:r w:rsidR="00442DDA" w:rsidRPr="00ED123D">
        <w:rPr>
          <w:rFonts w:ascii="Times New Roman" w:hAnsi="Times New Roman" w:cs="Times New Roman"/>
          <w:sz w:val="22"/>
        </w:rPr>
        <w:t>-ja</w:t>
      </w:r>
      <w:r w:rsidRPr="00ED123D">
        <w:rPr>
          <w:rFonts w:ascii="Times New Roman" w:hAnsi="Times New Roman" w:cs="Times New Roman"/>
          <w:sz w:val="22"/>
        </w:rPr>
        <w:t xml:space="preserve">. Ky dokument është konsultuar me 61 bashkitë e vendit, institucionet publike që kanë në funksionet e tyre çështje të integritetit dhe është miratuar nga Ministria e Drejtësisë, Koordinatori Kombëtar Antikorrupsion.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FEB"/>
    <w:multiLevelType w:val="hybridMultilevel"/>
    <w:tmpl w:val="C520D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A60"/>
    <w:multiLevelType w:val="hybridMultilevel"/>
    <w:tmpl w:val="E2F46FD0"/>
    <w:lvl w:ilvl="0" w:tplc="E34A2174">
      <w:start w:val="1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C2784"/>
    <w:multiLevelType w:val="multilevel"/>
    <w:tmpl w:val="A68CF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12655DFE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4B4F41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8842E3F"/>
    <w:multiLevelType w:val="hybridMultilevel"/>
    <w:tmpl w:val="9EA80D1E"/>
    <w:lvl w:ilvl="0" w:tplc="CF964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6293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BFD48C4"/>
    <w:multiLevelType w:val="hybridMultilevel"/>
    <w:tmpl w:val="300EE8D6"/>
    <w:lvl w:ilvl="0" w:tplc="5C348BC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1CD3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8275114"/>
    <w:multiLevelType w:val="hybridMultilevel"/>
    <w:tmpl w:val="91282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B50D9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45214F6"/>
    <w:multiLevelType w:val="hybridMultilevel"/>
    <w:tmpl w:val="BF20B0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16C"/>
    <w:multiLevelType w:val="multilevel"/>
    <w:tmpl w:val="3C5028F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66CB571C"/>
    <w:multiLevelType w:val="multilevel"/>
    <w:tmpl w:val="1A2C633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693A1637"/>
    <w:multiLevelType w:val="hybridMultilevel"/>
    <w:tmpl w:val="D360A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55AC0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B444E19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0C461A6"/>
    <w:multiLevelType w:val="hybridMultilevel"/>
    <w:tmpl w:val="776CF9B8"/>
    <w:lvl w:ilvl="0" w:tplc="DE0A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D5308"/>
    <w:multiLevelType w:val="hybridMultilevel"/>
    <w:tmpl w:val="EB66673A"/>
    <w:lvl w:ilvl="0" w:tplc="E34A2174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072BF"/>
    <w:multiLevelType w:val="multilevel"/>
    <w:tmpl w:val="B14A0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15"/>
  </w:num>
  <w:num w:numId="9">
    <w:abstractNumId w:val="12"/>
  </w:num>
  <w:num w:numId="10">
    <w:abstractNumId w:val="5"/>
  </w:num>
  <w:num w:numId="11">
    <w:abstractNumId w:val="20"/>
  </w:num>
  <w:num w:numId="12">
    <w:abstractNumId w:val="7"/>
  </w:num>
  <w:num w:numId="13">
    <w:abstractNumId w:val="14"/>
  </w:num>
  <w:num w:numId="14">
    <w:abstractNumId w:val="16"/>
  </w:num>
  <w:num w:numId="15">
    <w:abstractNumId w:val="3"/>
  </w:num>
  <w:num w:numId="16">
    <w:abstractNumId w:val="17"/>
  </w:num>
  <w:num w:numId="17">
    <w:abstractNumId w:val="4"/>
  </w:num>
  <w:num w:numId="18">
    <w:abstractNumId w:val="13"/>
  </w:num>
  <w:num w:numId="19">
    <w:abstractNumId w:val="11"/>
  </w:num>
  <w:num w:numId="20">
    <w:abstractNumId w:val="9"/>
  </w:num>
  <w:num w:numId="2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jcyMLU0N7EwszBV0lEKTi0uzszPAykwqgUAwVQrhiwAAAA="/>
  </w:docVars>
  <w:rsids>
    <w:rsidRoot w:val="005552AA"/>
    <w:rsid w:val="0000770A"/>
    <w:rsid w:val="0001127D"/>
    <w:rsid w:val="000124EA"/>
    <w:rsid w:val="00014CC2"/>
    <w:rsid w:val="00014FDF"/>
    <w:rsid w:val="00016ABF"/>
    <w:rsid w:val="00022AD2"/>
    <w:rsid w:val="00027D7E"/>
    <w:rsid w:val="000361AC"/>
    <w:rsid w:val="00036D27"/>
    <w:rsid w:val="00036E56"/>
    <w:rsid w:val="00040363"/>
    <w:rsid w:val="000453D3"/>
    <w:rsid w:val="000501C5"/>
    <w:rsid w:val="0005654D"/>
    <w:rsid w:val="00057BB9"/>
    <w:rsid w:val="00061DCA"/>
    <w:rsid w:val="00062A8C"/>
    <w:rsid w:val="000717DC"/>
    <w:rsid w:val="00077591"/>
    <w:rsid w:val="000829C1"/>
    <w:rsid w:val="0008635E"/>
    <w:rsid w:val="000901B5"/>
    <w:rsid w:val="00096757"/>
    <w:rsid w:val="000B213B"/>
    <w:rsid w:val="000C0C89"/>
    <w:rsid w:val="000C2394"/>
    <w:rsid w:val="000C5EF9"/>
    <w:rsid w:val="000D2516"/>
    <w:rsid w:val="000E4638"/>
    <w:rsid w:val="000F308D"/>
    <w:rsid w:val="000F48D2"/>
    <w:rsid w:val="00105766"/>
    <w:rsid w:val="001071C6"/>
    <w:rsid w:val="00120CAB"/>
    <w:rsid w:val="00121B29"/>
    <w:rsid w:val="00127F5E"/>
    <w:rsid w:val="00130A3D"/>
    <w:rsid w:val="0013321F"/>
    <w:rsid w:val="001406A2"/>
    <w:rsid w:val="00143123"/>
    <w:rsid w:val="00143C71"/>
    <w:rsid w:val="001443BF"/>
    <w:rsid w:val="00147D9A"/>
    <w:rsid w:val="00150F34"/>
    <w:rsid w:val="001569A6"/>
    <w:rsid w:val="00156A07"/>
    <w:rsid w:val="001608C7"/>
    <w:rsid w:val="00173B82"/>
    <w:rsid w:val="00175389"/>
    <w:rsid w:val="0017712D"/>
    <w:rsid w:val="001814D6"/>
    <w:rsid w:val="00185676"/>
    <w:rsid w:val="00186BFA"/>
    <w:rsid w:val="00190E8D"/>
    <w:rsid w:val="00191F1C"/>
    <w:rsid w:val="001922E7"/>
    <w:rsid w:val="00193229"/>
    <w:rsid w:val="001A09BB"/>
    <w:rsid w:val="001A4269"/>
    <w:rsid w:val="001C181F"/>
    <w:rsid w:val="001D7FD8"/>
    <w:rsid w:val="001E36B6"/>
    <w:rsid w:val="001E4D6C"/>
    <w:rsid w:val="001F1E06"/>
    <w:rsid w:val="001F4B1D"/>
    <w:rsid w:val="002002F7"/>
    <w:rsid w:val="002252CA"/>
    <w:rsid w:val="00233CC7"/>
    <w:rsid w:val="00250794"/>
    <w:rsid w:val="00261578"/>
    <w:rsid w:val="00266249"/>
    <w:rsid w:val="00271ED9"/>
    <w:rsid w:val="002730D0"/>
    <w:rsid w:val="002730D7"/>
    <w:rsid w:val="00280480"/>
    <w:rsid w:val="00283279"/>
    <w:rsid w:val="0029446C"/>
    <w:rsid w:val="002A1838"/>
    <w:rsid w:val="002A43D1"/>
    <w:rsid w:val="002A5277"/>
    <w:rsid w:val="002B2811"/>
    <w:rsid w:val="002C2C58"/>
    <w:rsid w:val="002D1B45"/>
    <w:rsid w:val="002D58BA"/>
    <w:rsid w:val="002D7131"/>
    <w:rsid w:val="002E3E0C"/>
    <w:rsid w:val="002E5252"/>
    <w:rsid w:val="002F0E44"/>
    <w:rsid w:val="002F6AD8"/>
    <w:rsid w:val="00305B5D"/>
    <w:rsid w:val="003068FE"/>
    <w:rsid w:val="00310189"/>
    <w:rsid w:val="00325DF2"/>
    <w:rsid w:val="00327F36"/>
    <w:rsid w:val="0033047C"/>
    <w:rsid w:val="00333005"/>
    <w:rsid w:val="00335AEA"/>
    <w:rsid w:val="00341733"/>
    <w:rsid w:val="00344721"/>
    <w:rsid w:val="00347657"/>
    <w:rsid w:val="003504BA"/>
    <w:rsid w:val="0036718B"/>
    <w:rsid w:val="00375162"/>
    <w:rsid w:val="003850B7"/>
    <w:rsid w:val="003864A7"/>
    <w:rsid w:val="0039162B"/>
    <w:rsid w:val="003949C7"/>
    <w:rsid w:val="00397B86"/>
    <w:rsid w:val="003C112F"/>
    <w:rsid w:val="003C2484"/>
    <w:rsid w:val="003D44F8"/>
    <w:rsid w:val="003D6338"/>
    <w:rsid w:val="003D7CF9"/>
    <w:rsid w:val="003E1C16"/>
    <w:rsid w:val="003F5B93"/>
    <w:rsid w:val="004037FF"/>
    <w:rsid w:val="0041025C"/>
    <w:rsid w:val="00416C59"/>
    <w:rsid w:val="00416EA2"/>
    <w:rsid w:val="00420398"/>
    <w:rsid w:val="004205EA"/>
    <w:rsid w:val="00422007"/>
    <w:rsid w:val="00434330"/>
    <w:rsid w:val="00437CDE"/>
    <w:rsid w:val="004417A4"/>
    <w:rsid w:val="00442DDA"/>
    <w:rsid w:val="00452EA5"/>
    <w:rsid w:val="00454C92"/>
    <w:rsid w:val="00455FE7"/>
    <w:rsid w:val="004575EA"/>
    <w:rsid w:val="0047462D"/>
    <w:rsid w:val="00483E2E"/>
    <w:rsid w:val="0048625A"/>
    <w:rsid w:val="004B3DF8"/>
    <w:rsid w:val="004C2C0B"/>
    <w:rsid w:val="004C5920"/>
    <w:rsid w:val="004D0874"/>
    <w:rsid w:val="004D309D"/>
    <w:rsid w:val="004D6D0B"/>
    <w:rsid w:val="004D6DB5"/>
    <w:rsid w:val="004F3F8C"/>
    <w:rsid w:val="00522795"/>
    <w:rsid w:val="005252ED"/>
    <w:rsid w:val="00525563"/>
    <w:rsid w:val="00543F68"/>
    <w:rsid w:val="00550731"/>
    <w:rsid w:val="005552AA"/>
    <w:rsid w:val="005637C9"/>
    <w:rsid w:val="00565614"/>
    <w:rsid w:val="005866F7"/>
    <w:rsid w:val="005A78E1"/>
    <w:rsid w:val="005B1FD6"/>
    <w:rsid w:val="005B5579"/>
    <w:rsid w:val="005D4708"/>
    <w:rsid w:val="005E7F11"/>
    <w:rsid w:val="005F5982"/>
    <w:rsid w:val="00601B62"/>
    <w:rsid w:val="00605BA1"/>
    <w:rsid w:val="006068C1"/>
    <w:rsid w:val="00606FCF"/>
    <w:rsid w:val="00615521"/>
    <w:rsid w:val="006247FC"/>
    <w:rsid w:val="00643CED"/>
    <w:rsid w:val="00645852"/>
    <w:rsid w:val="00646F71"/>
    <w:rsid w:val="0065021B"/>
    <w:rsid w:val="00655D22"/>
    <w:rsid w:val="00672977"/>
    <w:rsid w:val="00672C45"/>
    <w:rsid w:val="0067334F"/>
    <w:rsid w:val="006867E1"/>
    <w:rsid w:val="006927C8"/>
    <w:rsid w:val="006945C9"/>
    <w:rsid w:val="00694D60"/>
    <w:rsid w:val="00695923"/>
    <w:rsid w:val="006A2968"/>
    <w:rsid w:val="006A78A9"/>
    <w:rsid w:val="006D1E1B"/>
    <w:rsid w:val="006D4767"/>
    <w:rsid w:val="006E1316"/>
    <w:rsid w:val="006E15CF"/>
    <w:rsid w:val="006E388E"/>
    <w:rsid w:val="006E697A"/>
    <w:rsid w:val="006E71D3"/>
    <w:rsid w:val="006F280F"/>
    <w:rsid w:val="006F2A7F"/>
    <w:rsid w:val="007035DE"/>
    <w:rsid w:val="00713859"/>
    <w:rsid w:val="00716616"/>
    <w:rsid w:val="00717FFD"/>
    <w:rsid w:val="00725D7B"/>
    <w:rsid w:val="007305AA"/>
    <w:rsid w:val="00751216"/>
    <w:rsid w:val="00751BE3"/>
    <w:rsid w:val="007522EB"/>
    <w:rsid w:val="007523F4"/>
    <w:rsid w:val="007622F0"/>
    <w:rsid w:val="00762371"/>
    <w:rsid w:val="00763096"/>
    <w:rsid w:val="007641CC"/>
    <w:rsid w:val="0076534D"/>
    <w:rsid w:val="007674A9"/>
    <w:rsid w:val="00770374"/>
    <w:rsid w:val="007703BB"/>
    <w:rsid w:val="007729FB"/>
    <w:rsid w:val="00775B6E"/>
    <w:rsid w:val="0078206C"/>
    <w:rsid w:val="00794C8D"/>
    <w:rsid w:val="007A705B"/>
    <w:rsid w:val="007B17B6"/>
    <w:rsid w:val="007B2F0F"/>
    <w:rsid w:val="007B5422"/>
    <w:rsid w:val="007B63A6"/>
    <w:rsid w:val="007C413E"/>
    <w:rsid w:val="007D5C1F"/>
    <w:rsid w:val="007D728D"/>
    <w:rsid w:val="007E57C2"/>
    <w:rsid w:val="00804F77"/>
    <w:rsid w:val="008060C8"/>
    <w:rsid w:val="0081089A"/>
    <w:rsid w:val="008146D6"/>
    <w:rsid w:val="00816EE9"/>
    <w:rsid w:val="008216F5"/>
    <w:rsid w:val="00826468"/>
    <w:rsid w:val="008265A6"/>
    <w:rsid w:val="00836289"/>
    <w:rsid w:val="00836B4F"/>
    <w:rsid w:val="00837C28"/>
    <w:rsid w:val="00842F76"/>
    <w:rsid w:val="008455C6"/>
    <w:rsid w:val="00847915"/>
    <w:rsid w:val="00850569"/>
    <w:rsid w:val="00850CB6"/>
    <w:rsid w:val="008567AF"/>
    <w:rsid w:val="00865EB3"/>
    <w:rsid w:val="008800D1"/>
    <w:rsid w:val="00880F5E"/>
    <w:rsid w:val="00881335"/>
    <w:rsid w:val="00881C4E"/>
    <w:rsid w:val="00885D57"/>
    <w:rsid w:val="008A44E9"/>
    <w:rsid w:val="008A5884"/>
    <w:rsid w:val="008B0248"/>
    <w:rsid w:val="008B1089"/>
    <w:rsid w:val="008C0C2A"/>
    <w:rsid w:val="008C22A6"/>
    <w:rsid w:val="008C41F1"/>
    <w:rsid w:val="008D52ED"/>
    <w:rsid w:val="008D5EB9"/>
    <w:rsid w:val="008D688A"/>
    <w:rsid w:val="008E0567"/>
    <w:rsid w:val="008E0D1F"/>
    <w:rsid w:val="008E3722"/>
    <w:rsid w:val="008E6021"/>
    <w:rsid w:val="008F55A9"/>
    <w:rsid w:val="00905AF8"/>
    <w:rsid w:val="00906216"/>
    <w:rsid w:val="00913250"/>
    <w:rsid w:val="00913C69"/>
    <w:rsid w:val="00915A28"/>
    <w:rsid w:val="00917B74"/>
    <w:rsid w:val="009231A5"/>
    <w:rsid w:val="00934DEB"/>
    <w:rsid w:val="00951D25"/>
    <w:rsid w:val="0096683E"/>
    <w:rsid w:val="00973BE8"/>
    <w:rsid w:val="00984333"/>
    <w:rsid w:val="00986EAD"/>
    <w:rsid w:val="009A521C"/>
    <w:rsid w:val="009A580D"/>
    <w:rsid w:val="009B6941"/>
    <w:rsid w:val="009C634F"/>
    <w:rsid w:val="009D62F5"/>
    <w:rsid w:val="009E5380"/>
    <w:rsid w:val="009F02DC"/>
    <w:rsid w:val="009F3896"/>
    <w:rsid w:val="009F576C"/>
    <w:rsid w:val="00A02BC8"/>
    <w:rsid w:val="00A02E6E"/>
    <w:rsid w:val="00A27676"/>
    <w:rsid w:val="00A31061"/>
    <w:rsid w:val="00A31201"/>
    <w:rsid w:val="00A352A3"/>
    <w:rsid w:val="00A435F6"/>
    <w:rsid w:val="00A4741A"/>
    <w:rsid w:val="00A566CD"/>
    <w:rsid w:val="00A6205E"/>
    <w:rsid w:val="00A63C6F"/>
    <w:rsid w:val="00A70A68"/>
    <w:rsid w:val="00A70D24"/>
    <w:rsid w:val="00A8077A"/>
    <w:rsid w:val="00A8282B"/>
    <w:rsid w:val="00A82E42"/>
    <w:rsid w:val="00A83F9F"/>
    <w:rsid w:val="00A8463D"/>
    <w:rsid w:val="00A84DE6"/>
    <w:rsid w:val="00A90EE4"/>
    <w:rsid w:val="00A9330A"/>
    <w:rsid w:val="00AA10C8"/>
    <w:rsid w:val="00AA2728"/>
    <w:rsid w:val="00AA59B6"/>
    <w:rsid w:val="00AB4BB9"/>
    <w:rsid w:val="00AB7B5D"/>
    <w:rsid w:val="00AC69C4"/>
    <w:rsid w:val="00AD033B"/>
    <w:rsid w:val="00AD2574"/>
    <w:rsid w:val="00AF583B"/>
    <w:rsid w:val="00B01C99"/>
    <w:rsid w:val="00B02DFC"/>
    <w:rsid w:val="00B324EA"/>
    <w:rsid w:val="00B41E42"/>
    <w:rsid w:val="00B4635A"/>
    <w:rsid w:val="00B46466"/>
    <w:rsid w:val="00B507C1"/>
    <w:rsid w:val="00B50F7A"/>
    <w:rsid w:val="00B60DE5"/>
    <w:rsid w:val="00B804DD"/>
    <w:rsid w:val="00B92DC4"/>
    <w:rsid w:val="00B95296"/>
    <w:rsid w:val="00BA5008"/>
    <w:rsid w:val="00BB4100"/>
    <w:rsid w:val="00BC5290"/>
    <w:rsid w:val="00BC589C"/>
    <w:rsid w:val="00BC5D8F"/>
    <w:rsid w:val="00BC68A1"/>
    <w:rsid w:val="00BE0F6F"/>
    <w:rsid w:val="00BE2984"/>
    <w:rsid w:val="00BE2CFF"/>
    <w:rsid w:val="00BE7168"/>
    <w:rsid w:val="00BE71CF"/>
    <w:rsid w:val="00BF1DD4"/>
    <w:rsid w:val="00BF21A1"/>
    <w:rsid w:val="00BF58D3"/>
    <w:rsid w:val="00C008CF"/>
    <w:rsid w:val="00C01E22"/>
    <w:rsid w:val="00C04F82"/>
    <w:rsid w:val="00C05350"/>
    <w:rsid w:val="00C1123C"/>
    <w:rsid w:val="00C11C49"/>
    <w:rsid w:val="00C26225"/>
    <w:rsid w:val="00C27774"/>
    <w:rsid w:val="00C31F4D"/>
    <w:rsid w:val="00C375AC"/>
    <w:rsid w:val="00C41286"/>
    <w:rsid w:val="00C4227F"/>
    <w:rsid w:val="00C42B95"/>
    <w:rsid w:val="00C42EF2"/>
    <w:rsid w:val="00C4300F"/>
    <w:rsid w:val="00C43DF0"/>
    <w:rsid w:val="00C55B16"/>
    <w:rsid w:val="00C600E4"/>
    <w:rsid w:val="00C62243"/>
    <w:rsid w:val="00C64EE0"/>
    <w:rsid w:val="00C6503C"/>
    <w:rsid w:val="00C659F7"/>
    <w:rsid w:val="00C9079D"/>
    <w:rsid w:val="00C96882"/>
    <w:rsid w:val="00CC693D"/>
    <w:rsid w:val="00CD0C2C"/>
    <w:rsid w:val="00CD4F3D"/>
    <w:rsid w:val="00CD621F"/>
    <w:rsid w:val="00CD6A94"/>
    <w:rsid w:val="00CE4CE8"/>
    <w:rsid w:val="00CF1038"/>
    <w:rsid w:val="00CF2EA9"/>
    <w:rsid w:val="00CF5167"/>
    <w:rsid w:val="00CF5D18"/>
    <w:rsid w:val="00CF6521"/>
    <w:rsid w:val="00D010DE"/>
    <w:rsid w:val="00D032F0"/>
    <w:rsid w:val="00D07D04"/>
    <w:rsid w:val="00D1011B"/>
    <w:rsid w:val="00D12DE7"/>
    <w:rsid w:val="00D13ACD"/>
    <w:rsid w:val="00D14ECB"/>
    <w:rsid w:val="00D16950"/>
    <w:rsid w:val="00D30402"/>
    <w:rsid w:val="00D32064"/>
    <w:rsid w:val="00D331C8"/>
    <w:rsid w:val="00D34065"/>
    <w:rsid w:val="00D37A89"/>
    <w:rsid w:val="00D45007"/>
    <w:rsid w:val="00D457FF"/>
    <w:rsid w:val="00D53CD6"/>
    <w:rsid w:val="00D5741E"/>
    <w:rsid w:val="00D60822"/>
    <w:rsid w:val="00D64BC7"/>
    <w:rsid w:val="00D64F10"/>
    <w:rsid w:val="00D67C57"/>
    <w:rsid w:val="00D710FE"/>
    <w:rsid w:val="00D719D5"/>
    <w:rsid w:val="00D71E2F"/>
    <w:rsid w:val="00D72A67"/>
    <w:rsid w:val="00D878F8"/>
    <w:rsid w:val="00D94516"/>
    <w:rsid w:val="00D95A51"/>
    <w:rsid w:val="00D977FF"/>
    <w:rsid w:val="00DC3B9E"/>
    <w:rsid w:val="00DD4B40"/>
    <w:rsid w:val="00DD5DE3"/>
    <w:rsid w:val="00DE0971"/>
    <w:rsid w:val="00DE1A98"/>
    <w:rsid w:val="00DE4598"/>
    <w:rsid w:val="00DE4D7A"/>
    <w:rsid w:val="00DF04F9"/>
    <w:rsid w:val="00DF1525"/>
    <w:rsid w:val="00DF6871"/>
    <w:rsid w:val="00E001A6"/>
    <w:rsid w:val="00E00BFB"/>
    <w:rsid w:val="00E044F4"/>
    <w:rsid w:val="00E050DF"/>
    <w:rsid w:val="00E06385"/>
    <w:rsid w:val="00E069AC"/>
    <w:rsid w:val="00E27F21"/>
    <w:rsid w:val="00E53029"/>
    <w:rsid w:val="00E6286E"/>
    <w:rsid w:val="00E86F7F"/>
    <w:rsid w:val="00E87557"/>
    <w:rsid w:val="00EA09FB"/>
    <w:rsid w:val="00EA689B"/>
    <w:rsid w:val="00EC28E2"/>
    <w:rsid w:val="00EC5B48"/>
    <w:rsid w:val="00EC6866"/>
    <w:rsid w:val="00EC70BF"/>
    <w:rsid w:val="00ED123D"/>
    <w:rsid w:val="00ED5511"/>
    <w:rsid w:val="00EE487A"/>
    <w:rsid w:val="00F02921"/>
    <w:rsid w:val="00F05589"/>
    <w:rsid w:val="00F114A6"/>
    <w:rsid w:val="00F139C7"/>
    <w:rsid w:val="00F14CF5"/>
    <w:rsid w:val="00F15C77"/>
    <w:rsid w:val="00F15F22"/>
    <w:rsid w:val="00F16EDD"/>
    <w:rsid w:val="00F21E70"/>
    <w:rsid w:val="00F3247E"/>
    <w:rsid w:val="00F35AC1"/>
    <w:rsid w:val="00F36E06"/>
    <w:rsid w:val="00F37B8F"/>
    <w:rsid w:val="00F42C7E"/>
    <w:rsid w:val="00F47CFB"/>
    <w:rsid w:val="00F5495A"/>
    <w:rsid w:val="00F6763C"/>
    <w:rsid w:val="00F67D54"/>
    <w:rsid w:val="00F70181"/>
    <w:rsid w:val="00F73952"/>
    <w:rsid w:val="00F7618B"/>
    <w:rsid w:val="00F80549"/>
    <w:rsid w:val="00F80948"/>
    <w:rsid w:val="00F85DC5"/>
    <w:rsid w:val="00F95B64"/>
    <w:rsid w:val="00F974DD"/>
    <w:rsid w:val="00FA0A63"/>
    <w:rsid w:val="00FA3811"/>
    <w:rsid w:val="00FB38D4"/>
    <w:rsid w:val="00FB6061"/>
    <w:rsid w:val="00FC4822"/>
    <w:rsid w:val="00FC67E1"/>
    <w:rsid w:val="00FC7BB1"/>
    <w:rsid w:val="00FD11D9"/>
    <w:rsid w:val="00FD44B1"/>
    <w:rsid w:val="00FE72ED"/>
    <w:rsid w:val="00FF3046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D07D"/>
  <w15:docId w15:val="{312C5F91-204F-42B7-8F99-29209C06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6C"/>
    <w:pPr>
      <w:spacing w:after="160" w:line="259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2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AA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55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AA"/>
    <w:rPr>
      <w:rFonts w:eastAsia="MS Mincho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5552A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5552AA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2AA"/>
    <w:rPr>
      <w:rFonts w:eastAsia="MS Minch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2AA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2AA"/>
    <w:rPr>
      <w:rFonts w:eastAsia="MS Mincho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2AA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552AA"/>
  </w:style>
  <w:style w:type="paragraph" w:styleId="BalloonText">
    <w:name w:val="Balloon Text"/>
    <w:basedOn w:val="Normal"/>
    <w:link w:val="BalloonTextChar"/>
    <w:uiPriority w:val="99"/>
    <w:semiHidden/>
    <w:unhideWhenUsed/>
    <w:rsid w:val="0055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AA"/>
    <w:rPr>
      <w:rFonts w:ascii="Segoe UI" w:eastAsia="MS Mincho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5552AA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5552AA"/>
    <w:pPr>
      <w:spacing w:line="240" w:lineRule="exact"/>
      <w:jc w:val="both"/>
    </w:pPr>
    <w:rPr>
      <w:rFonts w:eastAsiaTheme="minorHAnsi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552AA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5552AA"/>
    <w:pPr>
      <w:tabs>
        <w:tab w:val="right" w:leader="dot" w:pos="10171"/>
      </w:tabs>
      <w:spacing w:after="100"/>
      <w:jc w:val="both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5552AA"/>
    <w:pPr>
      <w:numPr>
        <w:numId w:val="2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5552AA"/>
    <w:rPr>
      <w:color w:val="0000FF" w:themeColor="hyperlink"/>
      <w:u w:val="single"/>
    </w:rPr>
  </w:style>
  <w:style w:type="paragraph" w:styleId="FootnoteText">
    <w:name w:val="footnote text"/>
    <w:aliases w:val=" Char Char,Car,Char Char,Char,Footnote Text Char1 Char Char Char,Footnote Text Char Char Char Char Char"/>
    <w:basedOn w:val="Normal"/>
    <w:link w:val="FootnoteTextChar"/>
    <w:unhideWhenUsed/>
    <w:rsid w:val="005552AA"/>
    <w:pPr>
      <w:spacing w:after="0" w:line="240" w:lineRule="auto"/>
      <w:jc w:val="both"/>
    </w:pPr>
    <w:rPr>
      <w:rFonts w:eastAsiaTheme="minorHAnsi"/>
      <w:sz w:val="20"/>
      <w:szCs w:val="20"/>
      <w:lang w:val="sq-AL"/>
    </w:rPr>
  </w:style>
  <w:style w:type="character" w:customStyle="1" w:styleId="FootnoteTextChar">
    <w:name w:val="Footnote Text Char"/>
    <w:aliases w:val=" Char Char Char,Car Char,Char Char Char,Char Char1,Footnote Text Char1 Char Char Char Char,Footnote Text Char Char Char Char Char Char"/>
    <w:basedOn w:val="DefaultParagraphFont"/>
    <w:link w:val="FootnoteText"/>
    <w:rsid w:val="005552AA"/>
    <w:rPr>
      <w:sz w:val="20"/>
      <w:szCs w:val="20"/>
      <w:lang w:val="sq-AL"/>
    </w:rPr>
  </w:style>
  <w:style w:type="character" w:customStyle="1" w:styleId="fontstyle01">
    <w:name w:val="fontstyle01"/>
    <w:basedOn w:val="DefaultParagraphFont"/>
    <w:rsid w:val="005552A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552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86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iv6741303730msonormal">
    <w:name w:val="yiv6741303730msonormal"/>
    <w:basedOn w:val="Normal"/>
    <w:rsid w:val="0086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6DB5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DB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9446C"/>
    <w:pPr>
      <w:spacing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9446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C9B3-A756-43E9-943E-F79DBF73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6387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PLANI I INTEGRITETIT BASHKIA HIMARË      2022-2025</vt:lpstr>
    </vt:vector>
  </TitlesOfParts>
  <Company/>
  <LinksUpToDate>false</LinksUpToDate>
  <CharactersWithSpaces>42714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 I INTEGRITETIT BASHKIA HIMARË      2022-2025</dc:title>
  <dc:subject>Miratuar me vendimin nr_____, datë_____ të Këshillit Bashkiak</dc:subject>
  <dc:creator>Perdorues</dc:creator>
  <cp:keywords/>
  <dc:description/>
  <cp:lastModifiedBy>LENOVO</cp:lastModifiedBy>
  <cp:revision>4</cp:revision>
  <dcterms:created xsi:type="dcterms:W3CDTF">2023-12-21T12:24:00Z</dcterms:created>
  <dcterms:modified xsi:type="dcterms:W3CDTF">2024-07-11T14:16:00Z</dcterms:modified>
</cp:coreProperties>
</file>