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56A8" w14:textId="77777777" w:rsidR="00AB2E4A" w:rsidRPr="0006580C" w:rsidRDefault="00AB2E4A" w:rsidP="00AB2E4A">
      <w:pPr>
        <w:pStyle w:val="Char2"/>
        <w:spacing w:before="160" w:after="0" w:line="560" w:lineRule="atLeast"/>
        <w:contextualSpacing/>
        <w:jc w:val="center"/>
        <w:textDirection w:val="btLr"/>
        <w:rPr>
          <w:noProof/>
        </w:rPr>
      </w:pPr>
      <w:r w:rsidRPr="0006580C">
        <w:rPr>
          <w:noProof/>
        </w:rPr>
        <w:drawing>
          <wp:inline distT="0" distB="0" distL="0" distR="0" wp14:anchorId="1279F9B7" wp14:editId="6C6D8E0F">
            <wp:extent cx="962025" cy="1326582"/>
            <wp:effectExtent l="0" t="0" r="0" b="6985"/>
            <wp:docPr id="1" name="Picture 1" descr="C:\Users\Fujitsu1\Desktop\integriteti\Bashkia Has\Ha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1\Desktop\integriteti\Bashkia Has\Has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85" cy="133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B34EA" w14:textId="77777777" w:rsidR="00AB2E4A" w:rsidRPr="0006580C" w:rsidRDefault="00AB2E4A" w:rsidP="00AB2E4A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hAnsi="Gill Sans MT"/>
          <w:b/>
          <w:noProof/>
          <w:sz w:val="56"/>
          <w:szCs w:val="56"/>
        </w:rPr>
      </w:pPr>
    </w:p>
    <w:p w14:paraId="3809AC3B" w14:textId="77777777" w:rsidR="00AB2E4A" w:rsidRPr="0006580C" w:rsidRDefault="00AB2E4A" w:rsidP="00AB2E4A">
      <w:pPr>
        <w:pStyle w:val="Char2"/>
        <w:spacing w:before="160" w:after="0" w:line="560" w:lineRule="atLeast"/>
        <w:contextualSpacing/>
        <w:jc w:val="center"/>
        <w:textDirection w:val="btLr"/>
        <w:rPr>
          <w:noProof/>
        </w:rPr>
      </w:pPr>
      <w:r w:rsidRPr="0006580C">
        <w:rPr>
          <w:rFonts w:ascii="Gill Sans MT" w:hAnsi="Gill Sans MT"/>
          <w:b/>
          <w:noProof/>
          <w:sz w:val="56"/>
          <w:szCs w:val="56"/>
        </w:rPr>
        <w:t>BASHKIA HAS</w:t>
      </w:r>
    </w:p>
    <w:p w14:paraId="66212840" w14:textId="77777777" w:rsidR="00680B02" w:rsidRPr="0006580C" w:rsidRDefault="00680B02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</w:p>
    <w:p w14:paraId="211210C5" w14:textId="77777777" w:rsidR="00942A1F" w:rsidRPr="0006580C" w:rsidRDefault="00942A1F" w:rsidP="00942A1F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</w:pPr>
    </w:p>
    <w:p w14:paraId="4D1A1029" w14:textId="77777777" w:rsidR="008D2ABC" w:rsidRPr="0006580C" w:rsidRDefault="008D2ABC" w:rsidP="008D2ABC">
      <w:pPr>
        <w:pStyle w:val="Char2"/>
        <w:spacing w:before="160" w:after="0" w:line="560" w:lineRule="atLeast"/>
        <w:contextualSpacing/>
        <w:jc w:val="center"/>
        <w:textDirection w:val="btLr"/>
        <w:rPr>
          <w:rFonts w:ascii="Gill Sans MT" w:eastAsiaTheme="majorEastAsia" w:hAnsi="Gill Sans MT" w:cstheme="majorBidi"/>
          <w:b/>
          <w:caps/>
          <w:noProof/>
          <w:kern w:val="24"/>
          <w:sz w:val="100"/>
          <w:szCs w:val="100"/>
        </w:rPr>
      </w:pPr>
      <w:r w:rsidRPr="0006580C">
        <w:rPr>
          <w:rFonts w:ascii="Gill Sans MT" w:eastAsiaTheme="majorEastAsia" w:hAnsi="Gill Sans MT" w:cstheme="majorBidi"/>
          <w:caps/>
          <w:noProof/>
          <w:kern w:val="24"/>
          <w:sz w:val="100"/>
          <w:szCs w:val="100"/>
        </w:rPr>
        <w:t>PLANI I INTEGRITETIT</w:t>
      </w:r>
    </w:p>
    <w:p w14:paraId="7BEAD061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A49111F" w14:textId="77777777" w:rsidR="008D2ABC" w:rsidRPr="0006580C" w:rsidRDefault="008D2ABC" w:rsidP="008D2ABC">
      <w:pPr>
        <w:spacing w:after="0" w:line="240" w:lineRule="auto"/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</w:p>
    <w:p w14:paraId="6022C413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0C909CF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B8A1C2C" w14:textId="77777777" w:rsidR="008D2ABC" w:rsidRPr="0006580C" w:rsidRDefault="00680B02" w:rsidP="008D2ABC">
      <w:pPr>
        <w:jc w:val="center"/>
        <w:rPr>
          <w:rFonts w:ascii="Malgun Gothic" w:eastAsia="Malgun Gothic" w:hAnsi="Malgun Gothic" w:cs="Malgun Gothic"/>
          <w:b/>
          <w:bCs/>
          <w:sz w:val="52"/>
          <w:lang w:val="sq-AL"/>
        </w:rPr>
      </w:pPr>
      <w:r w:rsidRPr="0006580C">
        <w:rPr>
          <w:rFonts w:ascii="Malgun Gothic" w:eastAsia="Malgun Gothic" w:hAnsi="Malgun Gothic" w:cs="Malgun Gothic"/>
          <w:b/>
          <w:bCs/>
          <w:sz w:val="52"/>
          <w:lang w:val="sq-AL"/>
        </w:rPr>
        <w:t>202</w:t>
      </w:r>
      <w:r w:rsidR="00BA62CD" w:rsidRPr="0006580C">
        <w:rPr>
          <w:rFonts w:ascii="Malgun Gothic" w:eastAsia="Malgun Gothic" w:hAnsi="Malgun Gothic" w:cs="Malgun Gothic"/>
          <w:b/>
          <w:bCs/>
          <w:sz w:val="52"/>
          <w:lang w:val="sq-AL"/>
        </w:rPr>
        <w:t>2</w:t>
      </w:r>
      <w:r w:rsidRPr="0006580C">
        <w:rPr>
          <w:rFonts w:ascii="Malgun Gothic" w:eastAsia="Malgun Gothic" w:hAnsi="Malgun Gothic" w:cs="Malgun Gothic"/>
          <w:b/>
          <w:bCs/>
          <w:sz w:val="52"/>
          <w:lang w:val="sq-AL"/>
        </w:rPr>
        <w:t>-2025</w:t>
      </w:r>
    </w:p>
    <w:p w14:paraId="6C6792E2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C7ACC34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DF8DA81" w14:textId="77777777" w:rsidR="008D2ABC" w:rsidRPr="0006580C" w:rsidRDefault="008D2ABC" w:rsidP="001A38F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b/>
          <w:bCs/>
          <w:sz w:val="24"/>
          <w:szCs w:val="24"/>
          <w:lang w:val="sq-AL"/>
        </w:rPr>
        <w:t>Miratuar me Vendim të Këshillit Bashkiak nr....... Datë ...</w:t>
      </w:r>
      <w:r w:rsidR="00680B02" w:rsidRPr="0006580C">
        <w:rPr>
          <w:rFonts w:ascii="Times New Roman" w:hAnsi="Times New Roman" w:cs="Times New Roman"/>
          <w:b/>
          <w:bCs/>
          <w:sz w:val="24"/>
          <w:szCs w:val="24"/>
          <w:lang w:val="sq-AL"/>
        </w:rPr>
        <w:t>......2022</w:t>
      </w:r>
    </w:p>
    <w:p w14:paraId="7EE36B1D" w14:textId="77777777" w:rsidR="00DF4FCD" w:rsidRPr="0006580C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7591393C" w14:textId="77777777" w:rsidR="00DF4FCD" w:rsidRPr="0006580C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5F4D9CD2" w14:textId="77777777" w:rsidR="00DF4FCD" w:rsidRPr="0006580C" w:rsidRDefault="00DF4FCD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3F85FF07" w14:textId="77777777" w:rsidR="00B3424B" w:rsidRPr="0006580C" w:rsidRDefault="00B3424B" w:rsidP="00B3424B">
      <w:pPr>
        <w:pStyle w:val="Header"/>
      </w:pPr>
      <w:bookmarkStart w:id="0" w:name="_Hlk78533200"/>
      <w:bookmarkEnd w:id="0"/>
      <w:r w:rsidRPr="0006580C">
        <w:rPr>
          <w:noProof/>
        </w:rPr>
        <w:lastRenderedPageBreak/>
        <w:drawing>
          <wp:inline distT="0" distB="0" distL="0" distR="0" wp14:anchorId="41EFD893" wp14:editId="29545473">
            <wp:extent cx="2238375" cy="919588"/>
            <wp:effectExtent l="0" t="0" r="0" b="0"/>
            <wp:docPr id="13" name="Picture 13" descr="ID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M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2" b="2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46" cy="9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80C">
        <w:rPr>
          <w:noProof/>
        </w:rPr>
        <w:t xml:space="preserve">                                                     </w:t>
      </w:r>
      <w:r w:rsidRPr="0006580C">
        <w:rPr>
          <w:noProof/>
        </w:rPr>
        <w:drawing>
          <wp:inline distT="0" distB="0" distL="0" distR="0" wp14:anchorId="23387979" wp14:editId="4898EB8D">
            <wp:extent cx="1733204" cy="75645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204" cy="7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5881C" w14:textId="77777777" w:rsidR="00B3424B" w:rsidRPr="0006580C" w:rsidRDefault="00B3424B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0D93687A" w14:textId="77777777" w:rsidR="00DF16C7" w:rsidRPr="0006580C" w:rsidRDefault="00DF16C7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6B1BBCAD" w14:textId="77777777" w:rsidR="00F069FE" w:rsidRPr="0006580C" w:rsidRDefault="00F069FE" w:rsidP="008D2ABC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</w:rPr>
      </w:pPr>
    </w:p>
    <w:p w14:paraId="22222712" w14:textId="18BF2008" w:rsidR="008D2ABC" w:rsidRPr="0006580C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Grupi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Punës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për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00E6" w:rsidRPr="0006580C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artimin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Planit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Integritetit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Bashkin</w:t>
      </w:r>
      <w:r w:rsidR="00A3317F" w:rsidRPr="0006580C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="00680B02"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7C7E3A" w:rsidRPr="0006580C">
        <w:rPr>
          <w:rFonts w:ascii="Times New Roman" w:eastAsia="Times New Roman" w:hAnsi="Times New Roman" w:cs="Times New Roman"/>
          <w:b/>
          <w:sz w:val="24"/>
          <w:szCs w:val="24"/>
        </w:rPr>
        <w:t>Hasit</w:t>
      </w:r>
      <w:proofErr w:type="spellEnd"/>
      <w:r w:rsidR="00AF2A67" w:rsidRPr="000658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419883" w14:textId="77777777" w:rsidR="008D2ABC" w:rsidRPr="0006580C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848B31" w14:textId="77777777" w:rsidR="008D2ABC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Nertila Muja, Koordinatore e Grupit të Punës</w:t>
      </w:r>
    </w:p>
    <w:p w14:paraId="35DCBA15" w14:textId="77777777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Flamur Thaçi, Zv.</w:t>
      </w:r>
      <w:r w:rsidR="00CB1E77"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Kryetar, Anëtar</w:t>
      </w:r>
    </w:p>
    <w:p w14:paraId="6FDB84F4" w14:textId="77777777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Fatmira Qema, Përgjegjëse e Ndihmës Ekonomike dhe Përkujdesjes Sociale, Anëtare</w:t>
      </w:r>
    </w:p>
    <w:p w14:paraId="53886FDD" w14:textId="77777777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Petrit Ferizolli, Përfaqësues i Policisë, Anëtar</w:t>
      </w:r>
    </w:p>
    <w:p w14:paraId="3438486E" w14:textId="77777777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Eriela Mula, Përgjegjëse e Sektorit Juridik, Anëtare</w:t>
      </w:r>
    </w:p>
    <w:p w14:paraId="6E3F60F3" w14:textId="6B210B0F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Eduard Poga, Specialist për Koordinimin e Integrimit E</w:t>
      </w:r>
      <w:r w:rsidR="00B400E6" w:rsidRPr="0006580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ropian, Anëtar</w:t>
      </w:r>
    </w:p>
    <w:p w14:paraId="107744F0" w14:textId="77777777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Drita Gradica, Përgjegjëse e Sektorit të Burimeve Njerëzore, Anëtare</w:t>
      </w:r>
    </w:p>
    <w:p w14:paraId="4A9C6C00" w14:textId="77777777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Pëllumb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Cahani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Drejtor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Financës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Anëtar</w:t>
      </w:r>
      <w:proofErr w:type="spellEnd"/>
    </w:p>
    <w:p w14:paraId="6DE81A68" w14:textId="77777777" w:rsidR="006814F8" w:rsidRPr="0006580C" w:rsidRDefault="006814F8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Novruz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Bardhoshi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Urbanistikës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Planifikimit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Urban,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Anëtar</w:t>
      </w:r>
      <w:proofErr w:type="spellEnd"/>
    </w:p>
    <w:p w14:paraId="7C4A02E3" w14:textId="77777777" w:rsidR="00AF2A67" w:rsidRPr="0006580C" w:rsidRDefault="00AF2A67" w:rsidP="008D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DA917" w14:textId="77777777" w:rsidR="00AF2A67" w:rsidRPr="0006580C" w:rsidRDefault="00AF2A67" w:rsidP="008D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C9D1E" w14:textId="77777777" w:rsidR="008D2ABC" w:rsidRPr="0006580C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Grupi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Punës</w:t>
      </w:r>
      <w:proofErr w:type="spellEnd"/>
      <w:r w:rsidRPr="0006580C">
        <w:rPr>
          <w:rFonts w:ascii="Times New Roman" w:eastAsia="Times New Roman" w:hAnsi="Times New Roman" w:cs="Times New Roman"/>
          <w:b/>
          <w:sz w:val="24"/>
          <w:szCs w:val="24"/>
        </w:rPr>
        <w:t>, IDM:</w:t>
      </w:r>
    </w:p>
    <w:p w14:paraId="0C943F80" w14:textId="77777777" w:rsidR="008D2ABC" w:rsidRPr="0006580C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4BC6F" w14:textId="77777777" w:rsidR="008D2ABC" w:rsidRPr="0006580C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="00680B02" w:rsidRPr="0006580C">
        <w:rPr>
          <w:rFonts w:ascii="Times New Roman" w:eastAsia="Times New Roman" w:hAnsi="Times New Roman" w:cs="Times New Roman"/>
          <w:sz w:val="24"/>
          <w:szCs w:val="24"/>
        </w:rPr>
        <w:t>Nysjola</w:t>
      </w:r>
      <w:proofErr w:type="spellEnd"/>
      <w:r w:rsidR="00680B02"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0B02" w:rsidRPr="0006580C">
        <w:rPr>
          <w:rFonts w:ascii="Times New Roman" w:eastAsia="Times New Roman" w:hAnsi="Times New Roman" w:cs="Times New Roman"/>
          <w:sz w:val="24"/>
          <w:szCs w:val="24"/>
        </w:rPr>
        <w:t>Dhoga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Eksperte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Etikën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</w:rPr>
        <w:t>Integritetin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CDCB3D" w14:textId="77777777" w:rsidR="00AF2A67" w:rsidRPr="0006580C" w:rsidRDefault="008D2A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Ledia Canga, Ekspert</w:t>
      </w:r>
      <w:r w:rsidR="00C528C7"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C528C7"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AF2A67"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Menaxhimit të Risku</w:t>
      </w:r>
      <w:r w:rsidR="00B46D52" w:rsidRPr="0006580C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</w:p>
    <w:p w14:paraId="08FA9FA2" w14:textId="77777777" w:rsidR="00DF4FCD" w:rsidRPr="0006580C" w:rsidRDefault="00DF4FCD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CAAD5F" w14:textId="77777777" w:rsidR="007C7E3A" w:rsidRPr="0006580C" w:rsidRDefault="007C7E3A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769CCBC" w14:textId="77777777" w:rsidR="007C7E3A" w:rsidRPr="0006580C" w:rsidRDefault="007C7E3A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0E01D1E" w14:textId="77777777" w:rsidR="007C7E3A" w:rsidRPr="0006580C" w:rsidRDefault="007C7E3A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0C9D30D" w14:textId="77777777" w:rsidR="007C7E3A" w:rsidRPr="0006580C" w:rsidRDefault="007C7E3A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9B27AAD" w14:textId="77777777" w:rsidR="00DF4FCD" w:rsidRPr="0006580C" w:rsidRDefault="00DF4FCD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7F1940B2" w14:textId="77777777" w:rsidR="006814F8" w:rsidRPr="0006580C" w:rsidRDefault="006814F8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06D3E48E" w14:textId="77777777" w:rsidR="006814F8" w:rsidRPr="0006580C" w:rsidRDefault="006814F8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09F3C0AE" w14:textId="77777777" w:rsidR="001A6BBC" w:rsidRPr="0006580C" w:rsidRDefault="001A6BBC" w:rsidP="008D2ABC">
      <w:pPr>
        <w:spacing w:after="0" w:line="240" w:lineRule="auto"/>
        <w:rPr>
          <w:rFonts w:ascii="Gill Sans MT" w:eastAsia="Times New Roman" w:hAnsi="Gill Sans MT" w:cs="Times New Roman"/>
          <w:sz w:val="20"/>
          <w:szCs w:val="20"/>
          <w:lang w:val="it-IT"/>
        </w:rPr>
      </w:pPr>
    </w:p>
    <w:p w14:paraId="67338350" w14:textId="77777777" w:rsidR="001A6BBC" w:rsidRPr="0006580C" w:rsidRDefault="001A6BBC" w:rsidP="008D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E41856E" w14:textId="77777777" w:rsidR="00DF4FCD" w:rsidRPr="0006580C" w:rsidRDefault="00DF4FCD" w:rsidP="008D2ABC">
      <w:pPr>
        <w:spacing w:after="0" w:line="240" w:lineRule="auto"/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</w:pPr>
    </w:p>
    <w:p w14:paraId="72A89FFB" w14:textId="3AFBACA5" w:rsidR="00B3424B" w:rsidRPr="0006580C" w:rsidRDefault="00DF16C7" w:rsidP="00AF2A67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lang w:val="sq-AL"/>
        </w:rPr>
      </w:pPr>
      <w:r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Ky Plan Integriteti është hartuar në kuadër të projektit  “Zgjerimi i praktikës standarde të planifikimit të integritetit në nivel vendor”, </w:t>
      </w:r>
      <w:r w:rsidR="00892551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i</w:t>
      </w:r>
      <w:r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 financuar nga </w:t>
      </w:r>
      <w:proofErr w:type="spellStart"/>
      <w:r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nga</w:t>
      </w:r>
      <w:proofErr w:type="spellEnd"/>
      <w:r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 Projekti </w:t>
      </w:r>
      <w:proofErr w:type="spellStart"/>
      <w:r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Star</w:t>
      </w:r>
      <w:proofErr w:type="spellEnd"/>
      <w:r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 3.</w:t>
      </w:r>
      <w:r w:rsidRPr="0006580C">
        <w:rPr>
          <w:rFonts w:ascii="Times New Roman" w:hAnsi="Times New Roman" w:cs="Times New Roman"/>
          <w:i/>
          <w:sz w:val="20"/>
          <w:szCs w:val="20"/>
          <w:lang w:val="sq-AL"/>
        </w:rPr>
        <w:t xml:space="preserve"> 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Projekti STAR</w:t>
      </w:r>
      <w:r w:rsidR="00680B02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 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3 zbatohet nga 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bdr w:val="none" w:sz="0" w:space="0" w:color="auto" w:frame="1"/>
          <w:shd w:val="clear" w:color="auto" w:fill="FFFFFF"/>
          <w:lang w:val="sq-AL"/>
        </w:rPr>
        <w:t>UNDP</w:t>
      </w:r>
      <w:r w:rsidR="00E43A7E" w:rsidRPr="0006580C">
        <w:rPr>
          <w:rFonts w:ascii="Times New Roman" w:eastAsia="Batang" w:hAnsi="Times New Roman" w:cs="Times New Roman"/>
          <w:i/>
          <w:sz w:val="20"/>
          <w:szCs w:val="20"/>
          <w:bdr w:val="none" w:sz="0" w:space="0" w:color="auto" w:frame="1"/>
          <w:shd w:val="clear" w:color="auto" w:fill="FFFFFF"/>
        </w:rPr>
        <w:t>-ja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 n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ë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 Shqip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ë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bdr w:val="none" w:sz="0" w:space="0" w:color="auto" w:frame="1"/>
          <w:shd w:val="clear" w:color="auto" w:fill="FFFFFF"/>
          <w:lang w:val="sq-AL"/>
        </w:rPr>
        <w:t>ri</w:t>
      </w:r>
      <w:r w:rsidR="00A446CA" w:rsidRPr="0006580C">
        <w:rPr>
          <w:rFonts w:ascii="Times New Roman" w:eastAsia="Batang" w:hAnsi="Times New Roman" w:cs="Times New Roman"/>
          <w:i/>
          <w:sz w:val="20"/>
          <w:szCs w:val="20"/>
          <w:bdr w:val="none" w:sz="0" w:space="0" w:color="auto" w:frame="1"/>
          <w:shd w:val="clear" w:color="auto" w:fill="FFFFFF"/>
          <w:lang w:val="sq-AL"/>
        </w:rPr>
        <w:t>,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bdr w:val="none" w:sz="0" w:space="0" w:color="auto" w:frame="1"/>
          <w:shd w:val="clear" w:color="auto" w:fill="FFFFFF"/>
          <w:lang w:val="sq-AL"/>
        </w:rPr>
        <w:t xml:space="preserve"> 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në bashkëpunim me Ministrinë e Brendshme dhe </w:t>
      </w:r>
      <w:r w:rsidR="00A446CA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P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ushtetin </w:t>
      </w:r>
      <w:r w:rsidR="00A446CA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V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endor, dhe financohet nga Bashkimi Evropian dhe qeveritë e Suedisë dhe Zvicrës, UNDP në Shqipëri dhe Qeveria Shqiptare. Pikëpamjet dhe men</w:t>
      </w:r>
      <w:r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dimet e shprehura në këtë dokument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 nuk reflektojnë </w:t>
      </w:r>
      <w:proofErr w:type="spellStart"/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domosdoshmërisht</w:t>
      </w:r>
      <w:proofErr w:type="spellEnd"/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 pikëpamjet dhe mendimet e UNDP</w:t>
      </w:r>
      <w:r w:rsidR="00B400E6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</w:rPr>
        <w:t>-s</w:t>
      </w:r>
      <w:r w:rsidR="00B400E6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ë</w:t>
      </w:r>
      <w:r w:rsidR="00DF4FCD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 xml:space="preserve"> në Shqipëri, apo të partnerë</w:t>
      </w:r>
      <w:r w:rsidR="00AF2A67" w:rsidRPr="0006580C">
        <w:rPr>
          <w:rFonts w:ascii="Times New Roman" w:eastAsia="Batang" w:hAnsi="Times New Roman" w:cs="Times New Roman"/>
          <w:i/>
          <w:sz w:val="20"/>
          <w:szCs w:val="20"/>
          <w:shd w:val="clear" w:color="auto" w:fill="FFFFFF"/>
          <w:lang w:val="sq-AL"/>
        </w:rPr>
        <w:t>ve të saj zbatues dhe financues.</w:t>
      </w:r>
    </w:p>
    <w:p w14:paraId="4A0E43EA" w14:textId="77777777" w:rsidR="00AF2A67" w:rsidRPr="0006580C" w:rsidRDefault="00AF2A67" w:rsidP="001A6BB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6580C">
        <w:rPr>
          <w:rFonts w:asciiTheme="majorHAnsi" w:hAnsiTheme="majorHAnsi" w:cstheme="majorHAnsi"/>
          <w:noProof/>
          <w:shd w:val="clear" w:color="auto" w:fill="FFFFFF"/>
        </w:rPr>
        <w:drawing>
          <wp:inline distT="0" distB="0" distL="0" distR="0" wp14:anchorId="2D915CD6" wp14:editId="3CA344B3">
            <wp:extent cx="5943600" cy="89344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38DC" w14:textId="77777777" w:rsidR="008D2ABC" w:rsidRPr="0006580C" w:rsidRDefault="008D2ABC" w:rsidP="001A6BBC">
      <w:pPr>
        <w:jc w:val="both"/>
        <w:rPr>
          <w:rFonts w:ascii="Times New Roman" w:eastAsia="Batang" w:hAnsi="Times New Roman" w:cs="Times New Roman"/>
          <w:sz w:val="40"/>
          <w:szCs w:val="40"/>
          <w:lang w:val="sq-AL"/>
        </w:rPr>
      </w:pPr>
      <w:proofErr w:type="spellStart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Deklarata</w:t>
      </w:r>
      <w:proofErr w:type="spellEnd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 </w:t>
      </w:r>
      <w:proofErr w:type="spellStart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Integritetit</w:t>
      </w:r>
      <w:proofErr w:type="spellEnd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Institucional</w:t>
      </w:r>
      <w:proofErr w:type="spellEnd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11457482" w14:textId="45AA23AD" w:rsidR="00D45307" w:rsidRPr="0006580C" w:rsidRDefault="00DE5491" w:rsidP="009F337D">
      <w:pPr>
        <w:pStyle w:val="NormalWeb"/>
        <w:jc w:val="both"/>
        <w:rPr>
          <w:lang w:val="sq-AL"/>
        </w:rPr>
      </w:pPr>
      <w:r w:rsidRPr="0006580C">
        <w:rPr>
          <w:lang w:val="sq-AL"/>
        </w:rPr>
        <w:t xml:space="preserve">Bashkia Has angazhohet </w:t>
      </w:r>
      <w:r w:rsidR="00FD2232" w:rsidRPr="0006580C">
        <w:rPr>
          <w:lang w:val="sq-AL"/>
        </w:rPr>
        <w:t>t</w:t>
      </w:r>
      <w:r w:rsidR="00CA1A6D" w:rsidRPr="0006580C">
        <w:rPr>
          <w:lang w:val="sq-AL"/>
        </w:rPr>
        <w:t>ë</w:t>
      </w:r>
      <w:r w:rsidR="00FD2232" w:rsidRPr="0006580C">
        <w:rPr>
          <w:lang w:val="sq-AL"/>
        </w:rPr>
        <w:t xml:space="preserve"> forcoj</w:t>
      </w:r>
      <w:r w:rsidR="00CA1A6D" w:rsidRPr="0006580C">
        <w:rPr>
          <w:lang w:val="sq-AL"/>
        </w:rPr>
        <w:t>ë</w:t>
      </w:r>
      <w:r w:rsidR="00FD2232" w:rsidRPr="0006580C">
        <w:rPr>
          <w:lang w:val="sq-AL"/>
        </w:rPr>
        <w:t xml:space="preserve"> etik</w:t>
      </w:r>
      <w:r w:rsidR="00CA1A6D" w:rsidRPr="0006580C">
        <w:rPr>
          <w:lang w:val="sq-AL"/>
        </w:rPr>
        <w:t>ë</w:t>
      </w:r>
      <w:r w:rsidR="00FD2232" w:rsidRPr="0006580C">
        <w:rPr>
          <w:lang w:val="sq-AL"/>
        </w:rPr>
        <w:t>n</w:t>
      </w:r>
      <w:r w:rsidRPr="0006580C">
        <w:rPr>
          <w:lang w:val="sq-AL"/>
        </w:rPr>
        <w:t xml:space="preserve"> n</w:t>
      </w:r>
      <w:r w:rsidR="00CA1A6D" w:rsidRPr="0006580C">
        <w:rPr>
          <w:lang w:val="sq-AL"/>
        </w:rPr>
        <w:t>ë</w:t>
      </w:r>
      <w:r w:rsidRPr="0006580C">
        <w:rPr>
          <w:lang w:val="sq-AL"/>
        </w:rPr>
        <w:t xml:space="preserve"> institucion, me besimin q</w:t>
      </w:r>
      <w:r w:rsidR="00CA1A6D" w:rsidRPr="0006580C">
        <w:rPr>
          <w:lang w:val="sq-AL"/>
        </w:rPr>
        <w:t>ë</w:t>
      </w:r>
      <w:r w:rsidRPr="0006580C">
        <w:rPr>
          <w:lang w:val="sq-AL"/>
        </w:rPr>
        <w:t xml:space="preserve"> kjo do t</w:t>
      </w:r>
      <w:r w:rsidR="00CA1A6D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</w:t>
      </w:r>
      <w:r w:rsidRPr="0006580C">
        <w:rPr>
          <w:lang w:val="sq-AL"/>
        </w:rPr>
        <w:t>ndihmoj</w:t>
      </w:r>
      <w:r w:rsidR="00CA1A6D" w:rsidRPr="0006580C">
        <w:rPr>
          <w:lang w:val="sq-AL"/>
        </w:rPr>
        <w:t>ë</w:t>
      </w:r>
      <w:r w:rsidRPr="0006580C">
        <w:rPr>
          <w:lang w:val="sq-AL"/>
        </w:rPr>
        <w:t xml:space="preserve"> rritjen e efektivitetit </w:t>
      </w:r>
      <w:r w:rsidR="006365D6" w:rsidRPr="0006580C">
        <w:rPr>
          <w:lang w:val="sq-AL"/>
        </w:rPr>
        <w:t>n</w:t>
      </w:r>
      <w:r w:rsidR="00CA1A6D" w:rsidRPr="0006580C">
        <w:rPr>
          <w:lang w:val="sq-AL"/>
        </w:rPr>
        <w:t>ë</w:t>
      </w:r>
      <w:r w:rsidR="006365D6" w:rsidRPr="0006580C">
        <w:rPr>
          <w:lang w:val="sq-AL"/>
        </w:rPr>
        <w:t xml:space="preserve"> kryerjen e detyrave nga </w:t>
      </w:r>
      <w:r w:rsidR="00D45307" w:rsidRPr="0006580C">
        <w:rPr>
          <w:lang w:val="sq-AL"/>
        </w:rPr>
        <w:t>punonj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sit e bashkis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dhe </w:t>
      </w:r>
      <w:proofErr w:type="spellStart"/>
      <w:r w:rsidR="00D45307" w:rsidRPr="0006580C">
        <w:rPr>
          <w:lang w:val="sq-AL"/>
        </w:rPr>
        <w:t>nd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rma</w:t>
      </w:r>
      <w:proofErr w:type="spellEnd"/>
      <w:r w:rsidR="005F4D6C" w:rsidRPr="0006580C">
        <w:t>r</w:t>
      </w:r>
      <w:proofErr w:type="spellStart"/>
      <w:r w:rsidR="00D45307" w:rsidRPr="0006580C">
        <w:rPr>
          <w:lang w:val="sq-AL"/>
        </w:rPr>
        <w:t>rjeve</w:t>
      </w:r>
      <w:proofErr w:type="spellEnd"/>
      <w:r w:rsidR="00D45307" w:rsidRPr="0006580C">
        <w:rPr>
          <w:lang w:val="sq-AL"/>
        </w:rPr>
        <w:t xml:space="preserve"> n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var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si</w:t>
      </w:r>
      <w:r w:rsidR="006365D6" w:rsidRPr="0006580C">
        <w:rPr>
          <w:lang w:val="sq-AL"/>
        </w:rPr>
        <w:t xml:space="preserve">, si dhe </w:t>
      </w:r>
      <w:r w:rsidR="003C7EED" w:rsidRPr="0006580C">
        <w:rPr>
          <w:lang w:val="sq-AL"/>
        </w:rPr>
        <w:t>rritjen e</w:t>
      </w:r>
      <w:r w:rsidR="006365D6" w:rsidRPr="0006580C">
        <w:rPr>
          <w:lang w:val="sq-AL"/>
        </w:rPr>
        <w:t xml:space="preserve"> besimit </w:t>
      </w:r>
      <w:r w:rsidR="003C7EED" w:rsidRPr="0006580C">
        <w:rPr>
          <w:lang w:val="sq-AL"/>
        </w:rPr>
        <w:t>publik dhe p</w:t>
      </w:r>
      <w:r w:rsidR="00CA1A6D" w:rsidRPr="0006580C">
        <w:rPr>
          <w:lang w:val="sq-AL"/>
        </w:rPr>
        <w:t>ë</w:t>
      </w:r>
      <w:r w:rsidR="003C7EED" w:rsidRPr="0006580C">
        <w:rPr>
          <w:lang w:val="sq-AL"/>
        </w:rPr>
        <w:t>rmir</w:t>
      </w:r>
      <w:r w:rsidR="00CA1A6D" w:rsidRPr="0006580C">
        <w:rPr>
          <w:lang w:val="sq-AL"/>
        </w:rPr>
        <w:t>ë</w:t>
      </w:r>
      <w:r w:rsidR="003C7EED" w:rsidRPr="0006580C">
        <w:rPr>
          <w:lang w:val="sq-AL"/>
        </w:rPr>
        <w:t>simit t</w:t>
      </w:r>
      <w:r w:rsidR="00CA1A6D" w:rsidRPr="0006580C">
        <w:rPr>
          <w:lang w:val="sq-AL"/>
        </w:rPr>
        <w:t>ë</w:t>
      </w:r>
      <w:r w:rsidR="003C7EED" w:rsidRPr="0006580C">
        <w:rPr>
          <w:lang w:val="sq-AL"/>
        </w:rPr>
        <w:t xml:space="preserve"> komunikimit mes </w:t>
      </w:r>
      <w:r w:rsidR="006365D6" w:rsidRPr="0006580C">
        <w:rPr>
          <w:lang w:val="sq-AL"/>
        </w:rPr>
        <w:t>qytetar</w:t>
      </w:r>
      <w:r w:rsidR="00CA1A6D" w:rsidRPr="0006580C">
        <w:rPr>
          <w:lang w:val="sq-AL"/>
        </w:rPr>
        <w:t>ë</w:t>
      </w:r>
      <w:r w:rsidR="006365D6" w:rsidRPr="0006580C">
        <w:rPr>
          <w:lang w:val="sq-AL"/>
        </w:rPr>
        <w:t xml:space="preserve">ve </w:t>
      </w:r>
      <w:r w:rsidR="003C7EED" w:rsidRPr="0006580C">
        <w:rPr>
          <w:lang w:val="sq-AL"/>
        </w:rPr>
        <w:t>dhe</w:t>
      </w:r>
      <w:r w:rsidR="006365D6" w:rsidRPr="0006580C">
        <w:rPr>
          <w:lang w:val="sq-AL"/>
        </w:rPr>
        <w:t xml:space="preserve"> institucioni</w:t>
      </w:r>
      <w:r w:rsidR="003C7EED" w:rsidRPr="0006580C">
        <w:rPr>
          <w:lang w:val="sq-AL"/>
        </w:rPr>
        <w:t>t</w:t>
      </w:r>
      <w:r w:rsidR="00D45307" w:rsidRPr="0006580C">
        <w:rPr>
          <w:lang w:val="sq-AL"/>
        </w:rPr>
        <w:t>. Puna me pasion dhe profesionaliz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m p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r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arritur rezultate sa m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larta dhe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</w:t>
      </w:r>
      <w:r w:rsidR="00D61D77" w:rsidRPr="0006580C">
        <w:rPr>
          <w:lang w:val="sq-AL"/>
        </w:rPr>
        <w:t>q</w:t>
      </w:r>
      <w:r w:rsidR="00CA1A6D" w:rsidRPr="0006580C">
        <w:rPr>
          <w:lang w:val="sq-AL"/>
        </w:rPr>
        <w:t>ë</w:t>
      </w:r>
      <w:r w:rsidR="00D61D77" w:rsidRPr="0006580C">
        <w:rPr>
          <w:lang w:val="sq-AL"/>
        </w:rPr>
        <w:t xml:space="preserve">ndrueshme 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sht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mision i Bashkis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Has</w:t>
      </w:r>
      <w:r w:rsidR="00DC2E12" w:rsidRPr="0006580C">
        <w:rPr>
          <w:lang w:val="sq-AL"/>
        </w:rPr>
        <w:t xml:space="preserve">, </w:t>
      </w:r>
      <w:r w:rsidR="00D45307" w:rsidRPr="0006580C">
        <w:rPr>
          <w:lang w:val="sq-AL"/>
        </w:rPr>
        <w:t>p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r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q</w:t>
      </w:r>
      <w:r w:rsidR="00B400E6" w:rsidRPr="0006580C">
        <w:t>e</w:t>
      </w:r>
      <w:r w:rsidR="00D45307" w:rsidRPr="0006580C">
        <w:rPr>
          <w:lang w:val="sq-AL"/>
        </w:rPr>
        <w:t>n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nj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institucion model dhe i aft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q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nxi</w:t>
      </w:r>
      <w:r w:rsidR="00B400E6" w:rsidRPr="0006580C">
        <w:t>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,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rheq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dhe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motivoj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nj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staf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besuesh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m dhe me aft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sit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e duhura, i cili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dij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d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gjoj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>,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menaxhoj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dhe t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realizoj</w:t>
      </w:r>
      <w:r w:rsidR="00E14855" w:rsidRPr="0006580C">
        <w:rPr>
          <w:lang w:val="sq-AL"/>
        </w:rPr>
        <w:t>ë</w:t>
      </w:r>
      <w:r w:rsidR="00D45307" w:rsidRPr="0006580C">
        <w:rPr>
          <w:lang w:val="sq-AL"/>
        </w:rPr>
        <w:t xml:space="preserve"> detyrat</w:t>
      </w:r>
      <w:r w:rsidR="000B3210" w:rsidRPr="0006580C">
        <w:rPr>
          <w:lang w:val="sq-AL"/>
        </w:rPr>
        <w:t xml:space="preserve"> kundrejt komunit</w:t>
      </w:r>
      <w:r w:rsidR="00D45307" w:rsidRPr="0006580C">
        <w:rPr>
          <w:lang w:val="sq-AL"/>
        </w:rPr>
        <w:t xml:space="preserve">etit. </w:t>
      </w:r>
      <w:r w:rsidR="000B3210" w:rsidRPr="0006580C">
        <w:rPr>
          <w:lang w:val="sq-AL"/>
        </w:rPr>
        <w:t xml:space="preserve">Zhvillimi i </w:t>
      </w:r>
      <w:r w:rsidR="00DC2E12" w:rsidRPr="0006580C">
        <w:rPr>
          <w:lang w:val="sq-AL"/>
        </w:rPr>
        <w:t>q</w:t>
      </w:r>
      <w:r w:rsidR="00CA1A6D" w:rsidRPr="0006580C">
        <w:rPr>
          <w:lang w:val="sq-AL"/>
        </w:rPr>
        <w:t>ë</w:t>
      </w:r>
      <w:r w:rsidR="00DC2E12" w:rsidRPr="0006580C">
        <w:rPr>
          <w:lang w:val="sq-AL"/>
        </w:rPr>
        <w:t>ndrueshëm</w:t>
      </w:r>
      <w:r w:rsidR="000B3210" w:rsidRPr="0006580C">
        <w:rPr>
          <w:lang w:val="sq-AL"/>
        </w:rPr>
        <w:t>, ofrimi i sh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rbimeve cil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sore, promovimi i territorit dhe mbi t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gjitha rritja e cil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sis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s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jetes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s s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qytetar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ve n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territorin e Bashkis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Has</w:t>
      </w:r>
      <w:r w:rsidR="00E14855" w:rsidRPr="0006580C">
        <w:rPr>
          <w:lang w:val="sq-AL"/>
        </w:rPr>
        <w:t>,</w:t>
      </w:r>
      <w:r w:rsidR="000B3210" w:rsidRPr="0006580C">
        <w:rPr>
          <w:lang w:val="sq-AL"/>
        </w:rPr>
        <w:t xml:space="preserve"> mbeten objektivat kryesore dhe t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</w:t>
      </w:r>
      <w:proofErr w:type="spellStart"/>
      <w:r w:rsidR="000B3210" w:rsidRPr="0006580C">
        <w:rPr>
          <w:lang w:val="sq-AL"/>
        </w:rPr>
        <w:t>vazhduesh</w:t>
      </w:r>
      <w:proofErr w:type="spellEnd"/>
      <w:r w:rsidR="00B400E6" w:rsidRPr="0006580C">
        <w:t xml:space="preserve">me </w:t>
      </w:r>
      <w:r w:rsidR="000B3210" w:rsidRPr="0006580C">
        <w:rPr>
          <w:lang w:val="sq-AL"/>
        </w:rPr>
        <w:t>t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pun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s son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, n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kuad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r t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s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 xml:space="preserve"> cil</w:t>
      </w:r>
      <w:r w:rsidR="00E14855" w:rsidRPr="0006580C">
        <w:rPr>
          <w:lang w:val="sq-AL"/>
        </w:rPr>
        <w:t>ë</w:t>
      </w:r>
      <w:r w:rsidR="000B3210" w:rsidRPr="0006580C">
        <w:rPr>
          <w:lang w:val="sq-AL"/>
        </w:rPr>
        <w:t>s hartohet edhe ky plan integriteti.</w:t>
      </w:r>
    </w:p>
    <w:p w14:paraId="30936B94" w14:textId="5B20F72E" w:rsidR="00B729A0" w:rsidRPr="0006580C" w:rsidRDefault="00B729A0" w:rsidP="000B3210">
      <w:pPr>
        <w:pStyle w:val="NormalWeb"/>
        <w:jc w:val="both"/>
        <w:rPr>
          <w:rFonts w:eastAsiaTheme="minorEastAsia"/>
          <w:lang w:val="sq-AL"/>
        </w:rPr>
      </w:pPr>
      <w:r w:rsidRPr="0006580C">
        <w:rPr>
          <w:rFonts w:eastAsiaTheme="minorEastAsia"/>
          <w:lang w:val="sq-AL"/>
        </w:rPr>
        <w:t xml:space="preserve">Plani i Integritetit 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sht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nj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zotim i gjith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stafit t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Bashkis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</w:t>
      </w:r>
      <w:r w:rsidR="00E14855" w:rsidRPr="0006580C">
        <w:rPr>
          <w:rFonts w:eastAsiaTheme="minorEastAsia"/>
          <w:lang w:val="sq-AL"/>
        </w:rPr>
        <w:t xml:space="preserve">Has </w:t>
      </w:r>
      <w:r w:rsidRPr="0006580C">
        <w:rPr>
          <w:lang w:val="sq-AL"/>
        </w:rPr>
        <w:t>p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r t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forcuar qeverisjen e mirë e  të përgjegjshme, transparente dhe me integritet. Masat e përfshira në këtë plan do të përmirësojnë </w:t>
      </w:r>
      <w:proofErr w:type="spellStart"/>
      <w:r w:rsidRPr="0006580C">
        <w:rPr>
          <w:lang w:val="sq-AL"/>
        </w:rPr>
        <w:t>performancën</w:t>
      </w:r>
      <w:proofErr w:type="spellEnd"/>
      <w:r w:rsidRPr="0006580C">
        <w:rPr>
          <w:lang w:val="sq-AL"/>
        </w:rPr>
        <w:t xml:space="preserve"> e bashkisë, veçanërisht efikasitetin, transparencën dhe etikën. N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k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t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kuad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r jan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parashikuar realizimi i nj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s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r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aktivitetesh t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r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nd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sishme p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r periudh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n 2022-2025 p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r rritjen e kapaciteteve njer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>zore t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Bashkis</w:t>
      </w:r>
      <w:r w:rsidR="00E14855" w:rsidRPr="0006580C">
        <w:rPr>
          <w:lang w:val="sq-AL"/>
        </w:rPr>
        <w:t>ë</w:t>
      </w:r>
      <w:r w:rsidRPr="0006580C">
        <w:rPr>
          <w:lang w:val="sq-AL"/>
        </w:rPr>
        <w:t xml:space="preserve"> Has, forcimin e </w:t>
      </w:r>
      <w:r w:rsidR="000B3210" w:rsidRPr="0006580C">
        <w:rPr>
          <w:rFonts w:eastAsiaTheme="minorEastAsia"/>
          <w:lang w:val="sq-AL"/>
        </w:rPr>
        <w:t xml:space="preserve">kuadrit të brendshëm rregullator për etikën dhe </w:t>
      </w:r>
      <w:r w:rsidR="00D565FF" w:rsidRPr="0006580C">
        <w:rPr>
          <w:rFonts w:eastAsiaTheme="minorEastAsia"/>
          <w:lang w:val="sq-AL"/>
        </w:rPr>
        <w:t>integritetin</w:t>
      </w:r>
      <w:r w:rsidR="000B3210" w:rsidRPr="0006580C">
        <w:rPr>
          <w:rFonts w:eastAsiaTheme="minorEastAsia"/>
          <w:lang w:val="sq-AL"/>
        </w:rPr>
        <w:t xml:space="preserve">, </w:t>
      </w:r>
      <w:r w:rsidRPr="0006580C">
        <w:rPr>
          <w:rFonts w:eastAsiaTheme="minorEastAsia"/>
          <w:lang w:val="sq-AL"/>
        </w:rPr>
        <w:t>ofrimin e sh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rbimeve n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p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rputhje me standardet</w:t>
      </w:r>
      <w:r w:rsidR="00D565FF" w:rsidRPr="0006580C">
        <w:rPr>
          <w:rFonts w:eastAsiaTheme="minorEastAsia"/>
          <w:lang w:val="sq-AL"/>
        </w:rPr>
        <w:t xml:space="preserve"> dhe praktikat</w:t>
      </w:r>
      <w:r w:rsidRPr="0006580C">
        <w:rPr>
          <w:rFonts w:eastAsiaTheme="minorEastAsia"/>
          <w:lang w:val="sq-AL"/>
        </w:rPr>
        <w:t xml:space="preserve"> m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t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mira, zhvillimin e</w:t>
      </w:r>
      <w:r w:rsidR="000B3210" w:rsidRPr="0006580C">
        <w:rPr>
          <w:rFonts w:eastAsiaTheme="minorEastAsia"/>
          <w:lang w:val="sq-AL"/>
        </w:rPr>
        <w:t xml:space="preserve"> veprimtarisë në mënyrë transparente e </w:t>
      </w:r>
      <w:r w:rsidRPr="0006580C">
        <w:rPr>
          <w:rFonts w:eastAsiaTheme="minorEastAsia"/>
          <w:lang w:val="sq-AL"/>
        </w:rPr>
        <w:t>sa me af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r</w:t>
      </w:r>
      <w:r w:rsidR="00E14855" w:rsidRPr="0006580C">
        <w:rPr>
          <w:rFonts w:eastAsiaTheme="minorEastAsia"/>
          <w:lang w:val="sq-AL"/>
        </w:rPr>
        <w:t xml:space="preserve"> qytetarit</w:t>
      </w:r>
      <w:r w:rsidR="000B3210" w:rsidRPr="0006580C">
        <w:rPr>
          <w:rFonts w:eastAsiaTheme="minorEastAsia"/>
          <w:lang w:val="sq-AL"/>
        </w:rPr>
        <w:t xml:space="preserve">. </w:t>
      </w:r>
    </w:p>
    <w:p w14:paraId="2292EA21" w14:textId="2B278375" w:rsidR="00E14855" w:rsidRPr="0006580C" w:rsidRDefault="00B729A0" w:rsidP="00E14855">
      <w:pPr>
        <w:pStyle w:val="NormalWeb"/>
        <w:jc w:val="both"/>
        <w:rPr>
          <w:rFonts w:eastAsiaTheme="minorEastAsia"/>
          <w:lang w:val="sq-AL"/>
        </w:rPr>
      </w:pPr>
      <w:r w:rsidRPr="0006580C">
        <w:rPr>
          <w:rFonts w:eastAsiaTheme="minorEastAsia"/>
          <w:lang w:val="sq-AL"/>
        </w:rPr>
        <w:t xml:space="preserve">Integriteti nuk 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sht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nj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proces pasiv, por k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rkon nga çdo struktur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dhe punonj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s i Bashkis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Has</w:t>
      </w:r>
      <w:r w:rsidR="00E43A7E" w:rsidRPr="0006580C">
        <w:rPr>
          <w:rFonts w:eastAsiaTheme="minorEastAsia"/>
        </w:rPr>
        <w:t>,</w:t>
      </w:r>
      <w:r w:rsidRPr="0006580C">
        <w:rPr>
          <w:rFonts w:eastAsiaTheme="minorEastAsia"/>
          <w:lang w:val="sq-AL"/>
        </w:rPr>
        <w:t xml:space="preserve"> </w:t>
      </w:r>
      <w:proofErr w:type="spellStart"/>
      <w:r w:rsidRPr="0006580C">
        <w:rPr>
          <w:rFonts w:eastAsiaTheme="minorEastAsia"/>
          <w:lang w:val="sq-AL"/>
        </w:rPr>
        <w:t>nd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rma</w:t>
      </w:r>
      <w:proofErr w:type="spellEnd"/>
      <w:r w:rsidR="005F4D6C" w:rsidRPr="0006580C">
        <w:rPr>
          <w:rFonts w:eastAsiaTheme="minorEastAsia"/>
        </w:rPr>
        <w:t>r</w:t>
      </w:r>
      <w:proofErr w:type="spellStart"/>
      <w:r w:rsidRPr="0006580C">
        <w:rPr>
          <w:rFonts w:eastAsiaTheme="minorEastAsia"/>
          <w:lang w:val="sq-AL"/>
        </w:rPr>
        <w:t>rjen</w:t>
      </w:r>
      <w:proofErr w:type="spellEnd"/>
      <w:r w:rsidRPr="0006580C">
        <w:rPr>
          <w:rFonts w:eastAsiaTheme="minorEastAsia"/>
          <w:lang w:val="sq-AL"/>
        </w:rPr>
        <w:t xml:space="preserve"> e vendimeve dhe sjelljeve t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</w:t>
      </w:r>
      <w:r w:rsidR="007E213D" w:rsidRPr="0006580C">
        <w:rPr>
          <w:rFonts w:eastAsiaTheme="minorEastAsia"/>
          <w:lang w:val="sq-AL"/>
        </w:rPr>
        <w:t>p</w:t>
      </w:r>
      <w:r w:rsidR="00CA1A6D" w:rsidRPr="0006580C">
        <w:rPr>
          <w:rFonts w:eastAsiaTheme="minorEastAsia"/>
          <w:lang w:val="sq-AL"/>
        </w:rPr>
        <w:t>ë</w:t>
      </w:r>
      <w:r w:rsidR="007E213D" w:rsidRPr="0006580C">
        <w:rPr>
          <w:rFonts w:eastAsiaTheme="minorEastAsia"/>
          <w:lang w:val="sq-AL"/>
        </w:rPr>
        <w:t>rgjegjshme</w:t>
      </w:r>
      <w:r w:rsidRPr="0006580C">
        <w:rPr>
          <w:rFonts w:eastAsiaTheme="minorEastAsia"/>
          <w:lang w:val="sq-AL"/>
        </w:rPr>
        <w:t>, n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p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rmjet gjykimit t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</w:t>
      </w:r>
      <w:r w:rsidR="00F354FB" w:rsidRPr="0006580C">
        <w:rPr>
          <w:rFonts w:eastAsiaTheme="minorEastAsia"/>
          <w:lang w:val="sq-AL"/>
        </w:rPr>
        <w:t>drejt</w:t>
      </w:r>
      <w:r w:rsidR="00CA1A6D" w:rsidRPr="0006580C">
        <w:rPr>
          <w:rFonts w:eastAsiaTheme="minorEastAsia"/>
          <w:lang w:val="sq-AL"/>
        </w:rPr>
        <w:t>ë</w:t>
      </w:r>
      <w:r w:rsidR="00F354FB" w:rsidRPr="0006580C">
        <w:rPr>
          <w:rFonts w:eastAsiaTheme="minorEastAsia"/>
          <w:lang w:val="sq-AL"/>
        </w:rPr>
        <w:t xml:space="preserve"> </w:t>
      </w:r>
      <w:r w:rsidR="00E14855" w:rsidRPr="0006580C">
        <w:rPr>
          <w:rFonts w:eastAsiaTheme="minorEastAsia"/>
          <w:lang w:val="sq-AL"/>
        </w:rPr>
        <w:t xml:space="preserve">dhe </w:t>
      </w:r>
      <w:r w:rsidRPr="0006580C">
        <w:rPr>
          <w:rFonts w:eastAsiaTheme="minorEastAsia"/>
          <w:lang w:val="sq-AL"/>
        </w:rPr>
        <w:t>n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p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>rputhje me vlerat etike t</w:t>
      </w:r>
      <w:r w:rsidR="00E14855" w:rsidRPr="0006580C">
        <w:rPr>
          <w:rFonts w:eastAsiaTheme="minorEastAsia"/>
          <w:lang w:val="sq-AL"/>
        </w:rPr>
        <w:t>ë</w:t>
      </w:r>
      <w:r w:rsidRPr="0006580C">
        <w:rPr>
          <w:rFonts w:eastAsiaTheme="minorEastAsia"/>
          <w:lang w:val="sq-AL"/>
        </w:rPr>
        <w:t xml:space="preserve"> institucionit</w:t>
      </w:r>
      <w:r w:rsidR="00E14855" w:rsidRPr="0006580C">
        <w:rPr>
          <w:rFonts w:eastAsiaTheme="minorEastAsia"/>
          <w:lang w:val="sq-AL"/>
        </w:rPr>
        <w:t xml:space="preserve"> që materializohen edhe tek ky plan. </w:t>
      </w:r>
      <w:r w:rsidR="00E14855" w:rsidRPr="0006580C">
        <w:rPr>
          <w:lang w:val="sq-AL"/>
        </w:rPr>
        <w:t>Ndaj, d</w:t>
      </w:r>
      <w:r w:rsidR="00E14855" w:rsidRPr="0006580C">
        <w:rPr>
          <w:rFonts w:eastAsiaTheme="minorEastAsia"/>
          <w:lang w:val="sq-AL"/>
        </w:rPr>
        <w:t>uke e konsideruar këtë Plan Integriteti, si pjesë të pandashme të proceseve planifikuese të Bashkisë Has, shpreh besimin e plotë se zbatimi i tij do të kontribuojë në mënyrë pozitive në arritjen me sukses të objektivave për forcimin e integritetit të institucionit tonë.</w:t>
      </w:r>
    </w:p>
    <w:p w14:paraId="792CB3E6" w14:textId="77777777" w:rsidR="00552F38" w:rsidRPr="0006580C" w:rsidRDefault="00552F38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2FE7C6F" w14:textId="77777777" w:rsidR="00E14855" w:rsidRPr="0006580C" w:rsidRDefault="00E14855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7F88E29" w14:textId="3A5E6FF9" w:rsidR="00942A1F" w:rsidRPr="0006580C" w:rsidRDefault="00E14855" w:rsidP="0024495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b/>
          <w:bCs/>
          <w:sz w:val="24"/>
          <w:szCs w:val="24"/>
          <w:lang w:val="sq-AL"/>
        </w:rPr>
        <w:t>Liman Morina</w:t>
      </w:r>
    </w:p>
    <w:p w14:paraId="55727A95" w14:textId="77777777" w:rsidR="008D2ABC" w:rsidRPr="0006580C" w:rsidRDefault="008D2ABC" w:rsidP="00244957">
      <w:pPr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Kryetar i Bashkisë </w:t>
      </w:r>
      <w:r w:rsidR="00E14855" w:rsidRPr="0006580C">
        <w:rPr>
          <w:rFonts w:ascii="Times New Roman" w:hAnsi="Times New Roman" w:cs="Times New Roman"/>
          <w:b/>
          <w:bCs/>
          <w:sz w:val="24"/>
          <w:szCs w:val="24"/>
          <w:lang w:val="sq-AL"/>
        </w:rPr>
        <w:t>Has</w:t>
      </w:r>
    </w:p>
    <w:p w14:paraId="23D58F1B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2DFC4A4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D87AC81" w14:textId="77777777" w:rsidR="00DE5491" w:rsidRPr="0006580C" w:rsidRDefault="00DE5491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8F1C468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C34FD8E" w14:textId="77777777" w:rsidR="003A5FC3" w:rsidRPr="0006580C" w:rsidRDefault="003A5FC3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E0880DB" w14:textId="77777777" w:rsidR="00E14855" w:rsidRPr="0006580C" w:rsidRDefault="00E14855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7441870" w14:textId="77777777" w:rsidR="00E14855" w:rsidRPr="0006580C" w:rsidRDefault="00E14855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A6A7A72" w14:textId="77777777" w:rsidR="003C2677" w:rsidRPr="0006580C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lastRenderedPageBreak/>
        <w:t xml:space="preserve">SHKURTESA DHE AKRONIME </w:t>
      </w:r>
    </w:p>
    <w:p w14:paraId="21E847A0" w14:textId="77777777" w:rsidR="004D400E" w:rsidRPr="0006580C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6710814A" w14:textId="77777777" w:rsidR="003C2677" w:rsidRPr="0006580C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GPI </w:t>
      </w:r>
      <w:r w:rsidR="004D400E"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Grupit të </w:t>
      </w:r>
      <w:r w:rsidR="004D400E"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Punës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4D400E"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Integritetin </w:t>
      </w:r>
    </w:p>
    <w:p w14:paraId="7F3CEE9D" w14:textId="77777777" w:rsidR="009B14F0" w:rsidRPr="0006580C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>PI</w:t>
      </w:r>
      <w:r w:rsidR="004D400E"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Plani i Integritetit</w:t>
      </w:r>
    </w:p>
    <w:p w14:paraId="5F9AEB1A" w14:textId="2837D0FF" w:rsidR="004D400E" w:rsidRPr="0006580C" w:rsidRDefault="004D400E" w:rsidP="00AF2A67">
      <w:pPr>
        <w:spacing w:before="100" w:beforeAutospacing="1" w:after="100" w:afterAutospacing="1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ILDKPKI </w:t>
      </w:r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Inspektorati i Lartë i Deklarimit dhe Kontrollit të Pasurisë̈ dhe Konfliktit të Interes</w:t>
      </w:r>
      <w:r w:rsidR="00E43A7E" w:rsidRPr="0006580C">
        <w:rPr>
          <w:rFonts w:ascii="Times New Roman" w:eastAsia="Times New Roman" w:hAnsi="Times New Roman" w:cs="Times New Roman"/>
          <w:sz w:val="24"/>
          <w:szCs w:val="24"/>
          <w:lang w:eastAsia="en-GB"/>
        </w:rPr>
        <w:t>it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14:paraId="553A3E34" w14:textId="77777777" w:rsidR="004D400E" w:rsidRPr="0006580C" w:rsidRDefault="004D400E" w:rsidP="004D4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GMS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 xml:space="preserve">Grupi i Menaxhimit Strategjik </w:t>
      </w:r>
    </w:p>
    <w:p w14:paraId="36713119" w14:textId="77777777" w:rsidR="004D400E" w:rsidRPr="0006580C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AB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proofErr w:type="spellStart"/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Auditi</w:t>
      </w:r>
      <w:proofErr w:type="spellEnd"/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i Brendshëm </w:t>
      </w:r>
    </w:p>
    <w:p w14:paraId="2F756E9D" w14:textId="77777777" w:rsidR="004D400E" w:rsidRPr="0006580C" w:rsidRDefault="004D400E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BNJ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ab/>
        <w:t>Burime Njerëzor</w:t>
      </w:r>
      <w:r w:rsidR="001A6BBC"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e</w:t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</w:p>
    <w:p w14:paraId="47215168" w14:textId="77777777" w:rsidR="003C2677" w:rsidRPr="0006580C" w:rsidRDefault="003C2677" w:rsidP="003C2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 xml:space="preserve">PSV </w:t>
      </w:r>
      <w:r w:rsidR="004D400E"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="004D400E"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en-GB"/>
        </w:rPr>
        <w:tab/>
      </w:r>
      <w:r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Proce</w:t>
      </w:r>
      <w:r w:rsidR="00DF16C7" w:rsidRPr="0006580C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dura Standarde Veprimi</w:t>
      </w:r>
    </w:p>
    <w:p w14:paraId="643CCA7C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30F0BC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6F900F2C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4A2F1A4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A1CCE5B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E257896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E8FF253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3504035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8BBF3DE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D87517B" w14:textId="77777777" w:rsidR="004D400E" w:rsidRPr="0006580C" w:rsidRDefault="004D400E" w:rsidP="004D400E">
      <w:pPr>
        <w:rPr>
          <w:lang w:val="sq-AL"/>
        </w:rPr>
      </w:pPr>
    </w:p>
    <w:p w14:paraId="5B4DC09C" w14:textId="77777777" w:rsidR="004D400E" w:rsidRPr="0006580C" w:rsidRDefault="004D400E" w:rsidP="004D400E">
      <w:pPr>
        <w:rPr>
          <w:lang w:val="sq-AL"/>
        </w:rPr>
      </w:pPr>
    </w:p>
    <w:p w14:paraId="50E31436" w14:textId="77777777" w:rsidR="004D400E" w:rsidRPr="0006580C" w:rsidRDefault="004D400E" w:rsidP="004D400E">
      <w:pPr>
        <w:rPr>
          <w:lang w:val="sq-AL"/>
        </w:rPr>
      </w:pPr>
    </w:p>
    <w:p w14:paraId="328B38E7" w14:textId="77777777" w:rsidR="004D400E" w:rsidRPr="0006580C" w:rsidRDefault="004D400E" w:rsidP="004D400E">
      <w:pPr>
        <w:rPr>
          <w:lang w:val="sq-AL"/>
        </w:rPr>
      </w:pPr>
    </w:p>
    <w:p w14:paraId="2212D53B" w14:textId="77777777" w:rsidR="004D400E" w:rsidRPr="0006580C" w:rsidRDefault="004D400E" w:rsidP="004D400E">
      <w:pPr>
        <w:rPr>
          <w:lang w:val="sq-AL"/>
        </w:rPr>
      </w:pPr>
    </w:p>
    <w:p w14:paraId="478AEDB5" w14:textId="77777777" w:rsidR="004D400E" w:rsidRPr="0006580C" w:rsidRDefault="004D400E" w:rsidP="004D400E">
      <w:pPr>
        <w:rPr>
          <w:lang w:val="sq-AL"/>
        </w:rPr>
      </w:pPr>
    </w:p>
    <w:p w14:paraId="37CE1837" w14:textId="77777777" w:rsidR="006814F8" w:rsidRPr="0006580C" w:rsidRDefault="006814F8" w:rsidP="004D400E">
      <w:pPr>
        <w:rPr>
          <w:lang w:val="sq-AL"/>
        </w:rPr>
      </w:pPr>
    </w:p>
    <w:p w14:paraId="7883B930" w14:textId="77777777" w:rsidR="004D400E" w:rsidRPr="0006580C" w:rsidRDefault="004D400E" w:rsidP="00942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spellStart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Tabela</w:t>
      </w:r>
      <w:proofErr w:type="spellEnd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 </w:t>
      </w:r>
      <w:proofErr w:type="spellStart"/>
      <w:r w:rsidRPr="0006580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përmbajtjes</w:t>
      </w:r>
      <w:proofErr w:type="spellEnd"/>
    </w:p>
    <w:p w14:paraId="70646404" w14:textId="77777777" w:rsidR="004D400E" w:rsidRPr="0006580C" w:rsidRDefault="004D400E" w:rsidP="004D400E">
      <w:pPr>
        <w:rPr>
          <w:rFonts w:ascii="Times New Roman" w:hAnsi="Times New Roman" w:cs="Times New Roman"/>
          <w:sz w:val="24"/>
          <w:szCs w:val="24"/>
        </w:rPr>
      </w:pPr>
    </w:p>
    <w:p w14:paraId="565DD7C6" w14:textId="77777777" w:rsidR="004D400E" w:rsidRPr="0006580C" w:rsidRDefault="004D400E" w:rsidP="001A38FB">
      <w:pPr>
        <w:pStyle w:val="TOC1"/>
      </w:pPr>
      <w:r w:rsidRPr="0006580C">
        <w:rPr>
          <w:b/>
          <w:bCs/>
        </w:rPr>
        <w:t>1</w:t>
      </w:r>
      <w:r w:rsidRPr="0006580C">
        <w:t xml:space="preserve">. </w:t>
      </w:r>
      <w:r w:rsidRPr="0006580C">
        <w:fldChar w:fldCharType="begin"/>
      </w:r>
      <w:r w:rsidRPr="0006580C">
        <w:instrText xml:space="preserve"> TOC \o "1-3" \h \z \u </w:instrText>
      </w:r>
      <w:r w:rsidRPr="0006580C">
        <w:fldChar w:fldCharType="separate"/>
      </w:r>
      <w:hyperlink w:anchor="_Toc24384710" w:history="1">
        <w:r w:rsidRPr="0006580C">
          <w:rPr>
            <w:rStyle w:val="Hyperlink"/>
            <w:color w:val="auto"/>
            <w:sz w:val="24"/>
            <w:szCs w:val="24"/>
          </w:rPr>
          <w:t>Rëndësia e Planit të Integritetit</w:t>
        </w:r>
        <w:r w:rsidRPr="0006580C">
          <w:rPr>
            <w:webHidden/>
          </w:rPr>
          <w:tab/>
        </w:r>
      </w:hyperlink>
      <w:r w:rsidRPr="0006580C">
        <w:t>6</w:t>
      </w:r>
    </w:p>
    <w:p w14:paraId="692BBD8A" w14:textId="77777777" w:rsidR="004D400E" w:rsidRPr="0006580C" w:rsidRDefault="0070292C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  <w:rPr>
          <w:rFonts w:eastAsiaTheme="minorEastAsia"/>
        </w:rPr>
      </w:pPr>
      <w:hyperlink w:anchor="_Toc24384713" w:history="1">
        <w:r w:rsidR="004D400E" w:rsidRPr="0006580C">
          <w:rPr>
            <w:rStyle w:val="Hyperlink"/>
            <w:color w:val="auto"/>
          </w:rPr>
          <w:t>1.1</w:t>
        </w:r>
        <w:r w:rsidR="004D400E" w:rsidRPr="0006580C">
          <w:rPr>
            <w:rFonts w:eastAsiaTheme="minorEastAsia"/>
          </w:rPr>
          <w:tab/>
        </w:r>
        <w:r w:rsidR="004D400E" w:rsidRPr="0006580C">
          <w:rPr>
            <w:rStyle w:val="Hyperlink"/>
            <w:color w:val="auto"/>
          </w:rPr>
          <w:t>Procesi i hartimit të Planit të Integritetit</w:t>
        </w:r>
        <w:r w:rsidR="004D400E" w:rsidRPr="0006580C">
          <w:rPr>
            <w:webHidden/>
          </w:rPr>
          <w:tab/>
        </w:r>
      </w:hyperlink>
      <w:r w:rsidR="004D400E" w:rsidRPr="0006580C">
        <w:t>6</w:t>
      </w:r>
      <w:r w:rsidR="004D400E" w:rsidRPr="0006580C">
        <w:rPr>
          <w:rFonts w:eastAsiaTheme="minorEastAsia"/>
        </w:rPr>
        <w:t xml:space="preserve"> </w:t>
      </w:r>
    </w:p>
    <w:p w14:paraId="4E134594" w14:textId="798455D2" w:rsidR="004D400E" w:rsidRPr="0006580C" w:rsidRDefault="0070292C" w:rsidP="004D400E">
      <w:pPr>
        <w:pStyle w:val="TOC2"/>
        <w:numPr>
          <w:ilvl w:val="0"/>
          <w:numId w:val="0"/>
        </w:numPr>
        <w:tabs>
          <w:tab w:val="left" w:pos="880"/>
        </w:tabs>
        <w:spacing w:before="120" w:after="120"/>
        <w:ind w:left="572" w:hanging="357"/>
      </w:pPr>
      <w:hyperlink w:anchor="_Toc24384715" w:history="1">
        <w:r w:rsidR="004D400E" w:rsidRPr="0006580C">
          <w:rPr>
            <w:rStyle w:val="Hyperlink"/>
            <w:color w:val="auto"/>
          </w:rPr>
          <w:t>1.2</w:t>
        </w:r>
        <w:r w:rsidR="004D400E" w:rsidRPr="0006580C">
          <w:rPr>
            <w:rFonts w:eastAsiaTheme="minorEastAsia"/>
          </w:rPr>
          <w:tab/>
        </w:r>
        <w:r w:rsidR="004D400E" w:rsidRPr="0006580C">
          <w:rPr>
            <w:rStyle w:val="Hyperlink"/>
            <w:color w:val="auto"/>
          </w:rPr>
          <w:t xml:space="preserve">Qasja metodologjike </w:t>
        </w:r>
        <w:r w:rsidR="004D400E" w:rsidRPr="0006580C">
          <w:rPr>
            <w:webHidden/>
          </w:rPr>
          <w:tab/>
        </w:r>
      </w:hyperlink>
      <w:r w:rsidR="00844690" w:rsidRPr="0006580C">
        <w:t>8</w:t>
      </w:r>
    </w:p>
    <w:p w14:paraId="54610E90" w14:textId="77777777" w:rsidR="004D400E" w:rsidRPr="0006580C" w:rsidRDefault="0070292C" w:rsidP="001A38FB">
      <w:pPr>
        <w:pStyle w:val="TOC1"/>
      </w:pPr>
      <w:hyperlink w:anchor="_Toc24384716" w:history="1">
        <w:r w:rsidR="004D400E" w:rsidRPr="0006580C">
          <w:rPr>
            <w:rStyle w:val="Hyperlink"/>
            <w:b/>
            <w:color w:val="auto"/>
            <w:sz w:val="24"/>
            <w:szCs w:val="24"/>
          </w:rPr>
          <w:t>2.</w:t>
        </w:r>
        <w:r w:rsidR="004D400E" w:rsidRPr="0006580C">
          <w:t xml:space="preserve"> </w:t>
        </w:r>
        <w:r w:rsidR="004D400E" w:rsidRPr="0006580C">
          <w:rPr>
            <w:rStyle w:val="Hyperlink"/>
            <w:color w:val="auto"/>
            <w:sz w:val="24"/>
            <w:szCs w:val="24"/>
          </w:rPr>
          <w:t>Objektivat e identifikuara dhe niveli i përgjithshëm i c</w:t>
        </w:r>
        <w:r w:rsidR="00276C4A" w:rsidRPr="0006580C">
          <w:rPr>
            <w:rStyle w:val="Hyperlink"/>
            <w:color w:val="auto"/>
            <w:sz w:val="24"/>
            <w:szCs w:val="24"/>
          </w:rPr>
          <w:t>e</w:t>
        </w:r>
        <w:r w:rsidR="004D400E" w:rsidRPr="0006580C">
          <w:rPr>
            <w:rStyle w:val="Hyperlink"/>
            <w:color w:val="auto"/>
            <w:sz w:val="24"/>
            <w:szCs w:val="24"/>
          </w:rPr>
          <w:t>nueshmërisë së integritetit</w:t>
        </w:r>
        <w:r w:rsidR="004D400E" w:rsidRPr="0006580C">
          <w:rPr>
            <w:webHidden/>
          </w:rPr>
          <w:tab/>
        </w:r>
      </w:hyperlink>
      <w:r w:rsidR="004D400E" w:rsidRPr="0006580C">
        <w:t>8</w:t>
      </w:r>
    </w:p>
    <w:p w14:paraId="2A789550" w14:textId="7BC0B14C" w:rsidR="004D400E" w:rsidRPr="0006580C" w:rsidRDefault="0070292C" w:rsidP="001A38FB">
      <w:pPr>
        <w:pStyle w:val="TOC1"/>
      </w:pPr>
      <w:hyperlink w:anchor="_Toc24384717" w:history="1">
        <w:r w:rsidR="004D400E" w:rsidRPr="0006580C">
          <w:rPr>
            <w:rStyle w:val="Hyperlink"/>
            <w:b/>
            <w:color w:val="auto"/>
            <w:sz w:val="24"/>
            <w:szCs w:val="24"/>
          </w:rPr>
          <w:t>3.</w:t>
        </w:r>
        <w:r w:rsidR="004D400E" w:rsidRPr="0006580C">
          <w:t xml:space="preserve"> </w:t>
        </w:r>
        <w:r w:rsidR="004D400E" w:rsidRPr="0006580C">
          <w:rPr>
            <w:rStyle w:val="Hyperlink"/>
            <w:bCs/>
            <w:color w:val="auto"/>
            <w:sz w:val="24"/>
            <w:szCs w:val="24"/>
          </w:rPr>
          <w:t>P</w:t>
        </w:r>
        <w:r w:rsidR="004D400E" w:rsidRPr="0006580C">
          <w:rPr>
            <w:rStyle w:val="Hyperlink"/>
            <w:color w:val="auto"/>
            <w:sz w:val="24"/>
            <w:szCs w:val="24"/>
          </w:rPr>
          <w:t>lani i veprimit</w:t>
        </w:r>
      </w:hyperlink>
      <w:r w:rsidR="004D400E" w:rsidRPr="0006580C">
        <w:t>................</w:t>
      </w:r>
      <w:r w:rsidR="001A38FB" w:rsidRPr="0006580C">
        <w:t>..</w:t>
      </w:r>
      <w:r w:rsidR="004D400E" w:rsidRPr="0006580C">
        <w:t>.................................................................................................................</w:t>
      </w:r>
      <w:r w:rsidR="00754A7C" w:rsidRPr="0006580C">
        <w:t>.</w:t>
      </w:r>
      <w:r w:rsidR="00942A1F" w:rsidRPr="0006580C">
        <w:t>..</w:t>
      </w:r>
      <w:r w:rsidR="00754A7C" w:rsidRPr="0006580C">
        <w:t>10</w:t>
      </w:r>
    </w:p>
    <w:p w14:paraId="6F04E039" w14:textId="77777777" w:rsidR="004D400E" w:rsidRPr="0006580C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</w:p>
    <w:p w14:paraId="291AD375" w14:textId="77777777" w:rsidR="004D400E" w:rsidRPr="0006580C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52F06F3" w14:textId="77777777" w:rsidR="004D400E" w:rsidRPr="0006580C" w:rsidRDefault="004D400E" w:rsidP="004D400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782A4AC7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9839E78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96323E8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B654B9C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4812485C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06EBD1B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33595375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04E36E26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24056117" w14:textId="77777777" w:rsidR="008D2ABC" w:rsidRPr="0006580C" w:rsidRDefault="003C2677" w:rsidP="000860B4">
      <w:pPr>
        <w:pStyle w:val="NormalWeb"/>
        <w:numPr>
          <w:ilvl w:val="0"/>
          <w:numId w:val="1"/>
        </w:numPr>
        <w:rPr>
          <w:b/>
          <w:bCs/>
        </w:rPr>
      </w:pPr>
      <w:r w:rsidRPr="0006580C">
        <w:rPr>
          <w:b/>
          <w:bCs/>
        </w:rPr>
        <w:br w:type="column"/>
      </w:r>
      <w:proofErr w:type="spellStart"/>
      <w:r w:rsidR="008D2ABC" w:rsidRPr="0006580C">
        <w:rPr>
          <w:b/>
          <w:bCs/>
        </w:rPr>
        <w:lastRenderedPageBreak/>
        <w:t>Rëndësia</w:t>
      </w:r>
      <w:proofErr w:type="spellEnd"/>
      <w:r w:rsidR="008D2ABC" w:rsidRPr="0006580C">
        <w:rPr>
          <w:b/>
          <w:bCs/>
        </w:rPr>
        <w:t xml:space="preserve"> e </w:t>
      </w:r>
      <w:proofErr w:type="spellStart"/>
      <w:r w:rsidR="008D2ABC" w:rsidRPr="0006580C">
        <w:rPr>
          <w:b/>
          <w:bCs/>
        </w:rPr>
        <w:t>Planit</w:t>
      </w:r>
      <w:proofErr w:type="spellEnd"/>
      <w:r w:rsidR="008D2ABC" w:rsidRPr="0006580C">
        <w:rPr>
          <w:b/>
          <w:bCs/>
        </w:rPr>
        <w:t xml:space="preserve"> </w:t>
      </w:r>
      <w:proofErr w:type="spellStart"/>
      <w:r w:rsidR="008D2ABC" w:rsidRPr="0006580C">
        <w:rPr>
          <w:b/>
          <w:bCs/>
        </w:rPr>
        <w:t>të</w:t>
      </w:r>
      <w:proofErr w:type="spellEnd"/>
      <w:r w:rsidR="008D2ABC" w:rsidRPr="0006580C">
        <w:rPr>
          <w:b/>
          <w:bCs/>
        </w:rPr>
        <w:t xml:space="preserve"> </w:t>
      </w:r>
      <w:proofErr w:type="spellStart"/>
      <w:r w:rsidR="008D2ABC" w:rsidRPr="0006580C">
        <w:rPr>
          <w:b/>
          <w:bCs/>
        </w:rPr>
        <w:t>Integritetit</w:t>
      </w:r>
      <w:proofErr w:type="spellEnd"/>
      <w:r w:rsidR="008D2ABC" w:rsidRPr="0006580C">
        <w:rPr>
          <w:b/>
          <w:bCs/>
        </w:rPr>
        <w:t xml:space="preserve"> </w:t>
      </w:r>
    </w:p>
    <w:p w14:paraId="7D6A70CD" w14:textId="17444066" w:rsidR="008D2ABC" w:rsidRPr="0006580C" w:rsidRDefault="008D2ABC" w:rsidP="008D2AB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Plani </w:t>
      </w:r>
      <w:r w:rsidR="0070258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 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Integritetit paraqet një mekanizëm të rëndësishëm për forcimin e integritetit institucional. </w:t>
      </w:r>
      <w:r w:rsidR="00E97B6E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Ky plan 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është një dokument strategjik dhe </w:t>
      </w:r>
      <w:proofErr w:type="spellStart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operacional</w:t>
      </w:r>
      <w:proofErr w:type="spellEnd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që </w:t>
      </w:r>
      <w:r w:rsidR="009B14F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është produkt i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procesi</w:t>
      </w:r>
      <w:r w:rsidR="009B14F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9B14F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të 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vlerësimi</w:t>
      </w:r>
      <w:r w:rsidR="00680B02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t të risku</w:t>
      </w:r>
      <w:r w:rsidR="00C676C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t t</w:t>
      </w:r>
      <w:r w:rsidR="007C7E3A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 integritetit në Bashkinë Has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. Vlerësimi ka përfshirë të gjitha proceset e punës sipas fush</w:t>
      </w:r>
      <w:r w:rsidR="00EC497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ave</w:t>
      </w:r>
      <w:r w:rsidR="0070258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5A34F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="00A3317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veprimit të bashkisë dhe funksionet/pozicionet e punës të cilat janë më </w:t>
      </w:r>
      <w:proofErr w:type="spellStart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më</w:t>
      </w:r>
      <w:proofErr w:type="spellEnd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së shumti</w:t>
      </w:r>
      <w:r w:rsidR="0070258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</w:t>
      </w:r>
      <w:r w:rsidR="00A3317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ekspozuara ndaj veprimeve </w:t>
      </w:r>
      <w:proofErr w:type="spellStart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korruptive</w:t>
      </w:r>
      <w:proofErr w:type="spellEnd"/>
      <w:r w:rsidR="00CA021B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, sjelljeve j</w:t>
      </w:r>
      <w:r w:rsidR="00E43A7E" w:rsidRPr="0006580C">
        <w:rPr>
          <w:rFonts w:ascii="Times New Roman" w:eastAsiaTheme="minorEastAsia" w:hAnsi="Times New Roman" w:cs="Times New Roman"/>
          <w:sz w:val="24"/>
          <w:szCs w:val="24"/>
        </w:rPr>
        <w:t>o</w:t>
      </w:r>
      <w:r w:rsidR="00CA021B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etike, joprofesionale dhe parregullsive t</w:t>
      </w:r>
      <w:r w:rsidR="008A181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CA021B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tjera. </w:t>
      </w:r>
    </w:p>
    <w:p w14:paraId="77766EEE" w14:textId="77777777" w:rsidR="008D2ABC" w:rsidRPr="0006580C" w:rsidRDefault="008D2ABC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158A8BD6" w14:textId="4B8482CC" w:rsidR="002A7A09" w:rsidRPr="0006580C" w:rsidRDefault="002A7A09" w:rsidP="008D2ABC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Puna p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r hartimin e </w:t>
      </w:r>
      <w:r w:rsidR="009A3F7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Planit t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9A3F7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Integritetit t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9A3F7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Bashkis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9A3F7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7C7E3A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Has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sht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bazuar në analizën e të dhënave dhe punën kërkimore të zhvilluar. Plani i Integritetit është përgatitur n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rmjet nj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procesi gjith</w:t>
      </w:r>
      <w:r w:rsidR="005F4D6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rfshir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s me personelin e bashkis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dhe 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1486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sht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1486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mbështetur në informacionin, sugjerimet dhe propozimet e ekipit të ekspertëve të Institutit për Demokraci dhe Ndërmjetësim në lidhje me zbatimin e </w:t>
      </w:r>
      <w:r w:rsidR="00E43A7E" w:rsidRPr="0006580C">
        <w:rPr>
          <w:rFonts w:ascii="Times New Roman" w:eastAsiaTheme="minorEastAsia" w:hAnsi="Times New Roman" w:cs="Times New Roman"/>
          <w:sz w:val="24"/>
          <w:szCs w:val="24"/>
        </w:rPr>
        <w:t>D</w:t>
      </w:r>
      <w:proofErr w:type="spellStart"/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okumentit</w:t>
      </w:r>
      <w:proofErr w:type="spellEnd"/>
      <w:r w:rsidR="001F0C3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Metodologjisë</w:t>
      </w:r>
      <w:r w:rsidR="003612A5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3612A5" w:rsidRPr="0006580C">
        <w:rPr>
          <w:rFonts w:ascii="Times New Roman" w:hAnsi="Times New Roman" w:cs="Times New Roman"/>
          <w:sz w:val="24"/>
          <w:szCs w:val="24"/>
          <w:lang w:val="sq-AL"/>
        </w:rPr>
        <w:t>për Vlerësimin e Riskut të Integritetit për Njësitë e Vetëqeverisjes Vendore.</w:t>
      </w:r>
      <w:r w:rsidR="003612A5" w:rsidRPr="0006580C">
        <w:rPr>
          <w:rStyle w:val="FootnoteReference"/>
          <w:rFonts w:ascii="Times New Roman" w:hAnsi="Times New Roman" w:cs="Times New Roman"/>
          <w:sz w:val="24"/>
          <w:szCs w:val="24"/>
          <w:lang w:val="sq-AL"/>
        </w:rPr>
        <w:footnoteReference w:id="1"/>
      </w:r>
    </w:p>
    <w:p w14:paraId="7F234F74" w14:textId="77777777" w:rsidR="008D2ABC" w:rsidRPr="0006580C" w:rsidRDefault="008D2ABC" w:rsidP="008D2AB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bookmarkStart w:id="1" w:name="_Toc468718748"/>
      <w:bookmarkStart w:id="2" w:name="_Toc468718799"/>
      <w:bookmarkStart w:id="3" w:name="_Toc23168729"/>
    </w:p>
    <w:p w14:paraId="271D00CA" w14:textId="365C5395" w:rsidR="007D2068" w:rsidRPr="0006580C" w:rsidRDefault="008D2ABC" w:rsidP="007D20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Ky plan </w:t>
      </w:r>
      <w:r w:rsidR="006F387B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synon</w:t>
      </w:r>
      <w:r w:rsidR="004E740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D10A76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realizimin</w:t>
      </w:r>
      <w:r w:rsidR="004E740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e objektivave t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E740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m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E740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posht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E740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m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:</w:t>
      </w:r>
    </w:p>
    <w:p w14:paraId="43540CC2" w14:textId="77777777" w:rsidR="007D2068" w:rsidRPr="0006580C" w:rsidRDefault="007D2068" w:rsidP="007D2068">
      <w:pPr>
        <w:pStyle w:val="NormalWeb"/>
        <w:numPr>
          <w:ilvl w:val="0"/>
          <w:numId w:val="2"/>
        </w:numPr>
        <w:rPr>
          <w:iCs/>
          <w:lang w:val="sq-AL"/>
        </w:rPr>
      </w:pPr>
      <w:r w:rsidRPr="0006580C">
        <w:rPr>
          <w:iCs/>
          <w:lang w:val="sq-AL"/>
        </w:rPr>
        <w:t>Forcimi i kuadrit të brendshëm rregullator në aspekte të veçanta të etikës dhe integritetit;</w:t>
      </w:r>
    </w:p>
    <w:p w14:paraId="6BA737ED" w14:textId="0A7A55CE" w:rsidR="007D2068" w:rsidRPr="0006580C" w:rsidRDefault="007D2068" w:rsidP="007D2068">
      <w:pPr>
        <w:pStyle w:val="NormalWeb"/>
        <w:numPr>
          <w:ilvl w:val="0"/>
          <w:numId w:val="2"/>
        </w:numPr>
        <w:rPr>
          <w:iCs/>
          <w:lang w:val="sq-AL"/>
        </w:rPr>
      </w:pPr>
      <w:r w:rsidRPr="0006580C">
        <w:rPr>
          <w:rFonts w:eastAsiaTheme="minorEastAsia"/>
          <w:iCs/>
          <w:lang w:val="sq-AL"/>
        </w:rPr>
        <w:t xml:space="preserve">Menaxhimi dhe zhvillimi i burimeve njerëzore në bashki, për identifikimin dhe parandalimin e </w:t>
      </w:r>
      <w:proofErr w:type="spellStart"/>
      <w:r w:rsidRPr="0006580C">
        <w:rPr>
          <w:rFonts w:eastAsiaTheme="minorEastAsia"/>
          <w:iCs/>
          <w:lang w:val="sq-AL"/>
        </w:rPr>
        <w:t>risqeve</w:t>
      </w:r>
      <w:proofErr w:type="spellEnd"/>
      <w:r w:rsidRPr="0006580C">
        <w:rPr>
          <w:rFonts w:eastAsiaTheme="minorEastAsia"/>
          <w:iCs/>
          <w:lang w:val="sq-AL"/>
        </w:rPr>
        <w:t xml:space="preserve"> të integritetit;</w:t>
      </w:r>
    </w:p>
    <w:p w14:paraId="411AA5ED" w14:textId="50676B27" w:rsidR="007D2068" w:rsidRPr="0006580C" w:rsidRDefault="007D2068" w:rsidP="007D2068">
      <w:pPr>
        <w:pStyle w:val="NormalWeb"/>
        <w:numPr>
          <w:ilvl w:val="0"/>
          <w:numId w:val="2"/>
        </w:numPr>
        <w:spacing w:after="0"/>
        <w:rPr>
          <w:iCs/>
          <w:lang w:val="sq-AL"/>
        </w:rPr>
      </w:pPr>
      <w:r w:rsidRPr="0006580C">
        <w:rPr>
          <w:iCs/>
          <w:lang w:val="sq-AL"/>
        </w:rPr>
        <w:t>R</w:t>
      </w:r>
      <w:r w:rsidRPr="0006580C">
        <w:rPr>
          <w:rFonts w:eastAsiaTheme="minorEastAsia"/>
          <w:iCs/>
          <w:lang w:val="sq-AL"/>
        </w:rPr>
        <w:t>ritja e transparencës në ndarjen e të dhënave me publikun</w:t>
      </w:r>
      <w:r w:rsidRPr="0006580C">
        <w:rPr>
          <w:iCs/>
          <w:lang w:val="sq-AL"/>
        </w:rPr>
        <w:t>;</w:t>
      </w:r>
    </w:p>
    <w:p w14:paraId="1668D699" w14:textId="066D574D" w:rsidR="007D2068" w:rsidRPr="0006580C" w:rsidRDefault="007D2068" w:rsidP="007D2068">
      <w:pPr>
        <w:pStyle w:val="NormalWeb"/>
        <w:numPr>
          <w:ilvl w:val="0"/>
          <w:numId w:val="2"/>
        </w:numPr>
        <w:spacing w:after="0"/>
        <w:rPr>
          <w:iCs/>
          <w:lang w:val="sq-AL"/>
        </w:rPr>
      </w:pPr>
      <w:r w:rsidRPr="0006580C">
        <w:rPr>
          <w:iCs/>
          <w:lang w:val="sq-AL"/>
        </w:rPr>
        <w:t>Menaxhimi i riskut të integritetit në fusha të veçanta të përgjegjësisë së bashkisë.</w:t>
      </w:r>
    </w:p>
    <w:p w14:paraId="3911608A" w14:textId="77777777" w:rsidR="008D2ABC" w:rsidRPr="0006580C" w:rsidRDefault="008D2ABC" w:rsidP="008D2ABC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b/>
          <w:sz w:val="24"/>
          <w:szCs w:val="24"/>
          <w:lang w:val="sq-AL"/>
        </w:rPr>
        <w:t>1.1 Procesi i zhvillimit të Planit të Integritetit</w:t>
      </w:r>
      <w:bookmarkEnd w:id="1"/>
      <w:bookmarkEnd w:id="2"/>
      <w:bookmarkEnd w:id="3"/>
      <w:r w:rsidRPr="0006580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Bashkinë </w:t>
      </w:r>
      <w:r w:rsidR="007C7E3A" w:rsidRPr="0006580C">
        <w:rPr>
          <w:rFonts w:ascii="Times New Roman" w:hAnsi="Times New Roman" w:cs="Times New Roman"/>
          <w:b/>
          <w:sz w:val="24"/>
          <w:szCs w:val="24"/>
          <w:lang w:val="sq-AL"/>
        </w:rPr>
        <w:t>Has</w:t>
      </w:r>
    </w:p>
    <w:p w14:paraId="6AB17143" w14:textId="77777777" w:rsidR="00892551" w:rsidRPr="0006580C" w:rsidRDefault="00892551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3452FD18" w14:textId="36214B72" w:rsidR="008D2ABC" w:rsidRPr="0006580C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Procesi i hartimit të Planit të Integritetit në Bashkinë </w:t>
      </w:r>
      <w:r w:rsidR="007C7E3A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Has</w:t>
      </w:r>
      <w:r w:rsidR="009D2F4C" w:rsidRPr="0006580C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0B4BA2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u zhvillua gjat</w:t>
      </w:r>
      <w:r w:rsidR="00CA1A6D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2F5CD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periudh</w:t>
      </w:r>
      <w:r w:rsidR="00CA1A6D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2F5CD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s </w:t>
      </w:r>
      <w:r w:rsidR="00564BF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j</w:t>
      </w:r>
      <w:r w:rsidR="00826772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anar</w:t>
      </w:r>
      <w:r w:rsidR="000B4BA2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-</w:t>
      </w:r>
      <w:r w:rsidR="00564BF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m</w:t>
      </w:r>
      <w:r w:rsidR="000B4BA2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aj</w:t>
      </w:r>
      <w:r w:rsidR="004849B2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2022</w:t>
      </w:r>
      <w:r w:rsidR="007A7B9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2F074B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dhe p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4849B2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rfundoi</w:t>
      </w:r>
      <w:r w:rsidR="002F074B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me miratimin e tij nga K</w:t>
      </w:r>
      <w:r w:rsidR="00B5222C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2F074B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shilli Bashkiak. 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Aparati i administratës së bashkisë u angazhua në proces</w:t>
      </w:r>
      <w:r w:rsidR="00E76C1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in e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vlerësimi</w:t>
      </w:r>
      <w:r w:rsidR="00E76C1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t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 të riskut të integritetit sipas fushave që ata mbulonin dhe propozuan masa konkrete për të përmirësuar integritetin dhe cilësinë e përgjithshme të menaxhimit</w:t>
      </w:r>
      <w:r w:rsidR="00E76C1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</w:t>
      </w:r>
      <w:r w:rsidR="00CA1A6D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76C1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proceseve t</w:t>
      </w:r>
      <w:r w:rsidR="00CA1A6D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76C1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pun</w:t>
      </w:r>
      <w:r w:rsidR="00CA1A6D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E76C18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. Ky proces përfshiu analizën e </w:t>
      </w:r>
      <w:proofErr w:type="spellStart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të integritetit </w:t>
      </w:r>
      <w:r w:rsidR="00984A55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me fokus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në fushat funksionale të bashkisë</w:t>
      </w:r>
      <w:r w:rsidR="005E68F6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,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  <w:r w:rsidR="006B558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bazuar n</w:t>
      </w:r>
      <w:r w:rsidR="00A3317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ligjin 139/2015 ‘</w:t>
      </w:r>
      <w:r w:rsidR="00A04C9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’</w:t>
      </w:r>
      <w:r w:rsidR="006B558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P</w:t>
      </w:r>
      <w:r w:rsidR="00A3317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r vet</w:t>
      </w:r>
      <w:r w:rsidR="00A3317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qeveri</w:t>
      </w:r>
      <w:r w:rsidR="003C267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s</w:t>
      </w:r>
      <w:r w:rsidR="006B558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jen vendore” dhe legjislacionin e zbatuesh</w:t>
      </w:r>
      <w:r w:rsidR="00A3317F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ë</w:t>
      </w:r>
      <w:r w:rsidR="006B5580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m nga bashkia</w:t>
      </w:r>
      <w:r w:rsidR="00A04C9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. Fushat e vlerës</w:t>
      </w:r>
      <w:r w:rsidR="003554C1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u</w:t>
      </w:r>
      <w:r w:rsidR="00A04C97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ara janë si më poshtë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: </w:t>
      </w:r>
      <w:r w:rsidRPr="0006580C">
        <w:rPr>
          <w:rFonts w:ascii="Times New Roman" w:eastAsiaTheme="majorEastAsia" w:hAnsi="Times New Roman" w:cs="Times New Roman"/>
          <w:sz w:val="24"/>
          <w:szCs w:val="24"/>
          <w:lang w:val="sq-AL"/>
        </w:rPr>
        <w:t>i) Fusha e menaxhimit financiar</w:t>
      </w:r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; </w:t>
      </w:r>
      <w:proofErr w:type="spellStart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ii</w:t>
      </w:r>
      <w:proofErr w:type="spellEnd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menaxhimit të burimeve njerëzore; </w:t>
      </w:r>
      <w:proofErr w:type="spellStart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iii</w:t>
      </w:r>
      <w:proofErr w:type="spellEnd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kontrollit, </w:t>
      </w:r>
      <w:proofErr w:type="spellStart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auditimit</w:t>
      </w:r>
      <w:proofErr w:type="spellEnd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dhe </w:t>
      </w:r>
      <w:r w:rsidR="00AA4E95"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mekanizmave kundër korrupsionit; </w:t>
      </w:r>
      <w:proofErr w:type="spellStart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v</w:t>
      </w:r>
      <w:proofErr w:type="spellEnd"/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) F</w:t>
      </w:r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usha e shërbimeve publike; v) Fusha e administrimit dhe menaxhimit të pronave; </w:t>
      </w:r>
      <w:proofErr w:type="spellStart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vi</w:t>
      </w:r>
      <w:proofErr w:type="spellEnd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planifikimit, administrimit dhe zhvillimit të territorit </w:t>
      </w:r>
      <w:r w:rsidR="005E68F6"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dhe </w:t>
      </w:r>
      <w:proofErr w:type="spellStart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vii</w:t>
      </w:r>
      <w:proofErr w:type="spellEnd"/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) Fusha e arkivimit, ruajtjes dhe administrimit të dokumenteve </w:t>
      </w:r>
      <w:r w:rsidR="00AA4E95"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informacionit,</w:t>
      </w:r>
      <w:r w:rsidR="00AA4E95"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si </w:t>
      </w:r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dhe të dokumenteve elektronik</w:t>
      </w:r>
      <w:r w:rsidR="00AA4E95"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e</w:t>
      </w:r>
      <w:r w:rsidRPr="0006580C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 </w:t>
      </w:r>
    </w:p>
    <w:p w14:paraId="6EC44ED1" w14:textId="77777777" w:rsidR="008D2ABC" w:rsidRPr="0006580C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7C10A49A" w14:textId="77777777" w:rsidR="008D2ABC" w:rsidRPr="0006580C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Hartimi i Planit të 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Integritetit në Bashkinë </w:t>
      </w:r>
      <w:r w:rsidR="007C7E3A"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 xml:space="preserve">Has </w:t>
      </w:r>
      <w:r w:rsidRPr="0006580C">
        <w:rPr>
          <w:rFonts w:ascii="Times New Roman" w:eastAsiaTheme="minorEastAsia" w:hAnsi="Times New Roman" w:cs="Times New Roman"/>
          <w:sz w:val="24"/>
          <w:szCs w:val="24"/>
          <w:lang w:val="sq-AL"/>
        </w:rPr>
        <w:t>kaloi në fazat e mëposhtme:</w:t>
      </w:r>
    </w:p>
    <w:p w14:paraId="2587B1BE" w14:textId="77777777" w:rsidR="00883FFD" w:rsidRPr="0006580C" w:rsidRDefault="00883FFD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61BA7AFF" w14:textId="77777777" w:rsidR="008D2ABC" w:rsidRPr="0006580C" w:rsidRDefault="008D2ABC" w:rsidP="008D2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q-AL"/>
        </w:rPr>
      </w:pPr>
    </w:p>
    <w:p w14:paraId="00F1B831" w14:textId="77777777" w:rsidR="008D2ABC" w:rsidRPr="0006580C" w:rsidRDefault="008D2ABC" w:rsidP="0084539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q-AL"/>
        </w:rPr>
      </w:pPr>
      <w:r w:rsidRPr="0006580C">
        <w:rPr>
          <w:rFonts w:ascii="Times New Roman" w:eastAsiaTheme="minorEastAsia" w:hAnsi="Times New Roman" w:cs="Times New Roman"/>
          <w:b/>
          <w:i/>
          <w:sz w:val="24"/>
          <w:szCs w:val="24"/>
          <w:lang w:val="sq-AL"/>
        </w:rPr>
        <w:lastRenderedPageBreak/>
        <w:t xml:space="preserve">Faza 1: </w:t>
      </w:r>
      <w:r w:rsidRPr="0006580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sq-AL"/>
        </w:rPr>
        <w:t>Përgatitja, komunikimi dhe mobilizimi i burimeve njerëzore</w:t>
      </w:r>
    </w:p>
    <w:p w14:paraId="5433DF28" w14:textId="4FF79CF6" w:rsidR="008D2ABC" w:rsidRPr="0006580C" w:rsidRDefault="005F24B3" w:rsidP="0084539C">
      <w:pPr>
        <w:pStyle w:val="NormalWeb"/>
        <w:jc w:val="both"/>
        <w:rPr>
          <w:lang w:val="sq-AL"/>
        </w:rPr>
      </w:pPr>
      <w:r w:rsidRPr="0006580C">
        <w:rPr>
          <w:lang w:val="sq-AL"/>
        </w:rPr>
        <w:t xml:space="preserve">Angazhimi institucional i Bashkisë </w:t>
      </w:r>
      <w:r w:rsidR="007C7E3A" w:rsidRPr="0006580C">
        <w:rPr>
          <w:lang w:val="sq-AL"/>
        </w:rPr>
        <w:t xml:space="preserve">Has </w:t>
      </w:r>
      <w:r w:rsidRPr="0006580C">
        <w:rPr>
          <w:lang w:val="sq-AL"/>
        </w:rPr>
        <w:t>p</w:t>
      </w:r>
      <w:r w:rsidR="00B5222C" w:rsidRPr="0006580C">
        <w:rPr>
          <w:lang w:val="sq-AL"/>
        </w:rPr>
        <w:t>ë</w:t>
      </w:r>
      <w:r w:rsidRPr="0006580C">
        <w:rPr>
          <w:lang w:val="sq-AL"/>
        </w:rPr>
        <w:t>r hartimin e Planit t</w:t>
      </w:r>
      <w:r w:rsidR="00B5222C" w:rsidRPr="0006580C">
        <w:rPr>
          <w:lang w:val="sq-AL"/>
        </w:rPr>
        <w:t>ë</w:t>
      </w:r>
      <w:r w:rsidRPr="0006580C">
        <w:rPr>
          <w:lang w:val="sq-AL"/>
        </w:rPr>
        <w:t xml:space="preserve"> Integritetit </w:t>
      </w:r>
      <w:r w:rsidR="00CA021B" w:rsidRPr="0006580C">
        <w:rPr>
          <w:lang w:val="sq-AL"/>
        </w:rPr>
        <w:t xml:space="preserve">u rregullua </w:t>
      </w:r>
      <w:r w:rsidR="009663D1" w:rsidRPr="0006580C">
        <w:rPr>
          <w:lang w:val="sq-AL"/>
        </w:rPr>
        <w:t xml:space="preserve"> </w:t>
      </w:r>
      <w:r w:rsidRPr="0006580C">
        <w:rPr>
          <w:lang w:val="sq-AL"/>
        </w:rPr>
        <w:t xml:space="preserve">nëpërmjet marrëveshjes së bashkëpunimit </w:t>
      </w:r>
      <w:r w:rsidR="007D2068" w:rsidRPr="0006580C">
        <w:rPr>
          <w:lang w:val="sq-AL"/>
        </w:rPr>
        <w:t>me IDM-n</w:t>
      </w:r>
      <w:r w:rsidR="002A362D" w:rsidRPr="0006580C">
        <w:rPr>
          <w:lang w:val="sq-AL"/>
        </w:rPr>
        <w:t>ë</w:t>
      </w:r>
      <w:r w:rsidR="007D2068" w:rsidRPr="0006580C">
        <w:rPr>
          <w:lang w:val="sq-AL"/>
        </w:rPr>
        <w:t xml:space="preserve"> ‘’P</w:t>
      </w:r>
      <w:r w:rsidR="002A362D" w:rsidRPr="0006580C">
        <w:rPr>
          <w:lang w:val="sq-AL"/>
        </w:rPr>
        <w:t>ë</w:t>
      </w:r>
      <w:r w:rsidR="007D2068" w:rsidRPr="0006580C">
        <w:rPr>
          <w:lang w:val="sq-AL"/>
        </w:rPr>
        <w:t>r Zhvillimin e Planit t</w:t>
      </w:r>
      <w:r w:rsidR="002A362D" w:rsidRPr="0006580C">
        <w:rPr>
          <w:lang w:val="sq-AL"/>
        </w:rPr>
        <w:t>ë</w:t>
      </w:r>
      <w:r w:rsidR="007D2068" w:rsidRPr="0006580C">
        <w:rPr>
          <w:lang w:val="sq-AL"/>
        </w:rPr>
        <w:t xml:space="preserve"> Integritetit p</w:t>
      </w:r>
      <w:r w:rsidR="002A362D" w:rsidRPr="0006580C">
        <w:rPr>
          <w:lang w:val="sq-AL"/>
        </w:rPr>
        <w:t>ë</w:t>
      </w:r>
      <w:r w:rsidR="007D2068" w:rsidRPr="0006580C">
        <w:rPr>
          <w:lang w:val="sq-AL"/>
        </w:rPr>
        <w:t>r Bashkin</w:t>
      </w:r>
      <w:r w:rsidR="002A362D" w:rsidRPr="0006580C">
        <w:rPr>
          <w:lang w:val="sq-AL"/>
        </w:rPr>
        <w:t>ë</w:t>
      </w:r>
      <w:r w:rsidR="007D2068" w:rsidRPr="0006580C">
        <w:rPr>
          <w:lang w:val="sq-AL"/>
        </w:rPr>
        <w:t xml:space="preserve"> Has’’ nr.1386 dat</w:t>
      </w:r>
      <w:r w:rsidR="002A362D" w:rsidRPr="0006580C">
        <w:rPr>
          <w:lang w:val="sq-AL"/>
        </w:rPr>
        <w:t>ë</w:t>
      </w:r>
      <w:r w:rsidR="007D2068" w:rsidRPr="0006580C">
        <w:rPr>
          <w:lang w:val="sq-AL"/>
        </w:rPr>
        <w:t xml:space="preserve"> 29.</w:t>
      </w:r>
      <w:r w:rsidR="009D2F4C" w:rsidRPr="0006580C">
        <w:t>0</w:t>
      </w:r>
      <w:r w:rsidR="007D2068" w:rsidRPr="0006580C">
        <w:rPr>
          <w:lang w:val="sq-AL"/>
        </w:rPr>
        <w:t>7.2021.</w:t>
      </w:r>
      <w:r w:rsidRPr="0006580C">
        <w:rPr>
          <w:lang w:val="sq-AL"/>
        </w:rPr>
        <w:t xml:space="preserve"> </w:t>
      </w:r>
      <w:r w:rsidR="00FB506F" w:rsidRPr="0006580C">
        <w:rPr>
          <w:lang w:val="sq-AL"/>
        </w:rPr>
        <w:t>M</w:t>
      </w:r>
      <w:r w:rsidR="00B5222C" w:rsidRPr="0006580C">
        <w:rPr>
          <w:lang w:val="sq-AL"/>
        </w:rPr>
        <w:t>ë</w:t>
      </w:r>
      <w:r w:rsidR="00FB506F" w:rsidRPr="0006580C">
        <w:rPr>
          <w:lang w:val="sq-AL"/>
        </w:rPr>
        <w:t xml:space="preserve"> tej, u</w:t>
      </w:r>
      <w:r w:rsidR="008D2ABC" w:rsidRPr="0006580C">
        <w:rPr>
          <w:lang w:val="sq-AL"/>
        </w:rPr>
        <w:t xml:space="preserve"> miratua </w:t>
      </w:r>
      <w:r w:rsidR="005E6922" w:rsidRPr="0006580C">
        <w:rPr>
          <w:lang w:val="sq-AL"/>
        </w:rPr>
        <w:t>Urdhri</w:t>
      </w:r>
      <w:r w:rsidR="00561C93" w:rsidRPr="0006580C">
        <w:rPr>
          <w:lang w:val="sq-AL"/>
        </w:rPr>
        <w:t xml:space="preserve"> </w:t>
      </w:r>
      <w:r w:rsidR="00561C93" w:rsidRPr="0006580C">
        <w:rPr>
          <w:rFonts w:eastAsiaTheme="minorEastAsia"/>
          <w:lang w:val="sq-AL"/>
        </w:rPr>
        <w:t xml:space="preserve">nr. </w:t>
      </w:r>
      <w:r w:rsidR="004849B2" w:rsidRPr="0006580C">
        <w:rPr>
          <w:rFonts w:eastAsiaTheme="minorEastAsia"/>
          <w:lang w:val="sq-AL"/>
        </w:rPr>
        <w:t>315</w:t>
      </w:r>
      <w:r w:rsidR="00561C93" w:rsidRPr="0006580C">
        <w:rPr>
          <w:rFonts w:eastAsiaTheme="minorEastAsia"/>
          <w:lang w:val="sq-AL"/>
        </w:rPr>
        <w:t xml:space="preserve">, datë </w:t>
      </w:r>
      <w:r w:rsidR="004849B2" w:rsidRPr="0006580C">
        <w:rPr>
          <w:rFonts w:eastAsiaTheme="minorEastAsia"/>
          <w:lang w:val="sq-AL"/>
        </w:rPr>
        <w:t>26.01.2022</w:t>
      </w:r>
      <w:r w:rsidR="00CE238D" w:rsidRPr="0006580C">
        <w:rPr>
          <w:lang w:val="sq-AL"/>
        </w:rPr>
        <w:t xml:space="preserve"> </w:t>
      </w:r>
      <w:r w:rsidR="00F54D4B" w:rsidRPr="0006580C">
        <w:rPr>
          <w:rFonts w:eastAsiaTheme="minorEastAsia"/>
          <w:lang w:val="sq-AL"/>
        </w:rPr>
        <w:t>i</w:t>
      </w:r>
      <w:r w:rsidR="008D2ABC" w:rsidRPr="0006580C">
        <w:rPr>
          <w:lang w:val="sq-AL"/>
        </w:rPr>
        <w:t xml:space="preserve"> </w:t>
      </w:r>
      <w:r w:rsidR="005E68F6" w:rsidRPr="0006580C">
        <w:rPr>
          <w:lang w:val="sq-AL"/>
        </w:rPr>
        <w:t>K</w:t>
      </w:r>
      <w:r w:rsidR="008D2ABC" w:rsidRPr="0006580C">
        <w:rPr>
          <w:lang w:val="sq-AL"/>
        </w:rPr>
        <w:t xml:space="preserve">ryetarit të </w:t>
      </w:r>
      <w:r w:rsidR="005E68F6" w:rsidRPr="0006580C">
        <w:rPr>
          <w:lang w:val="sq-AL"/>
        </w:rPr>
        <w:t>B</w:t>
      </w:r>
      <w:r w:rsidR="008D2ABC" w:rsidRPr="0006580C">
        <w:rPr>
          <w:lang w:val="sq-AL"/>
        </w:rPr>
        <w:t xml:space="preserve">ashkisë </w:t>
      </w:r>
      <w:r w:rsidR="004849B2" w:rsidRPr="0006580C">
        <w:rPr>
          <w:lang w:val="sq-AL"/>
        </w:rPr>
        <w:t xml:space="preserve">Has “Për hartimin e Planit të Integritetit”. </w:t>
      </w:r>
      <w:r w:rsidR="00E60D4A" w:rsidRPr="0006580C">
        <w:rPr>
          <w:lang w:val="sq-AL"/>
        </w:rPr>
        <w:t>N</w:t>
      </w:r>
      <w:r w:rsidR="00B5222C" w:rsidRPr="0006580C">
        <w:rPr>
          <w:lang w:val="sq-AL"/>
        </w:rPr>
        <w:t>ë</w:t>
      </w:r>
      <w:r w:rsidR="00E60D4A" w:rsidRPr="0006580C">
        <w:rPr>
          <w:lang w:val="sq-AL"/>
        </w:rPr>
        <w:t xml:space="preserve"> p</w:t>
      </w:r>
      <w:r w:rsidR="00B5222C" w:rsidRPr="0006580C">
        <w:rPr>
          <w:lang w:val="sq-AL"/>
        </w:rPr>
        <w:t>ë</w:t>
      </w:r>
      <w:r w:rsidR="00E60D4A" w:rsidRPr="0006580C">
        <w:rPr>
          <w:lang w:val="sq-AL"/>
        </w:rPr>
        <w:t>rb</w:t>
      </w:r>
      <w:r w:rsidR="00B5222C" w:rsidRPr="0006580C">
        <w:rPr>
          <w:lang w:val="sq-AL"/>
        </w:rPr>
        <w:t>ë</w:t>
      </w:r>
      <w:r w:rsidR="00E60D4A" w:rsidRPr="0006580C">
        <w:rPr>
          <w:lang w:val="sq-AL"/>
        </w:rPr>
        <w:t>rje t</w:t>
      </w:r>
      <w:r w:rsidR="00B5222C" w:rsidRPr="0006580C">
        <w:rPr>
          <w:lang w:val="sq-AL"/>
        </w:rPr>
        <w:t>ë</w:t>
      </w:r>
      <w:r w:rsidR="00E60D4A" w:rsidRPr="0006580C">
        <w:rPr>
          <w:lang w:val="sq-AL"/>
        </w:rPr>
        <w:t xml:space="preserve"> </w:t>
      </w:r>
      <w:r w:rsidR="003D5788" w:rsidRPr="0006580C">
        <w:rPr>
          <w:lang w:val="sq-AL"/>
        </w:rPr>
        <w:t>G</w:t>
      </w:r>
      <w:r w:rsidR="00E60D4A" w:rsidRPr="0006580C">
        <w:rPr>
          <w:lang w:val="sq-AL"/>
        </w:rPr>
        <w:t>rupit t</w:t>
      </w:r>
      <w:r w:rsidR="00B5222C" w:rsidRPr="0006580C">
        <w:rPr>
          <w:lang w:val="sq-AL"/>
        </w:rPr>
        <w:t>ë</w:t>
      </w:r>
      <w:r w:rsidR="00E60D4A" w:rsidRPr="0006580C">
        <w:rPr>
          <w:lang w:val="sq-AL"/>
        </w:rPr>
        <w:t xml:space="preserve"> </w:t>
      </w:r>
      <w:r w:rsidR="003D5788" w:rsidRPr="0006580C">
        <w:rPr>
          <w:lang w:val="sq-AL"/>
        </w:rPr>
        <w:t>P</w:t>
      </w:r>
      <w:r w:rsidR="00E60D4A" w:rsidRPr="0006580C">
        <w:rPr>
          <w:lang w:val="sq-AL"/>
        </w:rPr>
        <w:t>un</w:t>
      </w:r>
      <w:r w:rsidR="00B5222C" w:rsidRPr="0006580C">
        <w:rPr>
          <w:lang w:val="sq-AL"/>
        </w:rPr>
        <w:t>ë</w:t>
      </w:r>
      <w:r w:rsidR="00E60D4A" w:rsidRPr="0006580C">
        <w:rPr>
          <w:lang w:val="sq-AL"/>
        </w:rPr>
        <w:t>s kishte</w:t>
      </w:r>
      <w:r w:rsidR="008D2ABC" w:rsidRPr="0006580C">
        <w:rPr>
          <w:lang w:val="sq-AL"/>
        </w:rPr>
        <w:t xml:space="preserve"> </w:t>
      </w:r>
      <w:r w:rsidR="00EB6CCB" w:rsidRPr="0006580C">
        <w:rPr>
          <w:lang w:val="sq-AL"/>
        </w:rPr>
        <w:t>punonjës</w:t>
      </w:r>
      <w:r w:rsidR="00CA021B" w:rsidRPr="0006580C">
        <w:rPr>
          <w:lang w:val="sq-AL"/>
        </w:rPr>
        <w:t xml:space="preserve"> </w:t>
      </w:r>
      <w:r w:rsidR="00EB6CCB" w:rsidRPr="0006580C">
        <w:rPr>
          <w:lang w:val="sq-AL"/>
        </w:rPr>
        <w:t>të</w:t>
      </w:r>
      <w:r w:rsidR="00CA021B" w:rsidRPr="0006580C">
        <w:rPr>
          <w:lang w:val="sq-AL"/>
        </w:rPr>
        <w:t xml:space="preserve"> drejtorive </w:t>
      </w:r>
      <w:r w:rsidR="00EB6CCB" w:rsidRPr="0006580C">
        <w:rPr>
          <w:lang w:val="sq-AL"/>
        </w:rPr>
        <w:t>të</w:t>
      </w:r>
      <w:r w:rsidR="00CA021B" w:rsidRPr="0006580C">
        <w:rPr>
          <w:lang w:val="sq-AL"/>
        </w:rPr>
        <w:t xml:space="preserve"> </w:t>
      </w:r>
      <w:r w:rsidR="00EB6CCB" w:rsidRPr="0006580C">
        <w:rPr>
          <w:lang w:val="sq-AL"/>
        </w:rPr>
        <w:t>bashkisë</w:t>
      </w:r>
      <w:r w:rsidR="00CA021B" w:rsidRPr="0006580C">
        <w:rPr>
          <w:lang w:val="sq-AL"/>
        </w:rPr>
        <w:t>, veprimtaria e t</w:t>
      </w:r>
      <w:r w:rsidR="008A181F" w:rsidRPr="0006580C">
        <w:rPr>
          <w:lang w:val="sq-AL"/>
        </w:rPr>
        <w:t>ë</w:t>
      </w:r>
      <w:r w:rsidR="00CA021B" w:rsidRPr="0006580C">
        <w:rPr>
          <w:lang w:val="sq-AL"/>
        </w:rPr>
        <w:t xml:space="preserve"> cil</w:t>
      </w:r>
      <w:r w:rsidR="008A181F" w:rsidRPr="0006580C">
        <w:rPr>
          <w:lang w:val="sq-AL"/>
        </w:rPr>
        <w:t>ë</w:t>
      </w:r>
      <w:r w:rsidR="00CA021B" w:rsidRPr="0006580C">
        <w:rPr>
          <w:lang w:val="sq-AL"/>
        </w:rPr>
        <w:t>ve p</w:t>
      </w:r>
      <w:r w:rsidR="008A181F" w:rsidRPr="0006580C">
        <w:rPr>
          <w:lang w:val="sq-AL"/>
        </w:rPr>
        <w:t>ë</w:t>
      </w:r>
      <w:r w:rsidR="00CA021B" w:rsidRPr="0006580C">
        <w:rPr>
          <w:lang w:val="sq-AL"/>
        </w:rPr>
        <w:t xml:space="preserve">rfshinte </w:t>
      </w:r>
      <w:r w:rsidR="00C676C0" w:rsidRPr="0006580C">
        <w:rPr>
          <w:lang w:val="sq-AL"/>
        </w:rPr>
        <w:t>shtatë fushat e vlerësuara</w:t>
      </w:r>
      <w:r w:rsidR="00EB6CCB" w:rsidRPr="0006580C">
        <w:rPr>
          <w:lang w:val="sq-AL"/>
        </w:rPr>
        <w:t xml:space="preserve"> t</w:t>
      </w:r>
      <w:r w:rsidR="009D2F4C" w:rsidRPr="0006580C">
        <w:rPr>
          <w:lang w:val="sq-AL"/>
        </w:rPr>
        <w:t>ë</w:t>
      </w:r>
      <w:r w:rsidR="00EB6CCB" w:rsidRPr="0006580C">
        <w:rPr>
          <w:lang w:val="sq-AL"/>
        </w:rPr>
        <w:t xml:space="preserve"> cituara </w:t>
      </w:r>
      <w:r w:rsidR="009D2F4C" w:rsidRPr="0006580C">
        <w:t>m</w:t>
      </w:r>
      <w:r w:rsidR="008A181F" w:rsidRPr="0006580C">
        <w:rPr>
          <w:lang w:val="sq-AL"/>
        </w:rPr>
        <w:t>ë</w:t>
      </w:r>
      <w:r w:rsidR="00EB6CCB" w:rsidRPr="0006580C">
        <w:rPr>
          <w:lang w:val="sq-AL"/>
        </w:rPr>
        <w:t xml:space="preserve"> sip</w:t>
      </w:r>
      <w:r w:rsidR="008A181F" w:rsidRPr="0006580C">
        <w:rPr>
          <w:lang w:val="sq-AL"/>
        </w:rPr>
        <w:t>ë</w:t>
      </w:r>
      <w:r w:rsidR="00EB6CCB" w:rsidRPr="0006580C">
        <w:rPr>
          <w:lang w:val="sq-AL"/>
        </w:rPr>
        <w:t xml:space="preserve">r. </w:t>
      </w:r>
      <w:r w:rsidR="008D2ABC" w:rsidRPr="0006580C">
        <w:rPr>
          <w:lang w:val="sq-AL"/>
        </w:rPr>
        <w:t xml:space="preserve"> </w:t>
      </w:r>
      <w:r w:rsidR="000C381E" w:rsidRPr="0006580C">
        <w:rPr>
          <w:lang w:val="sq-AL"/>
        </w:rPr>
        <w:t>Grupi</w:t>
      </w:r>
      <w:r w:rsidR="00320659" w:rsidRPr="0006580C">
        <w:rPr>
          <w:lang w:val="sq-AL"/>
        </w:rPr>
        <w:t xml:space="preserve"> </w:t>
      </w:r>
      <w:r w:rsidR="008D2ABC" w:rsidRPr="0006580C">
        <w:rPr>
          <w:lang w:val="sq-AL"/>
        </w:rPr>
        <w:t xml:space="preserve">i </w:t>
      </w:r>
      <w:r w:rsidR="003D5788" w:rsidRPr="0006580C">
        <w:rPr>
          <w:lang w:val="sq-AL"/>
        </w:rPr>
        <w:t>P</w:t>
      </w:r>
      <w:r w:rsidR="008D2ABC" w:rsidRPr="0006580C">
        <w:rPr>
          <w:lang w:val="sq-AL"/>
        </w:rPr>
        <w:t xml:space="preserve">unës </w:t>
      </w:r>
      <w:r w:rsidR="0001197A" w:rsidRPr="0006580C">
        <w:rPr>
          <w:lang w:val="sq-AL"/>
        </w:rPr>
        <w:t>u prezantua me Metodologjinë për Vlerësimin e Riskut të Integritetit për Njësitë e Vetëqeverisjes Vendore dhe hapat e punës</w:t>
      </w:r>
      <w:r w:rsidR="009D2F4C" w:rsidRPr="0006580C">
        <w:t>,</w:t>
      </w:r>
      <w:r w:rsidR="00242DB8" w:rsidRPr="0006580C">
        <w:rPr>
          <w:lang w:val="sq-AL"/>
        </w:rPr>
        <w:t xml:space="preserve"> si dhe u trajnua </w:t>
      </w:r>
      <w:r w:rsidR="0001197A" w:rsidRPr="0006580C">
        <w:rPr>
          <w:lang w:val="sq-AL"/>
        </w:rPr>
        <w:t>mbi çështjet e integritetit dhe etikës në administratën publike.</w:t>
      </w:r>
      <w:r w:rsidR="00242DB8" w:rsidRPr="0006580C">
        <w:rPr>
          <w:lang w:val="sq-AL"/>
        </w:rPr>
        <w:t xml:space="preserve"> S</w:t>
      </w:r>
      <w:r w:rsidR="00B5222C" w:rsidRPr="0006580C">
        <w:rPr>
          <w:lang w:val="sq-AL"/>
        </w:rPr>
        <w:t>ë</w:t>
      </w:r>
      <w:r w:rsidR="00242DB8" w:rsidRPr="0006580C">
        <w:rPr>
          <w:lang w:val="sq-AL"/>
        </w:rPr>
        <w:t xml:space="preserve"> fundi, n</w:t>
      </w:r>
      <w:r w:rsidR="00B5222C" w:rsidRPr="0006580C">
        <w:rPr>
          <w:lang w:val="sq-AL"/>
        </w:rPr>
        <w:t>ë</w:t>
      </w:r>
      <w:r w:rsidR="00242DB8" w:rsidRPr="0006580C">
        <w:rPr>
          <w:lang w:val="sq-AL"/>
        </w:rPr>
        <w:t xml:space="preserve"> k</w:t>
      </w:r>
      <w:r w:rsidR="00B5222C" w:rsidRPr="0006580C">
        <w:rPr>
          <w:lang w:val="sq-AL"/>
        </w:rPr>
        <w:t>ë</w:t>
      </w:r>
      <w:r w:rsidR="00242DB8" w:rsidRPr="0006580C">
        <w:rPr>
          <w:lang w:val="sq-AL"/>
        </w:rPr>
        <w:t>t</w:t>
      </w:r>
      <w:r w:rsidR="00B5222C" w:rsidRPr="0006580C">
        <w:rPr>
          <w:lang w:val="sq-AL"/>
        </w:rPr>
        <w:t>ë</w:t>
      </w:r>
      <w:r w:rsidR="00242DB8" w:rsidRPr="0006580C">
        <w:rPr>
          <w:lang w:val="sq-AL"/>
        </w:rPr>
        <w:t xml:space="preserve"> faz</w:t>
      </w:r>
      <w:r w:rsidR="00B5222C" w:rsidRPr="0006580C">
        <w:rPr>
          <w:lang w:val="sq-AL"/>
        </w:rPr>
        <w:t>ë</w:t>
      </w:r>
      <w:r w:rsidR="00242DB8" w:rsidRPr="0006580C">
        <w:rPr>
          <w:lang w:val="sq-AL"/>
        </w:rPr>
        <w:t xml:space="preserve"> u b</w:t>
      </w:r>
      <w:r w:rsidR="00B5222C" w:rsidRPr="0006580C">
        <w:rPr>
          <w:lang w:val="sq-AL"/>
        </w:rPr>
        <w:t>ë</w:t>
      </w:r>
      <w:r w:rsidR="00242DB8" w:rsidRPr="0006580C">
        <w:rPr>
          <w:lang w:val="sq-AL"/>
        </w:rPr>
        <w:t xml:space="preserve"> k</w:t>
      </w:r>
      <w:r w:rsidR="0001197A" w:rsidRPr="0006580C">
        <w:rPr>
          <w:lang w:val="sq-AL"/>
        </w:rPr>
        <w:t>omunikimi i qëllimit dhe objektivave të Planit të Integrite</w:t>
      </w:r>
      <w:r w:rsidR="004849B2" w:rsidRPr="0006580C">
        <w:rPr>
          <w:lang w:val="sq-AL"/>
        </w:rPr>
        <w:t>tit me administratën e bashkisë</w:t>
      </w:r>
      <w:r w:rsidR="0001197A" w:rsidRPr="0006580C">
        <w:rPr>
          <w:lang w:val="sq-AL"/>
        </w:rPr>
        <w:t xml:space="preserve"> nga ana e Grupit të Punës.</w:t>
      </w:r>
    </w:p>
    <w:p w14:paraId="6504D394" w14:textId="77777777" w:rsidR="008D2ABC" w:rsidRPr="0006580C" w:rsidRDefault="008D2ABC" w:rsidP="008D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sq-AL"/>
        </w:rPr>
      </w:pPr>
      <w:r w:rsidRPr="0006580C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Faza 2: </w:t>
      </w:r>
      <w:r w:rsidRPr="0006580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sq-AL"/>
        </w:rPr>
        <w:t xml:space="preserve">Identifikimi dhe analizimi </w:t>
      </w:r>
      <w:r w:rsidR="00727907" w:rsidRPr="0006580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it-IT"/>
        </w:rPr>
        <w:t xml:space="preserve">i </w:t>
      </w:r>
      <w:proofErr w:type="spellStart"/>
      <w:r w:rsidRPr="0006580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sq-AL"/>
        </w:rPr>
        <w:t>risqeve</w:t>
      </w:r>
      <w:proofErr w:type="spellEnd"/>
      <w:r w:rsidRPr="0006580C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val="sq-AL"/>
        </w:rPr>
        <w:t xml:space="preserve"> të integritetit</w:t>
      </w:r>
    </w:p>
    <w:p w14:paraId="0535B61A" w14:textId="77777777" w:rsidR="008D2ABC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97B50B" w14:textId="23B52219" w:rsidR="008D2ABC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Grupi i </w:t>
      </w:r>
      <w:r w:rsidR="003D5788" w:rsidRPr="0006580C">
        <w:rPr>
          <w:rFonts w:ascii="Times New Roman" w:hAnsi="Times New Roman" w:cs="Times New Roman"/>
          <w:sz w:val="24"/>
          <w:szCs w:val="24"/>
          <w:lang w:val="it-IT"/>
        </w:rPr>
        <w:t>P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unës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shqyrt</w:t>
      </w:r>
      <w:r w:rsidR="005E68F6" w:rsidRPr="0006580C">
        <w:rPr>
          <w:rFonts w:ascii="Times New Roman" w:hAnsi="Times New Roman" w:cs="Times New Roman"/>
          <w:sz w:val="24"/>
          <w:szCs w:val="24"/>
          <w:lang w:val="sq-AL"/>
        </w:rPr>
        <w:t>oi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kornizën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rregullatore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>, strategjike si dhe dokumente të ndryshme operative të bashkisë. Gjithashtu</w:t>
      </w:r>
      <w:r w:rsidR="005E68F6" w:rsidRPr="0006580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E68F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analizua</w:t>
      </w:r>
      <w:r w:rsidR="005E68F6" w:rsidRPr="0006580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dhëna nga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performanca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>, monitorimi dhe zbatimi i aspekteve të veçanta të integritetit në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bashki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. Grupi i Punës vijoi me identifikimin dhe analizimin e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integritetit dhe faktorëve të tyre, për proceset e punës në fushat funksionale të bashkisë. 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>Me q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>llim mbledhjen e t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dhëna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ve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cilësore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4C73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u zhvilluan </w:t>
      </w:r>
      <w:r w:rsidR="003E60DD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7 </w:t>
      </w:r>
      <w:r w:rsidR="002C67C7" w:rsidRPr="0006580C">
        <w:rPr>
          <w:rFonts w:ascii="Times New Roman" w:hAnsi="Times New Roman" w:cs="Times New Roman"/>
          <w:sz w:val="24"/>
          <w:szCs w:val="24"/>
          <w:lang w:val="sq-AL"/>
        </w:rPr>
        <w:t>grupe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67C7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fokusuara me punonjësit e bashkisë</w:t>
      </w:r>
      <w:r w:rsidR="003E60DD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sipas fushave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 ve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>primtaris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>bashkis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C65FFC" w:rsidRPr="0006580C">
        <w:rPr>
          <w:rFonts w:ascii="Times New Roman" w:hAnsi="Times New Roman" w:cs="Times New Roman"/>
          <w:sz w:val="24"/>
          <w:szCs w:val="24"/>
          <w:lang w:val="sq-AL"/>
        </w:rPr>
        <w:t>Në këtë fazë, punonjësit e administratës plotësuan</w:t>
      </w:r>
      <w:r w:rsidR="007C7E3A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edhe</w:t>
      </w:r>
      <w:r w:rsidR="00C65FF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një pyetësor </w:t>
      </w:r>
      <w:r w:rsidR="007304E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elektronik </w:t>
      </w:r>
      <w:r w:rsidR="00C65FFC" w:rsidRPr="0006580C">
        <w:rPr>
          <w:rFonts w:ascii="Times New Roman" w:hAnsi="Times New Roman" w:cs="Times New Roman"/>
          <w:sz w:val="24"/>
          <w:szCs w:val="24"/>
          <w:lang w:val="sq-AL"/>
        </w:rPr>
        <w:t>në mënyrë anonime, për të siguruar të dhëna dhe informacione për vlerësimin e sistemit të menaxhimit të integritetit.</w:t>
      </w:r>
    </w:p>
    <w:p w14:paraId="6F0970A3" w14:textId="77777777" w:rsidR="002052FA" w:rsidRPr="0006580C" w:rsidRDefault="002052FA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83310FA" w14:textId="77777777" w:rsidR="002052FA" w:rsidRPr="0006580C" w:rsidRDefault="002052FA" w:rsidP="008D2AB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</w:pPr>
      <w:r w:rsidRPr="0006580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Faza 3: </w:t>
      </w:r>
      <w:r w:rsidR="00BE2678" w:rsidRPr="0006580C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Vlerësimi i risqeve të integritetit</w:t>
      </w:r>
    </w:p>
    <w:p w14:paraId="3A1F3916" w14:textId="07D82289" w:rsidR="008D2ABC" w:rsidRPr="0006580C" w:rsidRDefault="00BE2678" w:rsidP="004849B2">
      <w:pPr>
        <w:pStyle w:val="NormalWeb"/>
        <w:jc w:val="both"/>
        <w:rPr>
          <w:b/>
          <w:bCs/>
          <w:bdr w:val="none" w:sz="0" w:space="0" w:color="auto" w:frame="1"/>
          <w:lang w:val="sq-AL"/>
        </w:rPr>
      </w:pPr>
      <w:r w:rsidRPr="0006580C">
        <w:rPr>
          <w:lang w:val="it-IT"/>
        </w:rPr>
        <w:t>Grupi i Pun</w:t>
      </w:r>
      <w:r w:rsidR="00B5222C" w:rsidRPr="0006580C">
        <w:rPr>
          <w:lang w:val="it-IT"/>
        </w:rPr>
        <w:t>ë</w:t>
      </w:r>
      <w:r w:rsidRPr="0006580C">
        <w:rPr>
          <w:lang w:val="it-IT"/>
        </w:rPr>
        <w:t>s n</w:t>
      </w:r>
      <w:r w:rsidR="00B5222C" w:rsidRPr="0006580C">
        <w:rPr>
          <w:lang w:val="it-IT"/>
        </w:rPr>
        <w:t>ë</w:t>
      </w:r>
      <w:r w:rsidRPr="0006580C">
        <w:rPr>
          <w:lang w:val="it-IT"/>
        </w:rPr>
        <w:t xml:space="preserve"> bashk</w:t>
      </w:r>
      <w:r w:rsidR="00B5222C" w:rsidRPr="0006580C">
        <w:rPr>
          <w:lang w:val="it-IT"/>
        </w:rPr>
        <w:t>ë</w:t>
      </w:r>
      <w:r w:rsidRPr="0006580C">
        <w:rPr>
          <w:lang w:val="it-IT"/>
        </w:rPr>
        <w:t>punim m</w:t>
      </w:r>
      <w:r w:rsidR="00B5222C" w:rsidRPr="0006580C">
        <w:rPr>
          <w:lang w:val="it-IT"/>
        </w:rPr>
        <w:t>ë</w:t>
      </w:r>
      <w:r w:rsidRPr="0006580C">
        <w:rPr>
          <w:lang w:val="it-IT"/>
        </w:rPr>
        <w:t xml:space="preserve"> ekspert</w:t>
      </w:r>
      <w:r w:rsidR="00B5222C" w:rsidRPr="0006580C">
        <w:rPr>
          <w:lang w:val="it-IT"/>
        </w:rPr>
        <w:t>ë</w:t>
      </w:r>
      <w:r w:rsidRPr="0006580C">
        <w:rPr>
          <w:lang w:val="it-IT"/>
        </w:rPr>
        <w:t>t e IDM</w:t>
      </w:r>
      <w:r w:rsidR="00E51574" w:rsidRPr="0006580C">
        <w:t>-s</w:t>
      </w:r>
      <w:r w:rsidR="00E51574" w:rsidRPr="0006580C">
        <w:rPr>
          <w:lang w:val="sq-AL"/>
        </w:rPr>
        <w:t>ë</w:t>
      </w:r>
      <w:r w:rsidR="00E51574" w:rsidRPr="0006580C">
        <w:t>,</w:t>
      </w:r>
      <w:r w:rsidRPr="0006580C">
        <w:rPr>
          <w:lang w:val="it-IT"/>
        </w:rPr>
        <w:t xml:space="preserve"> bëri vlerësimin e risqeve të integritetit</w:t>
      </w:r>
      <w:r w:rsidR="00E51574" w:rsidRPr="0006580C">
        <w:t xml:space="preserve">, </w:t>
      </w:r>
      <w:r w:rsidRPr="0006580C">
        <w:rPr>
          <w:lang w:val="it-IT"/>
        </w:rPr>
        <w:t xml:space="preserve">duke marrë në konsideratë mundësinë e ndodhjes apo shfaqjes së risqeve </w:t>
      </w:r>
      <w:r w:rsidR="00FB3358" w:rsidRPr="0006580C">
        <w:rPr>
          <w:lang w:val="it-IT"/>
        </w:rPr>
        <w:t>ap</w:t>
      </w:r>
      <w:r w:rsidR="008A181F" w:rsidRPr="0006580C">
        <w:rPr>
          <w:lang w:val="it-IT"/>
        </w:rPr>
        <w:t>o</w:t>
      </w:r>
      <w:r w:rsidR="00FB3358" w:rsidRPr="0006580C">
        <w:rPr>
          <w:lang w:val="it-IT"/>
        </w:rPr>
        <w:t xml:space="preserve"> ngjarjeve negative t</w:t>
      </w:r>
      <w:r w:rsidR="008A181F" w:rsidRPr="0006580C">
        <w:rPr>
          <w:lang w:val="it-IT"/>
        </w:rPr>
        <w:t>ë</w:t>
      </w:r>
      <w:r w:rsidR="00FB3358" w:rsidRPr="0006580C">
        <w:rPr>
          <w:lang w:val="it-IT"/>
        </w:rPr>
        <w:t xml:space="preserve"> analizuara</w:t>
      </w:r>
      <w:r w:rsidR="00E51574" w:rsidRPr="0006580C">
        <w:t>,</w:t>
      </w:r>
      <w:r w:rsidR="00FB3358" w:rsidRPr="0006580C">
        <w:rPr>
          <w:lang w:val="it-IT"/>
        </w:rPr>
        <w:t xml:space="preserve"> </w:t>
      </w:r>
      <w:r w:rsidRPr="0006580C">
        <w:rPr>
          <w:lang w:val="it-IT"/>
        </w:rPr>
        <w:t xml:space="preserve">si dhe impaktin e tyre në integritetin e bashkisë. </w:t>
      </w:r>
      <w:r w:rsidR="00FB3358" w:rsidRPr="0006580C">
        <w:rPr>
          <w:lang w:val="it-IT"/>
        </w:rPr>
        <w:t xml:space="preserve">Procesi vijoi me renditjen e </w:t>
      </w:r>
      <w:r w:rsidRPr="0006580C">
        <w:rPr>
          <w:lang w:val="it-IT"/>
        </w:rPr>
        <w:t>risq</w:t>
      </w:r>
      <w:r w:rsidR="00FB3358" w:rsidRPr="0006580C">
        <w:rPr>
          <w:lang w:val="it-IT"/>
        </w:rPr>
        <w:t>eve</w:t>
      </w:r>
      <w:r w:rsidRPr="0006580C">
        <w:rPr>
          <w:lang w:val="it-IT"/>
        </w:rPr>
        <w:t xml:space="preserve"> sipas prioritetit.</w:t>
      </w:r>
    </w:p>
    <w:p w14:paraId="5ADDDAE8" w14:textId="1AAA17B2" w:rsidR="008D2ABC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Faza </w:t>
      </w:r>
      <w:r w:rsidR="004F612E" w:rsidRPr="0006580C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Pr="0006580C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: Plani i masave për menaxhimin e integritetit </w:t>
      </w:r>
    </w:p>
    <w:p w14:paraId="0C23CEED" w14:textId="77777777" w:rsidR="008D2ABC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4C60900" w14:textId="5FADE0C9" w:rsidR="00FB3358" w:rsidRPr="0006580C" w:rsidRDefault="008D2ABC" w:rsidP="00FB3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Grupi i punës hartoi planin e veprimit për menaxhimin e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integritetit në institucion, i cili përfshiu masa të reja kontrolli apo përmirësimin e masave ekzistuese. 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Analiza e realizuar në fazën e mësipërme diktoi nevojën për të përmirësuar kuadrin rregullator të brendshëm dhe marrjen e masave për zhvillimin e burimeve njerëzore të bashkisë përmes: forcimit të njësisë së sinjalizuesve, njohjes dhe zbatimit të rregullave për konfliktin e interesit dhe të etikës, </w:t>
      </w:r>
      <w:proofErr w:type="spellStart"/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>aksesit</w:t>
      </w:r>
      <w:proofErr w:type="spellEnd"/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në informacionin publik dhe konsultimin publik.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Masat përshkruajnë aktivitetet që duhet të zbatohen për zvogëlimin apo eliminimin e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integritetit, afatet kohore dhe </w:t>
      </w:r>
      <w:r w:rsidR="00851D66" w:rsidRPr="0006580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1D66" w:rsidRPr="0006580C">
        <w:rPr>
          <w:rFonts w:ascii="Times New Roman" w:hAnsi="Times New Roman" w:cs="Times New Roman"/>
          <w:sz w:val="24"/>
          <w:szCs w:val="24"/>
          <w:lang w:val="sq-AL"/>
        </w:rPr>
        <w:t>sit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602B5" w:rsidRPr="0006580C">
        <w:rPr>
          <w:rFonts w:ascii="Times New Roman" w:hAnsi="Times New Roman" w:cs="Times New Roman"/>
          <w:sz w:val="24"/>
          <w:szCs w:val="24"/>
          <w:lang w:val="sq-AL"/>
        </w:rPr>
        <w:t>/drejtorit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602B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1D66" w:rsidRPr="0006580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1D66" w:rsidRPr="0006580C">
        <w:rPr>
          <w:rFonts w:ascii="Times New Roman" w:hAnsi="Times New Roman" w:cs="Times New Roman"/>
          <w:sz w:val="24"/>
          <w:szCs w:val="24"/>
          <w:lang w:val="sq-AL"/>
        </w:rPr>
        <w:t>rgjegj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1D66" w:rsidRPr="0006580C">
        <w:rPr>
          <w:rFonts w:ascii="Times New Roman" w:hAnsi="Times New Roman" w:cs="Times New Roman"/>
          <w:sz w:val="24"/>
          <w:szCs w:val="24"/>
          <w:lang w:val="sq-AL"/>
        </w:rPr>
        <w:t>se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zbatimin e tyre.</w:t>
      </w:r>
    </w:p>
    <w:p w14:paraId="4C5439F6" w14:textId="77777777" w:rsidR="00FB3358" w:rsidRPr="0006580C" w:rsidRDefault="00FB3358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64080F6" w14:textId="15A08F39" w:rsidR="008D2ABC" w:rsidRPr="0006580C" w:rsidRDefault="00E93298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>Pas miratimit nga K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shilli Bashkiak, Plani i Integritetit 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611D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zbatuesh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m p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r bashkin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r periudh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n 2022-2025.</w:t>
      </w:r>
    </w:p>
    <w:p w14:paraId="03A03B1B" w14:textId="77777777" w:rsidR="008D2ABC" w:rsidRPr="0006580C" w:rsidRDefault="008D2ABC" w:rsidP="008D2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35083734" w14:textId="77777777" w:rsidR="00892551" w:rsidRPr="0006580C" w:rsidRDefault="00892551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73A88CE" w14:textId="77777777" w:rsidR="00892551" w:rsidRPr="0006580C" w:rsidRDefault="00892551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EAA32D8" w14:textId="77777777" w:rsidR="008D2ABC" w:rsidRPr="0006580C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1.2 </w:t>
      </w:r>
      <w:r w:rsidR="00892551" w:rsidRPr="0006580C">
        <w:rPr>
          <w:rFonts w:ascii="Times New Roman" w:hAnsi="Times New Roman" w:cs="Times New Roman"/>
          <w:b/>
          <w:sz w:val="24"/>
          <w:szCs w:val="24"/>
          <w:lang w:val="sq-AL"/>
        </w:rPr>
        <w:t>Qasja M</w:t>
      </w:r>
      <w:r w:rsidRPr="0006580C">
        <w:rPr>
          <w:rFonts w:ascii="Times New Roman" w:hAnsi="Times New Roman" w:cs="Times New Roman"/>
          <w:b/>
          <w:sz w:val="24"/>
          <w:szCs w:val="24"/>
          <w:lang w:val="sq-AL"/>
        </w:rPr>
        <w:t>etodologji</w:t>
      </w:r>
      <w:r w:rsidR="00892551" w:rsidRPr="0006580C">
        <w:rPr>
          <w:rFonts w:ascii="Times New Roman" w:hAnsi="Times New Roman" w:cs="Times New Roman"/>
          <w:b/>
          <w:sz w:val="24"/>
          <w:szCs w:val="24"/>
          <w:lang w:val="sq-AL"/>
        </w:rPr>
        <w:t>ke</w:t>
      </w:r>
    </w:p>
    <w:p w14:paraId="326D3B59" w14:textId="77777777" w:rsidR="008D2ABC" w:rsidRPr="0006580C" w:rsidRDefault="008D2ABC" w:rsidP="008D2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38A859F" w14:textId="40B885CF" w:rsidR="0052727F" w:rsidRPr="0006580C" w:rsidRDefault="0052727F" w:rsidP="0052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Grupi i punës, në procesin e zhvillimit të planit të integritetit, ka zbatuar dy metoda kryesore për të analizuar dhe vlerësuar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727907" w:rsidRPr="0006580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nueshmërinë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integritetit: metoda cilësore dhe ajo sasiore. Hapi i parë ka qenë zhvillimi i një sesioni trajnues me grupin e punës dhe punonjësit e bashkisë, për metodologjinë e vlerësimit të integritetit për njësitë e vetëqeverisjes vendore. Këtu përfshihet edhe analiza e </w:t>
      </w:r>
      <w:r w:rsidR="0036567D" w:rsidRPr="0006580C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uadrit të </w:t>
      </w:r>
      <w:r w:rsidR="0036567D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brendshëm rregullator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="0036567D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strategjik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36567D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bashkisë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(shqyrtim literature), e cila përfshin: urdhra, manuale, strategji apo dokumente politikash, rregullore dhe akte të brendshme. Gjithashtu, u hulumtuan raporte të ndryshme mbi veprimtarinë e bashkisë. Në vijim, është kryer analizimi i të dhënave nga grupet e fokusuara me stafin e bashkisë</w:t>
      </w:r>
      <w:r w:rsidR="00FF51D6" w:rsidRPr="0006580C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F51D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cilat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shërbyen për të identifikuar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dhe analizuar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ngjarje negative në realizimin e proceseve të punës, praktika pune dhe funksione të cilat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janё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tё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ekspozuara ndaj shkeljeve të integritetit, sjellje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joetike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joprofesionale dhe parregullsi të tjera.</w:t>
      </w:r>
    </w:p>
    <w:p w14:paraId="1434F8C2" w14:textId="77777777" w:rsidR="0052727F" w:rsidRPr="0006580C" w:rsidRDefault="0052727F" w:rsidP="0052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0D9E251" w14:textId="3328F405" w:rsidR="0052727F" w:rsidRPr="0006580C" w:rsidRDefault="0052727F" w:rsidP="0052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Metoda tjetër e përdorur ishte ajo sasiore, përmes vlerësimit me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anё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tё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njё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pyetësori të strukturuar që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pë</w:t>
      </w:r>
      <w:proofErr w:type="spellEnd"/>
      <w:r w:rsidR="005F4D6C" w:rsidRPr="0006580C">
        <w:rPr>
          <w:rFonts w:ascii="Times New Roman" w:hAnsi="Times New Roman" w:cs="Times New Roman"/>
          <w:sz w:val="24"/>
          <w:szCs w:val="24"/>
        </w:rPr>
        <w:t>r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fshinte pyetje mbi çështje të veçanta të integritetit dhe etikës në 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>bashki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. Pyetësori është një mjet shumë i rëndësishëm për mbledhjen e të dhënave të sakta</w:t>
      </w:r>
      <w:r w:rsidR="00E51574" w:rsidRPr="0006580C">
        <w:rPr>
          <w:rFonts w:ascii="Times New Roman" w:hAnsi="Times New Roman" w:cs="Times New Roman"/>
          <w:sz w:val="24"/>
          <w:szCs w:val="24"/>
        </w:rPr>
        <w:t>,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aspekte të veçanta të integritetit në bashki. Këtij pyetësori punonjësit e bashkisë iu përgjigjën në mënyrë anonime</w:t>
      </w:r>
      <w:r w:rsidR="00FB3358" w:rsidRPr="0006580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1CC14CB" w14:textId="77777777" w:rsidR="00FB3358" w:rsidRPr="0006580C" w:rsidRDefault="00FB3358" w:rsidP="0052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E85EE0" w14:textId="4E61C608" w:rsidR="008D2ABC" w:rsidRPr="0006580C" w:rsidRDefault="0052727F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Anketimi përfshiu një kampion me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43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punonjës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me një nivel besueshmërie statistikor 95%. Shkalla e vlerësuar e gabimit është +/- 6.3 %. Kampioni përfshiu një shpërndarje të gjerë në lidhje me gjininë, moshën dhe vjetërsinë në punë. Të anketuarit meshkuj përbëjnë 44.2% të kampionit krahasuar me punonjëset gra që janë 55.8%.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Punonjësit e moshës 26-35 vjeç kanë përqindjen më të madhe në kampion me </w:t>
      </w:r>
      <w:r w:rsidR="009C6F2C" w:rsidRPr="0006580C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3.5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%.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Mosha e të anketuarve është relativisht e re pasi edhe grup</w:t>
      </w:r>
      <w:r w:rsidR="00E51574" w:rsidRPr="0006580C">
        <w:rPr>
          <w:rFonts w:ascii="Times New Roman" w:hAnsi="Times New Roman" w:cs="Times New Roman"/>
          <w:sz w:val="24"/>
          <w:szCs w:val="24"/>
        </w:rPr>
        <w:t>-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mosha deri 25 vjeç përbën 20.9% të kampionit. </w:t>
      </w:r>
      <w:r w:rsidR="009E6F71" w:rsidRPr="0006580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6959CA" w:rsidRPr="0006580C">
        <w:rPr>
          <w:rFonts w:ascii="Times New Roman" w:hAnsi="Times New Roman" w:cs="Times New Roman"/>
          <w:sz w:val="24"/>
          <w:szCs w:val="24"/>
          <w:lang w:val="sq-AL"/>
        </w:rPr>
        <w:t>anketuarit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në moshë 36-45 vjeç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dhe 46-55 vjeç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përbëjnë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përkatësisht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11.6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për secilën grup</w:t>
      </w:r>
      <w:r w:rsidR="00E51574" w:rsidRPr="0006580C">
        <w:rPr>
          <w:rFonts w:ascii="Times New Roman" w:hAnsi="Times New Roman" w:cs="Times New Roman"/>
          <w:sz w:val="24"/>
          <w:szCs w:val="24"/>
        </w:rPr>
        <w:t>-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moshë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të kampionit. Në përgjithësi, të anketuarit me më pak përvojë pune, (kategoria më pak se 5 vite pune), përbëjnë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67.4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% të kampionit. Ndërkohë që kategoria me vjetërsi 5-10 vite pune përbën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23.3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% të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të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anketuarve në bashki dhe ata me 11-20 vite pune përbëjnë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%. Kategori</w:t>
      </w:r>
      <w:r w:rsidR="009657BA" w:rsidRPr="0006580C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punonjësve me mbi 30 vite pune përbën </w:t>
      </w:r>
      <w:r w:rsidR="000B2A37" w:rsidRPr="0006580C">
        <w:rPr>
          <w:rFonts w:ascii="Times New Roman" w:hAnsi="Times New Roman" w:cs="Times New Roman"/>
          <w:sz w:val="24"/>
          <w:szCs w:val="24"/>
          <w:lang w:val="sq-AL"/>
        </w:rPr>
        <w:t>2.3</w:t>
      </w:r>
      <w:r w:rsidR="009657BA" w:rsidRPr="0006580C">
        <w:rPr>
          <w:rFonts w:ascii="Times New Roman" w:hAnsi="Times New Roman" w:cs="Times New Roman"/>
          <w:sz w:val="24"/>
          <w:szCs w:val="24"/>
          <w:lang w:val="sq-AL"/>
        </w:rPr>
        <w:t>%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kampionit.</w:t>
      </w:r>
    </w:p>
    <w:p w14:paraId="7513E609" w14:textId="77777777" w:rsidR="00892551" w:rsidRPr="0006580C" w:rsidRDefault="00892551" w:rsidP="008D2ABC">
      <w:pPr>
        <w:spacing w:after="0" w:line="240" w:lineRule="auto"/>
        <w:jc w:val="both"/>
        <w:rPr>
          <w:lang w:val="sq-AL"/>
        </w:rPr>
      </w:pPr>
    </w:p>
    <w:p w14:paraId="27790565" w14:textId="2F2016F7" w:rsidR="008D2ABC" w:rsidRPr="0006580C" w:rsidRDefault="008D2ABC" w:rsidP="000860B4">
      <w:pPr>
        <w:pStyle w:val="NormalWeb"/>
        <w:numPr>
          <w:ilvl w:val="0"/>
          <w:numId w:val="1"/>
        </w:numPr>
        <w:spacing w:after="0"/>
        <w:rPr>
          <w:lang w:val="sq-AL"/>
        </w:rPr>
      </w:pPr>
      <w:r w:rsidRPr="0006580C">
        <w:rPr>
          <w:rFonts w:eastAsiaTheme="minorHAnsi"/>
          <w:b/>
          <w:lang w:val="sq-AL"/>
        </w:rPr>
        <w:t xml:space="preserve">Objektivat e identifikuara dhe niveli i përgjithshëm i </w:t>
      </w:r>
      <w:proofErr w:type="spellStart"/>
      <w:r w:rsidRPr="0006580C">
        <w:rPr>
          <w:rFonts w:eastAsiaTheme="minorHAnsi"/>
          <w:b/>
          <w:lang w:val="sq-AL"/>
        </w:rPr>
        <w:t>c</w:t>
      </w:r>
      <w:r w:rsidR="004A71DD" w:rsidRPr="0006580C">
        <w:rPr>
          <w:rFonts w:eastAsiaTheme="minorHAnsi"/>
          <w:b/>
          <w:lang w:val="sq-AL"/>
        </w:rPr>
        <w:t>e</w:t>
      </w:r>
      <w:r w:rsidRPr="0006580C">
        <w:rPr>
          <w:rFonts w:eastAsiaTheme="minorHAnsi"/>
          <w:b/>
          <w:lang w:val="sq-AL"/>
        </w:rPr>
        <w:t>nueshmërisë</w:t>
      </w:r>
      <w:proofErr w:type="spellEnd"/>
      <w:r w:rsidRPr="0006580C">
        <w:rPr>
          <w:rFonts w:eastAsiaTheme="minorHAnsi"/>
          <w:b/>
          <w:lang w:val="sq-AL"/>
        </w:rPr>
        <w:t xml:space="preserve"> së integriteti</w:t>
      </w:r>
      <w:r w:rsidR="00CC42E9" w:rsidRPr="0006580C">
        <w:rPr>
          <w:rFonts w:eastAsiaTheme="minorHAnsi"/>
          <w:b/>
          <w:lang w:val="sq-AL"/>
        </w:rPr>
        <w:t>t</w:t>
      </w:r>
    </w:p>
    <w:p w14:paraId="67AEBC77" w14:textId="77777777" w:rsidR="002B2DC6" w:rsidRPr="0006580C" w:rsidRDefault="002B2DC6" w:rsidP="002A362D">
      <w:pPr>
        <w:pStyle w:val="NormalWeb"/>
        <w:spacing w:after="0"/>
        <w:rPr>
          <w:lang w:val="sq-AL"/>
        </w:rPr>
      </w:pPr>
    </w:p>
    <w:p w14:paraId="68D0BFE4" w14:textId="77777777" w:rsidR="008D2ABC" w:rsidRPr="0006580C" w:rsidRDefault="008D2ABC" w:rsidP="000860B4">
      <w:pPr>
        <w:pStyle w:val="NormalWeb"/>
        <w:numPr>
          <w:ilvl w:val="1"/>
          <w:numId w:val="1"/>
        </w:numPr>
        <w:rPr>
          <w:i/>
          <w:lang w:val="sq-AL"/>
        </w:rPr>
      </w:pPr>
      <w:r w:rsidRPr="0006580C">
        <w:rPr>
          <w:i/>
          <w:lang w:val="sq-AL"/>
        </w:rPr>
        <w:t>Forcimi i kuadrit të brendshëm rregullator në aspekte të veç</w:t>
      </w:r>
      <w:r w:rsidR="00942A1F" w:rsidRPr="0006580C">
        <w:rPr>
          <w:i/>
          <w:lang w:val="sq-AL"/>
        </w:rPr>
        <w:t>anta të etikës dhe integritetit</w:t>
      </w:r>
    </w:p>
    <w:p w14:paraId="2B5E839E" w14:textId="43DE92CA" w:rsidR="00883FFD" w:rsidRPr="0006580C" w:rsidRDefault="00C514F9" w:rsidP="008D2A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>Ky objektiv synon forcimin e kuadrit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m rregullator n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rmjet rishikimit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dokumenteve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brendshme aktuale apo miratimit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dokumenteve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r</w:t>
      </w:r>
      <w:proofErr w:type="spellStart"/>
      <w:r w:rsidR="004323D5" w:rsidRPr="0006580C">
        <w:rPr>
          <w:rFonts w:ascii="Times New Roman" w:hAnsi="Times New Roman" w:cs="Times New Roman"/>
          <w:sz w:val="24"/>
          <w:szCs w:val="24"/>
        </w:rPr>
        <w:t>eja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>, p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r adresimin e aspekteve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veç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anta 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etik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s dhe integritetit. 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Bashkia e </w:t>
      </w:r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Hasit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ka hartuar dhe miratuar 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rregulla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aspekte të veçanta të integritetit, të tilla si</w:t>
      </w:r>
      <w:r w:rsidR="004A71DD" w:rsidRPr="0006580C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23D5" w:rsidRPr="0006580C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>regullore</w:t>
      </w:r>
      <w:proofErr w:type="spellEnd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4323D5" w:rsidRPr="0006580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>rendshme</w:t>
      </w:r>
      <w:proofErr w:type="spellEnd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4323D5" w:rsidRPr="0006580C">
        <w:rPr>
          <w:rFonts w:ascii="Times New Roman" w:hAnsi="Times New Roman" w:cs="Times New Roman"/>
          <w:sz w:val="24"/>
          <w:szCs w:val="24"/>
        </w:rPr>
        <w:t>B</w:t>
      </w:r>
      <w:proofErr w:type="spellStart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>ashkisë</w:t>
      </w:r>
      <w:proofErr w:type="spellEnd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323D5" w:rsidRPr="0006580C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>regullore</w:t>
      </w:r>
      <w:proofErr w:type="spellEnd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23D5" w:rsidRPr="0006580C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>tikën</w:t>
      </w:r>
      <w:proofErr w:type="spellEnd"/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23D5" w:rsidRPr="0006580C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>regull</w:t>
      </w:r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>ore</w:t>
      </w:r>
      <w:proofErr w:type="spellEnd"/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4323D5" w:rsidRPr="0006580C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>onfliktin</w:t>
      </w:r>
      <w:proofErr w:type="spellEnd"/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4323D5" w:rsidRPr="0006580C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>nteresit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323D5" w:rsidRPr="0006580C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regullore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4323D5" w:rsidRPr="0006580C">
        <w:rPr>
          <w:rFonts w:ascii="Times New Roman" w:hAnsi="Times New Roman" w:cs="Times New Roman"/>
          <w:sz w:val="24"/>
          <w:szCs w:val="24"/>
        </w:rPr>
        <w:t>M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brojtjen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të </w:t>
      </w:r>
      <w:r w:rsidR="004323D5" w:rsidRPr="0006580C">
        <w:rPr>
          <w:rFonts w:ascii="Times New Roman" w:hAnsi="Times New Roman" w:cs="Times New Roman"/>
          <w:sz w:val="24"/>
          <w:szCs w:val="24"/>
        </w:rPr>
        <w:t>D</w:t>
      </w:r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hënave </w:t>
      </w:r>
      <w:r w:rsidR="004323D5" w:rsidRPr="0006580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ersonale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4754C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si dhe ka </w:t>
      </w:r>
      <w:proofErr w:type="spellStart"/>
      <w:r w:rsidR="004754C0" w:rsidRPr="0006580C">
        <w:rPr>
          <w:rFonts w:ascii="Times New Roman" w:hAnsi="Times New Roman" w:cs="Times New Roman"/>
          <w:sz w:val="24"/>
          <w:szCs w:val="24"/>
          <w:lang w:val="sq-AL"/>
        </w:rPr>
        <w:t>draftuar</w:t>
      </w:r>
      <w:proofErr w:type="spellEnd"/>
      <w:r w:rsidR="004754C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23D5" w:rsidRPr="0006580C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regullore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4323D5" w:rsidRPr="0006580C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etimin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323D5" w:rsidRPr="0006580C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dministrativ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4323D5" w:rsidRPr="0006580C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ërkesës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4323D5" w:rsidRPr="0006580C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injalizuesit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4323D5" w:rsidRPr="0006580C">
        <w:rPr>
          <w:rFonts w:ascii="Times New Roman" w:hAnsi="Times New Roman" w:cs="Times New Roman"/>
          <w:sz w:val="24"/>
          <w:szCs w:val="24"/>
        </w:rPr>
        <w:t>M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brojtje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4323D5" w:rsidRPr="0006580C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akmarrja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në Njësinë Përgjegjëse për </w:t>
      </w:r>
      <w:r w:rsidR="004323D5" w:rsidRPr="0006580C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injalizimin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4323D5" w:rsidRPr="0006580C">
        <w:rPr>
          <w:rFonts w:ascii="Times New Roman" w:hAnsi="Times New Roman" w:cs="Times New Roman"/>
          <w:sz w:val="24"/>
          <w:szCs w:val="24"/>
        </w:rPr>
        <w:t>M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brojtjen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4323D5" w:rsidRPr="0006580C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injalizuesve</w:t>
      </w:r>
      <w:proofErr w:type="spellEnd"/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Megjithatë, rishikimi i kuadrit rregullator është i nevojshëm për të </w:t>
      </w:r>
      <w:r w:rsidR="00273C39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siguruar 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një kuadër rregullator efektiv, duke shtuar dispozita të caktuara, kryesisht ato që lidhen me aspektet dhe çështjet e integritetit, 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lastRenderedPageBreak/>
        <w:t>përditësimit me n</w:t>
      </w:r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>dryshimet më të fundit ligjore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, si edhe </w:t>
      </w:r>
      <w:r w:rsidR="009B16B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pasqyrimit </w:t>
      </w:r>
      <w:r w:rsidR="008D2ABC" w:rsidRPr="0006580C">
        <w:rPr>
          <w:rFonts w:ascii="Times New Roman" w:hAnsi="Times New Roman" w:cs="Times New Roman"/>
          <w:sz w:val="24"/>
          <w:szCs w:val="24"/>
          <w:lang w:val="sq-AL"/>
        </w:rPr>
        <w:t>të ndryshimeve që ka pësuar struktura institucionale.</w:t>
      </w:r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Gjithashtu, lind nevoja e </w:t>
      </w:r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ngritje</w:t>
      </w:r>
      <w:r w:rsidR="00D5682F" w:rsidRPr="0006580C">
        <w:rPr>
          <w:rFonts w:ascii="Times New Roman" w:hAnsi="Times New Roman" w:cs="Times New Roman"/>
          <w:sz w:val="24"/>
          <w:szCs w:val="24"/>
        </w:rPr>
        <w:t>s</w:t>
      </w:r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D5682F" w:rsidRPr="0006580C">
        <w:rPr>
          <w:rFonts w:ascii="Times New Roman" w:hAnsi="Times New Roman" w:cs="Times New Roman"/>
          <w:sz w:val="24"/>
          <w:szCs w:val="24"/>
        </w:rPr>
        <w:t>N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jësisë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D5682F" w:rsidRPr="0006580C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injalizimin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D5682F" w:rsidRPr="0006580C">
        <w:rPr>
          <w:rFonts w:ascii="Times New Roman" w:hAnsi="Times New Roman" w:cs="Times New Roman"/>
          <w:sz w:val="24"/>
          <w:szCs w:val="24"/>
        </w:rPr>
        <w:t>M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brojtjen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D5682F" w:rsidRPr="0006580C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injalizuesve</w:t>
      </w:r>
      <w:proofErr w:type="spellEnd"/>
      <w:r w:rsidR="00D5682F" w:rsidRPr="0006580C">
        <w:rPr>
          <w:rFonts w:ascii="Times New Roman" w:hAnsi="Times New Roman" w:cs="Times New Roman"/>
          <w:sz w:val="24"/>
          <w:szCs w:val="24"/>
        </w:rPr>
        <w:t>,</w:t>
      </w:r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cila do ta b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nte 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zbatueshme </w:t>
      </w:r>
      <w:r w:rsidR="00D5682F" w:rsidRPr="0006580C">
        <w:rPr>
          <w:rFonts w:ascii="Times New Roman" w:hAnsi="Times New Roman" w:cs="Times New Roman"/>
          <w:sz w:val="24"/>
          <w:szCs w:val="24"/>
        </w:rPr>
        <w:t>R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regulloren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</w:t>
      </w:r>
      <w:r w:rsidR="00D5682F" w:rsidRPr="0006580C">
        <w:rPr>
          <w:rFonts w:ascii="Times New Roman" w:hAnsi="Times New Roman" w:cs="Times New Roman"/>
          <w:sz w:val="24"/>
          <w:szCs w:val="24"/>
        </w:rPr>
        <w:t>H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etimin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682F" w:rsidRPr="0006580C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dministrativ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D5682F" w:rsidRPr="0006580C">
        <w:rPr>
          <w:rFonts w:ascii="Times New Roman" w:hAnsi="Times New Roman" w:cs="Times New Roman"/>
          <w:sz w:val="24"/>
          <w:szCs w:val="24"/>
        </w:rPr>
        <w:t>K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ërkesës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D5682F" w:rsidRPr="0006580C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>injalizuesit</w:t>
      </w:r>
      <w:proofErr w:type="spellEnd"/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mbrojtje nga hakmarrja në Njësinë Përgjegjëse për sinjalizimin dhe mbrojtjen e sinjalizuesve, si dhe hartimi</w:t>
      </w:r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46A10" w:rsidRPr="0006580C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2B2DC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miratimi i</w:t>
      </w:r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rregullore</w:t>
      </w:r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725585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për hetimin administrativ të sinjalizimit dhe mbrojtjen e </w:t>
      </w:r>
      <w:proofErr w:type="spellStart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konfidencialitetit</w:t>
      </w:r>
      <w:proofErr w:type="spellEnd"/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sipas përshtatjes së modelit të ILDKPKI</w:t>
      </w:r>
      <w:r w:rsidR="00D5682F" w:rsidRPr="0006580C">
        <w:rPr>
          <w:rFonts w:ascii="Times New Roman" w:hAnsi="Times New Roman" w:cs="Times New Roman"/>
          <w:sz w:val="24"/>
          <w:szCs w:val="24"/>
        </w:rPr>
        <w:t>-s</w:t>
      </w:r>
      <w:r w:rsidR="00D5682F" w:rsidRPr="0006580C">
        <w:rPr>
          <w:lang w:val="sq-AL"/>
        </w:rPr>
        <w:t>ë</w:t>
      </w:r>
      <w:r w:rsidR="00333E00" w:rsidRPr="0006580C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Mbrojtja e sinjalizuesve është po aq e rëndësishme</w:t>
      </w:r>
      <w:r w:rsidR="00D5682F" w:rsidRPr="0006580C">
        <w:rPr>
          <w:rFonts w:ascii="Times New Roman" w:hAnsi="Times New Roman" w:cs="Times New Roman"/>
          <w:sz w:val="24"/>
          <w:szCs w:val="24"/>
        </w:rPr>
        <w:t>,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si mekanizëm efikas i mbikëqyrjes nga publiku. Promovimi i mbrojtjes së sinjalizuesve është me rëndësi madhore për një administratë publike cilësore, të paanshme, efektive që mbështetet dhe funksion</w:t>
      </w:r>
      <w:r w:rsidR="00D5682F" w:rsidRPr="0006580C">
        <w:rPr>
          <w:rFonts w:ascii="Times New Roman" w:hAnsi="Times New Roman" w:cs="Times New Roman"/>
          <w:sz w:val="24"/>
          <w:szCs w:val="24"/>
        </w:rPr>
        <w:t>on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sipas parimeve të integritetit dhe objektivitetit.</w:t>
      </w:r>
    </w:p>
    <w:p w14:paraId="63EC0C8D" w14:textId="6AB33811" w:rsidR="00552D01" w:rsidRPr="0006580C" w:rsidRDefault="00552D01" w:rsidP="00552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>Kuadri i brendshëm rregullator që mundëson standardet dhe normat e etikës e integritetit</w:t>
      </w:r>
      <w:r w:rsidR="00D5682F" w:rsidRPr="0006580C">
        <w:rPr>
          <w:rFonts w:ascii="Times New Roman" w:hAnsi="Times New Roman" w:cs="Times New Roman"/>
          <w:sz w:val="24"/>
          <w:szCs w:val="24"/>
        </w:rPr>
        <w:t>,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si dhe zhvillon burimet njerëzore për zbatimin e tyre</w:t>
      </w:r>
      <w:r w:rsidR="00D5682F" w:rsidRPr="0006580C">
        <w:rPr>
          <w:rFonts w:ascii="Times New Roman" w:hAnsi="Times New Roman" w:cs="Times New Roman"/>
          <w:sz w:val="24"/>
          <w:szCs w:val="24"/>
        </w:rPr>
        <w:t>,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është parakusht për të siguruar një administratë efikase, profesionale dhe me integritet. </w:t>
      </w:r>
    </w:p>
    <w:p w14:paraId="71AA7A5A" w14:textId="77777777" w:rsidR="001A41C1" w:rsidRPr="0006580C" w:rsidRDefault="001A41C1" w:rsidP="001A41C1">
      <w:pPr>
        <w:spacing w:line="240" w:lineRule="auto"/>
        <w:contextualSpacing/>
        <w:jc w:val="both"/>
        <w:rPr>
          <w:i/>
          <w:lang w:val="sq-AL"/>
        </w:rPr>
      </w:pPr>
    </w:p>
    <w:p w14:paraId="3424B593" w14:textId="77777777" w:rsidR="001A41C1" w:rsidRPr="0006580C" w:rsidRDefault="001A41C1" w:rsidP="000860B4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 xml:space="preserve">Menaxhimi dhe zhvillimi i burimeve njerëzore në bashki, për identifikimin dhe parandalimin </w:t>
      </w:r>
      <w:r w:rsidR="00A52895" w:rsidRPr="0006580C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 xml:space="preserve">e </w:t>
      </w:r>
      <w:proofErr w:type="spellStart"/>
      <w:r w:rsidRPr="0006580C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 xml:space="preserve"> të integritetit</w:t>
      </w:r>
    </w:p>
    <w:p w14:paraId="7F568B03" w14:textId="2E233688" w:rsidR="008D2ABC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Ky objektiv synon të forcojë mekanizmat </w:t>
      </w:r>
      <w:r w:rsidR="00942A1F" w:rsidRPr="0006580C">
        <w:rPr>
          <w:rFonts w:ascii="Times New Roman" w:hAnsi="Times New Roman" w:cs="Times New Roman"/>
          <w:sz w:val="24"/>
          <w:szCs w:val="24"/>
          <w:lang w:val="sq-AL"/>
        </w:rPr>
        <w:t>që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lidhen me garantimin e integritetit </w:t>
      </w:r>
      <w:r w:rsidR="00654BFA" w:rsidRPr="0006580C">
        <w:rPr>
          <w:rFonts w:ascii="Times New Roman" w:hAnsi="Times New Roman" w:cs="Times New Roman"/>
          <w:sz w:val="24"/>
          <w:szCs w:val="24"/>
          <w:lang w:val="sq-AL"/>
        </w:rPr>
        <w:t>duke p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54BFA" w:rsidRPr="0006580C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54BFA" w:rsidRPr="0006580C">
        <w:rPr>
          <w:rFonts w:ascii="Times New Roman" w:hAnsi="Times New Roman" w:cs="Times New Roman"/>
          <w:sz w:val="24"/>
          <w:szCs w:val="24"/>
          <w:lang w:val="sq-AL"/>
        </w:rPr>
        <w:t>suar menaxhimin dhe kapacitetet e burimeve njer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54BFA" w:rsidRPr="0006580C">
        <w:rPr>
          <w:rFonts w:ascii="Times New Roman" w:hAnsi="Times New Roman" w:cs="Times New Roman"/>
          <w:sz w:val="24"/>
          <w:szCs w:val="24"/>
          <w:lang w:val="sq-AL"/>
        </w:rPr>
        <w:t>zore t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54BFA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bashkis</w:t>
      </w:r>
      <w:r w:rsidR="00B5222C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angazhohet të zbatojë në mënyrë objektive Ligjin “Për shërbimin civil”, i cili ofron një kuadër të </w:t>
      </w:r>
      <w:proofErr w:type="spellStart"/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sigurt</w:t>
      </w:r>
      <w:r w:rsidR="0029792D" w:rsidRPr="0006580C">
        <w:rPr>
          <w:lang w:val="sq-AL"/>
        </w:rPr>
        <w:t>ë</w:t>
      </w:r>
      <w:proofErr w:type="spellEnd"/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ligjor për krijimin e një shërbimi civil profesional dhe të qëndrueshëm.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Përmirësimi i proceseve të menaxhimit të burimeve njerëzore në institucion, do të sigurojë kapacitete dhe aftësi të nevojshme për të zbatuar dhe konsoliduar mekanizmat garantues të integritetit në institucion</w:t>
      </w:r>
      <w:r w:rsidR="004A71DD" w:rsidRPr="0006580C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me qëllim </w:t>
      </w:r>
      <w:r w:rsidR="00D04E66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rritjen e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>profesionalizimit të personelit dhe zhvillimin në karrierë të zyrtarëve në përput</w:t>
      </w:r>
      <w:r w:rsidR="006411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hje me </w:t>
      </w:r>
      <w:proofErr w:type="spellStart"/>
      <w:r w:rsidR="00641158" w:rsidRPr="0006580C">
        <w:rPr>
          <w:rFonts w:ascii="Times New Roman" w:hAnsi="Times New Roman" w:cs="Times New Roman"/>
          <w:sz w:val="24"/>
          <w:szCs w:val="24"/>
          <w:lang w:val="sq-AL"/>
        </w:rPr>
        <w:t>performancën</w:t>
      </w:r>
      <w:proofErr w:type="spellEnd"/>
      <w:r w:rsidR="00641158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në punë.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Përpos k</w:t>
      </w:r>
      <w:r w:rsidR="008A181F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tyre p</w:t>
      </w:r>
      <w:r w:rsidR="008A181F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rmir</w:t>
      </w:r>
      <w:r w:rsidR="008A181F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simeve, n</w:t>
      </w:r>
      <w:r w:rsidR="008A181F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zbatimin e politikave të menaxhimit të burimeve njerëzore, do të bëhen përpjekje për t</w:t>
      </w:r>
      <w:r w:rsidR="002B2DC6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’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u udh</w:t>
      </w:r>
      <w:r w:rsidR="008A181F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hequr n</w:t>
      </w:r>
      <w:r w:rsidR="008A181F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bazë të parimeve  e mundësive të barabarta, </w:t>
      </w:r>
      <w:proofErr w:type="spellStart"/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mosdiskriminimit</w:t>
      </w:r>
      <w:proofErr w:type="spellEnd"/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proofErr w:type="spellStart"/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meritokracisë</w:t>
      </w:r>
      <w:proofErr w:type="spellEnd"/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, transparencës, profesionalizmit dhe që garantoj</w:t>
      </w:r>
      <w:r w:rsidR="0029792D" w:rsidRPr="0006580C">
        <w:rPr>
          <w:rFonts w:ascii="Times New Roman" w:eastAsia="Times New Roman" w:hAnsi="Times New Roman" w:cs="Times New Roman"/>
          <w:sz w:val="24"/>
          <w:szCs w:val="24"/>
        </w:rPr>
        <w:t>n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 qëndrueshmërinë e nëpunësve civilë si dhe</w:t>
      </w:r>
      <w:r w:rsidR="002B2DC6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vazhdimësinë e shërbimit civil në këtë institucio</w:t>
      </w:r>
      <w:r w:rsidR="002B2DC6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n.</w:t>
      </w:r>
    </w:p>
    <w:p w14:paraId="361FDE4A" w14:textId="77777777" w:rsidR="00552D01" w:rsidRPr="0006580C" w:rsidRDefault="00552D0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9F7B72" w14:textId="77777777" w:rsidR="004B1DC9" w:rsidRPr="0006580C" w:rsidRDefault="004B1DC9" w:rsidP="004B1DC9">
      <w:pPr>
        <w:pStyle w:val="NormalWeb"/>
        <w:spacing w:after="0"/>
        <w:rPr>
          <w:i/>
          <w:lang w:val="sq-AL"/>
        </w:rPr>
      </w:pPr>
      <w:r w:rsidRPr="0006580C">
        <w:rPr>
          <w:i/>
          <w:lang w:val="sq-AL"/>
        </w:rPr>
        <w:t>2.3  R</w:t>
      </w:r>
      <w:r w:rsidRPr="0006580C">
        <w:rPr>
          <w:rFonts w:eastAsiaTheme="minorEastAsia"/>
          <w:i/>
          <w:iCs/>
          <w:lang w:val="sq-AL"/>
        </w:rPr>
        <w:t>ritja e transparencës në ndarjen e të dhënave me publikun</w:t>
      </w:r>
      <w:r w:rsidRPr="0006580C">
        <w:rPr>
          <w:i/>
          <w:lang w:val="sq-AL"/>
        </w:rPr>
        <w:t xml:space="preserve">  </w:t>
      </w:r>
    </w:p>
    <w:p w14:paraId="244FB7F5" w14:textId="2519167A" w:rsidR="004B1DC9" w:rsidRPr="0006580C" w:rsidRDefault="004B1DC9" w:rsidP="00754A7C">
      <w:pPr>
        <w:pStyle w:val="NormalWeb"/>
        <w:spacing w:after="0"/>
        <w:jc w:val="both"/>
        <w:rPr>
          <w:lang w:val="sq-AL"/>
        </w:rPr>
      </w:pPr>
      <w:r w:rsidRPr="0006580C">
        <w:rPr>
          <w:lang w:val="sq-AL"/>
        </w:rPr>
        <w:t>Transparenca e bashkisë gjatë procesit të zbatimit të politikave vendore është shumë e rëndësishme për rritjen e pjesëmarrjes së aktorëve të ndryshëm në veprimtarin</w:t>
      </w:r>
      <w:r w:rsidR="009F584A" w:rsidRPr="0006580C">
        <w:rPr>
          <w:lang w:val="sq-AL"/>
        </w:rPr>
        <w:t>ë</w:t>
      </w:r>
      <w:r w:rsidRPr="0006580C">
        <w:rPr>
          <w:lang w:val="sq-AL"/>
        </w:rPr>
        <w:t xml:space="preserve"> e </w:t>
      </w:r>
      <w:proofErr w:type="spellStart"/>
      <w:r w:rsidRPr="0006580C">
        <w:rPr>
          <w:lang w:val="sq-AL"/>
        </w:rPr>
        <w:t>bashk</w:t>
      </w:r>
      <w:r w:rsidR="00F31DA9" w:rsidRPr="0006580C">
        <w:t>i</w:t>
      </w:r>
      <w:proofErr w:type="spellEnd"/>
      <w:r w:rsidRPr="0006580C">
        <w:rPr>
          <w:lang w:val="sq-AL"/>
        </w:rPr>
        <w:t>s</w:t>
      </w:r>
      <w:r w:rsidR="009F584A" w:rsidRPr="0006580C">
        <w:rPr>
          <w:lang w:val="sq-AL"/>
        </w:rPr>
        <w:t>ë</w:t>
      </w:r>
      <w:r w:rsidRPr="0006580C">
        <w:rPr>
          <w:lang w:val="sq-AL"/>
        </w:rPr>
        <w:t xml:space="preserve"> dhe të publikut në tërësi.  Në këtë kuadër, është m</w:t>
      </w:r>
      <w:r w:rsidR="00F31DA9" w:rsidRPr="0006580C">
        <w:t>e</w:t>
      </w:r>
      <w:r w:rsidRPr="0006580C">
        <w:rPr>
          <w:lang w:val="sq-AL"/>
        </w:rPr>
        <w:t xml:space="preserve"> rëndësi edhe sigurimi i pjesëmarrjes së publikut në procesin e identifikimit të prioriteteve strategjike afatgjata. Për këtë arsye, bashkia angazhohet të forcojë mekanizmat e pjesëmarrjes për shoqërinë civile dhe grupe të veçanta të interesit</w:t>
      </w:r>
      <w:r w:rsidR="0029792D" w:rsidRPr="0006580C">
        <w:t>,</w:t>
      </w:r>
      <w:r w:rsidRPr="0006580C">
        <w:rPr>
          <w:lang w:val="sq-AL"/>
        </w:rPr>
        <w:t xml:space="preserve"> gjatë hartimit dhe konsultimit të dokumenteve të politikave t</w:t>
      </w:r>
      <w:r w:rsidR="009F584A" w:rsidRPr="0006580C">
        <w:rPr>
          <w:lang w:val="sq-AL"/>
        </w:rPr>
        <w:t>ë</w:t>
      </w:r>
      <w:r w:rsidR="002B2DC6" w:rsidRPr="0006580C">
        <w:rPr>
          <w:lang w:val="sq-AL"/>
        </w:rPr>
        <w:t xml:space="preserve"> ndryshme vendore</w:t>
      </w:r>
      <w:r w:rsidRPr="0006580C">
        <w:rPr>
          <w:lang w:val="sq-AL"/>
        </w:rPr>
        <w:t>. Gjithashtu, bashkia do të mbështesë ofrimin e informacionit</w:t>
      </w:r>
      <w:r w:rsidR="002B2DC6" w:rsidRPr="0006580C">
        <w:rPr>
          <w:lang w:val="sq-AL"/>
        </w:rPr>
        <w:t xml:space="preserve"> publik për procedura të veç</w:t>
      </w:r>
      <w:r w:rsidR="009F584A" w:rsidRPr="0006580C">
        <w:rPr>
          <w:lang w:val="sq-AL"/>
        </w:rPr>
        <w:t>anta të bashkisë</w:t>
      </w:r>
      <w:r w:rsidRPr="0006580C">
        <w:rPr>
          <w:lang w:val="sq-AL"/>
        </w:rPr>
        <w:t>, si dhe do të përmirësojë në mënyrë të vazhdueshme Programin e saj të Transparencës</w:t>
      </w:r>
      <w:r w:rsidR="002B2DC6" w:rsidRPr="0006580C">
        <w:rPr>
          <w:lang w:val="sq-AL"/>
        </w:rPr>
        <w:t xml:space="preserve"> dhe faqen zyrtare të internetit.</w:t>
      </w:r>
    </w:p>
    <w:p w14:paraId="556BAD8A" w14:textId="77777777" w:rsidR="006B1D51" w:rsidRPr="0006580C" w:rsidRDefault="006B1D51" w:rsidP="00754A7C">
      <w:pPr>
        <w:pStyle w:val="NormalWeb"/>
        <w:spacing w:after="0"/>
        <w:jc w:val="both"/>
        <w:rPr>
          <w:lang w:val="sq-AL"/>
        </w:rPr>
      </w:pPr>
    </w:p>
    <w:p w14:paraId="1EED5D9A" w14:textId="77777777" w:rsidR="006B1D51" w:rsidRPr="0006580C" w:rsidRDefault="006B1D51" w:rsidP="00754A7C">
      <w:pPr>
        <w:pStyle w:val="NormalWeb"/>
        <w:spacing w:after="0"/>
        <w:jc w:val="both"/>
        <w:rPr>
          <w:lang w:val="sq-AL"/>
        </w:rPr>
      </w:pPr>
    </w:p>
    <w:p w14:paraId="7A1FFE8B" w14:textId="1078AFE8" w:rsidR="006A6183" w:rsidRPr="0006580C" w:rsidRDefault="006A6183" w:rsidP="000860B4">
      <w:pPr>
        <w:pStyle w:val="NormalWeb"/>
        <w:numPr>
          <w:ilvl w:val="1"/>
          <w:numId w:val="4"/>
        </w:numPr>
        <w:spacing w:after="0"/>
        <w:rPr>
          <w:lang w:val="sq-AL"/>
        </w:rPr>
      </w:pPr>
      <w:r w:rsidRPr="0006580C">
        <w:rPr>
          <w:i/>
          <w:lang w:val="sq-AL"/>
        </w:rPr>
        <w:t>Menaxhimi i riskut të integritetit në fusha të veçanta të përgjegjësisë së bashkisë</w:t>
      </w:r>
      <w:r w:rsidRPr="0006580C">
        <w:rPr>
          <w:lang w:val="sq-AL"/>
        </w:rPr>
        <w:t xml:space="preserve"> </w:t>
      </w:r>
    </w:p>
    <w:p w14:paraId="380A6B26" w14:textId="34882CB3" w:rsidR="00552D01" w:rsidRPr="0006580C" w:rsidRDefault="00552D01" w:rsidP="00754A7C">
      <w:pPr>
        <w:pStyle w:val="NormalWeb"/>
        <w:spacing w:after="0"/>
        <w:jc w:val="both"/>
        <w:rPr>
          <w:lang w:val="sq-AL"/>
        </w:rPr>
      </w:pPr>
      <w:r w:rsidRPr="0006580C">
        <w:rPr>
          <w:lang w:val="sq-AL"/>
        </w:rPr>
        <w:t>Ky objektiv synon menaxhimin e riskut të integritetit në fushat kryesore të përgjegjësisë së bashkisë, duke u fokusuar në proceset e punës të vlerësuara si më të ekspozuarat ndaj rrezikut të korrupsionit. Në tërësinë e tij, menaxhimi i integritetit i Bashkisë Has, paraqet sfida të cilat hasen më së shumti në fusha të veçanta të përgjegjësisë, të tilla si: fusha e menaxhimit financiar,</w:t>
      </w:r>
      <w:r w:rsidR="008C551C" w:rsidRPr="0006580C">
        <w:rPr>
          <w:lang w:val="sq-AL"/>
        </w:rPr>
        <w:t xml:space="preserve"> </w:t>
      </w:r>
      <w:proofErr w:type="spellStart"/>
      <w:r w:rsidR="008C551C" w:rsidRPr="0006580C">
        <w:rPr>
          <w:lang w:val="sq-AL"/>
        </w:rPr>
        <w:t>auditimi</w:t>
      </w:r>
      <w:proofErr w:type="spellEnd"/>
      <w:r w:rsidR="008C551C" w:rsidRPr="0006580C">
        <w:rPr>
          <w:lang w:val="sq-AL"/>
        </w:rPr>
        <w:t>,</w:t>
      </w:r>
      <w:r w:rsidRPr="0006580C">
        <w:rPr>
          <w:lang w:val="sq-AL"/>
        </w:rPr>
        <w:t xml:space="preserve"> menaxhimi i pronave të bashkisë, shërbime publike</w:t>
      </w:r>
      <w:r w:rsidR="008C551C" w:rsidRPr="0006580C">
        <w:rPr>
          <w:lang w:val="sq-AL"/>
        </w:rPr>
        <w:t>, arkivimi</w:t>
      </w:r>
      <w:r w:rsidRPr="0006580C">
        <w:rPr>
          <w:lang w:val="sq-AL"/>
        </w:rPr>
        <w:t xml:space="preserve"> si edhe planifikimi i territorit. Disa prej tyre konsistojnë në: burime financiare, njerëzore e teknike të pamjaftueshme dhe të kufizuara në shumicën e proceseve të punës; mbingarkesa e punës në disa sektorë; infrastruktura fizike dhe pajisjet e pamjaftueshme në bashki; rregullimin e ulët normativ të proceseve, paqartësi rreth proceseve dhe procedurave etj. </w:t>
      </w:r>
    </w:p>
    <w:p w14:paraId="02BD6434" w14:textId="20FC7D29" w:rsidR="00892551" w:rsidRPr="0006580C" w:rsidRDefault="0089255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6B9D8BC" w14:textId="1C402BF9" w:rsidR="008D2ABC" w:rsidRPr="0006580C" w:rsidRDefault="008D2ABC" w:rsidP="000860B4">
      <w:pPr>
        <w:pStyle w:val="NormalWeb"/>
        <w:numPr>
          <w:ilvl w:val="0"/>
          <w:numId w:val="1"/>
        </w:numPr>
        <w:spacing w:after="0"/>
        <w:rPr>
          <w:rFonts w:eastAsiaTheme="minorEastAsia"/>
        </w:rPr>
      </w:pPr>
      <w:proofErr w:type="spellStart"/>
      <w:r w:rsidRPr="0006580C">
        <w:rPr>
          <w:rFonts w:eastAsiaTheme="minorHAnsi"/>
          <w:b/>
        </w:rPr>
        <w:t>Plani</w:t>
      </w:r>
      <w:proofErr w:type="spellEnd"/>
      <w:r w:rsidRPr="0006580C">
        <w:rPr>
          <w:rFonts w:eastAsiaTheme="minorHAnsi"/>
          <w:b/>
        </w:rPr>
        <w:t xml:space="preserve"> </w:t>
      </w:r>
      <w:proofErr w:type="spellStart"/>
      <w:r w:rsidRPr="0006580C">
        <w:rPr>
          <w:rFonts w:eastAsiaTheme="minorHAnsi"/>
          <w:b/>
        </w:rPr>
        <w:t>i</w:t>
      </w:r>
      <w:proofErr w:type="spellEnd"/>
      <w:r w:rsidRPr="0006580C">
        <w:rPr>
          <w:rFonts w:eastAsiaTheme="minorHAnsi"/>
          <w:b/>
        </w:rPr>
        <w:t xml:space="preserve"> </w:t>
      </w:r>
      <w:proofErr w:type="spellStart"/>
      <w:r w:rsidRPr="0006580C">
        <w:rPr>
          <w:rFonts w:eastAsiaTheme="minorHAnsi"/>
          <w:b/>
        </w:rPr>
        <w:t>Veprimit</w:t>
      </w:r>
      <w:proofErr w:type="spellEnd"/>
    </w:p>
    <w:p w14:paraId="12BC86D5" w14:textId="55AFC684" w:rsidR="008D2ABC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Plani i Veprimit përfshin tërësinë e masave për të adresuar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risqet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dhe faktorët e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të integritetit të identifikuara sip</w:t>
      </w:r>
      <w:r w:rsidR="00D759A2" w:rsidRPr="0006580C">
        <w:rPr>
          <w:rFonts w:ascii="Times New Roman" w:hAnsi="Times New Roman" w:cs="Times New Roman"/>
          <w:sz w:val="24"/>
          <w:szCs w:val="24"/>
          <w:lang w:val="sq-AL"/>
        </w:rPr>
        <w:t>as fushave të përgjegjësisë së B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ashkisë </w:t>
      </w:r>
      <w:r w:rsidR="00D759A2" w:rsidRPr="0006580C">
        <w:rPr>
          <w:rFonts w:ascii="Times New Roman" w:hAnsi="Times New Roman" w:cs="Times New Roman"/>
          <w:sz w:val="24"/>
          <w:szCs w:val="24"/>
          <w:lang w:val="sq-AL"/>
        </w:rPr>
        <w:t>Has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. Ai është një mjet plotësues i politikave dhe kornizës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rregullatore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për përmirësimin dhe forcimin e integritetit institucional.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Ky plan do të pasohet nga disa raporte të ndërmjetme monitorimi dhe një raport përfundimtar në përfundimin e afatit të zbatimit të Planit të Integritetit për bashkin</w:t>
      </w:r>
      <w:r w:rsidR="008A181F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658D5E63" w14:textId="77777777" w:rsidR="008D2ABC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6AE0F7" w14:textId="05E07EC8" w:rsidR="00552D01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Monitorimi dhe raportimi i Planit të Veprimit 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535E" w:rsidRPr="0006580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A1A6D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2C535E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periodik (çdo vit) dhe </w:t>
      </w:r>
      <w:r w:rsidR="009B16B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pasqyron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kryerjen e aktiviteteve nga ana e punonjësve/grupeve të punonjësve përgjegjës për zbatimin e masave të miratuara në </w:t>
      </w:r>
      <w:r w:rsidR="009B16B1" w:rsidRPr="0006580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3317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. Monitorimi do të përcaktojë nëse këto masa të zbatuara kanë qenë </w:t>
      </w:r>
      <w:proofErr w:type="spellStart"/>
      <w:r w:rsidR="00C40B27" w:rsidRPr="0006580C">
        <w:rPr>
          <w:rFonts w:ascii="Times New Roman" w:hAnsi="Times New Roman" w:cs="Times New Roman"/>
          <w:sz w:val="24"/>
          <w:szCs w:val="24"/>
          <w:lang w:val="sq-AL"/>
        </w:rPr>
        <w:t>efi</w:t>
      </w:r>
      <w:r w:rsidR="0085164D" w:rsidRPr="0006580C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C40B27" w:rsidRPr="0006580C">
        <w:rPr>
          <w:rFonts w:ascii="Times New Roman" w:hAnsi="Times New Roman" w:cs="Times New Roman"/>
          <w:sz w:val="24"/>
          <w:szCs w:val="24"/>
          <w:lang w:val="sq-AL"/>
        </w:rPr>
        <w:t>ente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, nëse kanë </w:t>
      </w:r>
      <w:r w:rsidR="009B16B1" w:rsidRPr="0006580C">
        <w:rPr>
          <w:rFonts w:ascii="Times New Roman" w:hAnsi="Times New Roman" w:cs="Times New Roman"/>
          <w:sz w:val="24"/>
          <w:szCs w:val="24"/>
          <w:lang w:val="sq-AL"/>
        </w:rPr>
        <w:t>nxjerr</w:t>
      </w:r>
      <w:r w:rsidR="00A3317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A3317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16B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pah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ndryshime të kontekstit të institucionit apo ndryshime të vetë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, të cilat mund të kërkojnë rishikimin e masave ekzistuese dhe prioriteteve të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risqeve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(planit të veprimit), si edhe nxjerrjen e mësimeve për planifikim më të mirë në të ardhmen. Raportimi është një procedurë e rregullt që siguron zbatimin e planit të integritetit për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risqet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e integritetit sipas afateve kohore të parashikuara. </w:t>
      </w:r>
    </w:p>
    <w:p w14:paraId="4E455E3D" w14:textId="77777777" w:rsidR="00552D01" w:rsidRPr="0006580C" w:rsidRDefault="00552D01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63D2366" w14:textId="3F5EF88B" w:rsidR="00956773" w:rsidRPr="0006580C" w:rsidRDefault="008D2ABC" w:rsidP="008D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580C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to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proces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ndiqe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nga personi përgjegjës, i caktuar nga titullari i institucionit, i cili është përgjegjës për </w:t>
      </w:r>
      <w:r w:rsidR="00496134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të ndjekur </w:t>
      </w:r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progresin e zbatimit. Frekuenca minimale e raportimit është brenda </w:t>
      </w:r>
      <w:proofErr w:type="spellStart"/>
      <w:r w:rsidRPr="0006580C">
        <w:rPr>
          <w:rFonts w:ascii="Times New Roman" w:hAnsi="Times New Roman" w:cs="Times New Roman"/>
          <w:sz w:val="24"/>
          <w:szCs w:val="24"/>
          <w:lang w:val="sq-AL"/>
        </w:rPr>
        <w:t>njё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periudhe gjashtëmujore</w:t>
      </w:r>
      <w:r w:rsidR="0029792D" w:rsidRPr="0006580C">
        <w:rPr>
          <w:rFonts w:ascii="Times New Roman" w:hAnsi="Times New Roman" w:cs="Times New Roman"/>
          <w:sz w:val="24"/>
          <w:szCs w:val="24"/>
        </w:rPr>
        <w:t>,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rsa frekuenca e monitorimit 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vjecare</w:t>
      </w:r>
      <w:proofErr w:type="spellEnd"/>
      <w:r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. Raportimi i lejon titullarit të ndërmarrë me kohë masa përmirësuese, në rast se zbatimi i ndonjë mase të caktuar ka sjellë vështirësi apo </w:t>
      </w:r>
      <w:r w:rsidR="00184C9F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vonesa. 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>Raportet e monitorimit 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zbatimit 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Planit 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Integritetit paraqiten para K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52D01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shillit Bashkiak si organi </w:t>
      </w:r>
      <w:r w:rsidR="0034482E" w:rsidRPr="0006580C">
        <w:rPr>
          <w:rFonts w:ascii="Times New Roman" w:hAnsi="Times New Roman" w:cs="Times New Roman"/>
          <w:sz w:val="24"/>
          <w:szCs w:val="24"/>
          <w:lang w:val="sq-AL"/>
        </w:rPr>
        <w:t>vendimmarr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82E" w:rsidRPr="0006580C">
        <w:rPr>
          <w:rFonts w:ascii="Times New Roman" w:hAnsi="Times New Roman" w:cs="Times New Roman"/>
          <w:sz w:val="24"/>
          <w:szCs w:val="24"/>
          <w:lang w:val="sq-AL"/>
        </w:rPr>
        <w:t>s i bashkis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82E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82E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miraton k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82E" w:rsidRPr="0006580C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A181F" w:rsidRPr="0006580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4482E" w:rsidRPr="0006580C">
        <w:rPr>
          <w:rFonts w:ascii="Times New Roman" w:hAnsi="Times New Roman" w:cs="Times New Roman"/>
          <w:sz w:val="24"/>
          <w:szCs w:val="24"/>
          <w:lang w:val="sq-AL"/>
        </w:rPr>
        <w:t xml:space="preserve"> dokument. </w:t>
      </w:r>
    </w:p>
    <w:p w14:paraId="0283E6B6" w14:textId="77777777" w:rsidR="00956773" w:rsidRPr="0006580C" w:rsidRDefault="00956773" w:rsidP="0095677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93681C0" w14:textId="77777777" w:rsidR="00956773" w:rsidRPr="0006580C" w:rsidRDefault="00956773" w:rsidP="0095677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B1C6DFB" w14:textId="77777777" w:rsidR="00956773" w:rsidRPr="0006580C" w:rsidRDefault="00956773" w:rsidP="00956773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CB40EBF" w14:textId="77777777" w:rsidR="008D2ABC" w:rsidRPr="0006580C" w:rsidRDefault="008D2ABC" w:rsidP="00956773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A5F7652" w14:textId="77777777" w:rsidR="00844690" w:rsidRPr="0006580C" w:rsidRDefault="00844690" w:rsidP="00956773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3FF2883" w14:textId="77777777" w:rsidR="00844690" w:rsidRPr="0006580C" w:rsidRDefault="00844690" w:rsidP="00956773">
      <w:pPr>
        <w:tabs>
          <w:tab w:val="left" w:pos="3195"/>
        </w:tabs>
        <w:rPr>
          <w:rFonts w:ascii="Times New Roman" w:hAnsi="Times New Roman" w:cs="Times New Roman"/>
          <w:sz w:val="24"/>
          <w:szCs w:val="24"/>
          <w:lang w:val="sq-AL"/>
        </w:rPr>
        <w:sectPr w:rsidR="00844690" w:rsidRPr="0006580C" w:rsidSect="008D2ABC">
          <w:footerReference w:type="even" r:id="rId12"/>
          <w:footerReference w:type="default" r:id="rId13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-1619"/>
        <w:tblW w:w="12955" w:type="dxa"/>
        <w:tblLayout w:type="fixed"/>
        <w:tblLook w:val="04A0" w:firstRow="1" w:lastRow="0" w:firstColumn="1" w:lastColumn="0" w:noHBand="0" w:noVBand="1"/>
      </w:tblPr>
      <w:tblGrid>
        <w:gridCol w:w="701"/>
        <w:gridCol w:w="4164"/>
        <w:gridCol w:w="1440"/>
        <w:gridCol w:w="1530"/>
        <w:gridCol w:w="3096"/>
        <w:gridCol w:w="2024"/>
      </w:tblGrid>
      <w:tr w:rsidR="0006580C" w:rsidRPr="0006580C" w14:paraId="778B17EF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658E13C" w14:textId="77777777" w:rsidR="00844690" w:rsidRPr="0006580C" w:rsidRDefault="00844690" w:rsidP="0084469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2254" w:type="dxa"/>
            <w:gridSpan w:val="5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AC57BE8" w14:textId="5B28E5B2" w:rsidR="00844690" w:rsidRPr="0006580C" w:rsidRDefault="00844690" w:rsidP="00844690">
            <w:pPr>
              <w:pStyle w:val="NormalWeb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06580C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>Objektivi 1: Forcimi i kuadrit të brendshëm rregullator në aspekte të veçanta të etikës dhe integritetit</w:t>
            </w:r>
          </w:p>
          <w:p w14:paraId="352F6D91" w14:textId="77777777" w:rsidR="00844690" w:rsidRPr="0006580C" w:rsidRDefault="00844690" w:rsidP="00844690">
            <w:pPr>
              <w:pStyle w:val="NormalWeb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</w:p>
        </w:tc>
      </w:tr>
      <w:tr w:rsidR="0006580C" w:rsidRPr="0006580C" w14:paraId="02046548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E2217DF" w14:textId="77777777" w:rsidR="00844690" w:rsidRPr="0006580C" w:rsidRDefault="00844690" w:rsidP="00844690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CFA9D27" w14:textId="77777777" w:rsidR="00844690" w:rsidRPr="0006580C" w:rsidRDefault="00844690" w:rsidP="00844690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</w:tcPr>
          <w:p w14:paraId="656BC485" w14:textId="77777777" w:rsidR="00844690" w:rsidRPr="0006580C" w:rsidRDefault="00844690" w:rsidP="00844690">
            <w:pPr>
              <w:rPr>
                <w:rFonts w:cstheme="minorHAnsi"/>
                <w:lang w:val="sq-AL"/>
              </w:rPr>
            </w:pPr>
          </w:p>
          <w:p w14:paraId="725F1D1F" w14:textId="77777777" w:rsidR="00844690" w:rsidRPr="0006580C" w:rsidRDefault="00844690" w:rsidP="00844690">
            <w:pPr>
              <w:rPr>
                <w:rFonts w:cstheme="minorHAnsi"/>
                <w:lang w:val="sq-AL"/>
              </w:rPr>
            </w:pPr>
          </w:p>
          <w:p w14:paraId="45ED234D" w14:textId="77777777" w:rsidR="00844690" w:rsidRPr="0006580C" w:rsidRDefault="00844690" w:rsidP="00844690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5701053" w14:textId="77777777" w:rsidR="00844690" w:rsidRPr="0006580C" w:rsidRDefault="00844690" w:rsidP="00844690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 Prioritet i ulët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72F0158" w14:textId="77777777" w:rsidR="00844690" w:rsidRPr="0006580C" w:rsidRDefault="00844690" w:rsidP="00844690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  Aktivitetet që duhet të ndërmerren për zbatimin e masës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153417E" w14:textId="77777777" w:rsidR="00844690" w:rsidRPr="0006580C" w:rsidRDefault="00844690" w:rsidP="00844690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2E2305C9" w14:textId="77777777" w:rsidTr="00844690">
        <w:tc>
          <w:tcPr>
            <w:tcW w:w="7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DAE1AD9" w14:textId="0F844910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1.</w:t>
            </w:r>
          </w:p>
        </w:tc>
        <w:tc>
          <w:tcPr>
            <w:tcW w:w="416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B48F0AC" w14:textId="05DCC616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Mungesa e Planit Strategjik të </w:t>
            </w:r>
            <w:r w:rsidR="00834703" w:rsidRPr="0006580C">
              <w:rPr>
                <w:rFonts w:eastAsia="Times New Roman" w:cstheme="minorHAnsi"/>
                <w:lang w:eastAsia="en-GB"/>
              </w:rPr>
              <w:t>B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ashkisë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14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845A803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/Strategjik</w:t>
            </w:r>
          </w:p>
        </w:tc>
        <w:tc>
          <w:tcPr>
            <w:tcW w:w="1530" w:type="dxa"/>
            <w:tcBorders>
              <w:top w:val="nil"/>
              <w:left w:val="single" w:sz="4" w:space="0" w:color="FF0000"/>
              <w:bottom w:val="single" w:sz="4" w:space="0" w:color="000000"/>
              <w:right w:val="single" w:sz="4" w:space="0" w:color="FF0000"/>
            </w:tcBorders>
            <w:shd w:val="clear" w:color="000000" w:fill="FF0000"/>
            <w:vAlign w:val="center"/>
          </w:tcPr>
          <w:p w14:paraId="034B5768" w14:textId="77777777" w:rsidR="00844690" w:rsidRPr="0006580C" w:rsidRDefault="00844690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309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C64DBDD" w14:textId="79CADA8C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Hartimi dhe m</w:t>
            </w:r>
            <w:proofErr w:type="spellStart"/>
            <w:r w:rsidR="00C86EE9" w:rsidRPr="0006580C">
              <w:rPr>
                <w:rFonts w:eastAsia="Times New Roman" w:cstheme="minorHAnsi"/>
                <w:lang w:eastAsia="en-GB"/>
              </w:rPr>
              <w:t>i</w:t>
            </w:r>
            <w:r w:rsidRPr="0006580C">
              <w:rPr>
                <w:rFonts w:eastAsia="Times New Roman" w:cstheme="minorHAnsi"/>
                <w:lang w:val="sq-AL" w:eastAsia="en-GB"/>
              </w:rPr>
              <w:t>ratimi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i Planit Strategjik të zhvillimit të Bashkisë Has</w:t>
            </w:r>
            <w:r w:rsidR="00C86EE9" w:rsidRPr="0006580C">
              <w:rPr>
                <w:rFonts w:eastAsia="Times New Roman" w:cstheme="minorHAnsi"/>
                <w:lang w:eastAsia="en-GB"/>
              </w:rPr>
              <w:t>,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i cili përfshin:</w:t>
            </w:r>
          </w:p>
          <w:p w14:paraId="44539823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a) politikat për zhvillimin e qëndrueshëm në një afat kohor jo më pak se 5 vite; </w:t>
            </w:r>
          </w:p>
          <w:p w14:paraId="56004204" w14:textId="762F2AD0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b) nevojën dhe potencialet e zhvillimit vendor</w:t>
            </w:r>
            <w:r w:rsidR="00C86EE9" w:rsidRPr="0006580C">
              <w:rPr>
                <w:rFonts w:eastAsia="Times New Roman" w:cstheme="minorHAnsi"/>
                <w:lang w:eastAsia="en-GB"/>
              </w:rPr>
              <w:t>,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si dhe prioritetet rajonale e kombëtare të zhvillimit strategjik, duke parashikuar edhe kostot përkatëse; </w:t>
            </w:r>
          </w:p>
          <w:p w14:paraId="62F18258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c) zbatimin nëpërmjet programit buxhetor afatmesëm të njësisë.</w:t>
            </w:r>
          </w:p>
        </w:tc>
        <w:tc>
          <w:tcPr>
            <w:tcW w:w="202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6226393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Kryetari/</w:t>
            </w:r>
          </w:p>
          <w:p w14:paraId="5052F709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Grup pune me punonjës të Bashkisë/</w:t>
            </w:r>
          </w:p>
          <w:p w14:paraId="19DBFF0C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Këshilli Bashkiak</w:t>
            </w:r>
          </w:p>
          <w:p w14:paraId="27D41C9E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0F5AA827" w14:textId="50C55FF2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2025</w:t>
            </w:r>
          </w:p>
          <w:p w14:paraId="23F18FF9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052D18F4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035AA30F" w14:textId="77777777" w:rsidTr="00844690">
        <w:tc>
          <w:tcPr>
            <w:tcW w:w="7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0A1ABE4" w14:textId="7E488053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54C0253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Mungesë metodologjie për verifikimin në terren dhe vlerësimin alternativ të taksës mbi ndërtesat.</w:t>
            </w:r>
          </w:p>
        </w:tc>
        <w:tc>
          <w:tcPr>
            <w:tcW w:w="14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0020257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/Ligjor</w:t>
            </w:r>
          </w:p>
        </w:tc>
        <w:tc>
          <w:tcPr>
            <w:tcW w:w="1530" w:type="dxa"/>
            <w:tcBorders>
              <w:top w:val="nil"/>
              <w:left w:val="single" w:sz="4" w:space="0" w:color="FF0000"/>
              <w:bottom w:val="single" w:sz="4" w:space="0" w:color="000000"/>
              <w:right w:val="single" w:sz="4" w:space="0" w:color="FF0000"/>
            </w:tcBorders>
            <w:shd w:val="clear" w:color="auto" w:fill="FFFF00"/>
            <w:vAlign w:val="center"/>
          </w:tcPr>
          <w:p w14:paraId="1820BBCB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09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AD11BB6" w14:textId="6F6E299F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1. Hartim </w:t>
            </w:r>
            <w:proofErr w:type="spellStart"/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End"/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PSV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-s</w:t>
            </w:r>
            <w:r w:rsidR="00A4071F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mbi zbërthimin në kontekstin e bashkisë 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s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ë metodologjisë për përcaktimin e vlerës së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taksueshme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pasurisë së paluajtshme “ndërtesa”, e bazës së taksës për kategori specifike, si dhe të kritereve dhe rregullave për vlerësimin alternativ të detyrimit të taksës.</w:t>
            </w:r>
          </w:p>
          <w:p w14:paraId="0320DB1B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E8240F3" w14:textId="49EB1E12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Lidhja e marrëveshjeve të bashkëpunimit me institucionet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qëndrore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(ZVRPP, ALUIZ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M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I, OSHE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etj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) për të siguruar të dhënat që përdore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n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përcaktimin e bazës së taksës mbi ndërtesa.</w:t>
            </w:r>
          </w:p>
          <w:p w14:paraId="06026F38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6715FA8" w14:textId="7CF84FB6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3. Hartim i një 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lani 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une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realizimin e verifikimit në terren për rastet e aplikueshme (rast pas rasti apo periodik deri në 20%), në përputhje me metodologjinë/rregulloren e miratuar.</w:t>
            </w:r>
          </w:p>
        </w:tc>
        <w:tc>
          <w:tcPr>
            <w:tcW w:w="202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66F7F3A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 xml:space="preserve">Kryetari </w:t>
            </w:r>
          </w:p>
          <w:p w14:paraId="5E70D40C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983B37E" w14:textId="34D1EF35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Drejtoria e Financës, 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B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uxhetit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, 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aksave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arifave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V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endore</w:t>
            </w:r>
            <w:proofErr w:type="spellEnd"/>
          </w:p>
          <w:p w14:paraId="3C89A82A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805205D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i planifikimit të territorit dhe urbanistikës</w:t>
            </w:r>
          </w:p>
          <w:p w14:paraId="47B73FBD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C151917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juridik</w:t>
            </w:r>
          </w:p>
          <w:p w14:paraId="3070629F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2842A60" w14:textId="1A581548" w:rsidR="00844690" w:rsidRPr="00917A23" w:rsidDel="00421EF2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II 2023</w:t>
            </w:r>
          </w:p>
        </w:tc>
      </w:tr>
      <w:tr w:rsidR="0006580C" w:rsidRPr="0006580C" w14:paraId="24809AA5" w14:textId="77777777" w:rsidTr="00844690">
        <w:tc>
          <w:tcPr>
            <w:tcW w:w="7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72E256E" w14:textId="6861996C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3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05EC287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Mungesa e procedurave të  brendshme të qarta,  që rregullojnë mbarëvajtjen e procesit të prokurimeve publike në bashki. </w:t>
            </w:r>
          </w:p>
        </w:tc>
        <w:tc>
          <w:tcPr>
            <w:tcW w:w="14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E599F84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/Ligjor</w:t>
            </w:r>
          </w:p>
        </w:tc>
        <w:tc>
          <w:tcPr>
            <w:tcW w:w="1530" w:type="dxa"/>
            <w:tcBorders>
              <w:top w:val="nil"/>
              <w:left w:val="single" w:sz="4" w:space="0" w:color="FF0000"/>
              <w:bottom w:val="single" w:sz="4" w:space="0" w:color="000000"/>
              <w:right w:val="single" w:sz="4" w:space="0" w:color="FF0000"/>
            </w:tcBorders>
            <w:shd w:val="clear" w:color="auto" w:fill="FF0000"/>
            <w:vAlign w:val="center"/>
          </w:tcPr>
          <w:p w14:paraId="2F496910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09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E506A0C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E012307" w14:textId="10DE05EF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Hartimi i një PSV-je për procesin e organizimit t</w:t>
            </w:r>
            <w:r w:rsidR="00A4071F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 prokurimit publik në të gjitha etapat: autoriteti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kontraktor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;  regjistri i prokurimeve; hartimi dhe miratimi i specifikimeve teknike; ngritja dhe funksionimi i KVO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>-s</w:t>
            </w:r>
            <w:r w:rsidR="00A4071F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;  njoftimi dhe lidhja e kontratave të prokurimit publik.</w:t>
            </w:r>
          </w:p>
        </w:tc>
        <w:tc>
          <w:tcPr>
            <w:tcW w:w="202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CA9A71F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Grup Pune me punonjës të bashkisë</w:t>
            </w:r>
          </w:p>
          <w:p w14:paraId="437D3976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6123E9B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Juridik</w:t>
            </w:r>
          </w:p>
          <w:p w14:paraId="74F898DF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00D97AE" w14:textId="475FFF31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</w:t>
            </w:r>
            <w:r w:rsidR="00A4071F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2023</w:t>
            </w:r>
          </w:p>
        </w:tc>
      </w:tr>
      <w:tr w:rsidR="0006580C" w:rsidRPr="0006580C" w14:paraId="6FC25622" w14:textId="77777777" w:rsidTr="00844690">
        <w:tc>
          <w:tcPr>
            <w:tcW w:w="7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4B97AC4" w14:textId="71A7011C" w:rsidR="00844690" w:rsidRPr="0006580C" w:rsidRDefault="00754A7C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AA79BFB" w14:textId="20C32A63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Rregullorja e Brendshme e Bashkisë Has nuk respekton strukturën dhe organikën në fuqi, si dhe nuk përfshin detyrat e ngarkuara në zbatim të legjislacionit horizontal.</w:t>
            </w:r>
          </w:p>
          <w:p w14:paraId="5B179984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36932AC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Rregullorja ka mangësi në përcaktimin e linjave hierarkike dhe rregullave të qarta mbi raportimin dhe llogaridhënien.</w:t>
            </w:r>
          </w:p>
        </w:tc>
        <w:tc>
          <w:tcPr>
            <w:tcW w:w="14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5C9C287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/Ligjor</w:t>
            </w:r>
          </w:p>
        </w:tc>
        <w:tc>
          <w:tcPr>
            <w:tcW w:w="153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0838B147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09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1F5AA6B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8977222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Rishikimi i Rregullores së Brendshme në përputhje me strukturën në fuqi, si dhe duke përfshirë detyrat për funksionet e përcaktuara nga legjislacioni horizontal.</w:t>
            </w:r>
          </w:p>
          <w:p w14:paraId="75026315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7A02093" w14:textId="33B4B18E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Përcaktimi i linjave hierarkike dhe rregullave të qarta mbi raportimin dhe llogaridhënien në Rregulloren e Brendshme.</w:t>
            </w:r>
          </w:p>
        </w:tc>
        <w:tc>
          <w:tcPr>
            <w:tcW w:w="202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550EA2A9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Grup Pune me punonjës të bashkisë</w:t>
            </w:r>
          </w:p>
          <w:p w14:paraId="2D82FF98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59427AA" w14:textId="33A1F6EC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II 2023</w:t>
            </w:r>
          </w:p>
        </w:tc>
      </w:tr>
      <w:tr w:rsidR="0006580C" w:rsidRPr="0006580C" w14:paraId="451B97CA" w14:textId="77777777" w:rsidTr="00844690">
        <w:tc>
          <w:tcPr>
            <w:tcW w:w="7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D6F4B18" w14:textId="42223B77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5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1A08B33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Kodi i Etikës së Bashkisë ka mangësi dhe nuk është i përshtatur plotësisht me kuadrin rregullator mbi etikën në fuqi.</w:t>
            </w:r>
          </w:p>
        </w:tc>
        <w:tc>
          <w:tcPr>
            <w:tcW w:w="14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708CED7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/Ligjor</w:t>
            </w:r>
          </w:p>
        </w:tc>
        <w:tc>
          <w:tcPr>
            <w:tcW w:w="153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77F3C121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09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D450F14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D604CB4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Harmonizim i Kodit të Etikës në përputhje me Ligjin Nr.9131/2003, VKM nr. 714/2004 , si dhe kuadrin rregullator horizontal.</w:t>
            </w:r>
          </w:p>
          <w:p w14:paraId="326B7872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FF88C32" w14:textId="7D354832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Ndërgjegjësimi/trajnimi i stafit </w:t>
            </w:r>
            <w:r w:rsidR="001C321C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r w:rsidR="001C321C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="001C321C" w:rsidRPr="00917A23">
              <w:rPr>
                <w:rFonts w:eastAsia="Times New Roman" w:cstheme="minorHAnsi"/>
                <w:highlight w:val="green"/>
                <w:lang w:eastAsia="en-GB"/>
              </w:rPr>
              <w:t>r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kuadrin ligjor mbi etikën dhe aktet e brendshme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rregullatore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Bashkisë Has.</w:t>
            </w:r>
          </w:p>
        </w:tc>
        <w:tc>
          <w:tcPr>
            <w:tcW w:w="202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D2751C0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Grup Pune me punonjës të bashkisë</w:t>
            </w:r>
          </w:p>
          <w:p w14:paraId="487808B1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FF25541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Sektori i Burimeve Njerëzore </w:t>
            </w:r>
          </w:p>
          <w:p w14:paraId="4EBD681E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3502801" w14:textId="2C1B6FEF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II</w:t>
            </w:r>
            <w:r w:rsidR="004236FF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2023</w:t>
            </w:r>
          </w:p>
        </w:tc>
      </w:tr>
      <w:tr w:rsidR="0006580C" w:rsidRPr="0006580C" w14:paraId="563E2D33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C643E59" w14:textId="39FA9195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6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CB8B69E" w14:textId="78A7B956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Rregullorja për parandalimin e KI</w:t>
            </w:r>
            <w:r w:rsidR="00834703" w:rsidRPr="00917A23">
              <w:rPr>
                <w:rFonts w:eastAsia="Times New Roman" w:cstheme="minorHAnsi"/>
                <w:highlight w:val="green"/>
                <w:lang w:eastAsia="en-GB"/>
              </w:rPr>
              <w:t>-s</w:t>
            </w:r>
            <w:r w:rsidR="00834703" w:rsidRPr="00917A23">
              <w:rPr>
                <w:highlight w:val="green"/>
                <w:lang w:val="sq-AL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e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papërditësuar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me ndryshimin e akteve horizontale dhe ndryshimet e strukturës </w:t>
            </w:r>
            <w:r w:rsidR="00834703" w:rsidRPr="00917A23">
              <w:rPr>
                <w:rFonts w:eastAsia="Times New Roman" w:cstheme="minorHAnsi"/>
                <w:highlight w:val="green"/>
                <w:lang w:eastAsia="en-GB"/>
              </w:rPr>
              <w:t>s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ë bashkisë.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542C6E2" w14:textId="557DFE98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Burimet Njerëzore/</w:t>
            </w:r>
            <w:r w:rsidR="00834703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Informacioni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0000"/>
            <w:vAlign w:val="center"/>
          </w:tcPr>
          <w:p w14:paraId="6DD48CC3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E290BAE" w14:textId="7E128040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Rishikimi i Rregullores "Për parandalimin e Konfliktit të Interesit</w:t>
            </w:r>
            <w:r w:rsidR="001C321C" w:rsidRPr="00917A23">
              <w:rPr>
                <w:rFonts w:eastAsia="Times New Roman" w:cstheme="minorHAnsi"/>
                <w:highlight w:val="green"/>
                <w:lang w:eastAsia="en-GB"/>
              </w:rPr>
              <w:t>”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ushtrimin e funksioneve publike në Bashkinë Has, në përputhje me ndryshimet e legjislacionit horizontal dhe strukturën e miratuar në fuqi.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57B1C8FB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Titullari</w:t>
            </w:r>
          </w:p>
          <w:p w14:paraId="5A783CEB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1C5E740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Juridik</w:t>
            </w:r>
          </w:p>
          <w:p w14:paraId="304560F6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0A5879E" w14:textId="57C886B5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i Burimeve N</w:t>
            </w:r>
            <w:r w:rsidR="001C321C" w:rsidRPr="00917A23">
              <w:rPr>
                <w:rFonts w:eastAsia="Times New Roman" w:cstheme="minorHAnsi"/>
                <w:highlight w:val="green"/>
                <w:lang w:eastAsia="en-GB"/>
              </w:rPr>
              <w:t>j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erëzore</w:t>
            </w:r>
            <w:proofErr w:type="spellEnd"/>
          </w:p>
          <w:p w14:paraId="1950B8D4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8CF5D61" w14:textId="1AF5CF3F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II 2023</w:t>
            </w:r>
          </w:p>
        </w:tc>
      </w:tr>
      <w:tr w:rsidR="0006580C" w:rsidRPr="0006580C" w14:paraId="1AD2F006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6F6C70F" w14:textId="62140664" w:rsidR="00844690" w:rsidRPr="0006580C" w:rsidRDefault="00754A7C" w:rsidP="00754A7C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7.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43F7B38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Bashkia nuk ka miratuar Kodin e Etikës së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Brendshëm.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266D4FB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2E057F85" w14:textId="77777777" w:rsidR="00844690" w:rsidRPr="0006580C" w:rsidRDefault="00844690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3F9DF18" w14:textId="78783091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Hartimi dhe miratimi i Kodit të Etikës së AB</w:t>
            </w:r>
            <w:r w:rsidR="001C321C" w:rsidRPr="0006580C">
              <w:rPr>
                <w:rFonts w:eastAsia="Times New Roman" w:cstheme="minorHAnsi"/>
                <w:lang w:eastAsia="en-GB"/>
              </w:rPr>
              <w:t>-s</w:t>
            </w:r>
            <w:r w:rsidR="001C321C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Has në përputhje me Kodin e Etikës për AB</w:t>
            </w:r>
            <w:r w:rsidR="001C321C" w:rsidRPr="0006580C">
              <w:rPr>
                <w:rFonts w:eastAsia="Times New Roman" w:cstheme="minorHAnsi"/>
                <w:lang w:eastAsia="en-GB"/>
              </w:rPr>
              <w:t>-n</w:t>
            </w:r>
            <w:r w:rsidR="001C321C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 në Sektorin Publik të MFE</w:t>
            </w:r>
            <w:r w:rsidR="001C321C" w:rsidRPr="0006580C">
              <w:rPr>
                <w:rFonts w:eastAsia="Times New Roman" w:cstheme="minorHAnsi"/>
                <w:lang w:eastAsia="en-GB"/>
              </w:rPr>
              <w:t>-s</w:t>
            </w:r>
            <w:r w:rsidR="001C321C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(Urdhër 86, 10.10.2015) dhe Kodin e Etikës të Institutit Ndërkombëtar të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Audituesve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Brendshëm (IIA).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43F06406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Titullari/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i Brendshëm</w:t>
            </w:r>
          </w:p>
          <w:p w14:paraId="783A1EE1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68BFA2BC" w14:textId="5AF4E579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2024</w:t>
            </w:r>
          </w:p>
        </w:tc>
      </w:tr>
      <w:tr w:rsidR="0006580C" w:rsidRPr="0006580C" w14:paraId="6A33F398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94ED4F9" w14:textId="5F141E00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8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04D102D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Mungojnë gjurmët e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auditit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proceset kryesore të punës në bashki apo me risk të lartë.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A99D4BC" w14:textId="77777777" w:rsidR="006B1D51" w:rsidRPr="00917A23" w:rsidRDefault="006B1D51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A83099D" w14:textId="77777777" w:rsidR="006B1D51" w:rsidRPr="00917A23" w:rsidRDefault="006B1D51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014934B" w14:textId="77777777" w:rsidR="006B1D51" w:rsidRPr="00917A23" w:rsidRDefault="006B1D51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063741F" w14:textId="77777777" w:rsidR="006B1D51" w:rsidRPr="00917A23" w:rsidRDefault="006B1D51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7725F45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0000"/>
            <w:vAlign w:val="center"/>
          </w:tcPr>
          <w:p w14:paraId="132CA7F4" w14:textId="77777777" w:rsidR="006B1D51" w:rsidRPr="00917A23" w:rsidRDefault="006B1D51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333E84D" w14:textId="77777777" w:rsidR="006B1D51" w:rsidRPr="00917A23" w:rsidRDefault="006B1D51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9638F56" w14:textId="77777777" w:rsidR="006B1D51" w:rsidRPr="00917A23" w:rsidRDefault="006B1D51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B7ECD61" w14:textId="77777777" w:rsidR="006B1D51" w:rsidRPr="00917A23" w:rsidRDefault="006B1D51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9BDBA80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3E57C68" w14:textId="7DD3E73A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1. Kryerja e një analize me qëllim identifikimin e proceseve të punës  </w:t>
            </w:r>
            <w:r w:rsidR="001C321C" w:rsidRPr="00917A23">
              <w:rPr>
                <w:rFonts w:eastAsia="Times New Roman" w:cstheme="minorHAnsi"/>
                <w:highlight w:val="green"/>
                <w:lang w:eastAsia="en-GB"/>
              </w:rPr>
              <w:t>s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ë bashkisë q</w:t>
            </w:r>
            <w:r w:rsidR="001C321C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kanë përparësi për hartimin e gjurmëve të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auditit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.  (proceset e punës kryesore). </w:t>
            </w:r>
          </w:p>
          <w:p w14:paraId="75E290F9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FE08F94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Hartimi dhe miratimi i gjurmëve të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auditit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proceset me rëndësi kritike të bashkisë. </w:t>
            </w:r>
          </w:p>
          <w:p w14:paraId="34F0E2A1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833075E" w14:textId="40CAF3EF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3. Informimi i stafit n</w:t>
            </w:r>
            <w:r w:rsidR="001C321C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lidhje me këto PSV.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78AE628F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Grup Pune me punonjës të Bashkisë</w:t>
            </w:r>
          </w:p>
          <w:p w14:paraId="5507F7BE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DB80E2A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Auditi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i Brendshëm</w:t>
            </w:r>
          </w:p>
          <w:p w14:paraId="09042872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F903FF4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Gjashtëmujori i dytë 2023</w:t>
            </w:r>
          </w:p>
          <w:p w14:paraId="5BF269BA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DCEE899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5BE223B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  <w:tr w:rsidR="0006580C" w:rsidRPr="0006580C" w14:paraId="3A8F2D74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614F6F7" w14:textId="3C4CB244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9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D535F62" w14:textId="37B57991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Mungesë e </w:t>
            </w:r>
            <w:r w:rsidR="00834703" w:rsidRPr="0006580C">
              <w:rPr>
                <w:rFonts w:eastAsia="Times New Roman" w:cstheme="minorHAnsi"/>
                <w:lang w:eastAsia="en-GB"/>
              </w:rPr>
              <w:t>R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regullores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për </w:t>
            </w:r>
            <w:r w:rsidR="00834703" w:rsidRPr="0006580C">
              <w:rPr>
                <w:rFonts w:eastAsia="Times New Roman" w:cstheme="minorHAnsi"/>
                <w:lang w:eastAsia="en-GB"/>
              </w:rPr>
              <w:t>H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etimin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834703" w:rsidRPr="0006580C">
              <w:rPr>
                <w:rFonts w:eastAsia="Times New Roman" w:cstheme="minorHAnsi"/>
                <w:lang w:eastAsia="en-GB"/>
              </w:rPr>
              <w:t>A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dministrativ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834703" w:rsidRPr="0006580C">
              <w:rPr>
                <w:rFonts w:eastAsia="Times New Roman" w:cstheme="minorHAnsi"/>
                <w:lang w:eastAsia="en-GB"/>
              </w:rPr>
              <w:t>S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injalizimit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dhe </w:t>
            </w:r>
            <w:r w:rsidR="00834703" w:rsidRPr="0006580C">
              <w:rPr>
                <w:rFonts w:eastAsia="Times New Roman" w:cstheme="minorHAnsi"/>
                <w:lang w:eastAsia="en-GB"/>
              </w:rPr>
              <w:t>M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brojtjen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</w:t>
            </w:r>
            <w:r w:rsidR="00834703" w:rsidRPr="0006580C">
              <w:rPr>
                <w:rFonts w:eastAsia="Times New Roman" w:cstheme="minorHAnsi"/>
                <w:lang w:eastAsia="en-GB"/>
              </w:rPr>
              <w:t>K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onfidencialitetit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27F23E5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/Ligjor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3290D43F" w14:textId="77777777" w:rsidR="00844690" w:rsidRPr="0006580C" w:rsidRDefault="00844690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792B365F" w14:textId="72D7549E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Hartimi dhe miratimi i </w:t>
            </w:r>
            <w:r w:rsidR="001C321C" w:rsidRPr="0006580C">
              <w:rPr>
                <w:rFonts w:eastAsia="Times New Roman" w:cstheme="minorHAnsi"/>
                <w:lang w:eastAsia="en-GB"/>
              </w:rPr>
              <w:t>R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regullores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për </w:t>
            </w:r>
            <w:r w:rsidR="001C321C" w:rsidRPr="0006580C">
              <w:rPr>
                <w:rFonts w:eastAsia="Times New Roman" w:cstheme="minorHAnsi"/>
                <w:lang w:eastAsia="en-GB"/>
              </w:rPr>
              <w:t>H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etimin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Administrativ të </w:t>
            </w:r>
            <w:r w:rsidR="001C321C" w:rsidRPr="0006580C">
              <w:rPr>
                <w:rFonts w:eastAsia="Times New Roman" w:cstheme="minorHAnsi"/>
                <w:lang w:eastAsia="en-GB"/>
              </w:rPr>
              <w:t>S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injalizimit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dhe </w:t>
            </w:r>
            <w:r w:rsidR="001C321C" w:rsidRPr="0006580C">
              <w:rPr>
                <w:rFonts w:eastAsia="Times New Roman" w:cstheme="minorHAnsi"/>
                <w:lang w:eastAsia="en-GB"/>
              </w:rPr>
              <w:t>M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brojtjen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</w:t>
            </w:r>
            <w:r w:rsidR="001C321C" w:rsidRPr="0006580C">
              <w:rPr>
                <w:rFonts w:eastAsia="Times New Roman" w:cstheme="minorHAnsi"/>
                <w:lang w:eastAsia="en-GB"/>
              </w:rPr>
              <w:t>K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onfidencialitetit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, duke përshtatur modelin e ILDKPKI</w:t>
            </w:r>
            <w:r w:rsidR="001C321C" w:rsidRPr="0006580C">
              <w:rPr>
                <w:rFonts w:eastAsia="Times New Roman" w:cstheme="minorHAnsi"/>
                <w:lang w:eastAsia="en-GB"/>
              </w:rPr>
              <w:t>-s</w:t>
            </w:r>
            <w:r w:rsidR="001C321C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në kontekstin e Bashkisë Has.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9D1D147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Grup Pune me punonjës të bashkisë</w:t>
            </w:r>
          </w:p>
          <w:p w14:paraId="51564086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74F62334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i Brendshëm</w:t>
            </w:r>
          </w:p>
          <w:p w14:paraId="21B16985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2E29CEE3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14F29D74" w14:textId="25998A26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</w:t>
            </w:r>
            <w:r w:rsidR="001C321C" w:rsidRPr="0006580C">
              <w:rPr>
                <w:rFonts w:eastAsia="Times New Roman" w:cstheme="minorHAnsi"/>
                <w:lang w:eastAsia="en-GB"/>
              </w:rPr>
              <w:t xml:space="preserve"> </w:t>
            </w:r>
            <w:r w:rsidRPr="0006580C">
              <w:rPr>
                <w:rFonts w:eastAsia="Times New Roman" w:cstheme="minorHAnsi"/>
                <w:lang w:val="sq-AL" w:eastAsia="en-GB"/>
              </w:rPr>
              <w:t>2024</w:t>
            </w:r>
          </w:p>
        </w:tc>
      </w:tr>
      <w:tr w:rsidR="0006580C" w:rsidRPr="0006580C" w14:paraId="58BEC7A3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1CF8B77" w14:textId="236D2C5E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10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2262348" w14:textId="4064D683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Draft-Rregullorja për </w:t>
            </w:r>
            <w:r w:rsidR="00834703" w:rsidRPr="0006580C">
              <w:rPr>
                <w:rFonts w:eastAsia="Times New Roman" w:cstheme="minorHAnsi"/>
                <w:lang w:eastAsia="en-GB"/>
              </w:rPr>
              <w:t>H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etimin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834703" w:rsidRPr="0006580C">
              <w:rPr>
                <w:rFonts w:eastAsia="Times New Roman" w:cstheme="minorHAnsi"/>
                <w:lang w:eastAsia="en-GB"/>
              </w:rPr>
              <w:t>A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dministrativ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834703" w:rsidRPr="0006580C">
              <w:rPr>
                <w:rFonts w:eastAsia="Times New Roman" w:cstheme="minorHAnsi"/>
                <w:lang w:eastAsia="en-GB"/>
              </w:rPr>
              <w:t>K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ërkesës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së </w:t>
            </w:r>
            <w:r w:rsidR="00834703" w:rsidRPr="0006580C">
              <w:rPr>
                <w:rFonts w:eastAsia="Times New Roman" w:cstheme="minorHAnsi"/>
                <w:lang w:eastAsia="en-GB"/>
              </w:rPr>
              <w:t>S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injalizuesit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për </w:t>
            </w:r>
            <w:r w:rsidR="00834703" w:rsidRPr="0006580C">
              <w:rPr>
                <w:rFonts w:eastAsia="Times New Roman" w:cstheme="minorHAnsi"/>
                <w:lang w:eastAsia="en-GB"/>
              </w:rPr>
              <w:t>M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brojtjen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nga </w:t>
            </w:r>
            <w:r w:rsidR="00834703" w:rsidRPr="0006580C">
              <w:rPr>
                <w:rFonts w:eastAsia="Times New Roman" w:cstheme="minorHAnsi"/>
                <w:lang w:eastAsia="en-GB"/>
              </w:rPr>
              <w:t>H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akmarrja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nuk specifikon Njësinë Përgjegjëse.</w:t>
            </w:r>
          </w:p>
          <w:p w14:paraId="7C244CD5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17A472C1" w14:textId="1B0F57D0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Rregullorja për </w:t>
            </w:r>
            <w:r w:rsidR="00834703" w:rsidRPr="0006580C">
              <w:rPr>
                <w:rFonts w:eastAsia="Times New Roman" w:cstheme="minorHAnsi"/>
                <w:lang w:eastAsia="en-GB"/>
              </w:rPr>
              <w:t xml:space="preserve"> H</w:t>
            </w:r>
            <w:proofErr w:type="spellStart"/>
            <w:r w:rsidR="00834703" w:rsidRPr="0006580C">
              <w:rPr>
                <w:rFonts w:eastAsia="Times New Roman" w:cstheme="minorHAnsi"/>
                <w:lang w:val="sq-AL" w:eastAsia="en-GB"/>
              </w:rPr>
              <w:t>etimin</w:t>
            </w:r>
            <w:proofErr w:type="spellEnd"/>
            <w:r w:rsidR="00834703"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834703" w:rsidRPr="0006580C">
              <w:rPr>
                <w:rFonts w:eastAsia="Times New Roman" w:cstheme="minorHAnsi"/>
                <w:lang w:eastAsia="en-GB"/>
              </w:rPr>
              <w:t>A</w:t>
            </w:r>
            <w:proofErr w:type="spellStart"/>
            <w:r w:rsidR="00834703" w:rsidRPr="0006580C">
              <w:rPr>
                <w:rFonts w:eastAsia="Times New Roman" w:cstheme="minorHAnsi"/>
                <w:lang w:val="sq-AL" w:eastAsia="en-GB"/>
              </w:rPr>
              <w:t>dministrativ</w:t>
            </w:r>
            <w:proofErr w:type="spellEnd"/>
            <w:r w:rsidR="00834703"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834703" w:rsidRPr="0006580C">
              <w:rPr>
                <w:rFonts w:eastAsia="Times New Roman" w:cstheme="minorHAnsi"/>
                <w:lang w:eastAsia="en-GB"/>
              </w:rPr>
              <w:t>K</w:t>
            </w:r>
            <w:proofErr w:type="spellStart"/>
            <w:r w:rsidR="00834703" w:rsidRPr="0006580C">
              <w:rPr>
                <w:rFonts w:eastAsia="Times New Roman" w:cstheme="minorHAnsi"/>
                <w:lang w:val="sq-AL" w:eastAsia="en-GB"/>
              </w:rPr>
              <w:t>ërkesës</w:t>
            </w:r>
            <w:proofErr w:type="spellEnd"/>
            <w:r w:rsidR="00834703" w:rsidRPr="0006580C">
              <w:rPr>
                <w:rFonts w:eastAsia="Times New Roman" w:cstheme="minorHAnsi"/>
                <w:lang w:val="sq-AL" w:eastAsia="en-GB"/>
              </w:rPr>
              <w:t xml:space="preserve"> së </w:t>
            </w:r>
            <w:r w:rsidR="00834703" w:rsidRPr="0006580C">
              <w:rPr>
                <w:rFonts w:eastAsia="Times New Roman" w:cstheme="minorHAnsi"/>
                <w:lang w:eastAsia="en-GB"/>
              </w:rPr>
              <w:t>S</w:t>
            </w:r>
            <w:proofErr w:type="spellStart"/>
            <w:r w:rsidR="00834703" w:rsidRPr="0006580C">
              <w:rPr>
                <w:rFonts w:eastAsia="Times New Roman" w:cstheme="minorHAnsi"/>
                <w:lang w:val="sq-AL" w:eastAsia="en-GB"/>
              </w:rPr>
              <w:t>injalizuesit</w:t>
            </w:r>
            <w:proofErr w:type="spellEnd"/>
            <w:r w:rsidR="00834703" w:rsidRPr="0006580C">
              <w:rPr>
                <w:rFonts w:eastAsia="Times New Roman" w:cstheme="minorHAnsi"/>
                <w:lang w:val="sq-AL" w:eastAsia="en-GB"/>
              </w:rPr>
              <w:t xml:space="preserve"> për </w:t>
            </w:r>
            <w:r w:rsidR="00834703" w:rsidRPr="0006580C">
              <w:rPr>
                <w:rFonts w:eastAsia="Times New Roman" w:cstheme="minorHAnsi"/>
                <w:lang w:eastAsia="en-GB"/>
              </w:rPr>
              <w:t>M</w:t>
            </w:r>
            <w:proofErr w:type="spellStart"/>
            <w:r w:rsidR="00834703" w:rsidRPr="0006580C">
              <w:rPr>
                <w:rFonts w:eastAsia="Times New Roman" w:cstheme="minorHAnsi"/>
                <w:lang w:val="sq-AL" w:eastAsia="en-GB"/>
              </w:rPr>
              <w:t>brojtjen</w:t>
            </w:r>
            <w:proofErr w:type="spellEnd"/>
            <w:r w:rsidR="00834703" w:rsidRPr="0006580C">
              <w:rPr>
                <w:rFonts w:eastAsia="Times New Roman" w:cstheme="minorHAnsi"/>
                <w:lang w:val="sq-AL" w:eastAsia="en-GB"/>
              </w:rPr>
              <w:t xml:space="preserve"> nga </w:t>
            </w:r>
            <w:r w:rsidR="00834703" w:rsidRPr="0006580C">
              <w:rPr>
                <w:rFonts w:eastAsia="Times New Roman" w:cstheme="minorHAnsi"/>
                <w:lang w:eastAsia="en-GB"/>
              </w:rPr>
              <w:t>H</w:t>
            </w:r>
            <w:proofErr w:type="spellStart"/>
            <w:r w:rsidR="00834703" w:rsidRPr="0006580C">
              <w:rPr>
                <w:rFonts w:eastAsia="Times New Roman" w:cstheme="minorHAnsi"/>
                <w:lang w:val="sq-AL" w:eastAsia="en-GB"/>
              </w:rPr>
              <w:t>akmarrja</w:t>
            </w:r>
            <w:proofErr w:type="spellEnd"/>
            <w:r w:rsidR="00834703"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nuk është e miratuar.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AD314D5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/Ligjor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2ED2E421" w14:textId="77777777" w:rsidR="00844690" w:rsidRPr="0006580C" w:rsidRDefault="00844690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B869B08" w14:textId="2DA6FEF5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Rishikimi i </w:t>
            </w:r>
            <w:r w:rsidR="00B3663A" w:rsidRPr="0006580C">
              <w:rPr>
                <w:rFonts w:eastAsia="Times New Roman" w:cstheme="minorHAnsi"/>
                <w:lang w:eastAsia="en-GB"/>
              </w:rPr>
              <w:t>D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raft-rregullores për </w:t>
            </w:r>
            <w:r w:rsidR="00B3663A" w:rsidRPr="0006580C">
              <w:rPr>
                <w:rFonts w:eastAsia="Times New Roman" w:cstheme="minorHAnsi"/>
                <w:lang w:eastAsia="en-GB"/>
              </w:rPr>
              <w:t>H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etimin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B3663A" w:rsidRPr="0006580C">
              <w:rPr>
                <w:rFonts w:eastAsia="Times New Roman" w:cstheme="minorHAnsi"/>
                <w:lang w:eastAsia="en-GB"/>
              </w:rPr>
              <w:t>A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dministrativ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dhe </w:t>
            </w:r>
            <w:r w:rsidR="00B3663A" w:rsidRPr="0006580C">
              <w:rPr>
                <w:rFonts w:eastAsia="Times New Roman" w:cstheme="minorHAnsi"/>
                <w:lang w:eastAsia="en-GB"/>
              </w:rPr>
              <w:t>M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brojtjen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nga </w:t>
            </w:r>
            <w:r w:rsidR="00B3663A" w:rsidRPr="0006580C">
              <w:rPr>
                <w:rFonts w:eastAsia="Times New Roman" w:cstheme="minorHAnsi"/>
                <w:lang w:eastAsia="en-GB"/>
              </w:rPr>
              <w:t>H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akmarrja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për përcaktimin e Njësisë Përgjegjëse.</w:t>
            </w:r>
          </w:p>
          <w:p w14:paraId="25F661F7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78191579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Miratimi i rregullores nga titullari.</w:t>
            </w:r>
          </w:p>
          <w:p w14:paraId="7559AD81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C621318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Grup Pune me punonjës të bashkisë</w:t>
            </w:r>
          </w:p>
          <w:p w14:paraId="2983427B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2B9A3C74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i Brendshëm</w:t>
            </w:r>
          </w:p>
          <w:p w14:paraId="570E0AD3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50C234F1" w14:textId="4DCEA23F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2024</w:t>
            </w:r>
          </w:p>
          <w:p w14:paraId="4575D7CB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  <w:p w14:paraId="54E46335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22AE3CD8" w14:textId="77777777" w:rsidTr="00844690">
        <w:tc>
          <w:tcPr>
            <w:tcW w:w="7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9FD9AD2" w14:textId="309806DF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11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12945A1" w14:textId="73F3DB81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Mungesë e PSV</w:t>
            </w:r>
            <w:r w:rsidR="00834703" w:rsidRPr="00917A23">
              <w:rPr>
                <w:rFonts w:eastAsia="Times New Roman" w:cstheme="minorHAnsi"/>
                <w:highlight w:val="green"/>
                <w:lang w:eastAsia="en-GB"/>
              </w:rPr>
              <w:t>-s</w:t>
            </w:r>
            <w:r w:rsidR="00834703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përshtatjen e kuadrit rregullator në lidhje me administrimin e pronave në kontekstin e Bashkisë Has.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760F513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/Ligjor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0000"/>
            <w:vAlign w:val="center"/>
          </w:tcPr>
          <w:p w14:paraId="4DA6AD99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3C74E6AE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Hartimi i një PSV-je për trajtimin e ankesave dhe kërkesave të qytetarëve në lidhje me administrimin e  pronave dhe publikimi i saj në Programin e Transparencës.</w:t>
            </w:r>
          </w:p>
          <w:p w14:paraId="6BC273DB" w14:textId="77777777" w:rsidR="007112C1" w:rsidRPr="00917A23" w:rsidRDefault="007112C1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DE37FD0" w14:textId="77777777" w:rsidR="007112C1" w:rsidRPr="00917A23" w:rsidRDefault="007112C1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E5EA7CE" w14:textId="77777777" w:rsidR="007112C1" w:rsidRPr="00917A23" w:rsidRDefault="007112C1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0584421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 xml:space="preserve">Sektori Juridik </w:t>
            </w:r>
          </w:p>
          <w:p w14:paraId="353A8BF7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21864BD" w14:textId="78776D90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i Planifikimit të Territorit dhe Urbanistik</w:t>
            </w:r>
            <w:r w:rsidR="00B3663A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s </w:t>
            </w:r>
          </w:p>
          <w:p w14:paraId="1CDD709E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6361B96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Koordinatori për të drejtën e informimit</w:t>
            </w:r>
          </w:p>
          <w:p w14:paraId="14CD408E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1325331" w14:textId="39D07823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 2023</w:t>
            </w:r>
          </w:p>
        </w:tc>
      </w:tr>
      <w:tr w:rsidR="0006580C" w:rsidRPr="0006580C" w14:paraId="4DE07489" w14:textId="77777777" w:rsidTr="00844690">
        <w:tc>
          <w:tcPr>
            <w:tcW w:w="701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160ED3C" w14:textId="77777777" w:rsidR="00844690" w:rsidRPr="0006580C" w:rsidRDefault="00844690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4E79C434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3068DB94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000000" w:fill="FFFF00"/>
            <w:vAlign w:val="center"/>
          </w:tcPr>
          <w:p w14:paraId="41BC8AB1" w14:textId="77777777" w:rsidR="00844690" w:rsidRPr="0006580C" w:rsidRDefault="00844690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3096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79217E8A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bottom"/>
          </w:tcPr>
          <w:p w14:paraId="150076F6" w14:textId="77777777" w:rsidR="00844690" w:rsidRPr="0006580C" w:rsidRDefault="00844690" w:rsidP="00844690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1CE3837D" w14:textId="77777777" w:rsidTr="00844690">
        <w:tc>
          <w:tcPr>
            <w:tcW w:w="7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6E39C50" w14:textId="323BBC48" w:rsidR="00844690" w:rsidRPr="0006580C" w:rsidRDefault="00754A7C" w:rsidP="00844690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12</w:t>
            </w:r>
            <w:r w:rsidR="00844690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6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4F07C28" w14:textId="07E125C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Mungon miratimi me urdhër të titullarit</w:t>
            </w:r>
            <w:r w:rsidR="00BE45DF" w:rsidRPr="00917A23">
              <w:rPr>
                <w:rFonts w:eastAsia="Times New Roman" w:cstheme="minorHAnsi"/>
                <w:highlight w:val="green"/>
                <w:lang w:eastAsia="en-GB"/>
              </w:rPr>
              <w:t>,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i modelit të njësuar të dokumenteve administrative sipas modelit të njësuar në Republikën e Shqipërisë.</w:t>
            </w:r>
          </w:p>
        </w:tc>
        <w:tc>
          <w:tcPr>
            <w:tcW w:w="14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8D7F53B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/Informacioni</w:t>
            </w:r>
          </w:p>
        </w:tc>
        <w:tc>
          <w:tcPr>
            <w:tcW w:w="153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7FE7A515" w14:textId="77777777" w:rsidR="00844690" w:rsidRPr="00917A23" w:rsidRDefault="00844690" w:rsidP="00844690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4B50FDC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     Mesatar</w:t>
            </w:r>
          </w:p>
        </w:tc>
        <w:tc>
          <w:tcPr>
            <w:tcW w:w="309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12E673A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C3B0319" w14:textId="1FB6B192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Miratimi i modelit të njësuar të dokumenteve administrative në Bashkinë Has sipas modelit të njësuar në Republikën e Shqipërisë dhe në përputhje me Rregulloren e njësuar të DPA</w:t>
            </w:r>
            <w:r w:rsidR="00B3663A" w:rsidRPr="00917A23">
              <w:rPr>
                <w:rFonts w:eastAsia="Times New Roman" w:cstheme="minorHAnsi"/>
                <w:highlight w:val="green"/>
                <w:lang w:eastAsia="en-GB"/>
              </w:rPr>
              <w:t>-s</w:t>
            </w:r>
            <w:r w:rsidR="00B3663A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  <w:p w14:paraId="0EF2A68F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DEC7293" w14:textId="4894E3F2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Njohja e punonjësve të Bashkisë me urdhrin e modelit të dokumentit administrativ pas miratimit, si dhe çdo vit sipas përcaktimeve të Rregullores së njësuar.</w:t>
            </w:r>
          </w:p>
          <w:p w14:paraId="42F434D7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D9BE1DD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Juridik</w:t>
            </w:r>
          </w:p>
          <w:p w14:paraId="5034B93F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1B37730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Sektori i Burimeve Njerëzore </w:t>
            </w:r>
          </w:p>
          <w:p w14:paraId="2CF022FD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37B0061" w14:textId="42657060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 2023 dhe çdo vit</w:t>
            </w:r>
          </w:p>
          <w:p w14:paraId="5FD6F2B9" w14:textId="77777777" w:rsidR="001D784C" w:rsidRPr="00917A23" w:rsidRDefault="001D784C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42A8822" w14:textId="77777777" w:rsidR="001D784C" w:rsidRPr="00917A23" w:rsidRDefault="001D784C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EB573E3" w14:textId="77777777" w:rsidR="001D784C" w:rsidRPr="00917A23" w:rsidRDefault="001D784C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0CA531D" w14:textId="77777777" w:rsidR="00844690" w:rsidRPr="00917A23" w:rsidRDefault="00844690" w:rsidP="00844690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</w:tbl>
    <w:p w14:paraId="6A529E52" w14:textId="77777777" w:rsidR="008D2ABC" w:rsidRPr="0006580C" w:rsidRDefault="008D2ABC" w:rsidP="008D2ABC">
      <w:pPr>
        <w:rPr>
          <w:rFonts w:cstheme="minorHAnsi"/>
          <w:lang w:val="sq-AL"/>
        </w:rPr>
      </w:pPr>
    </w:p>
    <w:p w14:paraId="7E90B1C9" w14:textId="77777777" w:rsidR="00FD2482" w:rsidRPr="0006580C" w:rsidRDefault="00FD2482" w:rsidP="008D2ABC">
      <w:pPr>
        <w:rPr>
          <w:rFonts w:cstheme="minorHAnsi"/>
          <w:lang w:val="sq-AL"/>
        </w:rPr>
      </w:pPr>
    </w:p>
    <w:p w14:paraId="2AE0959B" w14:textId="77777777" w:rsidR="00E512E6" w:rsidRPr="0006580C" w:rsidRDefault="00E512E6" w:rsidP="008D2ABC">
      <w:pPr>
        <w:rPr>
          <w:rFonts w:cstheme="minorHAnsi"/>
          <w:lang w:val="sq-AL"/>
        </w:rPr>
      </w:pPr>
    </w:p>
    <w:p w14:paraId="04D82B1C" w14:textId="77777777" w:rsidR="00E512E6" w:rsidRPr="0006580C" w:rsidRDefault="00E512E6" w:rsidP="008D2ABC">
      <w:pPr>
        <w:rPr>
          <w:rFonts w:cstheme="minorHAnsi"/>
          <w:lang w:val="sq-AL"/>
        </w:rPr>
      </w:pPr>
    </w:p>
    <w:p w14:paraId="73FA95CE" w14:textId="77777777" w:rsidR="00E512E6" w:rsidRPr="0006580C" w:rsidRDefault="00E512E6" w:rsidP="008D2ABC">
      <w:pPr>
        <w:rPr>
          <w:rFonts w:cstheme="minorHAnsi"/>
          <w:lang w:val="sq-AL"/>
        </w:rPr>
      </w:pPr>
    </w:p>
    <w:p w14:paraId="6F51E85C" w14:textId="77777777" w:rsidR="00E512E6" w:rsidRPr="0006580C" w:rsidRDefault="00E512E6" w:rsidP="008D2ABC">
      <w:pPr>
        <w:rPr>
          <w:rFonts w:cstheme="minorHAnsi"/>
          <w:lang w:val="sq-AL"/>
        </w:rPr>
      </w:pPr>
    </w:p>
    <w:p w14:paraId="344BFA3F" w14:textId="77777777" w:rsidR="00E512E6" w:rsidRPr="0006580C" w:rsidRDefault="00E512E6" w:rsidP="008D2ABC">
      <w:pPr>
        <w:rPr>
          <w:rFonts w:cstheme="minorHAnsi"/>
          <w:lang w:val="sq-AL"/>
        </w:rPr>
      </w:pPr>
    </w:p>
    <w:tbl>
      <w:tblPr>
        <w:tblStyle w:val="TableGrid"/>
        <w:tblW w:w="12883" w:type="dxa"/>
        <w:tblInd w:w="-10" w:type="dxa"/>
        <w:tblLook w:val="04A0" w:firstRow="1" w:lastRow="0" w:firstColumn="1" w:lastColumn="0" w:noHBand="0" w:noVBand="1"/>
      </w:tblPr>
      <w:tblGrid>
        <w:gridCol w:w="607"/>
        <w:gridCol w:w="3351"/>
        <w:gridCol w:w="2583"/>
        <w:gridCol w:w="1304"/>
        <w:gridCol w:w="2699"/>
        <w:gridCol w:w="2339"/>
      </w:tblGrid>
      <w:tr w:rsidR="0006580C" w:rsidRPr="0006580C" w14:paraId="75A433B3" w14:textId="77777777" w:rsidTr="00D31C55">
        <w:tc>
          <w:tcPr>
            <w:tcW w:w="60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00171D8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</w:p>
        </w:tc>
        <w:tc>
          <w:tcPr>
            <w:tcW w:w="12276" w:type="dxa"/>
            <w:gridSpan w:val="5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2792ED5" w14:textId="0BD39BFB" w:rsidR="00D36A4C" w:rsidRPr="0006580C" w:rsidRDefault="00892551" w:rsidP="00D36A4C">
            <w:pPr>
              <w:jc w:val="both"/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i/>
                <w:lang w:val="sq-AL"/>
              </w:rPr>
              <w:t xml:space="preserve">Objektivi </w:t>
            </w:r>
            <w:r w:rsidR="001D784C" w:rsidRPr="0006580C">
              <w:rPr>
                <w:rFonts w:cstheme="minorHAnsi"/>
                <w:i/>
                <w:lang w:val="sq-AL"/>
              </w:rPr>
              <w:t>2</w:t>
            </w:r>
            <w:r w:rsidRPr="0006580C">
              <w:rPr>
                <w:rFonts w:cstheme="minorHAnsi"/>
                <w:i/>
                <w:lang w:val="sq-AL"/>
              </w:rPr>
              <w:t xml:space="preserve">: </w:t>
            </w:r>
            <w:r w:rsidR="00D36A4C" w:rsidRPr="0006580C">
              <w:rPr>
                <w:rFonts w:eastAsiaTheme="minorEastAsia" w:cstheme="minorHAnsi"/>
                <w:i/>
                <w:iCs/>
                <w:lang w:val="sq-AL"/>
              </w:rPr>
              <w:t xml:space="preserve">Menaxhimi dhe zhvillimi i burimeve njerëzore në bashki, për identifikimin dhe parandalimin e </w:t>
            </w:r>
            <w:proofErr w:type="spellStart"/>
            <w:r w:rsidR="00D36A4C" w:rsidRPr="0006580C">
              <w:rPr>
                <w:rFonts w:eastAsiaTheme="minorEastAsia" w:cstheme="minorHAnsi"/>
                <w:i/>
                <w:iCs/>
                <w:lang w:val="sq-AL"/>
              </w:rPr>
              <w:t>risqeve</w:t>
            </w:r>
            <w:proofErr w:type="spellEnd"/>
            <w:r w:rsidR="00D36A4C" w:rsidRPr="0006580C">
              <w:rPr>
                <w:rFonts w:eastAsiaTheme="minorEastAsia" w:cstheme="minorHAnsi"/>
                <w:i/>
                <w:iCs/>
                <w:lang w:val="sq-AL"/>
              </w:rPr>
              <w:t xml:space="preserve"> të integritetit</w:t>
            </w:r>
          </w:p>
          <w:p w14:paraId="1E06602C" w14:textId="77777777" w:rsidR="00892551" w:rsidRPr="0006580C" w:rsidRDefault="00892551" w:rsidP="00892551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06580C" w:rsidRPr="0006580C" w14:paraId="75A6AF1C" w14:textId="77777777" w:rsidTr="00D31C55">
        <w:tc>
          <w:tcPr>
            <w:tcW w:w="60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7605150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51C4A80" w14:textId="77777777" w:rsidR="00892551" w:rsidRPr="0006580C" w:rsidRDefault="00892551" w:rsidP="00892551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</w:tcPr>
          <w:p w14:paraId="2962BB36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</w:p>
          <w:p w14:paraId="4BB4CE9F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</w:p>
          <w:p w14:paraId="726798F4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B8D75B5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moderuar; Prioritet i ulët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CE94744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  Aktivitetet që duhet të ndërmerren për zbatimin e masës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C5FE37B" w14:textId="77777777" w:rsidR="00892551" w:rsidRPr="0006580C" w:rsidRDefault="00892551" w:rsidP="00892551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4C6EE98F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698C5AD" w14:textId="60CBE779" w:rsidR="002D540A" w:rsidRPr="0006580C" w:rsidRDefault="00E512E6" w:rsidP="00892551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13</w:t>
            </w:r>
            <w:r w:rsidR="007F7719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DE4451A" w14:textId="55EA6D00" w:rsidR="002D540A" w:rsidRPr="0006580C" w:rsidRDefault="002D540A" w:rsidP="00892551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Vakancat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>e paplot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 xml:space="preserve">suara 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 xml:space="preserve"> p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>r pozicione pune t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 xml:space="preserve"> miratuara n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 xml:space="preserve"> organik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 xml:space="preserve">n e </w:t>
            </w:r>
            <w:proofErr w:type="spellStart"/>
            <w:r w:rsidR="004B1DC9" w:rsidRPr="0006580C">
              <w:rPr>
                <w:rFonts w:eastAsia="Times New Roman" w:cstheme="minorHAnsi"/>
                <w:lang w:val="sq-AL" w:eastAsia="en-GB"/>
              </w:rPr>
              <w:t>bashk</w:t>
            </w:r>
            <w:r w:rsidR="00B726EC" w:rsidRPr="0006580C">
              <w:rPr>
                <w:rFonts w:eastAsia="Times New Roman" w:cstheme="minorHAnsi"/>
                <w:lang w:eastAsia="en-GB"/>
              </w:rPr>
              <w:t>i</w:t>
            </w:r>
            <w:proofErr w:type="spellEnd"/>
            <w:r w:rsidR="004B1DC9" w:rsidRPr="0006580C">
              <w:rPr>
                <w:rFonts w:eastAsia="Times New Roman" w:cstheme="minorHAnsi"/>
                <w:lang w:val="sq-AL" w:eastAsia="en-GB"/>
              </w:rPr>
              <w:t>s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BE45DF" w:rsidRPr="0006580C">
              <w:rPr>
                <w:rFonts w:eastAsia="Times New Roman" w:cstheme="minorHAnsi"/>
                <w:lang w:eastAsia="en-GB"/>
              </w:rPr>
              <w:t>,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>krijojn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 xml:space="preserve"> mbingarkes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 xml:space="preserve"> p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 xml:space="preserve">r 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stafin ekzistues dhe 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>ndikojn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B726EC" w:rsidRPr="0006580C">
              <w:rPr>
                <w:rFonts w:eastAsia="Times New Roman" w:cstheme="minorHAnsi"/>
                <w:lang w:eastAsia="en-GB"/>
              </w:rPr>
              <w:t>n</w:t>
            </w:r>
            <w:r w:rsidR="00B726EC" w:rsidRPr="0006580C">
              <w:rPr>
                <w:rFonts w:ascii="Times New Roman" w:eastAsiaTheme="minorEastAsia" w:hAnsi="Times New Roman" w:cs="Times New Roman"/>
                <w:lang w:val="sq-AL"/>
              </w:rPr>
              <w:t>ë</w:t>
            </w:r>
            <w:r w:rsidR="00B726EC" w:rsidRPr="000658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cilësinë e realizimit 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>t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E526F4" w:rsidRPr="0006580C">
              <w:rPr>
                <w:rFonts w:eastAsia="Times New Roman" w:cstheme="minorHAnsi"/>
                <w:lang w:val="sq-AL" w:eastAsia="en-GB"/>
              </w:rPr>
              <w:t xml:space="preserve"> detyrave.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93BECAF" w14:textId="77777777" w:rsidR="002D540A" w:rsidRPr="0006580C" w:rsidRDefault="002D540A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4AF3C154" w14:textId="77777777" w:rsidR="002D540A" w:rsidRPr="0006580C" w:rsidRDefault="002D540A" w:rsidP="00892551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44C7F7F" w14:textId="2D6F3EDB" w:rsidR="002D540A" w:rsidRPr="0006580C" w:rsidRDefault="002D540A" w:rsidP="00892551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Hapja e konkurseve për plotësimin e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vakancave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në përputhje me planifikimin vjetor </w:t>
            </w:r>
            <w:r w:rsidR="00EA3B82" w:rsidRPr="0006580C">
              <w:rPr>
                <w:rFonts w:eastAsia="Times New Roman" w:cstheme="minorHAnsi"/>
                <w:lang w:val="sq-AL" w:eastAsia="en-GB"/>
              </w:rPr>
              <w:t xml:space="preserve">si dhe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vakancave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paparashikuara që krijohen gjatë vitit.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5C3E5A9" w14:textId="77777777" w:rsidR="00E622A3" w:rsidRPr="0006580C" w:rsidRDefault="002D540A" w:rsidP="00BA4697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Titullari</w:t>
            </w:r>
          </w:p>
          <w:p w14:paraId="474E328D" w14:textId="77777777" w:rsidR="00E622A3" w:rsidRPr="0006580C" w:rsidRDefault="00E622A3" w:rsidP="00BA4697">
            <w:pPr>
              <w:rPr>
                <w:rFonts w:eastAsia="Times New Roman" w:cstheme="minorHAnsi"/>
                <w:lang w:val="sq-AL" w:eastAsia="en-GB"/>
              </w:rPr>
            </w:pPr>
          </w:p>
          <w:p w14:paraId="1DF620DE" w14:textId="1FCB2B68" w:rsidR="002D540A" w:rsidRPr="0006580C" w:rsidRDefault="002D540A" w:rsidP="00BA4697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</w:t>
            </w:r>
          </w:p>
          <w:p w14:paraId="0657AFBB" w14:textId="77777777" w:rsidR="002D540A" w:rsidRPr="0006580C" w:rsidRDefault="002D540A" w:rsidP="00BA4697">
            <w:pPr>
              <w:rPr>
                <w:rFonts w:eastAsia="Times New Roman" w:cstheme="minorHAnsi"/>
                <w:lang w:val="sq-AL" w:eastAsia="en-GB"/>
              </w:rPr>
            </w:pPr>
          </w:p>
          <w:p w14:paraId="6CFD4C8F" w14:textId="514A040B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</w:t>
            </w:r>
            <w:r w:rsidR="00B3663A" w:rsidRPr="0006580C">
              <w:rPr>
                <w:rFonts w:eastAsia="Times New Roman" w:cstheme="minorHAnsi"/>
                <w:lang w:eastAsia="en-GB"/>
              </w:rPr>
              <w:t xml:space="preserve"> </w:t>
            </w:r>
            <w:r w:rsidRPr="0006580C">
              <w:rPr>
                <w:rFonts w:eastAsia="Times New Roman" w:cstheme="minorHAnsi"/>
                <w:lang w:val="sq-AL" w:eastAsia="en-GB"/>
              </w:rPr>
              <w:t>2025</w:t>
            </w:r>
          </w:p>
        </w:tc>
      </w:tr>
      <w:tr w:rsidR="0006580C" w:rsidRPr="0006580C" w14:paraId="72A663CE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602E418" w14:textId="10E44FE2" w:rsidR="002D540A" w:rsidRPr="0006580C" w:rsidRDefault="00E512E6" w:rsidP="00892551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14</w:t>
            </w:r>
            <w:r w:rsidR="007F7719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7F5620E" w14:textId="64EC00A1" w:rsidR="002D540A" w:rsidRPr="0006580C" w:rsidRDefault="002D540A" w:rsidP="004B1DC9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>es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 xml:space="preserve"> e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një përcaktim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>i t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qartë i kategorizimit të nëpunësve që ushtrojnë një funksion publik sipas legjislacioni</w:t>
            </w:r>
            <w:r w:rsidR="004B1DC9" w:rsidRPr="0006580C">
              <w:rPr>
                <w:rFonts w:eastAsia="Times New Roman" w:cstheme="minorHAnsi"/>
                <w:lang w:val="sq-AL" w:eastAsia="en-GB"/>
              </w:rPr>
              <w:t>t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"Për nëpunësin civil".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BBF9E29" w14:textId="77777777" w:rsidR="002D540A" w:rsidRPr="0006580C" w:rsidRDefault="002D540A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/Ligjor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71235406" w14:textId="77777777" w:rsidR="002D540A" w:rsidRPr="0006580C" w:rsidRDefault="002D540A" w:rsidP="00892551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35B4ECE" w14:textId="77777777" w:rsidR="002D540A" w:rsidRPr="0006580C" w:rsidRDefault="002D540A" w:rsidP="00892551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Analizë në bashkëpunim me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Komisionerin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për Mbikëqyrjen e Shërbimit Civil për përcaktimin e pozicioneve që kategorizohen në shërbimin civil.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10EB32F2" w14:textId="77777777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</w:t>
            </w:r>
            <w:r w:rsidR="00E3302A" w:rsidRPr="0006580C">
              <w:rPr>
                <w:rFonts w:eastAsia="Times New Roman" w:cstheme="minorHAnsi"/>
                <w:lang w:val="sq-AL" w:eastAsia="en-GB"/>
              </w:rPr>
              <w:t>ve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</w:p>
          <w:p w14:paraId="2A0E1601" w14:textId="77777777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Njerëzore</w:t>
            </w:r>
          </w:p>
          <w:p w14:paraId="796EDEA8" w14:textId="77777777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</w:p>
          <w:p w14:paraId="2D60B903" w14:textId="719A692D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2025</w:t>
            </w:r>
          </w:p>
        </w:tc>
      </w:tr>
      <w:tr w:rsidR="0006580C" w:rsidRPr="0006580C" w14:paraId="740167E8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44FCD1E" w14:textId="2881A3EC" w:rsidR="002D540A" w:rsidRPr="0006580C" w:rsidRDefault="00E512E6" w:rsidP="00892551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15</w:t>
            </w:r>
            <w:r w:rsidR="007F7719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47CFEB2" w14:textId="77777777" w:rsidR="002D540A" w:rsidRPr="0006580C" w:rsidRDefault="002D540A" w:rsidP="00892551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Plotësimi i pozicioneve të shërbimit civil pa ndjekur procedurat përkatëse të lëvizjes paralele, ngritjes në detyrë dhe rekrutimit për nivelin ekzekutiv.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A43C3D0" w14:textId="77777777" w:rsidR="002D540A" w:rsidRPr="0006580C" w:rsidRDefault="002D540A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54BBD189" w14:textId="77777777" w:rsidR="002D540A" w:rsidRPr="0006580C" w:rsidRDefault="002D540A" w:rsidP="00892551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4625FD8" w14:textId="5A4FAED9" w:rsidR="002D540A" w:rsidRPr="0006580C" w:rsidRDefault="002D540A" w:rsidP="00892551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Publikimi i njoftimeve për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vakancat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shërbimit civil dhe ndjekja e procedurave të parashikuara në përputhje me kuadrin </w:t>
            </w:r>
            <w:r w:rsidR="00DC0DC3" w:rsidRPr="0006580C">
              <w:rPr>
                <w:rFonts w:eastAsia="Times New Roman" w:cstheme="minorHAnsi"/>
                <w:lang w:val="sq-AL" w:eastAsia="en-GB"/>
              </w:rPr>
              <w:t>ligjor dhe rregullator.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D03AA9A" w14:textId="401ABE53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</w:t>
            </w:r>
            <w:proofErr w:type="spellStart"/>
            <w:r w:rsidR="00B726EC" w:rsidRPr="0006580C">
              <w:rPr>
                <w:rFonts w:eastAsia="Times New Roman" w:cstheme="minorHAnsi"/>
                <w:lang w:eastAsia="en-GB"/>
              </w:rPr>
              <w:t>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</w:p>
          <w:p w14:paraId="60B49436" w14:textId="77777777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Njerëzore</w:t>
            </w:r>
          </w:p>
          <w:p w14:paraId="0AA6B349" w14:textId="77777777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</w:p>
          <w:p w14:paraId="3838BEED" w14:textId="13692BB5" w:rsidR="002D540A" w:rsidRPr="0006580C" w:rsidRDefault="002D540A" w:rsidP="002D540A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2025</w:t>
            </w:r>
          </w:p>
        </w:tc>
      </w:tr>
      <w:tr w:rsidR="0006580C" w:rsidRPr="0006580C" w14:paraId="649DE988" w14:textId="77777777" w:rsidTr="00D31C55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4FC1901" w14:textId="3EC0CAD3" w:rsidR="006D1FA8" w:rsidRPr="0006580C" w:rsidRDefault="00E512E6" w:rsidP="00CA021B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16</w:t>
            </w:r>
            <w:r w:rsidR="007F7719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6582098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Mungojnë përshkrimet e punës për çdo pozicion pune në bashki.</w:t>
            </w:r>
          </w:p>
          <w:p w14:paraId="7DE729FA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</w:p>
          <w:p w14:paraId="284255F5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3E84E7B" w14:textId="77777777" w:rsidR="006D1FA8" w:rsidRPr="0006580C" w:rsidRDefault="006D1FA8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/Ligjor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52177A2E" w14:textId="77777777" w:rsidR="006D1FA8" w:rsidRPr="0006580C" w:rsidRDefault="006D1FA8" w:rsidP="00CA021B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9B72B13" w14:textId="50D5B7E5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1. Hartimi dhe miratimi i p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>rshkrimeve t</w:t>
            </w:r>
            <w:r w:rsidR="00B3663A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pun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>s p</w:t>
            </w:r>
            <w:r w:rsidR="00D21FBD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>r çdo pozicion t</w:t>
            </w:r>
            <w:r w:rsidR="00B3663A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stafit t</w:t>
            </w:r>
            <w:r w:rsidR="00B3663A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Bashkisë Has.</w:t>
            </w:r>
          </w:p>
          <w:p w14:paraId="32FC551D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</w:p>
          <w:p w14:paraId="155A11E1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B6C9E22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Sektori i Burimeve Njerëzore </w:t>
            </w:r>
          </w:p>
          <w:p w14:paraId="50FB5D6F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</w:p>
          <w:p w14:paraId="563C586B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Drejtoritë/Sektorët përkatës</w:t>
            </w:r>
          </w:p>
          <w:p w14:paraId="6418ECB1" w14:textId="7777777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</w:p>
          <w:p w14:paraId="2B3D2AC1" w14:textId="43F61887" w:rsidR="006D1FA8" w:rsidRPr="0006580C" w:rsidRDefault="006D1FA8" w:rsidP="00CA021B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Gjashtëmujori  II 2022 e në vazhdim</w:t>
            </w:r>
          </w:p>
        </w:tc>
      </w:tr>
      <w:tr w:rsidR="0006580C" w:rsidRPr="0006580C" w14:paraId="23383EDF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F560096" w14:textId="10A21B54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17.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38B5580" w14:textId="1D723B0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1.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Mozbatim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i detyrimit ligjor mbi peri</w:t>
            </w:r>
            <w:r w:rsidR="00BE45DF" w:rsidRPr="0006580C">
              <w:rPr>
                <w:rFonts w:eastAsia="Times New Roman" w:cstheme="minorHAnsi"/>
                <w:lang w:eastAsia="en-GB"/>
              </w:rPr>
              <w:t>o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dicitetin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kryerjes së vlerësimit të rezultateve në punë.</w:t>
            </w:r>
          </w:p>
          <w:p w14:paraId="535BEAB0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161529D" w14:textId="519A91F4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2. Mungesë ndërgjegjësimi mbi rëndësinë e vlerësimit të rezultateve në punë dhe mungesë përkthimi të tij në marrjen e vendime</w:t>
            </w:r>
            <w:proofErr w:type="spellStart"/>
            <w:r w:rsidR="00BE45DF" w:rsidRPr="0006580C">
              <w:rPr>
                <w:rFonts w:eastAsia="Times New Roman" w:cstheme="minorHAnsi"/>
                <w:lang w:eastAsia="en-GB"/>
              </w:rPr>
              <w:t>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për zhvillimin e ka</w:t>
            </w:r>
            <w:r w:rsidR="00BE45DF" w:rsidRPr="0006580C">
              <w:rPr>
                <w:rFonts w:eastAsia="Times New Roman" w:cstheme="minorHAnsi"/>
                <w:lang w:eastAsia="en-GB"/>
              </w:rPr>
              <w:t>r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rierës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, përparimin në hapat e pagës, si dhe në përcaktimin e nevojave për trajnim dhe zhvillim profesional.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DAAF587" w14:textId="30206F3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729A0120" w14:textId="675765F2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EEEF45F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1. Realizimi i vlerësimit të rezultateve në punë sipas procedurës dhe afateve të parashikuara në kuadrin rregullator. </w:t>
            </w:r>
          </w:p>
          <w:p w14:paraId="192A201A" w14:textId="502192DD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2. Organizimi i sesioneve informuese në lidhje me rëndësinë e procesit të vlerësimit të rezultateve në punë.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330C0486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 në</w:t>
            </w:r>
          </w:p>
          <w:p w14:paraId="6F16532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bashkëpunim me strukturat e Bashkisë</w:t>
            </w:r>
          </w:p>
          <w:p w14:paraId="46811480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0FC4CC9" w14:textId="7062FDD5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II 2022 e në vazhdim</w:t>
            </w:r>
          </w:p>
          <w:p w14:paraId="4A1AB680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01E3DDF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48EF9903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3C51D89" w14:textId="15B6A23A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18.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C0B14F1" w14:textId="4DB7D64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cstheme="minorHAnsi"/>
                <w:lang w:val="sq-AL"/>
              </w:rPr>
              <w:t xml:space="preserve">Mungesa e një </w:t>
            </w:r>
            <w:r w:rsidR="00BE45DF" w:rsidRPr="0006580C">
              <w:rPr>
                <w:rFonts w:cstheme="minorHAnsi"/>
              </w:rPr>
              <w:t>P</w:t>
            </w:r>
            <w:r w:rsidRPr="0006580C">
              <w:rPr>
                <w:rFonts w:cstheme="minorHAnsi"/>
                <w:lang w:val="sq-AL"/>
              </w:rPr>
              <w:t xml:space="preserve">lani </w:t>
            </w:r>
            <w:r w:rsidR="00BE45DF" w:rsidRPr="0006580C">
              <w:rPr>
                <w:rFonts w:cstheme="minorHAnsi"/>
              </w:rPr>
              <w:t>V</w:t>
            </w:r>
            <w:proofErr w:type="spellStart"/>
            <w:r w:rsidRPr="0006580C">
              <w:rPr>
                <w:rFonts w:cstheme="minorHAnsi"/>
                <w:lang w:val="sq-AL"/>
              </w:rPr>
              <w:t>jetor</w:t>
            </w:r>
            <w:proofErr w:type="spellEnd"/>
            <w:r w:rsidRPr="0006580C">
              <w:rPr>
                <w:rFonts w:cstheme="minorHAnsi"/>
                <w:lang w:val="sq-AL"/>
              </w:rPr>
              <w:t xml:space="preserve"> </w:t>
            </w:r>
            <w:r w:rsidR="00BE45DF" w:rsidRPr="0006580C">
              <w:rPr>
                <w:rFonts w:cstheme="minorHAnsi"/>
              </w:rPr>
              <w:t>T</w:t>
            </w:r>
            <w:proofErr w:type="spellStart"/>
            <w:r w:rsidRPr="0006580C">
              <w:rPr>
                <w:rFonts w:cstheme="minorHAnsi"/>
                <w:lang w:val="sq-AL"/>
              </w:rPr>
              <w:t>rajnimesh</w:t>
            </w:r>
            <w:proofErr w:type="spellEnd"/>
            <w:r w:rsidRPr="0006580C">
              <w:rPr>
                <w:rFonts w:cstheme="minorHAnsi"/>
                <w:lang w:val="sq-AL"/>
              </w:rPr>
              <w:t xml:space="preserve"> të </w:t>
            </w:r>
            <w:r w:rsidR="00BE45DF" w:rsidRPr="0006580C">
              <w:rPr>
                <w:rFonts w:cstheme="minorHAnsi"/>
              </w:rPr>
              <w:t>B</w:t>
            </w:r>
            <w:proofErr w:type="spellStart"/>
            <w:r w:rsidRPr="0006580C">
              <w:rPr>
                <w:rFonts w:cstheme="minorHAnsi"/>
                <w:lang w:val="sq-AL"/>
              </w:rPr>
              <w:t>rendshme</w:t>
            </w:r>
            <w:proofErr w:type="spellEnd"/>
            <w:r w:rsidRPr="0006580C">
              <w:rPr>
                <w:rFonts w:cstheme="minorHAnsi"/>
                <w:lang w:val="sq-AL"/>
              </w:rPr>
              <w:t>, i cili adreson nevojat profesionale të personelit të bashkisë.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02F4B47" w14:textId="572AAF17" w:rsidR="00E512E6" w:rsidRPr="0006580C" w:rsidRDefault="00E512E6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3167A1A9" w14:textId="1B8BD6BB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EB98173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 xml:space="preserve">1. Përcaktimi në Rregulloren e Brendshme i detyrimit për hartimin e Planit të Brendshëm Vjetor të Trajnimeve. </w:t>
            </w:r>
          </w:p>
          <w:p w14:paraId="0DA7F77D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 xml:space="preserve">2. Përcaktimi në Rregulloren e Brendshme i detyrimit për kryerjen e Analizës Vjetore të </w:t>
            </w:r>
            <w:proofErr w:type="spellStart"/>
            <w:r w:rsidRPr="0006580C">
              <w:rPr>
                <w:rFonts w:cstheme="minorHAnsi"/>
                <w:lang w:val="sq-AL"/>
              </w:rPr>
              <w:t>Perfomancës</w:t>
            </w:r>
            <w:proofErr w:type="spellEnd"/>
            <w:r w:rsidRPr="0006580C">
              <w:rPr>
                <w:rFonts w:cstheme="minorHAnsi"/>
                <w:lang w:val="sq-AL"/>
              </w:rPr>
              <w:t xml:space="preserve">, si bazë për identifikimin e nevojave për trajnim dhe hartimin e Planit Vjetor të Trajnimeve.                                                                                                  </w:t>
            </w:r>
          </w:p>
          <w:p w14:paraId="7FCE40A9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cstheme="minorHAnsi"/>
                <w:lang w:val="sq-AL"/>
              </w:rPr>
              <w:t xml:space="preserve">3. Hartimi i Planit të Brendshëm të Trajnimeve dhe Analizës së </w:t>
            </w:r>
            <w:proofErr w:type="spellStart"/>
            <w:r w:rsidRPr="0006580C">
              <w:rPr>
                <w:rFonts w:cstheme="minorHAnsi"/>
                <w:lang w:val="sq-AL"/>
              </w:rPr>
              <w:t>Performancës</w:t>
            </w:r>
            <w:proofErr w:type="spellEnd"/>
            <w:r w:rsidRPr="0006580C">
              <w:rPr>
                <w:rFonts w:cstheme="minorHAnsi"/>
                <w:lang w:val="sq-AL"/>
              </w:rPr>
              <w:t xml:space="preserve">, çdo vit.                                                                                                                                                                       </w:t>
            </w:r>
          </w:p>
          <w:p w14:paraId="6FB1931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69393D3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</w:t>
            </w:r>
          </w:p>
          <w:p w14:paraId="069AC605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7AAB626A" w14:textId="31289B0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II</w:t>
            </w:r>
            <w:r w:rsidR="00D23A14" w:rsidRPr="0006580C">
              <w:rPr>
                <w:rFonts w:eastAsia="Times New Roman" w:cstheme="minorHAnsi"/>
                <w:lang w:eastAsia="en-GB"/>
              </w:rPr>
              <w:t xml:space="preserve"> </w:t>
            </w:r>
            <w:r w:rsidRPr="0006580C">
              <w:rPr>
                <w:rFonts w:eastAsia="Times New Roman" w:cstheme="minorHAnsi"/>
                <w:lang w:val="sq-AL" w:eastAsia="en-GB"/>
              </w:rPr>
              <w:t>2022 e në vijim</w:t>
            </w:r>
          </w:p>
          <w:p w14:paraId="1BEB69FB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314D8432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5D54CFB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A6467D2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136F895E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BFB9BCF" w14:textId="5DF51B95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19.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E955C91" w14:textId="0751961F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Mungesë trajnimesh për administrimin e sistemit HRMIS.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30D16FE" w14:textId="5FF8DED4" w:rsidR="00E512E6" w:rsidRPr="0006580C" w:rsidRDefault="00E512E6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42F764C6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  <w:p w14:paraId="27E1D593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  <w:p w14:paraId="6837F2E6" w14:textId="6989545D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56E5F96" w14:textId="2019B0E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Ngritja e kapaciteteve nëpërmjet bashkëpunimit me ASPA</w:t>
            </w:r>
            <w:r w:rsidR="00D23A14" w:rsidRPr="0006580C">
              <w:rPr>
                <w:rFonts w:eastAsia="Times New Roman" w:cstheme="minorHAnsi"/>
                <w:lang w:eastAsia="en-GB"/>
              </w:rPr>
              <w:t>-n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për stafin e Burimeve Njerëzore mbi administrimin e sistemit HRMIS. Parashikimi i tyre në </w:t>
            </w:r>
            <w:r w:rsidR="00D23A14" w:rsidRPr="0006580C">
              <w:rPr>
                <w:rFonts w:eastAsia="Times New Roman" w:cstheme="minorHAnsi"/>
                <w:lang w:eastAsia="en-GB"/>
              </w:rPr>
              <w:t>P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lanin </w:t>
            </w:r>
            <w:r w:rsidR="00D23A14" w:rsidRPr="0006580C">
              <w:rPr>
                <w:rFonts w:eastAsia="Times New Roman" w:cstheme="minorHAnsi"/>
                <w:lang w:eastAsia="en-GB"/>
              </w:rPr>
              <w:t>V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jetor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D23A14" w:rsidRPr="0006580C">
              <w:rPr>
                <w:rFonts w:eastAsia="Times New Roman" w:cstheme="minorHAnsi"/>
                <w:lang w:eastAsia="en-GB"/>
              </w:rPr>
              <w:t>T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rajnimeve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5BC5EB30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Sektori i Burimeve </w:t>
            </w:r>
          </w:p>
          <w:p w14:paraId="52DC85D9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Njerëzore</w:t>
            </w:r>
          </w:p>
          <w:p w14:paraId="7107C7DF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528BA162" w14:textId="3EE5148F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II</w:t>
            </w:r>
            <w:r w:rsidR="00D23A14" w:rsidRPr="0006580C">
              <w:rPr>
                <w:rFonts w:eastAsia="Times New Roman" w:cstheme="minorHAnsi"/>
                <w:lang w:eastAsia="en-GB"/>
              </w:rPr>
              <w:t xml:space="preserve"> </w:t>
            </w:r>
            <w:r w:rsidRPr="0006580C">
              <w:rPr>
                <w:rFonts w:eastAsia="Times New Roman" w:cstheme="minorHAnsi"/>
                <w:lang w:val="sq-AL" w:eastAsia="en-GB"/>
              </w:rPr>
              <w:t>2022</w:t>
            </w:r>
          </w:p>
          <w:p w14:paraId="3655C4E6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019E7F09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21AE51F" w14:textId="11F3E625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20.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CD49965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30DAE4E" w14:textId="2A762A8A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Mungesa e një njësie të posaçme përgjegjëse për prezantimin, mbik</w:t>
            </w:r>
            <w:r w:rsidR="00B726EC" w:rsidRPr="0006580C">
              <w:rPr>
                <w:rFonts w:ascii="Times New Roman" w:eastAsiaTheme="minorEastAsia" w:hAnsi="Times New Roman" w:cs="Times New Roman"/>
                <w:sz w:val="24"/>
                <w:szCs w:val="24"/>
                <w:lang w:val="sq-AL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qyrjen dhe monitorimin e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performancës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të shërbimit.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EE4C56C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97686F7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  <w:p w14:paraId="63249D8D" w14:textId="77777777" w:rsidR="00E512E6" w:rsidRPr="0006580C" w:rsidRDefault="00E512E6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0EBD12AD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6823245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  <w:p w14:paraId="4BCF361E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Mestarar</w:t>
            </w:r>
            <w:proofErr w:type="spellEnd"/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75BE773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BCB1CB7" w14:textId="124ABDC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1. Krijimi i njësisë </w:t>
            </w:r>
            <w:r w:rsidR="00D23A14" w:rsidRPr="0006580C">
              <w:rPr>
                <w:rFonts w:eastAsia="Times New Roman" w:cstheme="minorHAnsi"/>
                <w:lang w:eastAsia="en-GB"/>
              </w:rPr>
              <w:t>s</w:t>
            </w:r>
            <w:r w:rsidRPr="0006580C">
              <w:rPr>
                <w:rFonts w:eastAsia="Times New Roman" w:cstheme="minorHAnsi"/>
                <w:lang w:val="sq-AL" w:eastAsia="en-GB"/>
              </w:rPr>
              <w:t>ë posaçme përgjegjëse për prezantimin, mbik</w:t>
            </w:r>
            <w:r w:rsidR="00B726EC" w:rsidRPr="0006580C">
              <w:rPr>
                <w:rFonts w:ascii="Times New Roman" w:eastAsiaTheme="minorEastAsia" w:hAnsi="Times New Roman" w:cs="Times New Roman"/>
                <w:sz w:val="24"/>
                <w:szCs w:val="24"/>
                <w:lang w:val="sq-AL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qyrjen dhe monitorimin e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performancës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të shërbimit, përfshirë edhe aspektin gjinor, sipas legjislacionit në fuqi. </w:t>
            </w:r>
          </w:p>
          <w:p w14:paraId="4A196E93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CB3CBED" w14:textId="42918EFC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2. Përcaktimi i qartë i detyrave, procedurave dhe përgjegjësive të </w:t>
            </w:r>
            <w:r w:rsidR="00D23A14" w:rsidRPr="0006580C">
              <w:rPr>
                <w:rFonts w:eastAsia="Times New Roman" w:cstheme="minorHAnsi"/>
                <w:lang w:eastAsia="en-GB"/>
              </w:rPr>
              <w:t>N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jësisë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së </w:t>
            </w:r>
            <w:r w:rsidR="00D23A14" w:rsidRPr="0006580C">
              <w:rPr>
                <w:rFonts w:eastAsia="Times New Roman" w:cstheme="minorHAnsi"/>
                <w:lang w:eastAsia="en-GB"/>
              </w:rPr>
              <w:t>P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osaçme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në Rregulloren e Brendshme të Bashkisë.</w:t>
            </w:r>
          </w:p>
          <w:p w14:paraId="28A32ABA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6AADD11" w14:textId="77777777" w:rsidR="00E512E6" w:rsidRPr="0006580C" w:rsidDel="00C64B24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3. Realizimi i monitorimit në mënyrë objektive nëpërmjet vendosjes së indikatorëve paraprakë të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perfomancës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së një shërbimi.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33EF9132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8A1F19A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7BE4A8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Kryetari</w:t>
            </w:r>
          </w:p>
          <w:p w14:paraId="6A3E15FA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ADDF81A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</w:t>
            </w:r>
          </w:p>
          <w:p w14:paraId="6083E6F1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3F3FA22A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Sektori i Shërbimeve Publike dhe Komunale </w:t>
            </w:r>
          </w:p>
          <w:p w14:paraId="073CED5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769F267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2FF4DA2" w14:textId="191AA7EE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2024</w:t>
            </w:r>
          </w:p>
          <w:p w14:paraId="77523363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278A609E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2A9466C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685446A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4219D18C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87C3EA8" w14:textId="1782CFAD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21.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17C8A5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Njohuri të kufizuara për monitorimin e shërbimeve publike. 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1D3688B" w14:textId="77777777" w:rsidR="00E512E6" w:rsidRPr="0006580C" w:rsidRDefault="00E512E6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/Strategjik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565E86E5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369D656" w14:textId="52627B6D" w:rsidR="00E512E6" w:rsidRPr="0006580C" w:rsidDel="00C64B24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1. Organizimi i trajnimeve për monitorimin e shërbimeve publike për personelin e përfshirë në </w:t>
            </w: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 xml:space="preserve">këto procese. Parashikimi i tyre në </w:t>
            </w:r>
            <w:r w:rsidR="00D23A14" w:rsidRPr="0006580C">
              <w:rPr>
                <w:rFonts w:eastAsia="Times New Roman" w:cstheme="minorHAnsi"/>
                <w:lang w:eastAsia="en-GB"/>
              </w:rPr>
              <w:t>P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lanin </w:t>
            </w:r>
            <w:r w:rsidR="00D23A14" w:rsidRPr="0006580C">
              <w:rPr>
                <w:rFonts w:eastAsia="Times New Roman" w:cstheme="minorHAnsi"/>
                <w:lang w:eastAsia="en-GB"/>
              </w:rPr>
              <w:t>V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jetor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D23A14" w:rsidRPr="0006580C">
              <w:rPr>
                <w:rFonts w:eastAsia="Times New Roman" w:cstheme="minorHAnsi"/>
                <w:lang w:eastAsia="en-GB"/>
              </w:rPr>
              <w:t>T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rajnimeve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E505E3D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3C3BF817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3A9717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</w:t>
            </w:r>
          </w:p>
          <w:p w14:paraId="76726CF1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ECA58C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Sektori i Shërbimeve Publike dhe Komunale </w:t>
            </w:r>
          </w:p>
          <w:p w14:paraId="53BCB49E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54865FE6" w14:textId="58500C9A" w:rsidR="00E512E6" w:rsidRPr="0006580C" w:rsidRDefault="00E512E6" w:rsidP="008231F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</w:t>
            </w:r>
            <w:r w:rsidR="008231F6" w:rsidRPr="0006580C">
              <w:rPr>
                <w:rFonts w:eastAsia="Times New Roman" w:cstheme="minorHAnsi"/>
                <w:lang w:val="sq-AL" w:eastAsia="en-GB"/>
              </w:rPr>
              <w:t>shtëmujori I 2024</w:t>
            </w:r>
          </w:p>
        </w:tc>
      </w:tr>
      <w:tr w:rsidR="0006580C" w:rsidRPr="0006580C" w14:paraId="39D244C2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388BD46" w14:textId="07B9738F" w:rsidR="00E512E6" w:rsidRPr="0006580C" w:rsidRDefault="008231F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22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7224001" w14:textId="097BF290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Kapacitete njerëzore të pamjaftueshme në fushën e planifikimit dhe të kontrollit të zhvillimit të territorit. 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7FE3DF5" w14:textId="77777777" w:rsidR="00E512E6" w:rsidRPr="0006580C" w:rsidRDefault="00E512E6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2F9BA072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066F0FC" w14:textId="43F1D7E4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Marrja e masave për sigurimin e numrit të mjaftueshëm të personelit dhe me kualifikimin përkatës sipas ligjit 1007/2014. (shtimi në staf i një juristi.)</w:t>
            </w:r>
          </w:p>
          <w:p w14:paraId="0837B689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5C626815" w14:textId="3AF4A22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463FCC5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88E93DA" w14:textId="7ACE7BF2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Titullari</w:t>
            </w:r>
          </w:p>
          <w:p w14:paraId="30CAC3CD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DC64C63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</w:t>
            </w:r>
          </w:p>
          <w:p w14:paraId="6B6D65A7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5EE1A2E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6B49C04" w14:textId="3C236CC2" w:rsidR="00E512E6" w:rsidRPr="0006580C" w:rsidRDefault="00E512E6" w:rsidP="008231F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dytë 2022</w:t>
            </w:r>
          </w:p>
        </w:tc>
      </w:tr>
      <w:tr w:rsidR="0006580C" w:rsidRPr="0006580C" w14:paraId="0F65C5B4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98E7EAF" w14:textId="2523DA62" w:rsidR="00E512E6" w:rsidRPr="0006580C" w:rsidRDefault="008231F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3.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A9F041F" w14:textId="62098248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Njohuri të kufizuara në nivel programesh në lidhje me  procesin e hartimit të PBA-së.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16DFF89" w14:textId="77777777" w:rsidR="00E512E6" w:rsidRPr="00917A23" w:rsidRDefault="00E512E6" w:rsidP="008231F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23F128A7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5B14823" w14:textId="595680CA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Organizimi i trajnimeve për punonjësit e drejtorisë në lidhje me procesin e hartimit të PBA-së. Parashikimi i tyre në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lanin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V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jetor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rajnimeve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D294CC5" w14:textId="708A1F52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Titullari/GMS</w:t>
            </w:r>
          </w:p>
          <w:p w14:paraId="2472E454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6AE3E49" w14:textId="26480D21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Drejtoria e Financës,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B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uxhetit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,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aksave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arifave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V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endore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</w:p>
          <w:p w14:paraId="45985335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FBCE62D" w14:textId="274663C9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i Burimeve Njerëzore</w:t>
            </w:r>
          </w:p>
          <w:p w14:paraId="0CD748F5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A16952E" w14:textId="1FB90A61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 2023 dhe çdo vit buxhetor</w:t>
            </w:r>
          </w:p>
        </w:tc>
      </w:tr>
      <w:tr w:rsidR="0006580C" w:rsidRPr="0006580C" w14:paraId="6243F345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E5E4283" w14:textId="5002E171" w:rsidR="00E512E6" w:rsidRPr="0006580C" w:rsidRDefault="008231F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24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12A774E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Njohje e ulët nga stafi i kuadrit rregullator mbi ndryshimet dhe risitë e taksimit të pasurive të paluajtshme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52FAB67" w14:textId="77777777" w:rsidR="00E512E6" w:rsidRPr="00917A23" w:rsidRDefault="00E512E6" w:rsidP="008231F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30CF4D82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BDD4BD2" w14:textId="2034084C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Organizimi i trajnimeve për punonjësit e përfshirë në lidhje me kuadrin rregullator mbi ndryshimet dhe risitë e taksimit të pasurive të paluajtshme. Parashikimi i tyre në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lanin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V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jetor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rajnimeve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13B277BB" w14:textId="07A530DF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Drejtoria e Financës,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B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uxhetit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,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aksave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arifave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D23A14" w:rsidRPr="00917A23">
              <w:rPr>
                <w:rFonts w:eastAsia="Times New Roman" w:cstheme="minorHAnsi"/>
                <w:highlight w:val="green"/>
                <w:lang w:eastAsia="en-GB"/>
              </w:rPr>
              <w:t>V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endore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</w:p>
          <w:p w14:paraId="40A7FC80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78EA3DA" w14:textId="409B8A33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i Burimeve N</w:t>
            </w:r>
            <w:r w:rsidR="00B726EC" w:rsidRPr="00917A23">
              <w:rPr>
                <w:rFonts w:eastAsia="Times New Roman" w:cstheme="minorHAnsi"/>
                <w:highlight w:val="green"/>
                <w:lang w:eastAsia="en-GB"/>
              </w:rPr>
              <w:t>j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erëzore</w:t>
            </w:r>
            <w:proofErr w:type="spellEnd"/>
          </w:p>
          <w:p w14:paraId="0630A483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323DF8E" w14:textId="0AEE0A63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2023</w:t>
            </w:r>
          </w:p>
        </w:tc>
      </w:tr>
      <w:tr w:rsidR="0006580C" w:rsidRPr="0006580C" w14:paraId="72090750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3D8901B" w14:textId="306120E6" w:rsidR="00E512E6" w:rsidRPr="0006580C" w:rsidRDefault="008231F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2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5.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61D472F" w14:textId="452262B8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Njohuri të kufizuara mbi risitë ligjore në fushën e Prokurimit Publik.</w:t>
            </w: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C4094B7" w14:textId="77777777" w:rsidR="00E512E6" w:rsidRPr="00917A23" w:rsidRDefault="00E512E6" w:rsidP="008231F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000000"/>
              <w:right w:val="single" w:sz="4" w:space="0" w:color="FF0000"/>
            </w:tcBorders>
            <w:shd w:val="clear" w:color="auto" w:fill="FFFF00"/>
            <w:vAlign w:val="center"/>
          </w:tcPr>
          <w:p w14:paraId="449604A0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A3C474A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587C192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31F6CAD" w14:textId="033BF116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Organizimi i trajnimeve për punonjësit mbi risitë ligjore në fushën e Prokurimit Publik. Parashikimi i tyre në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lanin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V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jetor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rajnimeve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  <w:p w14:paraId="49C6FDFA" w14:textId="613BD638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720A395B" w14:textId="4F98DF9D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Sektori i Burimeve Njerëzore </w:t>
            </w:r>
          </w:p>
          <w:p w14:paraId="0D475A96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56AF028" w14:textId="36C75D95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Juridik</w:t>
            </w:r>
          </w:p>
          <w:p w14:paraId="728BE2D4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B89D6F9" w14:textId="012D6DDD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 2023 e në vijim</w:t>
            </w:r>
          </w:p>
        </w:tc>
      </w:tr>
      <w:tr w:rsidR="0006580C" w:rsidRPr="0006580C" w14:paraId="29535EA2" w14:textId="77777777" w:rsidTr="006B1D51">
        <w:tc>
          <w:tcPr>
            <w:tcW w:w="607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F6A87D0" w14:textId="12C9FAA4" w:rsidR="00E512E6" w:rsidRPr="0006580C" w:rsidRDefault="008231F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6.</w:t>
            </w:r>
          </w:p>
        </w:tc>
        <w:tc>
          <w:tcPr>
            <w:tcW w:w="335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58151E4" w14:textId="49FDD178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Njohuri të pamjaftueshme  mbi kuadrin ligjor dhe rregullator për parandalimin e Konfliktit të Interesit nga stafi i Bashkisë Has.</w:t>
            </w:r>
          </w:p>
          <w:p w14:paraId="25A703BE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D2F58DD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C710999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793038B1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49FBDB0E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E0F928F" w14:textId="77777777" w:rsidR="00E512E6" w:rsidRPr="0006580C" w:rsidRDefault="00E512E6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16765610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269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53DE801A" w14:textId="230D405E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Zhvillimi i trajnimeve të thelluara mbi parandalimin e KI</w:t>
            </w:r>
            <w:r w:rsidR="004E59E9" w:rsidRPr="0006580C">
              <w:rPr>
                <w:rFonts w:eastAsia="Times New Roman" w:cstheme="minorHAnsi"/>
                <w:lang w:eastAsia="en-GB"/>
              </w:rPr>
              <w:t>-s</w:t>
            </w:r>
            <w:r w:rsidR="004E59E9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, Deklarimin e Pasurisë, Sinjalizimin për autoritetet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pergjegjëse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ngarkuara nga titullari, punonjësit e përfshirë në komisione të ndryshme dhe anëtarët e Këshillit Bashkiak. (në bashkëpunim me ILDKPKI</w:t>
            </w:r>
            <w:r w:rsidR="004E59E9" w:rsidRPr="0006580C">
              <w:rPr>
                <w:rFonts w:eastAsia="Times New Roman" w:cstheme="minorHAnsi"/>
                <w:lang w:eastAsia="en-GB"/>
              </w:rPr>
              <w:t>-n</w:t>
            </w:r>
            <w:r w:rsidR="004E59E9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>/ASPA</w:t>
            </w:r>
            <w:r w:rsidR="004E59E9" w:rsidRPr="0006580C">
              <w:rPr>
                <w:rFonts w:eastAsia="Times New Roman" w:cstheme="minorHAnsi"/>
                <w:lang w:eastAsia="en-GB"/>
              </w:rPr>
              <w:t xml:space="preserve">-n 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etj.) Parashikimi i tyre në </w:t>
            </w:r>
            <w:r w:rsidR="004E59E9" w:rsidRPr="0006580C">
              <w:rPr>
                <w:rFonts w:eastAsia="Times New Roman" w:cstheme="minorHAnsi"/>
                <w:lang w:eastAsia="en-GB"/>
              </w:rPr>
              <w:t>P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lanin </w:t>
            </w:r>
            <w:r w:rsidR="004E59E9" w:rsidRPr="0006580C">
              <w:rPr>
                <w:rFonts w:eastAsia="Times New Roman" w:cstheme="minorHAnsi"/>
                <w:lang w:eastAsia="en-GB"/>
              </w:rPr>
              <w:t>V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jetor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4E59E9" w:rsidRPr="0006580C">
              <w:rPr>
                <w:rFonts w:eastAsia="Times New Roman" w:cstheme="minorHAnsi"/>
                <w:lang w:eastAsia="en-GB"/>
              </w:rPr>
              <w:t>T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rajnimeve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2339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13474E2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9E54EA6" w14:textId="60E2701C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Njerëzore/ Autoritetet Përgjegjëse / Këshilli Bashkiak</w:t>
            </w:r>
          </w:p>
          <w:p w14:paraId="0D06EAAF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5D65EDC6" w14:textId="388C978C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II 2023</w:t>
            </w:r>
          </w:p>
          <w:p w14:paraId="2A5FB99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355FCEF1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3792BB6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32C660B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7ECDABE5" w14:textId="77777777" w:rsidTr="006B1D51">
        <w:tc>
          <w:tcPr>
            <w:tcW w:w="607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C23B18C" w14:textId="669B251D" w:rsidR="00E512E6" w:rsidRPr="0006580C" w:rsidRDefault="008231F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655C9FE" w14:textId="22A77D2E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Njohuri të pamjaftueshme të stafit mbi kuadrin rregullator mbi sinjalizimin dhe mbrojtjen e sinjalizuesve.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432F08A" w14:textId="77777777" w:rsidR="00E512E6" w:rsidRPr="0006580C" w:rsidRDefault="00E512E6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Burimet Njerëzore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31429AC0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3378F90" w14:textId="52F209B8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Organizimi i trajnimeve për punonjësit mbi kuadrin ligjor dhe rregullator për mbrojtjen e sinjalizuesve. Parashikimi i tyre në </w:t>
            </w:r>
            <w:r w:rsidR="004E59E9" w:rsidRPr="0006580C">
              <w:rPr>
                <w:rFonts w:eastAsia="Times New Roman" w:cstheme="minorHAnsi"/>
                <w:lang w:eastAsia="en-GB"/>
              </w:rPr>
              <w:t>P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lanin </w:t>
            </w:r>
            <w:r w:rsidR="004E59E9" w:rsidRPr="0006580C">
              <w:rPr>
                <w:rFonts w:eastAsia="Times New Roman" w:cstheme="minorHAnsi"/>
                <w:lang w:eastAsia="en-GB"/>
              </w:rPr>
              <w:t>V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jetor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4E59E9" w:rsidRPr="0006580C">
              <w:rPr>
                <w:rFonts w:eastAsia="Times New Roman" w:cstheme="minorHAnsi"/>
                <w:lang w:eastAsia="en-GB"/>
              </w:rPr>
              <w:t>T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rajnimeve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58B830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Sektori i Burimeve Njerëzore </w:t>
            </w:r>
          </w:p>
          <w:p w14:paraId="342E2C63" w14:textId="78A8E20D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Njësia Përgjegjëse p</w:t>
            </w:r>
            <w:r w:rsidR="004E59E9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r </w:t>
            </w:r>
            <w:r w:rsidR="004E59E9" w:rsidRPr="0006580C">
              <w:rPr>
                <w:rFonts w:eastAsia="Times New Roman" w:cstheme="minorHAnsi"/>
                <w:lang w:eastAsia="en-GB"/>
              </w:rPr>
              <w:t>S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injalizimin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dhe </w:t>
            </w:r>
            <w:r w:rsidR="004E59E9" w:rsidRPr="0006580C">
              <w:rPr>
                <w:rFonts w:eastAsia="Times New Roman" w:cstheme="minorHAnsi"/>
                <w:lang w:eastAsia="en-GB"/>
              </w:rPr>
              <w:t>M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brojtjen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</w:t>
            </w:r>
            <w:r w:rsidR="004E59E9" w:rsidRPr="0006580C">
              <w:rPr>
                <w:rFonts w:eastAsia="Times New Roman" w:cstheme="minorHAnsi"/>
                <w:lang w:eastAsia="en-GB"/>
              </w:rPr>
              <w:t>S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injalizuesve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</w:p>
          <w:p w14:paraId="6A699613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6FAF3502" w14:textId="21A2662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Gjashtëmujori </w:t>
            </w:r>
            <w:r w:rsidR="004E59E9" w:rsidRPr="0006580C">
              <w:rPr>
                <w:rFonts w:eastAsia="Times New Roman" w:cstheme="minorHAnsi"/>
                <w:lang w:eastAsia="en-GB"/>
              </w:rPr>
              <w:t>I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2024 e në vazhdim</w:t>
            </w:r>
          </w:p>
          <w:p w14:paraId="2F919353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</w:tr>
    </w:tbl>
    <w:p w14:paraId="25BB034A" w14:textId="77777777" w:rsidR="00892551" w:rsidRPr="0006580C" w:rsidRDefault="00892551" w:rsidP="008D2ABC">
      <w:pPr>
        <w:rPr>
          <w:lang w:val="sq-AL"/>
        </w:rPr>
      </w:pPr>
    </w:p>
    <w:tbl>
      <w:tblPr>
        <w:tblStyle w:val="TableGrid"/>
        <w:tblW w:w="13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4140"/>
        <w:gridCol w:w="1394"/>
        <w:gridCol w:w="1576"/>
        <w:gridCol w:w="3150"/>
        <w:gridCol w:w="2880"/>
      </w:tblGrid>
      <w:tr w:rsidR="0006580C" w:rsidRPr="0006580C" w14:paraId="7373AF36" w14:textId="77777777" w:rsidTr="006A6183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827A6C4" w14:textId="77777777" w:rsidR="003A5FC3" w:rsidRPr="0006580C" w:rsidRDefault="003A5FC3" w:rsidP="006A6183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1314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4357FC6" w14:textId="7ED9F5EC" w:rsidR="003A5FC3" w:rsidRPr="0006580C" w:rsidRDefault="001D784C" w:rsidP="001D784C">
            <w:pPr>
              <w:pStyle w:val="NormalWeb"/>
              <w:spacing w:after="0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 xml:space="preserve">Objektivi 3. </w:t>
            </w:r>
            <w:r w:rsidR="003A5FC3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>Rritja e transparenc</w:t>
            </w:r>
            <w:r w:rsidR="008A181F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>ë</w:t>
            </w:r>
            <w:r w:rsidR="003A5FC3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>s n</w:t>
            </w:r>
            <w:r w:rsidR="008A181F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>ë</w:t>
            </w:r>
            <w:r w:rsidR="003A5FC3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 xml:space="preserve"> ndarjen </w:t>
            </w:r>
            <w:r w:rsidR="006A6183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 xml:space="preserve">e të dhënave </w:t>
            </w:r>
            <w:r w:rsidR="003A5FC3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>me publikun</w:t>
            </w:r>
          </w:p>
        </w:tc>
      </w:tr>
      <w:tr w:rsidR="0006580C" w:rsidRPr="0006580C" w14:paraId="2A45E7F4" w14:textId="77777777" w:rsidTr="006A6183">
        <w:tc>
          <w:tcPr>
            <w:tcW w:w="715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3815941E" w14:textId="77777777" w:rsidR="003A5FC3" w:rsidRPr="0006580C" w:rsidRDefault="003A5FC3" w:rsidP="006A6183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4140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2EE01326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 xml:space="preserve">Fusha e </w:t>
            </w:r>
            <w:r w:rsidRPr="0006580C">
              <w:rPr>
                <w:rFonts w:cstheme="minorHAnsi"/>
                <w:b/>
                <w:bCs/>
              </w:rPr>
              <w:t>M</w:t>
            </w:r>
            <w:proofErr w:type="spellStart"/>
            <w:r w:rsidRPr="0006580C">
              <w:rPr>
                <w:rFonts w:cstheme="minorHAnsi"/>
                <w:b/>
                <w:bCs/>
                <w:lang w:val="sq-AL"/>
              </w:rPr>
              <w:t>enaxhimit</w:t>
            </w:r>
            <w:proofErr w:type="spellEnd"/>
            <w:r w:rsidRPr="0006580C">
              <w:rPr>
                <w:rFonts w:cstheme="minorHAnsi"/>
                <w:b/>
                <w:bCs/>
                <w:lang w:val="sq-AL"/>
              </w:rPr>
              <w:t xml:space="preserve"> Financiar</w:t>
            </w:r>
          </w:p>
        </w:tc>
        <w:tc>
          <w:tcPr>
            <w:tcW w:w="1394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654B60E2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  <w:tc>
          <w:tcPr>
            <w:tcW w:w="157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17D0B444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  <w:tc>
          <w:tcPr>
            <w:tcW w:w="3150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3CA05957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  <w:tc>
          <w:tcPr>
            <w:tcW w:w="2880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6E9020C4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</w:tr>
      <w:tr w:rsidR="0006580C" w:rsidRPr="0006580C" w14:paraId="49E63F32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6E05315" w14:textId="77777777" w:rsidR="003A5FC3" w:rsidRPr="0006580C" w:rsidRDefault="003A5FC3" w:rsidP="006A6183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6E0257E" w14:textId="77777777" w:rsidR="003A5FC3" w:rsidRPr="0006580C" w:rsidRDefault="003A5FC3" w:rsidP="006A6183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</w:tcPr>
          <w:p w14:paraId="100B3CF3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  <w:p w14:paraId="1A2DF897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0A6892D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 Prioritet i ulët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FE978C3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Aktivitetet që duhet të ndërmerren për zbatimin e masës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ACA9C97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44C85164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4057DEF" w14:textId="77777777" w:rsidR="003A5FC3" w:rsidRPr="0006580C" w:rsidRDefault="003A5FC3" w:rsidP="003A5FC3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  <w:p w14:paraId="21134233" w14:textId="37D832A5" w:rsidR="003A5FC3" w:rsidRPr="0006580C" w:rsidRDefault="008231F6" w:rsidP="003A5FC3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28</w:t>
            </w:r>
            <w:r w:rsidR="003A5FC3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ABC6D54" w14:textId="0043F76E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Informimi i ulët i publikut lidhur me procedurat dhe kriteret për llogaritjen e taksës së ndërtesës  (të drejtat e taksapaguesve për korrigjim dhe apelim, mënyrën e pagesës, si dhe masat që zbatohen në rast mospagimi të taksës).</w:t>
            </w:r>
          </w:p>
          <w:p w14:paraId="79BAD61A" w14:textId="77777777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FB49231" w14:textId="77777777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D592743" w14:textId="77777777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ADF5A9E" w14:textId="0DF00F33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D83D69E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Burimet Njerëzore/</w:t>
            </w:r>
          </w:p>
          <w:p w14:paraId="65A45329" w14:textId="55CD42FD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Reputacioni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3E8FCAB6" w14:textId="77777777" w:rsidR="003A5FC3" w:rsidRPr="00917A23" w:rsidRDefault="003A5FC3" w:rsidP="003A5FC3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C173E28" w14:textId="2D608A0D" w:rsidR="003A5FC3" w:rsidRPr="00917A23" w:rsidRDefault="003A5FC3" w:rsidP="003A5FC3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B9CD7B5" w14:textId="4A77F261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Informimi i publikut nëpërmjet mediave sociale, medias lokale, njoftimeve publike ose çdo forme tjetër komunikimi të përshtatshme në kontekstin e bashkisë, në lidhje me: procedurat dhe kriteret për llogaritjen e taksës së ndërtesës, të drejtat e taksapaguesve për korrigjim dhe apelim, mënyrën e pagesës, si dhe masat që zbatohen në rast mospagimi të taksës.</w:t>
            </w:r>
          </w:p>
          <w:p w14:paraId="7B0C236D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53DFA60" w14:textId="1BB8035D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Publikimi i informacionit të plotë në lidhje me Paketën Fiskale në Programin e Transparencës.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7D65B683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Drejtoria e Financës, Buxhetit, Taksave dhe Tarifave </w:t>
            </w:r>
          </w:p>
          <w:p w14:paraId="4217B47A" w14:textId="231A592A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Koordinatori për të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D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rejtën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e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nformimit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</w:p>
          <w:p w14:paraId="227393F3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69A4EA6" w14:textId="62E36C5B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 I 2023 dhe n</w:t>
            </w:r>
            <w:r w:rsidR="008A181F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4E59E9" w:rsidRPr="00917A23">
              <w:rPr>
                <w:rFonts w:eastAsia="Times New Roman" w:cstheme="minorHAnsi"/>
                <w:highlight w:val="green"/>
                <w:lang w:eastAsia="en-GB"/>
              </w:rPr>
              <w:t>v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azhdim</w:t>
            </w:r>
            <w:r w:rsidR="008A181F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si</w:t>
            </w:r>
            <w:proofErr w:type="spellEnd"/>
          </w:p>
          <w:p w14:paraId="18C8359C" w14:textId="77777777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3BD6C86" w14:textId="77777777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4F93C21" w14:textId="77777777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52698FF" w14:textId="05D2B3C8" w:rsidR="006A6183" w:rsidRPr="00917A23" w:rsidRDefault="006A618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  <w:tr w:rsidR="0006580C" w:rsidRPr="0006580C" w14:paraId="2E12A2BF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9AD764C" w14:textId="4DB445B1" w:rsidR="003A5FC3" w:rsidRPr="0006580C" w:rsidRDefault="008231F6" w:rsidP="003A5FC3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29</w:t>
            </w:r>
            <w:r w:rsidR="003A5FC3" w:rsidRPr="0006580C">
              <w:rPr>
                <w:rFonts w:eastAsia="Times New Roman" w:cstheme="minorHAnsi"/>
                <w:lang w:val="sq-AL" w:eastAsia="en-GB"/>
              </w:rPr>
              <w:t xml:space="preserve">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1E387B6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Transparencë e pjesshme mbi prokurimet publike në Bashkinë Has.</w:t>
            </w:r>
          </w:p>
          <w:p w14:paraId="30DA2111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EA03F91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4B35E31" w14:textId="3B335BBF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/Reputacioni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60314056" w14:textId="3C538EAC" w:rsidR="003A5FC3" w:rsidRPr="00917A23" w:rsidRDefault="003A5FC3" w:rsidP="003A5FC3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5C7E0878" w14:textId="228A7A90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Publikimi i plotë i informacionit në lidhje me prokurimet publike në Programin e Transparencës, sipas kërkesave të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L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igjit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të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D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rejtën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e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nformimit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FEAE703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Juridik</w:t>
            </w:r>
          </w:p>
          <w:p w14:paraId="61AD263E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AA115A7" w14:textId="42BEC536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Koordinatori për të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D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rejtën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e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nformimit</w:t>
            </w:r>
            <w:proofErr w:type="spellEnd"/>
          </w:p>
          <w:p w14:paraId="20C88E8C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A17CCA4" w14:textId="60CCC68D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 2023</w:t>
            </w:r>
          </w:p>
        </w:tc>
      </w:tr>
      <w:tr w:rsidR="0006580C" w:rsidRPr="0006580C" w14:paraId="6A7BE096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08E0E94" w14:textId="667FB3B6" w:rsidR="003A5FC3" w:rsidRPr="0006580C" w:rsidRDefault="008231F6" w:rsidP="003A5FC3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30</w:t>
            </w:r>
            <w:r w:rsidR="003A5FC3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9BE4056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CD65D06" w14:textId="685B0945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Mungesë transparence mbi rezultatet e </w:t>
            </w:r>
            <w:r w:rsidR="00B726EC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ontrollit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</w:t>
            </w:r>
            <w:r w:rsidR="00B726EC" w:rsidRPr="00917A23">
              <w:rPr>
                <w:rFonts w:eastAsia="Times New Roman" w:cstheme="minorHAnsi"/>
                <w:highlight w:val="green"/>
                <w:lang w:eastAsia="en-GB"/>
              </w:rPr>
              <w:t>B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rendshëm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të </w:t>
            </w:r>
            <w:r w:rsidR="00B726EC" w:rsidRPr="00917A23">
              <w:rPr>
                <w:rFonts w:eastAsia="Times New Roman" w:cstheme="minorHAnsi"/>
                <w:highlight w:val="green"/>
                <w:lang w:eastAsia="en-GB"/>
              </w:rPr>
              <w:t>J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ashtëm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Bashkisë.</w:t>
            </w:r>
          </w:p>
          <w:p w14:paraId="04D20E53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97C2F5E" w14:textId="06643562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/Reputacioni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7C31D8E0" w14:textId="4D60B6CF" w:rsidR="003A5FC3" w:rsidRPr="00917A23" w:rsidRDefault="003A5FC3" w:rsidP="003A5FC3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F59FE44" w14:textId="077F9634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Publikimi i raporteve të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ontrollit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B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ren</w:t>
            </w:r>
            <w:r w:rsidR="00B726EC" w:rsidRPr="00917A23">
              <w:rPr>
                <w:rFonts w:eastAsia="Times New Roman" w:cstheme="minorHAnsi"/>
                <w:highlight w:val="green"/>
                <w:lang w:eastAsia="en-GB"/>
              </w:rPr>
              <w:t>d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shëm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të </w:t>
            </w:r>
            <w:r w:rsidR="00085929" w:rsidRPr="00917A23">
              <w:rPr>
                <w:rFonts w:eastAsia="Times New Roman" w:cstheme="minorHAnsi"/>
                <w:highlight w:val="green"/>
                <w:lang w:eastAsia="en-GB"/>
              </w:rPr>
              <w:t>J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ashtëm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Programin e Transparencës.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F878D3D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Koordinatori për të Drejtën e Informimit </w:t>
            </w:r>
          </w:p>
          <w:p w14:paraId="3E4262AF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3D0A16E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Auditi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i Brendshëm</w:t>
            </w:r>
            <w:r w:rsidRPr="00917A23">
              <w:rPr>
                <w:highlight w:val="green"/>
                <w:lang w:val="it-IT"/>
              </w:rPr>
              <w:t xml:space="preserve"> </w:t>
            </w:r>
          </w:p>
          <w:p w14:paraId="45CDA1DF" w14:textId="77777777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A7C37F7" w14:textId="5BAAE0D3" w:rsidR="003A5FC3" w:rsidRPr="00917A23" w:rsidRDefault="003A5FC3" w:rsidP="003A5FC3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 I 2023</w:t>
            </w:r>
          </w:p>
        </w:tc>
      </w:tr>
      <w:tr w:rsidR="0006580C" w:rsidRPr="0006580C" w14:paraId="386F4A9C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9F86769" w14:textId="3FA06A72" w:rsidR="003A5FC3" w:rsidRPr="0006580C" w:rsidRDefault="008231F6" w:rsidP="003A5FC3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31</w:t>
            </w:r>
            <w:r w:rsidR="003A5FC3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9A4172A" w14:textId="45715949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Munges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e publikimit t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informacioneve p</w:t>
            </w:r>
            <w:r w:rsidR="008A181F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>r administrimin e pronave bashkiake (gjendja, përdorimi, të ardhurat dhe shpenzimet për administrimin e tyre).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7196EF1" w14:textId="5E0C49C7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/Reputacioni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45C1CE5F" w14:textId="1877479E" w:rsidR="003A5FC3" w:rsidRPr="0006580C" w:rsidRDefault="003A5FC3" w:rsidP="003A5FC3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716DC8B" w14:textId="3303273B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Publikimi i informacionit në Programin e Transparencës mbi administrimin e pronave bashkiake (gjendja, përdorimi, të ardhurat dhe shpenzimet për administrimin e tyre).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1B04CA11" w14:textId="3293B574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Sektori i </w:t>
            </w:r>
            <w:r w:rsidR="00085929" w:rsidRPr="0006580C">
              <w:rPr>
                <w:rFonts w:eastAsia="Times New Roman" w:cstheme="minorHAnsi"/>
                <w:lang w:eastAsia="en-GB"/>
              </w:rPr>
              <w:t>P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lanifikim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r w:rsidR="00085929" w:rsidRPr="0006580C">
              <w:rPr>
                <w:rFonts w:eastAsia="Times New Roman" w:cstheme="minorHAnsi"/>
                <w:lang w:eastAsia="en-GB"/>
              </w:rPr>
              <w:t>T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erritorit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dhe </w:t>
            </w:r>
            <w:r w:rsidR="00085929" w:rsidRPr="0006580C">
              <w:rPr>
                <w:rFonts w:eastAsia="Times New Roman" w:cstheme="minorHAnsi"/>
                <w:lang w:eastAsia="en-GB"/>
              </w:rPr>
              <w:t>U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rbanistikës</w:t>
            </w:r>
            <w:proofErr w:type="spellEnd"/>
          </w:p>
          <w:p w14:paraId="21C8BA88" w14:textId="77777777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</w:p>
          <w:p w14:paraId="2CA8AA68" w14:textId="77777777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Koordinatori për të Drejtën e Informimit</w:t>
            </w:r>
          </w:p>
          <w:p w14:paraId="5D9E17B2" w14:textId="77777777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</w:p>
          <w:p w14:paraId="031785A9" w14:textId="10C454BA" w:rsidR="003A5FC3" w:rsidRPr="0006580C" w:rsidRDefault="003A5FC3" w:rsidP="003A5FC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 I 2025</w:t>
            </w:r>
          </w:p>
        </w:tc>
      </w:tr>
      <w:tr w:rsidR="0006580C" w:rsidRPr="0006580C" w14:paraId="40126620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C81B07C" w14:textId="61158BBB" w:rsidR="00754A7C" w:rsidRPr="0006580C" w:rsidRDefault="008231F6" w:rsidP="00754A7C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32</w:t>
            </w:r>
            <w:r w:rsidR="00754A7C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65C76F0" w14:textId="3AECD388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Mungesë e publikimit të informacionit për detyrimet dhe shërbimet e ofruara nga Bashkia sipas VKM 329/2019.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44BB29F" w14:textId="69D2088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/Reputacioni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47106B02" w14:textId="7FEC59E3" w:rsidR="00754A7C" w:rsidRPr="00917A23" w:rsidRDefault="00754A7C" w:rsidP="00754A7C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BE5FF1F" w14:textId="6B33A7C2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Publikimi i të drejtave, shërbimeve dhe procedurës që duhet të ndjekin qytetarët pranë Bashkisë për pronat sipas VKM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-s</w:t>
            </w:r>
            <w:r w:rsidR="008B729A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329/2019.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40EDFBC1" w14:textId="6EF32668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Sektori i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lanifikim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erritorit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U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rbanistikës</w:t>
            </w:r>
            <w:proofErr w:type="spellEnd"/>
          </w:p>
          <w:p w14:paraId="04DFED9D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DAB52FD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Koordinatori për të Drejtën e Informimit</w:t>
            </w:r>
          </w:p>
          <w:p w14:paraId="509B7B2B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1792879" w14:textId="3ADBBA7E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 2023</w:t>
            </w:r>
          </w:p>
        </w:tc>
      </w:tr>
      <w:tr w:rsidR="0006580C" w:rsidRPr="0006580C" w14:paraId="0435A6D0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A872FA9" w14:textId="620553D2" w:rsidR="00754A7C" w:rsidRPr="0006580C" w:rsidRDefault="008231F6" w:rsidP="00754A7C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33</w:t>
            </w:r>
            <w:r w:rsidR="00754A7C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EC88699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Mungon akti i miratuar nga titullari për caktimin e koordinatorit për të drejtën e informimit.</w:t>
            </w:r>
          </w:p>
          <w:p w14:paraId="2DE07679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72DC019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Mungon përcaktimi i detyrave të koordinatorit për të drejtën e informimit në Rregulloren e Brendshme.</w:t>
            </w:r>
          </w:p>
          <w:p w14:paraId="512F4524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F3C6745" w14:textId="6FE79495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3. Mungon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detajimi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Rregulloren e Brendshme i linjave të bashkëpunimit, raportimit, afateve dhe përgjegjësive brenda Bashkisë Has</w:t>
            </w:r>
            <w:r w:rsidR="00041BFA" w:rsidRPr="00917A23">
              <w:rPr>
                <w:rFonts w:eastAsia="Times New Roman" w:cstheme="minorHAnsi"/>
                <w:highlight w:val="green"/>
                <w:lang w:eastAsia="en-GB"/>
              </w:rPr>
              <w:t>,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kthimin përgjigje ndaj kërkesave për informim dhe përditësimin e Programit të Transparencës.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B52AC17" w14:textId="441E6709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1DA0C905" w14:textId="5D63A2AD" w:rsidR="00754A7C" w:rsidRPr="00917A23" w:rsidRDefault="00754A7C" w:rsidP="00754A7C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264C1F4" w14:textId="5F0C726B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1. Të miratohet urdhri për caktimin 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oordinatorit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të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D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rejtën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nformimit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  <w:p w14:paraId="7E71982F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6E84E84" w14:textId="309F8731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Të përfshihen detyrat 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oordinatorit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të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D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rejtën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nformimit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Rregulloren e Brendshme.</w:t>
            </w:r>
          </w:p>
          <w:p w14:paraId="7918F923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C4C966A" w14:textId="4E1AB61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3. Parashikimi në Rregulloren e Brendshme i linjave të komunikimit të koordinatorit me strukturat e Bashkisë, afatet dhe mekanizmat për identifikimin e përgjegjësive për moszbatimin e detyrimeve ligjore mbi dhënien e informacionit me kërkesë dhe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 xml:space="preserve">përditësimin e Programit të Transparencës.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71C86C4A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Titullari/Grup Pune me punonjës të bashkisë</w:t>
            </w:r>
          </w:p>
          <w:p w14:paraId="30EF4E37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6EF97DA" w14:textId="7045AC16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II 2023</w:t>
            </w:r>
          </w:p>
          <w:p w14:paraId="30A13BFF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4876926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9D9A388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D63723F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B22AC8F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C42C356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13332ED" w14:textId="67986D38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  <w:tr w:rsidR="0006580C" w:rsidRPr="0006580C" w14:paraId="2D1F0B19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7E17397" w14:textId="64DFFE34" w:rsidR="00754A7C" w:rsidRPr="0006580C" w:rsidRDefault="008231F6" w:rsidP="00754A7C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34</w:t>
            </w:r>
            <w:r w:rsidR="00754A7C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D1181A2" w14:textId="3EB4C70E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Mungesë e akti</w:t>
            </w:r>
            <w:r w:rsidR="00041BFA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miratuar nga titullari për caktimin e koordinatorit për njoftimin dhe konsultimin publik.</w:t>
            </w:r>
          </w:p>
          <w:p w14:paraId="33A6EF15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62EBA31" w14:textId="26CC6709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Mungesë e  përcaktimit të detyrave të koordinatorit për njoftim dhe konsultim publik në Rregulloren e Brendshme.</w:t>
            </w:r>
          </w:p>
          <w:p w14:paraId="69A9C12A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F1C4FC8" w14:textId="6024FD54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3. Mungesë e përcaktimeve në Rregulloren e Brendshme për linjat e bashkëpunimit, raportimit, afateve dhe përgjegjësive brenda Bashkisë Has për njoftimin dhe konsultimin publik.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C2D8305" w14:textId="15D79640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29084F14" w14:textId="0AABD71E" w:rsidR="00754A7C" w:rsidRPr="00917A23" w:rsidRDefault="00754A7C" w:rsidP="00754A7C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D684068" w14:textId="326446D2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1. Të miratohet urdhri për caktimin 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oordinatorit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N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joftimin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onsultimin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ublik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  <w:p w14:paraId="237BE3EC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2E39E3D" w14:textId="417FCCCD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Të përfshihen detyrat 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oordinatorit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N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joftim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K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onsultim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P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ublik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Rregulloren e Brendshme.</w:t>
            </w:r>
          </w:p>
          <w:p w14:paraId="513A6B44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ECE7A46" w14:textId="4931F921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3. Parashikimi në Rregulloren e Brendshme i linjave të komunikimit të koordinatorit me strukturat e bashkisë, afatet dhe mekanizmat për identifikimin e përgjegjësive për moszbatimin e detyrimeve ligjore mbi njoftimin dhe konsultimin publik.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1D2F3045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Titullari/Grup Pune me punonjës të bashkisë</w:t>
            </w:r>
          </w:p>
          <w:p w14:paraId="365B9345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22D8D7D" w14:textId="370D5BFA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 II 2023</w:t>
            </w:r>
          </w:p>
          <w:p w14:paraId="5899E2EE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2A39B4E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989C6D0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59D24B5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895F311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2359843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  <w:tr w:rsidR="0006580C" w:rsidRPr="00917A23" w14:paraId="30802211" w14:textId="77777777" w:rsidTr="006B1D51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AF97FDF" w14:textId="18E3085D" w:rsidR="00754A7C" w:rsidRPr="0006580C" w:rsidRDefault="008231F6" w:rsidP="00754A7C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0AB53EB" w14:textId="6F4606F8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Publiku i painformuar mbi mbledhjet e Këshillit Bashkiak Has dhe aktet e miratuara prej tij.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7BF4A44" w14:textId="6C8640B1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/Strategjik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00910220" w14:textId="756CB604" w:rsidR="00754A7C" w:rsidRPr="00917A23" w:rsidRDefault="00754A7C" w:rsidP="00754A7C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68FB10F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Respektimi i detyrimit ligjor për pjesëmarrjen e publikut në mbledhjet e Këshillit Bashkiak.</w:t>
            </w:r>
          </w:p>
          <w:p w14:paraId="31888529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D694145" w14:textId="238F3B3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Respektim i detyrimit ligjor për njoftim dhe konsultim m</w:t>
            </w:r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e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publikun </w:t>
            </w:r>
            <w:proofErr w:type="spellStart"/>
            <w:r w:rsidR="008B729A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projekt-akteve.</w:t>
            </w:r>
          </w:p>
          <w:p w14:paraId="29F9E9EE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60B3CFF" w14:textId="1DA7E5E3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3. Respektim të detyrimit ligjor mbi transparencën e akteve të miratuara nëpërmjet njoftimit dhe publikimit të tyre në seksionin përkatës </w:t>
            </w:r>
            <w:r w:rsidR="003E4708" w:rsidRPr="00917A23">
              <w:rPr>
                <w:rFonts w:eastAsia="Times New Roman" w:cstheme="minorHAnsi"/>
                <w:highlight w:val="green"/>
                <w:lang w:eastAsia="en-GB"/>
              </w:rPr>
              <w:t>n</w:t>
            </w:r>
            <w:r w:rsidR="003E4708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="003E4708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web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7AF23323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Sekretari i Këshillit Bashkiak/Koordinatori për njoftim dhe konsultim publik</w:t>
            </w:r>
          </w:p>
          <w:p w14:paraId="38A0AD0B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71B450F" w14:textId="7824F11A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 I 2023 e në vazhdim</w:t>
            </w:r>
          </w:p>
          <w:p w14:paraId="06176067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9D9FD93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82FE566" w14:textId="77777777" w:rsidR="00754A7C" w:rsidRPr="00917A23" w:rsidRDefault="00754A7C" w:rsidP="00754A7C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</w:tbl>
    <w:p w14:paraId="27DFFCC4" w14:textId="77777777" w:rsidR="003A5FC3" w:rsidRPr="0006580C" w:rsidRDefault="003A5FC3" w:rsidP="008D2ABC">
      <w:pPr>
        <w:rPr>
          <w:lang w:val="sq-AL"/>
        </w:rPr>
      </w:pPr>
    </w:p>
    <w:tbl>
      <w:tblPr>
        <w:tblStyle w:val="TableGrid"/>
        <w:tblW w:w="13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4140"/>
        <w:gridCol w:w="1394"/>
        <w:gridCol w:w="1576"/>
        <w:gridCol w:w="3150"/>
        <w:gridCol w:w="2880"/>
      </w:tblGrid>
      <w:tr w:rsidR="0006580C" w:rsidRPr="0006580C" w14:paraId="40C6F4E1" w14:textId="77777777" w:rsidTr="006A6183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1385636" w14:textId="77777777" w:rsidR="003A5FC3" w:rsidRPr="0006580C" w:rsidRDefault="003A5FC3" w:rsidP="006A6183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13140" w:type="dxa"/>
            <w:gridSpan w:val="5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9501873" w14:textId="12FF1376" w:rsidR="003A5FC3" w:rsidRPr="0006580C" w:rsidRDefault="006A6183" w:rsidP="006A6183">
            <w:pPr>
              <w:pStyle w:val="NormalWeb"/>
              <w:spacing w:after="0"/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</w:pPr>
            <w:r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>Objektivi 4</w:t>
            </w:r>
            <w:r w:rsidR="003A5FC3" w:rsidRPr="0006580C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q-AL"/>
              </w:rPr>
              <w:t>:</w:t>
            </w:r>
            <w:r w:rsidR="003A5FC3" w:rsidRPr="000658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q-AL"/>
              </w:rPr>
              <w:t xml:space="preserve">  </w:t>
            </w:r>
            <w:r w:rsidR="003A5FC3" w:rsidRPr="0006580C">
              <w:rPr>
                <w:rFonts w:asciiTheme="minorHAnsi" w:hAnsiTheme="minorHAnsi" w:cstheme="minorHAnsi"/>
                <w:i/>
                <w:sz w:val="22"/>
                <w:szCs w:val="22"/>
                <w:lang w:val="sq-AL"/>
              </w:rPr>
              <w:t xml:space="preserve"> Menaxhimi i riskut të integritetit në fusha të veçanta të përgjegjësisë së bashkisë</w:t>
            </w:r>
          </w:p>
        </w:tc>
      </w:tr>
      <w:tr w:rsidR="0006580C" w:rsidRPr="0006580C" w14:paraId="542F98B4" w14:textId="77777777" w:rsidTr="006A6183">
        <w:tc>
          <w:tcPr>
            <w:tcW w:w="715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2BAD3FC5" w14:textId="77777777" w:rsidR="003A5FC3" w:rsidRPr="0006580C" w:rsidRDefault="003A5FC3" w:rsidP="006A6183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4140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30742EDA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 xml:space="preserve">Fusha e </w:t>
            </w:r>
            <w:r w:rsidRPr="0006580C">
              <w:rPr>
                <w:rFonts w:cstheme="minorHAnsi"/>
                <w:b/>
                <w:bCs/>
              </w:rPr>
              <w:t>M</w:t>
            </w:r>
            <w:proofErr w:type="spellStart"/>
            <w:r w:rsidRPr="0006580C">
              <w:rPr>
                <w:rFonts w:cstheme="minorHAnsi"/>
                <w:b/>
                <w:bCs/>
                <w:lang w:val="sq-AL"/>
              </w:rPr>
              <w:t>enaxhimit</w:t>
            </w:r>
            <w:proofErr w:type="spellEnd"/>
            <w:r w:rsidRPr="0006580C">
              <w:rPr>
                <w:rFonts w:cstheme="minorHAnsi"/>
                <w:b/>
                <w:bCs/>
                <w:lang w:val="sq-AL"/>
              </w:rPr>
              <w:t xml:space="preserve"> Financiar</w:t>
            </w:r>
          </w:p>
        </w:tc>
        <w:tc>
          <w:tcPr>
            <w:tcW w:w="1394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74362334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  <w:tc>
          <w:tcPr>
            <w:tcW w:w="1576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5BF18311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  <w:tc>
          <w:tcPr>
            <w:tcW w:w="3150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5B3E02B5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  <w:tc>
          <w:tcPr>
            <w:tcW w:w="2880" w:type="dxa"/>
            <w:tcBorders>
              <w:left w:val="single" w:sz="4" w:space="0" w:color="FF0000"/>
              <w:right w:val="single" w:sz="4" w:space="0" w:color="FF0000"/>
            </w:tcBorders>
            <w:shd w:val="clear" w:color="auto" w:fill="BDD6EE" w:themeFill="accent1" w:themeFillTint="66"/>
          </w:tcPr>
          <w:p w14:paraId="74FACA4B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</w:tc>
      </w:tr>
      <w:tr w:rsidR="0006580C" w:rsidRPr="0006580C" w14:paraId="24E8F6DE" w14:textId="77777777" w:rsidTr="006A6183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1021C2A" w14:textId="77777777" w:rsidR="003A5FC3" w:rsidRPr="0006580C" w:rsidRDefault="003A5FC3" w:rsidP="006A6183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8FF4AE2" w14:textId="77777777" w:rsidR="003A5FC3" w:rsidRPr="0006580C" w:rsidRDefault="003A5FC3" w:rsidP="006A6183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</w:tcPr>
          <w:p w14:paraId="44E8687D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</w:p>
          <w:p w14:paraId="22FD5994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C625842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 Prioritet i ulët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3E0BF7C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Aktivitetet që duhet të ndërmerren për zbatimin e masës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01EB3EA" w14:textId="77777777" w:rsidR="003A5FC3" w:rsidRPr="0006580C" w:rsidRDefault="003A5FC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7571FBA2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8537AD7" w14:textId="06BACDE9" w:rsidR="003A5FC3" w:rsidRPr="0006580C" w:rsidRDefault="008231F6" w:rsidP="006A6183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36</w:t>
            </w:r>
            <w:r w:rsidR="003A5FC3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59C5BED" w14:textId="50859FE0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Infrastrukturë e papërshtatshme fizike dhe teknologjike për administrimin e dokumenteve financiar</w:t>
            </w:r>
            <w:r w:rsidR="00041BFA" w:rsidRPr="0006580C">
              <w:rPr>
                <w:rFonts w:eastAsia="Times New Roman" w:cstheme="minorHAnsi"/>
                <w:lang w:eastAsia="en-GB"/>
              </w:rPr>
              <w:t>e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të bashkisë.</w:t>
            </w: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A7F7A6C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/Informacioni</w:t>
            </w:r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000000"/>
              <w:right w:val="single" w:sz="4" w:space="0" w:color="FF0000"/>
            </w:tcBorders>
            <w:shd w:val="clear" w:color="auto" w:fill="FF0000"/>
            <w:vAlign w:val="center"/>
          </w:tcPr>
          <w:p w14:paraId="37886D95" w14:textId="77777777" w:rsidR="003A5FC3" w:rsidRPr="0006580C" w:rsidRDefault="003A5FC3" w:rsidP="006A6183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7E0B9A2" w14:textId="759A93AB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Sigurim i infrastrukturës së domosdoshme fizike (ambient i dedikuar) dhe teknologjike për administrim të efektshëm të dokumenteve financiar</w:t>
            </w:r>
            <w:r w:rsidR="003E4708" w:rsidRPr="0006580C">
              <w:rPr>
                <w:rFonts w:eastAsia="Times New Roman" w:cstheme="minorHAnsi"/>
                <w:lang w:eastAsia="en-GB"/>
              </w:rPr>
              <w:t>e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. </w:t>
            </w:r>
          </w:p>
          <w:p w14:paraId="533E40C9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16483D0F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C5B1A59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Nëpunësi Autorizues</w:t>
            </w:r>
          </w:p>
          <w:p w14:paraId="7E0EC77B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1807C354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GMS</w:t>
            </w:r>
          </w:p>
          <w:p w14:paraId="7CDD3AEA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4E2A1533" w14:textId="78322BFA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2024</w:t>
            </w:r>
          </w:p>
          <w:p w14:paraId="3F7C1879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16C3B6B9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6D4585BC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1F2875C9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6E3B567D" w14:textId="77777777" w:rsidR="003A5FC3" w:rsidRPr="0006580C" w:rsidRDefault="003A5FC3" w:rsidP="006A6183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23895EA7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E9D004B" w14:textId="77777777" w:rsidR="003A5FC3" w:rsidRPr="0006580C" w:rsidRDefault="003A5FC3" w:rsidP="006A6183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820EC60" w14:textId="77777777" w:rsidR="003A5FC3" w:rsidRPr="0006580C" w:rsidRDefault="003A5FC3" w:rsidP="006A6183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  <w:p w14:paraId="62190261" w14:textId="77777777" w:rsidR="003A5FC3" w:rsidRPr="0006580C" w:rsidRDefault="003A5FC3" w:rsidP="006A6183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 xml:space="preserve">Fusha e Kontrollit, </w:t>
            </w:r>
            <w:proofErr w:type="spellStart"/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Auditimit</w:t>
            </w:r>
            <w:proofErr w:type="spellEnd"/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 xml:space="preserve"> dhe </w:t>
            </w:r>
            <w:proofErr w:type="spellStart"/>
            <w:r w:rsidRPr="0006580C">
              <w:rPr>
                <w:rFonts w:eastAsia="Times New Roman" w:cstheme="minorHAnsi"/>
                <w:b/>
                <w:bCs/>
                <w:lang w:eastAsia="en-GB"/>
              </w:rPr>
              <w:t>i</w:t>
            </w:r>
            <w:proofErr w:type="spellEnd"/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 xml:space="preserve"> Mekanizmave </w:t>
            </w:r>
            <w:proofErr w:type="spellStart"/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kundërkorrupsion</w:t>
            </w:r>
            <w:proofErr w:type="spellEnd"/>
          </w:p>
          <w:p w14:paraId="747D2577" w14:textId="77777777" w:rsidR="003A5FC3" w:rsidRPr="0006580C" w:rsidRDefault="003A5FC3" w:rsidP="006A6183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0134B75" w14:textId="77777777" w:rsidR="003A5FC3" w:rsidRPr="0006580C" w:rsidRDefault="003A5FC3" w:rsidP="006A6183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F42797A" w14:textId="77777777" w:rsidR="003A5FC3" w:rsidRPr="0006580C" w:rsidRDefault="003A5FC3" w:rsidP="006A6183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43B4372" w14:textId="77777777" w:rsidR="003A5FC3" w:rsidRPr="0006580C" w:rsidRDefault="003A5FC3" w:rsidP="006A6183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09732EC" w14:textId="77777777" w:rsidR="003A5FC3" w:rsidRPr="0006580C" w:rsidRDefault="003A5FC3" w:rsidP="006A6183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</w:tr>
      <w:tr w:rsidR="0006580C" w:rsidRPr="0006580C" w14:paraId="2E3EA301" w14:textId="77777777" w:rsidTr="008231F6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B23A9B" w14:textId="30D8DD51" w:rsidR="006A6183" w:rsidRPr="0006580C" w:rsidRDefault="008231F6" w:rsidP="006A6183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37</w:t>
            </w:r>
            <w:r w:rsidR="006A6183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267F3A3B" w14:textId="61EF6552" w:rsidR="006A6183" w:rsidRPr="0006580C" w:rsidRDefault="006A6183" w:rsidP="006A6183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Bashkia Has nuk ka </w:t>
            </w:r>
            <w:r w:rsidR="00041BFA" w:rsidRPr="0006580C">
              <w:rPr>
                <w:rFonts w:eastAsia="Times New Roman" w:cstheme="minorHAnsi"/>
                <w:lang w:eastAsia="en-GB"/>
              </w:rPr>
              <w:t>N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jësi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Brendshëm në përputhje me kuadrin rregullator në fuqi.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9AED0" w14:textId="43002023" w:rsidR="006A6183" w:rsidRPr="0006580C" w:rsidRDefault="006A6183" w:rsidP="006A6183">
            <w:pPr>
              <w:rPr>
                <w:rFonts w:cstheme="minorHAnsi"/>
                <w:lang w:val="sq-AL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/Strategjik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0000"/>
            <w:vAlign w:val="center"/>
          </w:tcPr>
          <w:p w14:paraId="14E46969" w14:textId="76DDB0AF" w:rsidR="006A6183" w:rsidRPr="0006580C" w:rsidRDefault="006A6183" w:rsidP="008231F6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19ACA0C3" w14:textId="31D01ED7" w:rsidR="006A6183" w:rsidRPr="0006580C" w:rsidRDefault="006A6183" w:rsidP="006A6183">
            <w:pPr>
              <w:rPr>
                <w:rFonts w:cstheme="minorHAnsi"/>
                <w:lang w:val="sq-AL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Ngritja e Njësisë së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Brendshëm në përputhje me kuadrin rregullator në fuqi.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bottom"/>
          </w:tcPr>
          <w:p w14:paraId="183BDBED" w14:textId="77777777" w:rsidR="006A6183" w:rsidRPr="0006580C" w:rsidRDefault="006A6183" w:rsidP="006A618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Titullari</w:t>
            </w:r>
          </w:p>
          <w:p w14:paraId="4B70C0F4" w14:textId="77777777" w:rsidR="006A6183" w:rsidRPr="0006580C" w:rsidRDefault="006A618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3FA730C6" w14:textId="77777777" w:rsidR="006A6183" w:rsidRPr="0006580C" w:rsidRDefault="006A6183" w:rsidP="006A6183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Sektori i Burimeve Njerëzore</w:t>
            </w:r>
          </w:p>
          <w:p w14:paraId="0C06F77F" w14:textId="77777777" w:rsidR="006A6183" w:rsidRPr="0006580C" w:rsidRDefault="006A6183" w:rsidP="006A6183">
            <w:pPr>
              <w:rPr>
                <w:rFonts w:eastAsia="Times New Roman" w:cstheme="minorHAnsi"/>
                <w:lang w:val="sq-AL" w:eastAsia="en-GB"/>
              </w:rPr>
            </w:pPr>
          </w:p>
          <w:p w14:paraId="0EA0147C" w14:textId="7D507B1E" w:rsidR="006A6183" w:rsidRPr="0006580C" w:rsidRDefault="006A6183" w:rsidP="006A6183">
            <w:pPr>
              <w:rPr>
                <w:rFonts w:cstheme="minorHAnsi"/>
                <w:lang w:val="sq-AL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Gja</w:t>
            </w:r>
            <w:r w:rsidR="00B726EC" w:rsidRPr="0006580C">
              <w:rPr>
                <w:rFonts w:eastAsia="Times New Roman" w:cstheme="minorHAnsi"/>
                <w:lang w:eastAsia="en-GB"/>
              </w:rPr>
              <w:t>sh</w:t>
            </w:r>
            <w:r w:rsidRPr="0006580C">
              <w:rPr>
                <w:rFonts w:eastAsia="Times New Roman" w:cstheme="minorHAnsi"/>
                <w:lang w:val="sq-AL" w:eastAsia="en-GB"/>
              </w:rPr>
              <w:t>tëmujori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 I 2025</w:t>
            </w:r>
          </w:p>
        </w:tc>
      </w:tr>
      <w:tr w:rsidR="0006580C" w:rsidRPr="0006580C" w14:paraId="155DC353" w14:textId="77777777" w:rsidTr="008231F6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F556739" w14:textId="7DF1555C" w:rsidR="00BA2AF7" w:rsidRPr="0006580C" w:rsidRDefault="008231F6" w:rsidP="00BA2AF7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38</w:t>
            </w:r>
            <w:r w:rsidR="00BA2AF7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center"/>
          </w:tcPr>
          <w:p w14:paraId="3A65F6FF" w14:textId="34D52650" w:rsidR="00BA2AF7" w:rsidRPr="0006580C" w:rsidRDefault="008231F6" w:rsidP="00BA2AF7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Bashkia nuk ka miratuar Kartën e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Auditimit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16B7A" w14:textId="42384A38" w:rsidR="00BA2AF7" w:rsidRPr="0006580C" w:rsidRDefault="00BA2AF7" w:rsidP="00BA2AF7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FFFF00"/>
            <w:vAlign w:val="center"/>
          </w:tcPr>
          <w:p w14:paraId="3B45152A" w14:textId="04841938" w:rsidR="00BA2AF7" w:rsidRPr="0006580C" w:rsidRDefault="00BA2AF7" w:rsidP="008231F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bottom"/>
          </w:tcPr>
          <w:p w14:paraId="6449D12F" w14:textId="0DA5F786" w:rsidR="00BA2AF7" w:rsidRPr="0006580C" w:rsidRDefault="00BA2AF7" w:rsidP="00BA2AF7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Hartimi dhe miratimi me akt administrativ i Kartës së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Auditimit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mbi statusin organizativ, qëllimin, misionin, objektivat e punës, përgjegjshmërinë dhe përgjegjësitë e </w:t>
            </w:r>
            <w:r w:rsidR="003E4708" w:rsidRPr="0006580C">
              <w:rPr>
                <w:rFonts w:eastAsia="Times New Roman" w:cstheme="minorHAnsi"/>
                <w:lang w:eastAsia="en-GB"/>
              </w:rPr>
              <w:t>N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jësisë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së </w:t>
            </w:r>
            <w:r w:rsidR="003E4708" w:rsidRPr="0006580C">
              <w:rPr>
                <w:rFonts w:eastAsia="Times New Roman" w:cstheme="minorHAnsi"/>
                <w:lang w:eastAsia="en-GB"/>
              </w:rPr>
              <w:t>A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uditimit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të </w:t>
            </w:r>
            <w:r w:rsidR="003E4708" w:rsidRPr="0006580C">
              <w:rPr>
                <w:rFonts w:eastAsia="Times New Roman" w:cstheme="minorHAnsi"/>
                <w:lang w:eastAsia="en-GB"/>
              </w:rPr>
              <w:t>B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rendshëm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FFFFFF" w:themeFill="background1"/>
            <w:vAlign w:val="bottom"/>
          </w:tcPr>
          <w:p w14:paraId="4BD10CF2" w14:textId="77777777" w:rsidR="00BA2AF7" w:rsidRPr="0006580C" w:rsidRDefault="00BA2AF7" w:rsidP="00BA2AF7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Titullari/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Auditi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i Brendshëm</w:t>
            </w:r>
          </w:p>
          <w:p w14:paraId="2DEA71AA" w14:textId="77777777" w:rsidR="00BA2AF7" w:rsidRPr="0006580C" w:rsidRDefault="00BA2AF7" w:rsidP="00BA2AF7">
            <w:pPr>
              <w:rPr>
                <w:rFonts w:eastAsia="Times New Roman" w:cstheme="minorHAnsi"/>
                <w:lang w:val="sq-AL" w:eastAsia="en-GB"/>
              </w:rPr>
            </w:pPr>
          </w:p>
          <w:p w14:paraId="161740C1" w14:textId="6561C037" w:rsidR="00BA2AF7" w:rsidRPr="0006580C" w:rsidRDefault="00BA2AF7" w:rsidP="00BA2AF7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 2024</w:t>
            </w:r>
          </w:p>
          <w:p w14:paraId="151BF638" w14:textId="77777777" w:rsidR="00BA2AF7" w:rsidRPr="0006580C" w:rsidRDefault="00BA2AF7" w:rsidP="00BA2AF7">
            <w:pPr>
              <w:rPr>
                <w:rFonts w:eastAsia="Times New Roman" w:cstheme="minorHAnsi"/>
                <w:lang w:val="sq-AL" w:eastAsia="en-GB"/>
              </w:rPr>
            </w:pPr>
          </w:p>
          <w:p w14:paraId="7EEAEB9C" w14:textId="77777777" w:rsidR="00BA2AF7" w:rsidRPr="0006580C" w:rsidRDefault="00BA2AF7" w:rsidP="00BA2AF7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0101EC1F" w14:textId="77777777" w:rsidTr="008231F6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</w:tcPr>
          <w:p w14:paraId="34AF4DEE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  <w:p w14:paraId="444D701D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</w:p>
          <w:p w14:paraId="78E9257D" w14:textId="65492103" w:rsidR="00E512E6" w:rsidRPr="0006580C" w:rsidRDefault="008231F6" w:rsidP="00E512E6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39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FF" w:themeFill="background1"/>
          </w:tcPr>
          <w:p w14:paraId="7B3C709C" w14:textId="318D7889" w:rsidR="00E512E6" w:rsidRPr="00917A23" w:rsidRDefault="00E512E6" w:rsidP="00E512E6">
            <w:pPr>
              <w:rPr>
                <w:rFonts w:eastAsia="Times New Roman" w:cstheme="minorHAnsi"/>
                <w:b/>
                <w:bCs/>
                <w:highlight w:val="green"/>
                <w:lang w:val="sq-AL" w:eastAsia="en-GB"/>
              </w:rPr>
            </w:pPr>
            <w:r w:rsidRPr="00917A23">
              <w:rPr>
                <w:highlight w:val="green"/>
                <w:lang w:val="sq-AL"/>
              </w:rPr>
              <w:t xml:space="preserve">Mungon akti i titullarit për ngritjen dhe përcaktimin e detyrave dhe përgjegjësive të Njësisë </w:t>
            </w:r>
            <w:r w:rsidR="00041BFA" w:rsidRPr="00917A23">
              <w:rPr>
                <w:highlight w:val="green"/>
              </w:rPr>
              <w:t>P</w:t>
            </w:r>
            <w:proofErr w:type="spellStart"/>
            <w:r w:rsidRPr="00917A23">
              <w:rPr>
                <w:highlight w:val="green"/>
                <w:lang w:val="sq-AL"/>
              </w:rPr>
              <w:t>ërgjegjëse</w:t>
            </w:r>
            <w:proofErr w:type="spellEnd"/>
            <w:r w:rsidRPr="00917A23">
              <w:rPr>
                <w:highlight w:val="green"/>
                <w:lang w:val="sq-AL"/>
              </w:rPr>
              <w:t xml:space="preserve"> në zbatim t</w:t>
            </w:r>
            <w:r w:rsidR="00041BFA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highlight w:val="green"/>
                <w:lang w:val="sq-AL"/>
              </w:rPr>
              <w:t xml:space="preserve"> ligjit Nr. 60/2016, “Për sinjalizimin dhe mbrojtjen e sinjalizuesve”</w:t>
            </w: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FF" w:themeFill="background1"/>
          </w:tcPr>
          <w:p w14:paraId="5394B26B" w14:textId="77777777" w:rsidR="00E512E6" w:rsidRPr="00917A23" w:rsidRDefault="00E512E6" w:rsidP="00E512E6">
            <w:pPr>
              <w:rPr>
                <w:highlight w:val="green"/>
                <w:lang w:val="sq-AL"/>
              </w:rPr>
            </w:pPr>
          </w:p>
          <w:p w14:paraId="58B90975" w14:textId="0A8D849F" w:rsidR="00E512E6" w:rsidRPr="00917A23" w:rsidRDefault="00E512E6" w:rsidP="00E512E6">
            <w:pPr>
              <w:rPr>
                <w:rFonts w:eastAsia="Times New Roman" w:cstheme="minorHAnsi"/>
                <w:b/>
                <w:bCs/>
                <w:highlight w:val="green"/>
                <w:lang w:val="sq-AL" w:eastAsia="en-GB"/>
              </w:rPr>
            </w:pPr>
            <w:proofErr w:type="spellStart"/>
            <w:r w:rsidRPr="00917A23">
              <w:rPr>
                <w:highlight w:val="green"/>
              </w:rPr>
              <w:t>Operacional</w:t>
            </w:r>
            <w:proofErr w:type="spellEnd"/>
            <w:r w:rsidRPr="00917A23">
              <w:rPr>
                <w:highlight w:val="green"/>
              </w:rPr>
              <w:t>/</w:t>
            </w:r>
            <w:proofErr w:type="spellStart"/>
            <w:r w:rsidRPr="00917A23">
              <w:rPr>
                <w:highlight w:val="green"/>
              </w:rPr>
              <w:t>Strategjik</w:t>
            </w:r>
            <w:proofErr w:type="spellEnd"/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</w:tcPr>
          <w:p w14:paraId="722581C1" w14:textId="77777777" w:rsidR="00E512E6" w:rsidRPr="00917A23" w:rsidRDefault="00E512E6" w:rsidP="00E512E6">
            <w:pPr>
              <w:jc w:val="center"/>
              <w:rPr>
                <w:highlight w:val="green"/>
              </w:rPr>
            </w:pPr>
          </w:p>
          <w:p w14:paraId="23EFB995" w14:textId="77777777" w:rsidR="00E512E6" w:rsidRPr="00917A23" w:rsidRDefault="00E512E6" w:rsidP="00E512E6">
            <w:pPr>
              <w:jc w:val="center"/>
              <w:rPr>
                <w:highlight w:val="green"/>
              </w:rPr>
            </w:pPr>
          </w:p>
          <w:p w14:paraId="4DAC9FD9" w14:textId="3EAF5555" w:rsidR="00E512E6" w:rsidRPr="00917A23" w:rsidRDefault="00E512E6" w:rsidP="00E512E6">
            <w:pPr>
              <w:rPr>
                <w:rFonts w:eastAsia="Times New Roman" w:cstheme="minorHAnsi"/>
                <w:b/>
                <w:bCs/>
                <w:highlight w:val="green"/>
                <w:lang w:val="sq-AL" w:eastAsia="en-GB"/>
              </w:rPr>
            </w:pPr>
            <w:r w:rsidRPr="00917A23">
              <w:rPr>
                <w:highlight w:val="green"/>
              </w:rPr>
              <w:t xml:space="preserve">       I </w:t>
            </w:r>
            <w:proofErr w:type="spellStart"/>
            <w:r w:rsidRPr="00917A23">
              <w:rPr>
                <w:highlight w:val="green"/>
              </w:rPr>
              <w:t>lartë</w:t>
            </w:r>
            <w:proofErr w:type="spellEnd"/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FF" w:themeFill="background1"/>
          </w:tcPr>
          <w:p w14:paraId="727D3992" w14:textId="5D970198" w:rsidR="00E512E6" w:rsidRPr="00917A23" w:rsidRDefault="00E512E6" w:rsidP="00E512E6">
            <w:pPr>
              <w:rPr>
                <w:rFonts w:eastAsia="Times New Roman" w:cstheme="minorHAnsi"/>
                <w:b/>
                <w:bCs/>
                <w:highlight w:val="green"/>
                <w:lang w:val="sq-AL" w:eastAsia="en-GB"/>
              </w:rPr>
            </w:pPr>
            <w:r w:rsidRPr="00917A23">
              <w:rPr>
                <w:highlight w:val="green"/>
                <w:lang w:val="sq-AL"/>
              </w:rPr>
              <w:t xml:space="preserve">Ngritja e Njësisë Përgjegjëse për </w:t>
            </w:r>
            <w:r w:rsidR="003E4708" w:rsidRPr="00917A23">
              <w:rPr>
                <w:highlight w:val="green"/>
              </w:rPr>
              <w:t>S</w:t>
            </w:r>
            <w:proofErr w:type="spellStart"/>
            <w:r w:rsidRPr="00917A23">
              <w:rPr>
                <w:highlight w:val="green"/>
                <w:lang w:val="sq-AL"/>
              </w:rPr>
              <w:t>injalizimin</w:t>
            </w:r>
            <w:proofErr w:type="spellEnd"/>
            <w:r w:rsidRPr="00917A23">
              <w:rPr>
                <w:highlight w:val="green"/>
                <w:lang w:val="sq-AL"/>
              </w:rPr>
              <w:t xml:space="preserve"> dhe </w:t>
            </w:r>
            <w:r w:rsidR="003E4708" w:rsidRPr="00917A23">
              <w:rPr>
                <w:highlight w:val="green"/>
              </w:rPr>
              <w:t>M</w:t>
            </w:r>
            <w:proofErr w:type="spellStart"/>
            <w:r w:rsidRPr="00917A23">
              <w:rPr>
                <w:highlight w:val="green"/>
                <w:lang w:val="sq-AL"/>
              </w:rPr>
              <w:t>brojtjen</w:t>
            </w:r>
            <w:proofErr w:type="spellEnd"/>
            <w:r w:rsidRPr="00917A23">
              <w:rPr>
                <w:highlight w:val="green"/>
                <w:lang w:val="sq-AL"/>
              </w:rPr>
              <w:t xml:space="preserve"> e </w:t>
            </w:r>
            <w:r w:rsidR="003E4708" w:rsidRPr="00917A23">
              <w:rPr>
                <w:highlight w:val="green"/>
              </w:rPr>
              <w:t>S</w:t>
            </w:r>
            <w:proofErr w:type="spellStart"/>
            <w:r w:rsidRPr="00917A23">
              <w:rPr>
                <w:highlight w:val="green"/>
                <w:lang w:val="sq-AL"/>
              </w:rPr>
              <w:t>injalizuesve</w:t>
            </w:r>
            <w:proofErr w:type="spellEnd"/>
            <w:r w:rsidRPr="00917A23">
              <w:rPr>
                <w:highlight w:val="green"/>
                <w:lang w:val="sq-AL"/>
              </w:rPr>
              <w:t>, si një detyrë shtesë e përcaktuar me Urdhër të Titullarit, në përputhje me kuadrin rregullator në fuqi.</w:t>
            </w: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FF" w:themeFill="background1"/>
          </w:tcPr>
          <w:p w14:paraId="5293117E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Titullari</w:t>
            </w:r>
          </w:p>
          <w:p w14:paraId="6F12E58A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9168BE7" w14:textId="69BFA18F" w:rsidR="00E512E6" w:rsidRPr="00917A23" w:rsidRDefault="00E512E6" w:rsidP="00E512E6">
            <w:pPr>
              <w:rPr>
                <w:rFonts w:eastAsia="Times New Roman" w:cstheme="minorHAnsi"/>
                <w:b/>
                <w:bCs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 II 2023</w:t>
            </w:r>
          </w:p>
        </w:tc>
      </w:tr>
      <w:tr w:rsidR="0006580C" w:rsidRPr="0006580C" w14:paraId="7D22F84C" w14:textId="77777777" w:rsidTr="006A6183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724BFCE5" w14:textId="77777777" w:rsidR="008231F6" w:rsidRPr="0006580C" w:rsidRDefault="008231F6" w:rsidP="00E512E6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6B9D6595" w14:textId="77777777" w:rsidR="008231F6" w:rsidRPr="0006580C" w:rsidRDefault="008231F6" w:rsidP="008231F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  <w:p w14:paraId="53EDFA05" w14:textId="77777777" w:rsidR="008231F6" w:rsidRPr="0006580C" w:rsidRDefault="008231F6" w:rsidP="008231F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 xml:space="preserve">Fusha e Shërbimeve Publike </w:t>
            </w:r>
          </w:p>
          <w:p w14:paraId="6831CC88" w14:textId="77777777" w:rsidR="008231F6" w:rsidRPr="0006580C" w:rsidRDefault="008231F6" w:rsidP="00E512E6">
            <w:pPr>
              <w:rPr>
                <w:rFonts w:cstheme="minorHAnsi"/>
                <w:b/>
                <w:bCs/>
                <w:lang w:val="sq-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807A9C" w14:textId="77777777" w:rsidR="008231F6" w:rsidRPr="0006580C" w:rsidRDefault="008231F6" w:rsidP="00E512E6">
            <w:pPr>
              <w:rPr>
                <w:rFonts w:cstheme="minorHAnsi"/>
                <w:lang w:val="sq-A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0ECA085" w14:textId="77777777" w:rsidR="008231F6" w:rsidRPr="0006580C" w:rsidRDefault="008231F6" w:rsidP="00E512E6">
            <w:pPr>
              <w:rPr>
                <w:rFonts w:cstheme="minorHAnsi"/>
                <w:lang w:val="sq-AL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00D6CCBC" w14:textId="77777777" w:rsidR="008231F6" w:rsidRPr="0006580C" w:rsidRDefault="008231F6" w:rsidP="00E512E6">
            <w:pPr>
              <w:rPr>
                <w:rFonts w:cstheme="minorHAnsi"/>
                <w:lang w:val="sq-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B790789" w14:textId="77777777" w:rsidR="008231F6" w:rsidRPr="0006580C" w:rsidRDefault="008231F6" w:rsidP="00E512E6">
            <w:pPr>
              <w:rPr>
                <w:rFonts w:cstheme="minorHAnsi"/>
                <w:lang w:val="sq-AL"/>
              </w:rPr>
            </w:pPr>
          </w:p>
        </w:tc>
      </w:tr>
      <w:tr w:rsidR="0006580C" w:rsidRPr="0006580C" w14:paraId="517B279E" w14:textId="77777777" w:rsidTr="006A6183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1CC1483" w14:textId="77777777" w:rsidR="00E512E6" w:rsidRPr="0006580C" w:rsidRDefault="00E512E6" w:rsidP="00E512E6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D3BC8B8" w14:textId="77777777" w:rsidR="00E512E6" w:rsidRPr="0006580C" w:rsidRDefault="00E512E6" w:rsidP="00E512E6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9902C10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  <w:p w14:paraId="7AF726E5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  <w:p w14:paraId="769C0B29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B651A5B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moderuar; Prioritet i ulët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0B0F5A4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Aktivitetet që duhet të ndërmerren për zbatimin e masës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FCC7397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0E688024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CABC857" w14:textId="7D4593E3" w:rsidR="00E512E6" w:rsidRPr="0006580C" w:rsidRDefault="008231F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40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653199AE" w14:textId="48D4CFB1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Burime të kufizuara financiare, njerëzore dhe teknike për realizimin e funksioneve të shërbimeve publike, ve</w:t>
            </w:r>
            <w:r w:rsidR="00041BFA" w:rsidRPr="00917A23">
              <w:rPr>
                <w:rFonts w:eastAsia="Times New Roman" w:cstheme="minorHAnsi"/>
                <w:highlight w:val="green"/>
                <w:lang w:eastAsia="en-GB"/>
              </w:rPr>
              <w:t>ç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anërisht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nivel njësish administrative.</w:t>
            </w: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AE18D9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/Strategjik</w:t>
            </w:r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7A01AA7A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CF5F53F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Analizë e nevojave për burime njerëzore, financiare dhe teknike në Sektorin e Shërbimeve Publike dhe Komunale me qëllim mundësimin e ofrimit të shërbimeve publike brenda standardeve minimale kombëtare.</w:t>
            </w:r>
          </w:p>
          <w:p w14:paraId="72CE2D2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AA72501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2. Dorëzimi i analizës tek titullari i institucionit.</w:t>
            </w: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94390AD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GMS/Titullari</w:t>
            </w:r>
          </w:p>
          <w:p w14:paraId="2011F33F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BAD8CC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Sektori i Shërbimeve Publike dhe Komunale </w:t>
            </w:r>
          </w:p>
          <w:p w14:paraId="7BFEA6C6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350FD20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Sektori i Burimeve Njerëzore</w:t>
            </w:r>
          </w:p>
          <w:p w14:paraId="050BB6EE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147576F" w14:textId="45908170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 2023</w:t>
            </w:r>
          </w:p>
          <w:p w14:paraId="58F233C9" w14:textId="77777777" w:rsidR="008231F6" w:rsidRPr="00917A23" w:rsidRDefault="008231F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D757725" w14:textId="77777777" w:rsidR="008231F6" w:rsidRPr="00917A23" w:rsidRDefault="008231F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  <w:tr w:rsidR="0006580C" w:rsidRPr="0006580C" w14:paraId="1848FADE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A08934F" w14:textId="375C6A1D" w:rsidR="00E512E6" w:rsidRPr="0006580C" w:rsidRDefault="004754C0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41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6081A50" w14:textId="23BC4E9D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Mungesa e një çerdheje në Bashkinë Has</w:t>
            </w:r>
            <w:r w:rsidR="00C86EE9" w:rsidRPr="00917A23">
              <w:rPr>
                <w:rFonts w:eastAsia="Times New Roman" w:cstheme="minorHAnsi"/>
                <w:highlight w:val="green"/>
                <w:lang w:eastAsia="en-GB"/>
              </w:rPr>
              <w:t>,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</w:p>
          <w:p w14:paraId="4FE63605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vështirëson zbatimin e politikave për barazi gjinore.</w:t>
            </w:r>
          </w:p>
          <w:p w14:paraId="4DB3382E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F7F18CC" w14:textId="15E3BFE3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Mungesa e fondeve të mjaftueshme për arsim (p.sh për pajisje laboratorike,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kompjutera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etj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)</w:t>
            </w:r>
            <w:r w:rsidR="00C86EE9" w:rsidRPr="00917A23">
              <w:rPr>
                <w:rFonts w:eastAsia="Times New Roman" w:cstheme="minorHAnsi"/>
                <w:highlight w:val="green"/>
                <w:lang w:eastAsia="en-GB"/>
              </w:rPr>
              <w:t>,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pamundëson nxënësit e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 xml:space="preserve">Bashkisë Has për të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konkuruar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mbi bazë merite në arsimin e lartë.</w:t>
            </w: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9E72D03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/Reputacioni</w:t>
            </w:r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34B6C34D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626F3A83" w14:textId="69245E62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Analizë e burim</w:t>
            </w:r>
            <w:r w:rsidR="003E4708" w:rsidRPr="00917A23">
              <w:rPr>
                <w:rFonts w:eastAsia="Times New Roman" w:cstheme="minorHAnsi"/>
                <w:highlight w:val="green"/>
                <w:lang w:eastAsia="en-GB"/>
              </w:rPr>
              <w:t>e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ve financiare të bashkisë në kuadër të përmirësimit të shërbimeve në fushën e arsimit, duke vlerësuar mundësitë e investimit për:</w:t>
            </w:r>
          </w:p>
          <w:p w14:paraId="60248FC0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1. ngritjen  e një çerdheje;</w:t>
            </w:r>
          </w:p>
          <w:p w14:paraId="75ABA29F" w14:textId="148234E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Sigurimi i pajisjeve laboratorike dhe </w:t>
            </w:r>
            <w:proofErr w:type="spellStart"/>
            <w:r w:rsidR="003E4708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End"/>
            <w:r w:rsidR="003E4708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mjeteve të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teknologjisë së informacionit në shkollat në administrim (qoftë</w:t>
            </w:r>
            <w:r w:rsidR="003E4708" w:rsidRPr="00917A23">
              <w:rPr>
                <w:rFonts w:eastAsia="Times New Roman" w:cstheme="minorHAnsi"/>
                <w:highlight w:val="green"/>
                <w:lang w:eastAsia="en-GB"/>
              </w:rPr>
              <w:t xml:space="preserve"> </w:t>
            </w:r>
            <w:proofErr w:type="spellStart"/>
            <w:r w:rsidR="003E4708" w:rsidRPr="00917A23">
              <w:rPr>
                <w:rFonts w:eastAsia="Times New Roman" w:cstheme="minorHAnsi"/>
                <w:highlight w:val="green"/>
                <w:lang w:eastAsia="en-GB"/>
              </w:rPr>
              <w:t>edhe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kapacitete minimale).</w:t>
            </w: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548AA0DA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Kryetari/GMS/K</w:t>
            </w:r>
            <w:r w:rsidRPr="00917A23">
              <w:rPr>
                <w:rFonts w:ascii="Segoe UI Symbol" w:eastAsia="Times New Roman" w:hAnsi="Segoe UI Symbol" w:cstheme="minorHAnsi"/>
                <w:highlight w:val="green"/>
                <w:lang w:val="sq-AL" w:eastAsia="ja-JP"/>
              </w:rPr>
              <w:t xml:space="preserve">ëshilli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Bashkiak</w:t>
            </w:r>
          </w:p>
          <w:p w14:paraId="6549A508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54D1BF1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Drejtoria e Financës, Buxhetit, Taksave dhe Tarifave </w:t>
            </w:r>
          </w:p>
          <w:p w14:paraId="0A35C5F2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BF77CC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 xml:space="preserve">Sektori i Shërbimeve Publike dhe Komunale </w:t>
            </w:r>
          </w:p>
          <w:p w14:paraId="707AAA0B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CDA5A5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FC87646" w14:textId="47487E6C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II 2023</w:t>
            </w:r>
          </w:p>
          <w:p w14:paraId="586E3DE2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  <w:tr w:rsidR="0006580C" w:rsidRPr="0006580C" w14:paraId="02032A0B" w14:textId="77777777" w:rsidTr="006A6183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2CCE27A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9193544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  <w:p w14:paraId="671D4E76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Fusha e administrimit dhe e</w:t>
            </w:r>
            <w:r w:rsidRPr="0006580C">
              <w:rPr>
                <w:rFonts w:eastAsia="Times New Roman" w:cstheme="minorHAnsi"/>
                <w:b/>
                <w:bCs/>
                <w:lang w:val="it-IT" w:eastAsia="en-GB"/>
              </w:rPr>
              <w:t xml:space="preserve"> </w:t>
            </w: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menaxhimit të pronave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A58001F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D099DBF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4F5853A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A04B791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</w:tr>
      <w:tr w:rsidR="0006580C" w:rsidRPr="0006580C" w14:paraId="5C5277D7" w14:textId="77777777" w:rsidTr="006A6183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E709ED8" w14:textId="77777777" w:rsidR="00E512E6" w:rsidRPr="0006580C" w:rsidRDefault="00E512E6" w:rsidP="00E512E6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518A9CD0" w14:textId="77777777" w:rsidR="00E512E6" w:rsidRPr="0006580C" w:rsidRDefault="00E512E6" w:rsidP="00E512E6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AEA7F6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  <w:p w14:paraId="406E5E63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  <w:p w14:paraId="6527C385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4184B110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moderuar; Prioritet i ulët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A89944C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Aktivitetet që duhet të ndërmerren për zbatimin e masës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2B0AE726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5E464006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2CC678B" w14:textId="43DCEC77" w:rsidR="00E512E6" w:rsidRPr="0006580C" w:rsidRDefault="004754C0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42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6AD23AD" w14:textId="77777777" w:rsidR="00E512E6" w:rsidRPr="0006580C" w:rsidRDefault="00E512E6" w:rsidP="00E512E6">
            <w:pPr>
              <w:rPr>
                <w:rFonts w:eastAsia="Times New Roman" w:cstheme="minorHAnsi"/>
                <w:highlight w:val="yellow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Digjitalizim i pjesshëm i sistemit të administrimit dhe përdorimit të pronave bashkiake.</w:t>
            </w: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B3E7811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/Informacioni</w:t>
            </w:r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3691044F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45F2642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Prioritizimi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i procesit të digjitalizimit të pronave pas vitit 1999.</w:t>
            </w: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014BB0D6" w14:textId="77777777" w:rsidR="00E512E6" w:rsidRPr="0006580C" w:rsidRDefault="00E512E6" w:rsidP="00E512E6">
            <w:pPr>
              <w:rPr>
                <w:rFonts w:eastAsia="Times New Roman" w:cstheme="minorHAnsi"/>
                <w:shd w:val="clear" w:color="auto" w:fill="FFFF00"/>
                <w:lang w:val="sq-AL" w:eastAsia="en-GB"/>
              </w:rPr>
            </w:pPr>
          </w:p>
          <w:p w14:paraId="4FCBA2C9" w14:textId="15A78B29" w:rsidR="00E512E6" w:rsidRPr="0006580C" w:rsidRDefault="00E512E6" w:rsidP="00E512E6">
            <w:pPr>
              <w:shd w:val="clear" w:color="auto" w:fill="FFFFFF" w:themeFill="background1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Grup Pune me punonjës</w:t>
            </w:r>
            <w:r w:rsidR="00B726EC" w:rsidRPr="0006580C">
              <w:rPr>
                <w:rFonts w:eastAsia="Times New Roman" w:cstheme="minorHAnsi"/>
                <w:lang w:eastAsia="en-GB"/>
              </w:rPr>
              <w:t xml:space="preserve"> t</w:t>
            </w:r>
            <w:r w:rsidRPr="0006580C">
              <w:rPr>
                <w:rFonts w:eastAsia="Times New Roman" w:cstheme="minorHAnsi"/>
                <w:lang w:val="sq-AL" w:eastAsia="en-GB"/>
              </w:rPr>
              <w:t>ë bashkisë</w:t>
            </w:r>
          </w:p>
          <w:p w14:paraId="5230D6D5" w14:textId="77777777" w:rsidR="00E512E6" w:rsidRPr="0006580C" w:rsidRDefault="00E512E6" w:rsidP="00E512E6">
            <w:pPr>
              <w:shd w:val="clear" w:color="auto" w:fill="FFFFFF" w:themeFill="background1"/>
              <w:rPr>
                <w:rFonts w:eastAsia="Times New Roman" w:cstheme="minorHAnsi"/>
                <w:lang w:val="sq-AL" w:eastAsia="en-GB"/>
              </w:rPr>
            </w:pPr>
          </w:p>
          <w:p w14:paraId="36AE7834" w14:textId="0C212DBD" w:rsidR="00E512E6" w:rsidRPr="0006580C" w:rsidRDefault="00E512E6" w:rsidP="00E512E6">
            <w:pPr>
              <w:shd w:val="clear" w:color="auto" w:fill="FFFFFF" w:themeFill="background1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</w:t>
            </w:r>
            <w:r w:rsidR="003E4708" w:rsidRPr="0006580C">
              <w:rPr>
                <w:rFonts w:eastAsia="Times New Roman" w:cstheme="minorHAnsi"/>
                <w:lang w:eastAsia="en-GB"/>
              </w:rPr>
              <w:t xml:space="preserve"> </w:t>
            </w:r>
            <w:r w:rsidRPr="0006580C">
              <w:rPr>
                <w:rFonts w:eastAsia="Times New Roman" w:cstheme="minorHAnsi"/>
                <w:lang w:val="sq-AL" w:eastAsia="en-GB"/>
              </w:rPr>
              <w:t>2022 e në vazhdimësi</w:t>
            </w:r>
          </w:p>
        </w:tc>
      </w:tr>
      <w:tr w:rsidR="0006580C" w:rsidRPr="0006580C" w14:paraId="0E09C827" w14:textId="77777777" w:rsidTr="006A6183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4C518CA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3854B8E0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Fusha e Planifikimit, Administrimit dhe Zhvillimit të Territorit</w:t>
            </w:r>
          </w:p>
          <w:p w14:paraId="25454BC2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E7817E8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03A1599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F5B3ADE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9EE178A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</w:tr>
      <w:tr w:rsidR="0006580C" w:rsidRPr="0006580C" w14:paraId="38B635A2" w14:textId="77777777" w:rsidTr="006A6183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8502A6E" w14:textId="77777777" w:rsidR="00E512E6" w:rsidRPr="0006580C" w:rsidRDefault="00E512E6" w:rsidP="00E512E6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26788286" w14:textId="77777777" w:rsidR="00E512E6" w:rsidRPr="0006580C" w:rsidRDefault="00E512E6" w:rsidP="00E512E6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</w:tcPr>
          <w:p w14:paraId="783409DF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  <w:p w14:paraId="7F6B9CE1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  <w:p w14:paraId="5E6E6117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B8FAB36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moderuar; Prioritet i ulët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1A81A1F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Aktivitetet që duhet të ndërmerren për zbatimin e masës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8FEF97F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6FF6CD30" w14:textId="77777777" w:rsidTr="006A6183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134600B" w14:textId="772E823F" w:rsidR="00E512E6" w:rsidRPr="0006580C" w:rsidRDefault="004754C0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43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15557D2" w14:textId="7C50A7DC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Mungesa e burimeve financiare dhe njerëzore pamundësojnë zbatimin e objektivave të PPV</w:t>
            </w:r>
            <w:r w:rsidR="00C86EE9" w:rsidRPr="0006580C">
              <w:rPr>
                <w:rFonts w:eastAsia="Times New Roman" w:cstheme="minorHAnsi"/>
                <w:lang w:eastAsia="en-GB"/>
              </w:rPr>
              <w:t>-s</w:t>
            </w:r>
            <w:r w:rsidR="00C86EE9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në praktikë.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216D441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/Strategjik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10D98799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433C516" w14:textId="73BFAC5A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Analizë e realizimit të objektivave të PPV</w:t>
            </w:r>
            <w:r w:rsidR="004C78E4" w:rsidRPr="0006580C">
              <w:rPr>
                <w:rFonts w:eastAsia="Times New Roman" w:cstheme="minorHAnsi"/>
                <w:lang w:eastAsia="en-GB"/>
              </w:rPr>
              <w:t>-s</w:t>
            </w:r>
            <w:r w:rsidR="004C78E4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periodikisht në kuadër të rishikimit të masave për plotësimin me burime njerëzore dhe sigurimin e mjeteve të </w:t>
            </w: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nevojshme financiare për zhvillimin e territorit në Bashkinë Has.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511CA1ED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Grup Pune me punonjës të Bashkisë</w:t>
            </w:r>
          </w:p>
          <w:p w14:paraId="527CDF22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B88F39F" w14:textId="3151305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 II 2022 e në vazhdimësi</w:t>
            </w:r>
          </w:p>
        </w:tc>
      </w:tr>
      <w:tr w:rsidR="0006580C" w:rsidRPr="0006580C" w14:paraId="00E3D97A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A2A8DA4" w14:textId="2D28325D" w:rsidR="00E512E6" w:rsidRPr="0006580C" w:rsidRDefault="004754C0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lastRenderedPageBreak/>
              <w:t>44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D88B94C" w14:textId="66101CEA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Mungesa e miratimit të PDV</w:t>
            </w:r>
            <w:r w:rsidR="00C86EE9" w:rsidRPr="0006580C">
              <w:rPr>
                <w:rFonts w:eastAsia="Times New Roman" w:cstheme="minorHAnsi"/>
                <w:lang w:eastAsia="en-GB"/>
              </w:rPr>
              <w:t>-s</w:t>
            </w:r>
            <w:r w:rsidR="00C86EE9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 në mbështetje të PPV</w:t>
            </w:r>
            <w:r w:rsidR="00C86EE9" w:rsidRPr="0006580C">
              <w:rPr>
                <w:rFonts w:eastAsia="Times New Roman" w:cstheme="minorHAnsi"/>
                <w:lang w:eastAsia="en-GB"/>
              </w:rPr>
              <w:t>-s</w:t>
            </w:r>
            <w:r w:rsidR="00C86EE9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. </w:t>
            </w: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13987F5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1721727C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931C687" w14:textId="2020DFFA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Ngritja e grupit për hartimin e PDV</w:t>
            </w:r>
            <w:r w:rsidR="004C78E4" w:rsidRPr="0006580C">
              <w:rPr>
                <w:rFonts w:eastAsia="Times New Roman" w:cstheme="minorHAnsi"/>
                <w:lang w:eastAsia="en-GB"/>
              </w:rPr>
              <w:t>-s</w:t>
            </w:r>
            <w:r w:rsidR="004C78E4"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lang w:val="sq-AL" w:eastAsia="en-GB"/>
              </w:rPr>
              <w:t xml:space="preserve"> me nismë publike me qëllim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detajimin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përcaktimeve të PPV-së, për:</w:t>
            </w:r>
          </w:p>
          <w:p w14:paraId="059A195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a) zhvillimin dhe/ose </w:t>
            </w: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rizhvillimin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 xml:space="preserve"> e njësisë;</w:t>
            </w:r>
          </w:p>
          <w:p w14:paraId="03CA532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b) rigjenerimin/ripërtëritjen urbane;</w:t>
            </w:r>
          </w:p>
          <w:p w14:paraId="03E4DC62" w14:textId="5FAB9CEE" w:rsidR="00E512E6" w:rsidRPr="0006580C" w:rsidRDefault="00E512E6" w:rsidP="00E512E6">
            <w:pPr>
              <w:rPr>
                <w:rFonts w:eastAsia="Times New Roman" w:cstheme="minorHAnsi"/>
                <w:lang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c) përdorimet e tokës dhe kushtet e zhvillimit</w:t>
            </w:r>
            <w:r w:rsidR="004C78E4" w:rsidRPr="0006580C">
              <w:rPr>
                <w:rFonts w:eastAsia="Times New Roman" w:cstheme="minorHAnsi"/>
                <w:lang w:eastAsia="en-GB"/>
              </w:rPr>
              <w:t>;</w:t>
            </w:r>
          </w:p>
          <w:p w14:paraId="7DE74D93" w14:textId="7BE6C8A0" w:rsidR="00E512E6" w:rsidRPr="0006580C" w:rsidRDefault="00E512E6" w:rsidP="00E512E6">
            <w:pPr>
              <w:rPr>
                <w:rFonts w:eastAsia="Times New Roman" w:cstheme="minorHAnsi"/>
                <w:lang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ç) investimet publike në infrastrukturë apo shërbimet publike, që ndikojnë në ndryshimin ose rishpërndarjen e kushteve të zhvillimit</w:t>
            </w:r>
            <w:r w:rsidR="004C78E4" w:rsidRPr="0006580C">
              <w:rPr>
                <w:rFonts w:eastAsia="Times New Roman" w:cstheme="minorHAnsi"/>
                <w:lang w:eastAsia="en-GB"/>
              </w:rPr>
              <w:t>;</w:t>
            </w:r>
          </w:p>
          <w:p w14:paraId="2D980687" w14:textId="283D3132" w:rsidR="00E512E6" w:rsidRPr="0006580C" w:rsidRDefault="00E512E6" w:rsidP="00E512E6">
            <w:pPr>
              <w:rPr>
                <w:rFonts w:eastAsia="Times New Roman" w:cstheme="minorHAnsi"/>
                <w:lang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d) programet e drejtimit të zhvillimit nëpërmjet instrumenteve</w:t>
            </w:r>
            <w:r w:rsidR="004C78E4" w:rsidRPr="0006580C">
              <w:rPr>
                <w:rFonts w:eastAsia="Times New Roman" w:cstheme="minorHAnsi"/>
                <w:lang w:eastAsia="en-GB"/>
              </w:rPr>
              <w:t>.</w:t>
            </w: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3C3F21EA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Grup Pune me punonjës të Bashkisë</w:t>
            </w:r>
          </w:p>
          <w:p w14:paraId="5D04E2AD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7A20EDB4" w14:textId="4D6CF2E0" w:rsidR="004754C0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II 2025</w:t>
            </w:r>
          </w:p>
          <w:p w14:paraId="6A364836" w14:textId="77777777" w:rsidR="004754C0" w:rsidRPr="0006580C" w:rsidRDefault="004754C0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3F7D1D94" w14:textId="77777777" w:rsidR="004754C0" w:rsidRPr="0006580C" w:rsidRDefault="004754C0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3DE48810" w14:textId="77777777" w:rsidR="004754C0" w:rsidRPr="0006580C" w:rsidRDefault="004754C0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0344AABA" w14:textId="77777777" w:rsidR="004754C0" w:rsidRPr="0006580C" w:rsidRDefault="004754C0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F78EA6E" w14:textId="5C4BFD03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 xml:space="preserve"> </w:t>
            </w:r>
          </w:p>
          <w:p w14:paraId="7CC640CB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5CB0ACD9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</w:tc>
      </w:tr>
      <w:tr w:rsidR="0006580C" w:rsidRPr="0006580C" w14:paraId="39BB4959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4F908E28" w14:textId="18626F84" w:rsidR="00E512E6" w:rsidRPr="0006580C" w:rsidRDefault="004754C0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45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7AA77BC" w14:textId="57926AED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Vështirësi në zhvillimin e inspektimeve në terren</w:t>
            </w:r>
            <w:r w:rsidR="00C86EE9" w:rsidRPr="00917A23">
              <w:rPr>
                <w:rFonts w:eastAsia="Times New Roman" w:cstheme="minorHAnsi"/>
                <w:highlight w:val="green"/>
                <w:lang w:eastAsia="en-GB"/>
              </w:rPr>
              <w:t>,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shkak të  pamjaftueshm</w:t>
            </w:r>
            <w:r w:rsidR="00C86EE9" w:rsidRPr="00917A23">
              <w:rPr>
                <w:rFonts w:eastAsia="Times New Roman" w:cstheme="minorHAnsi"/>
                <w:highlight w:val="green"/>
                <w:lang w:val="sq-AL" w:eastAsia="en-GB"/>
              </w:rPr>
              <w:t>ë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risë së mjeteve të transportit dhe burimeve njerëzore .</w:t>
            </w:r>
          </w:p>
          <w:p w14:paraId="61C05404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2A640CE0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000000" w:fill="FFFF00"/>
            <w:vAlign w:val="center"/>
          </w:tcPr>
          <w:p w14:paraId="5B4EA4AC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73103645" w14:textId="357D9F8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1. Vlerësim i kapaciteteve ekzistuese dhe marrja e masave për ngritjen e </w:t>
            </w:r>
            <w:r w:rsidR="004C78E4" w:rsidRPr="00917A23">
              <w:rPr>
                <w:rFonts w:eastAsia="Times New Roman" w:cstheme="minorHAnsi"/>
                <w:highlight w:val="green"/>
                <w:lang w:eastAsia="en-GB"/>
              </w:rPr>
              <w:t>I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nspektoriatit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për </w:t>
            </w:r>
            <w:r w:rsidR="004C78E4" w:rsidRPr="00917A23">
              <w:rPr>
                <w:rFonts w:eastAsia="Times New Roman" w:cstheme="minorHAnsi"/>
                <w:highlight w:val="green"/>
                <w:lang w:eastAsia="en-GB"/>
              </w:rPr>
              <w:t>M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brojtjen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e </w:t>
            </w:r>
            <w:r w:rsidR="004C78E4" w:rsidRPr="00917A23">
              <w:rPr>
                <w:rFonts w:eastAsia="Times New Roman" w:cstheme="minorHAnsi"/>
                <w:highlight w:val="green"/>
                <w:lang w:eastAsia="en-GB"/>
              </w:rPr>
              <w:t>T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erritorit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me fokus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mjaftueshërinë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dhe përshtatshmërinë e mjeteve të transportit, burimeve financiare dhe njerëzore për mbulimin e inspektimeve në terren.</w:t>
            </w:r>
          </w:p>
          <w:p w14:paraId="4FFEE276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042AA34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2. Organizimi i trajnimeve të vazhdueshme për personelin e 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inspektoriatit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në lidhje me </w:t>
            </w: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lastRenderedPageBreak/>
              <w:t>kuadrin ligjor dhe proceset kryesore të punës.</w:t>
            </w: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18883E7F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DD24B0E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79633C8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84D4796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77C02DB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Titullari/GMS/Këshilli Bashkiak</w:t>
            </w:r>
          </w:p>
          <w:p w14:paraId="22A6B8B9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br/>
              <w:t xml:space="preserve">Sektori i Burimeve Njerëzore </w:t>
            </w:r>
          </w:p>
          <w:p w14:paraId="710952C4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DB926F0" w14:textId="4D605F4A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Gjashtëmujori  I 2023</w:t>
            </w:r>
          </w:p>
          <w:p w14:paraId="131770E0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551F0E2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3392C7B9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2104D1D6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50F2B91C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AB4541F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30BE0C9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</w:tc>
      </w:tr>
      <w:tr w:rsidR="0006580C" w:rsidRPr="0006580C" w14:paraId="126711A3" w14:textId="77777777" w:rsidTr="006A6183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0F9BC5D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  <w:p w14:paraId="67BC1E3D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  <w:p w14:paraId="36E0FDED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07A38EC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eastAsia="en-GB"/>
              </w:rPr>
            </w:pP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Fusha e arkivimit, ruajtjes dhe administrimit  t</w:t>
            </w:r>
            <w:r w:rsidRPr="0006580C">
              <w:rPr>
                <w:rFonts w:eastAsia="Times New Roman" w:cstheme="minorHAnsi"/>
                <w:lang w:val="sq-AL" w:eastAsia="en-GB"/>
              </w:rPr>
              <w:t>ë</w:t>
            </w: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 xml:space="preserve"> dokument</w:t>
            </w:r>
            <w:r w:rsidRPr="0006580C">
              <w:rPr>
                <w:rFonts w:eastAsia="Times New Roman" w:cstheme="minorHAnsi"/>
                <w:b/>
                <w:bCs/>
                <w:lang w:eastAsia="en-GB"/>
              </w:rPr>
              <w:t>e</w:t>
            </w: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ve dhe informacionit</w:t>
            </w:r>
            <w:r w:rsidRPr="0006580C">
              <w:rPr>
                <w:rFonts w:eastAsia="Times New Roman" w:cstheme="minorHAnsi"/>
                <w:b/>
                <w:bCs/>
                <w:lang w:eastAsia="en-GB"/>
              </w:rPr>
              <w:t xml:space="preserve">, </w:t>
            </w:r>
            <w:proofErr w:type="spellStart"/>
            <w:r w:rsidRPr="0006580C">
              <w:rPr>
                <w:rFonts w:eastAsia="Times New Roman" w:cstheme="minorHAnsi"/>
                <w:b/>
                <w:bCs/>
                <w:lang w:eastAsia="en-GB"/>
              </w:rPr>
              <w:t>si</w:t>
            </w:r>
            <w:proofErr w:type="spellEnd"/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 xml:space="preserve"> dhe dokument</w:t>
            </w:r>
            <w:r w:rsidRPr="0006580C">
              <w:rPr>
                <w:rFonts w:eastAsia="Times New Roman" w:cstheme="minorHAnsi"/>
                <w:b/>
                <w:bCs/>
                <w:lang w:eastAsia="en-GB"/>
              </w:rPr>
              <w:t>e</w:t>
            </w:r>
            <w:r w:rsidRPr="0006580C">
              <w:rPr>
                <w:rFonts w:eastAsia="Times New Roman" w:cstheme="minorHAnsi"/>
                <w:b/>
                <w:bCs/>
                <w:lang w:val="sq-AL" w:eastAsia="en-GB"/>
              </w:rPr>
              <w:t>ve elektronik</w:t>
            </w:r>
            <w:r w:rsidRPr="0006580C">
              <w:rPr>
                <w:rFonts w:eastAsia="Times New Roman" w:cstheme="minorHAnsi"/>
                <w:b/>
                <w:bCs/>
                <w:lang w:eastAsia="en-GB"/>
              </w:rPr>
              <w:t>e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BE6AF0C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BD615D4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F10683D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37BE0AD" w14:textId="77777777" w:rsidR="00E512E6" w:rsidRPr="0006580C" w:rsidRDefault="00E512E6" w:rsidP="00E512E6">
            <w:pPr>
              <w:rPr>
                <w:rFonts w:eastAsia="Times New Roman" w:cstheme="minorHAnsi"/>
                <w:b/>
                <w:bCs/>
                <w:lang w:val="sq-AL" w:eastAsia="en-GB"/>
              </w:rPr>
            </w:pPr>
          </w:p>
        </w:tc>
      </w:tr>
      <w:tr w:rsidR="0006580C" w:rsidRPr="0006580C" w14:paraId="13CE864D" w14:textId="77777777" w:rsidTr="006A6183">
        <w:tc>
          <w:tcPr>
            <w:tcW w:w="715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171C43F4" w14:textId="77777777" w:rsidR="00E512E6" w:rsidRPr="0006580C" w:rsidRDefault="00E512E6" w:rsidP="00E512E6">
            <w:pPr>
              <w:jc w:val="center"/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Nr.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C45911"/>
              <w:bottom w:val="single" w:sz="4" w:space="0" w:color="auto"/>
              <w:right w:val="single" w:sz="8" w:space="0" w:color="C45911"/>
            </w:tcBorders>
            <w:shd w:val="clear" w:color="auto" w:fill="BDD6EE" w:themeFill="accent1" w:themeFillTint="66"/>
            <w:vAlign w:val="center"/>
          </w:tcPr>
          <w:p w14:paraId="3267A1C9" w14:textId="77777777" w:rsidR="00E512E6" w:rsidRPr="0006580C" w:rsidRDefault="00E512E6" w:rsidP="00E512E6">
            <w:pPr>
              <w:rPr>
                <w:rFonts w:cstheme="minorHAnsi"/>
                <w:b/>
                <w:bCs/>
                <w:lang w:val="sq-AL"/>
              </w:rPr>
            </w:pPr>
            <w:r w:rsidRPr="0006580C">
              <w:rPr>
                <w:rFonts w:cstheme="minorHAnsi"/>
                <w:b/>
                <w:bCs/>
                <w:lang w:val="sq-AL"/>
              </w:rPr>
              <w:t>Risku dhe ngjarjet e mundshme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</w:tcPr>
          <w:p w14:paraId="4CB6740F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  <w:p w14:paraId="0E8F4DB3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  <w:p w14:paraId="2AA4953C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Kategoria e faktorëve të riskut</w:t>
            </w:r>
          </w:p>
          <w:p w14:paraId="06FDE409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5521DA73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Prioritet i lartë; Prioritet i moderuar; Prioritet i ulët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0EC65BED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Aktivitetet që duhet të ndërmerren për zbatimin e masës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6AC14705" w14:textId="77777777" w:rsidR="00E512E6" w:rsidRPr="0006580C" w:rsidRDefault="00E512E6" w:rsidP="00E512E6">
            <w:pPr>
              <w:rPr>
                <w:rFonts w:cstheme="minorHAnsi"/>
                <w:lang w:val="sq-AL"/>
              </w:rPr>
            </w:pPr>
            <w:r w:rsidRPr="0006580C">
              <w:rPr>
                <w:rFonts w:cstheme="minorHAnsi"/>
                <w:lang w:val="sq-AL"/>
              </w:rPr>
              <w:t>Personi përgjegjës për zbatimin e masës dhe afati i fundit për zbatimin e aktiviteteve</w:t>
            </w:r>
          </w:p>
        </w:tc>
      </w:tr>
      <w:tr w:rsidR="0006580C" w:rsidRPr="0006580C" w14:paraId="45A302AE" w14:textId="77777777" w:rsidTr="006A6183">
        <w:tc>
          <w:tcPr>
            <w:tcW w:w="715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7502F8A2" w14:textId="6E6D3555" w:rsidR="00E512E6" w:rsidRPr="0006580C" w:rsidRDefault="004754C0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46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0E0955B1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7291E14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Mungesa e kushteve fizike të përshtatshme për ruajtjen e dokumentacionit fizik sipas kërkesave të parashikuara në ligjin për Arkivat.</w:t>
            </w:r>
          </w:p>
        </w:tc>
        <w:tc>
          <w:tcPr>
            <w:tcW w:w="1394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F739047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proofErr w:type="spellStart"/>
            <w:r w:rsidRPr="0006580C">
              <w:rPr>
                <w:rFonts w:eastAsia="Times New Roman" w:cstheme="minorHAnsi"/>
                <w:lang w:val="sq-AL" w:eastAsia="en-GB"/>
              </w:rPr>
              <w:t>Operacional</w:t>
            </w:r>
            <w:proofErr w:type="spellEnd"/>
            <w:r w:rsidRPr="0006580C">
              <w:rPr>
                <w:rFonts w:eastAsia="Times New Roman" w:cstheme="minorHAnsi"/>
                <w:lang w:val="sq-AL" w:eastAsia="en-GB"/>
              </w:rPr>
              <w:t>/Reputacioni</w:t>
            </w:r>
          </w:p>
        </w:tc>
        <w:tc>
          <w:tcPr>
            <w:tcW w:w="1576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14:paraId="2F72B14F" w14:textId="77777777" w:rsidR="00E512E6" w:rsidRPr="0006580C" w:rsidRDefault="00E512E6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I lartë</w:t>
            </w:r>
          </w:p>
        </w:tc>
        <w:tc>
          <w:tcPr>
            <w:tcW w:w="315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5E090268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Marrja e masave për krijimin e një ambienti për fondin arkivor që plotëson kërkesat/standardet minimale teknike të ruajtjes së dokumenteve, sipas kuadrit ligjor për arkivat</w:t>
            </w:r>
          </w:p>
        </w:tc>
        <w:tc>
          <w:tcPr>
            <w:tcW w:w="2880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1AAE4067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GMS/</w:t>
            </w:r>
          </w:p>
          <w:p w14:paraId="29E9631F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Nëpunësi autorizues</w:t>
            </w:r>
          </w:p>
          <w:p w14:paraId="798C5C79" w14:textId="77777777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</w:p>
          <w:p w14:paraId="18C48159" w14:textId="4090273E" w:rsidR="00E512E6" w:rsidRPr="0006580C" w:rsidRDefault="00E512E6" w:rsidP="00E512E6">
            <w:pPr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Gjashtëmujori  I 2024</w:t>
            </w:r>
          </w:p>
        </w:tc>
      </w:tr>
      <w:tr w:rsidR="0006580C" w:rsidRPr="0006580C" w14:paraId="2ACE9321" w14:textId="77777777" w:rsidTr="006A6183">
        <w:tc>
          <w:tcPr>
            <w:tcW w:w="715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BDD6EE" w:themeFill="accent1" w:themeFillTint="66"/>
            <w:vAlign w:val="center"/>
          </w:tcPr>
          <w:p w14:paraId="19AAB4C4" w14:textId="21A55C6B" w:rsidR="00E512E6" w:rsidRPr="0006580C" w:rsidRDefault="004754C0" w:rsidP="00E512E6">
            <w:pPr>
              <w:jc w:val="center"/>
              <w:rPr>
                <w:rFonts w:eastAsia="Times New Roman" w:cstheme="minorHAnsi"/>
                <w:lang w:val="sq-AL" w:eastAsia="en-GB"/>
              </w:rPr>
            </w:pPr>
            <w:r w:rsidRPr="0006580C">
              <w:rPr>
                <w:rFonts w:eastAsia="Times New Roman" w:cstheme="minorHAnsi"/>
                <w:lang w:val="sq-AL" w:eastAsia="en-GB"/>
              </w:rPr>
              <w:t>47</w:t>
            </w:r>
            <w:r w:rsidR="00E512E6" w:rsidRPr="0006580C">
              <w:rPr>
                <w:rFonts w:eastAsia="Times New Roman" w:cstheme="minorHAnsi"/>
                <w:lang w:val="sq-AL" w:eastAsia="en-GB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44E577BA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Fondi arkivor nuk është i digjitalizuar.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322F0113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Operacional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/Informacioni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FF00"/>
            <w:vAlign w:val="center"/>
          </w:tcPr>
          <w:p w14:paraId="5048FBF6" w14:textId="77777777" w:rsidR="00E512E6" w:rsidRPr="00917A23" w:rsidRDefault="00E512E6" w:rsidP="00E512E6">
            <w:pPr>
              <w:jc w:val="center"/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Mesatar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AF6DFD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0BF5FBEC" w14:textId="68BEE7F9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Vijimi i procesit të digjitalizimit të </w:t>
            </w:r>
            <w:r w:rsidR="004C78E4" w:rsidRPr="00917A23">
              <w:rPr>
                <w:rFonts w:eastAsia="Times New Roman" w:cstheme="minorHAnsi"/>
                <w:highlight w:val="green"/>
                <w:lang w:eastAsia="en-GB"/>
              </w:rPr>
              <w:t>F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ondit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</w:t>
            </w:r>
            <w:r w:rsidR="004C78E4" w:rsidRPr="00917A23">
              <w:rPr>
                <w:rFonts w:eastAsia="Times New Roman" w:cstheme="minorHAnsi"/>
                <w:highlight w:val="green"/>
                <w:lang w:eastAsia="en-GB"/>
              </w:rPr>
              <w:t>A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rkivor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të </w:t>
            </w:r>
            <w:r w:rsidR="004C78E4" w:rsidRPr="00917A23">
              <w:rPr>
                <w:rFonts w:eastAsia="Times New Roman" w:cstheme="minorHAnsi"/>
                <w:highlight w:val="green"/>
                <w:lang w:eastAsia="en-GB"/>
              </w:rPr>
              <w:t>B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ashkisë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.</w:t>
            </w:r>
          </w:p>
          <w:p w14:paraId="76CE44C7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62318166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Hartimi i një plani për këtë proces, duke </w:t>
            </w:r>
            <w:proofErr w:type="spellStart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alokuar</w:t>
            </w:r>
            <w:proofErr w:type="spellEnd"/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 burimet e nevojshme njerëzore, si dhe duke përcaktuar afatet kohore të arsyeshme për zbatimin e tij.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bottom"/>
          </w:tcPr>
          <w:p w14:paraId="203E10AE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>Arkiva / Grup Pune me punonjës të Bashkisë</w:t>
            </w:r>
          </w:p>
          <w:p w14:paraId="0812A8E6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4EE6302F" w14:textId="5542FF3A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r w:rsidRPr="00917A23">
              <w:rPr>
                <w:rFonts w:eastAsia="Times New Roman" w:cstheme="minorHAnsi"/>
                <w:highlight w:val="green"/>
                <w:lang w:val="sq-AL" w:eastAsia="en-GB"/>
              </w:rPr>
              <w:t xml:space="preserve">Gjashtëmujori  I 2023 e në vazhdimësi </w:t>
            </w:r>
          </w:p>
          <w:p w14:paraId="6FD3507D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</w:p>
          <w:p w14:paraId="18C3CE50" w14:textId="77777777" w:rsidR="00E512E6" w:rsidRPr="00917A23" w:rsidRDefault="00E512E6" w:rsidP="00E512E6">
            <w:pPr>
              <w:rPr>
                <w:rFonts w:eastAsia="Times New Roman" w:cstheme="minorHAnsi"/>
                <w:highlight w:val="green"/>
                <w:lang w:val="sq-AL" w:eastAsia="en-GB"/>
              </w:rPr>
            </w:pPr>
            <w:bookmarkStart w:id="4" w:name="_GoBack"/>
            <w:bookmarkEnd w:id="4"/>
          </w:p>
        </w:tc>
      </w:tr>
    </w:tbl>
    <w:p w14:paraId="402E75AE" w14:textId="77777777" w:rsidR="003A5FC3" w:rsidRPr="0006580C" w:rsidRDefault="003A5FC3" w:rsidP="008D2ABC">
      <w:pPr>
        <w:rPr>
          <w:lang w:val="it-IT"/>
        </w:rPr>
      </w:pPr>
    </w:p>
    <w:sectPr w:rsidR="003A5FC3" w:rsidRPr="0006580C" w:rsidSect="008D2A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D3D0" w14:textId="77777777" w:rsidR="0070292C" w:rsidRDefault="0070292C">
      <w:pPr>
        <w:spacing w:after="0" w:line="240" w:lineRule="auto"/>
      </w:pPr>
      <w:r>
        <w:separator/>
      </w:r>
    </w:p>
  </w:endnote>
  <w:endnote w:type="continuationSeparator" w:id="0">
    <w:p w14:paraId="2831A478" w14:textId="77777777" w:rsidR="0070292C" w:rsidRDefault="0070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368877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CCD3E1" w14:textId="77777777" w:rsidR="006A6183" w:rsidRDefault="006A6183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16</w:t>
        </w:r>
        <w:r>
          <w:rPr>
            <w:rStyle w:val="PageNumber"/>
          </w:rPr>
          <w:fldChar w:fldCharType="end"/>
        </w:r>
      </w:p>
    </w:sdtContent>
  </w:sdt>
  <w:p w14:paraId="79E915E2" w14:textId="77777777" w:rsidR="006A6183" w:rsidRDefault="006A6183" w:rsidP="008D2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327534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C9B9C6" w14:textId="66FFCA9C" w:rsidR="006A6183" w:rsidRDefault="006A6183" w:rsidP="008D2A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17A23">
          <w:rPr>
            <w:rStyle w:val="PageNumber"/>
            <w:noProof/>
          </w:rPr>
          <w:t>27</w:t>
        </w:r>
        <w:r>
          <w:rPr>
            <w:rStyle w:val="PageNumber"/>
          </w:rPr>
          <w:fldChar w:fldCharType="end"/>
        </w:r>
      </w:p>
    </w:sdtContent>
  </w:sdt>
  <w:p w14:paraId="06E8C88F" w14:textId="77777777" w:rsidR="006A6183" w:rsidRDefault="006A6183" w:rsidP="008D2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B281" w14:textId="77777777" w:rsidR="0070292C" w:rsidRDefault="0070292C">
      <w:pPr>
        <w:spacing w:after="0" w:line="240" w:lineRule="auto"/>
      </w:pPr>
      <w:r>
        <w:separator/>
      </w:r>
    </w:p>
  </w:footnote>
  <w:footnote w:type="continuationSeparator" w:id="0">
    <w:p w14:paraId="318003C8" w14:textId="77777777" w:rsidR="0070292C" w:rsidRDefault="0070292C">
      <w:pPr>
        <w:spacing w:after="0" w:line="240" w:lineRule="auto"/>
      </w:pPr>
      <w:r>
        <w:continuationSeparator/>
      </w:r>
    </w:p>
  </w:footnote>
  <w:footnote w:id="1">
    <w:p w14:paraId="55DB6EC1" w14:textId="132E6175" w:rsidR="006A6183" w:rsidRPr="0084539C" w:rsidRDefault="006A6183" w:rsidP="007C7E3A">
      <w:pPr>
        <w:pStyle w:val="FootnoteText"/>
        <w:jc w:val="both"/>
        <w:rPr>
          <w:rFonts w:ascii="Times New Roman" w:hAnsi="Times New Roman" w:cs="Times New Roman"/>
        </w:rPr>
      </w:pPr>
      <w:r w:rsidRPr="0084539C">
        <w:rPr>
          <w:rStyle w:val="FootnoteReference"/>
          <w:rFonts w:ascii="Times New Roman" w:hAnsi="Times New Roman" w:cs="Times New Roman"/>
        </w:rPr>
        <w:footnoteRef/>
      </w:r>
      <w:r w:rsidRPr="0084539C">
        <w:rPr>
          <w:rFonts w:ascii="Times New Roman" w:hAnsi="Times New Roman" w:cs="Times New Roman"/>
          <w:color w:val="000000"/>
        </w:rPr>
        <w:t>MVRINJVV</w:t>
      </w:r>
      <w:r w:rsidR="009D2F4C">
        <w:rPr>
          <w:rFonts w:ascii="Times New Roman" w:hAnsi="Times New Roman" w:cs="Times New Roman"/>
          <w:color w:val="000000"/>
        </w:rPr>
        <w:t>-</w:t>
      </w:r>
      <w:r w:rsidR="009D2F4C" w:rsidRPr="009D2F4C">
        <w:rPr>
          <w:rFonts w:ascii="Times New Roman" w:hAnsi="Times New Roman" w:cs="Times New Roman"/>
          <w:color w:val="FF0000"/>
        </w:rPr>
        <w:t>ja</w:t>
      </w:r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është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hartuar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nga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IDM</w:t>
      </w:r>
      <w:r w:rsidR="009D2F4C">
        <w:rPr>
          <w:rFonts w:ascii="Times New Roman" w:hAnsi="Times New Roman" w:cs="Times New Roman"/>
          <w:color w:val="000000"/>
        </w:rPr>
        <w:t>-</w:t>
      </w:r>
      <w:r w:rsidR="009D2F4C" w:rsidRPr="009D2F4C">
        <w:rPr>
          <w:rFonts w:ascii="Times New Roman" w:hAnsi="Times New Roman" w:cs="Times New Roman"/>
          <w:color w:val="FF0000"/>
        </w:rPr>
        <w:t>ja</w:t>
      </w:r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në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kuadër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të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projektit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“</w:t>
      </w:r>
      <w:proofErr w:type="spellStart"/>
      <w:r w:rsidRPr="0084539C">
        <w:rPr>
          <w:rFonts w:ascii="Times New Roman" w:hAnsi="Times New Roman" w:cs="Times New Roman"/>
          <w:color w:val="000000"/>
        </w:rPr>
        <w:t>Forcimi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i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etikës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dhe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integritetit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në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Qeverisjen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Vendore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” </w:t>
      </w:r>
      <w:proofErr w:type="spellStart"/>
      <w:r w:rsidRPr="0084539C">
        <w:rPr>
          <w:rFonts w:ascii="Times New Roman" w:hAnsi="Times New Roman" w:cs="Times New Roman"/>
          <w:color w:val="000000"/>
        </w:rPr>
        <w:t>në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kuadër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të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projektit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STAR 2 - </w:t>
      </w:r>
      <w:proofErr w:type="spellStart"/>
      <w:r w:rsidRPr="0084539C">
        <w:rPr>
          <w:rFonts w:ascii="Times New Roman" w:hAnsi="Times New Roman" w:cs="Times New Roman"/>
          <w:color w:val="000000"/>
        </w:rPr>
        <w:t>Konsolidimi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i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Reformës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Territoriale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dhe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Administrative, </w:t>
      </w:r>
      <w:proofErr w:type="spellStart"/>
      <w:r w:rsidRPr="0084539C">
        <w:rPr>
          <w:rFonts w:ascii="Times New Roman" w:hAnsi="Times New Roman" w:cs="Times New Roman"/>
          <w:color w:val="000000"/>
        </w:rPr>
        <w:t>i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zbatuar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nga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UNDP</w:t>
      </w:r>
      <w:r w:rsidR="009D2F4C">
        <w:rPr>
          <w:rFonts w:ascii="Times New Roman" w:hAnsi="Times New Roman" w:cs="Times New Roman"/>
          <w:color w:val="000000"/>
        </w:rPr>
        <w:t>-</w:t>
      </w:r>
      <w:r w:rsidR="009D2F4C" w:rsidRPr="009D2F4C">
        <w:rPr>
          <w:rFonts w:ascii="Times New Roman" w:hAnsi="Times New Roman" w:cs="Times New Roman"/>
          <w:color w:val="FF0000"/>
        </w:rPr>
        <w:t>ja</w:t>
      </w:r>
      <w:r w:rsidRPr="0084539C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84539C">
        <w:rPr>
          <w:rFonts w:ascii="Times New Roman" w:hAnsi="Times New Roman" w:cs="Times New Roman"/>
          <w:color w:val="000000"/>
        </w:rPr>
        <w:t>Ky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dokument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është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konsultuar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me 61 </w:t>
      </w:r>
      <w:proofErr w:type="spellStart"/>
      <w:r w:rsidRPr="0084539C">
        <w:rPr>
          <w:rFonts w:ascii="Times New Roman" w:hAnsi="Times New Roman" w:cs="Times New Roman"/>
          <w:color w:val="000000"/>
        </w:rPr>
        <w:t>bashkitë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84539C">
        <w:rPr>
          <w:rFonts w:ascii="Times New Roman" w:hAnsi="Times New Roman" w:cs="Times New Roman"/>
          <w:color w:val="000000"/>
        </w:rPr>
        <w:t>vendit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4539C">
        <w:rPr>
          <w:rFonts w:ascii="Times New Roman" w:hAnsi="Times New Roman" w:cs="Times New Roman"/>
          <w:color w:val="000000"/>
        </w:rPr>
        <w:t>institucionet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publike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që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kanë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në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funksionet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84539C">
        <w:rPr>
          <w:rFonts w:ascii="Times New Roman" w:hAnsi="Times New Roman" w:cs="Times New Roman"/>
          <w:color w:val="000000"/>
        </w:rPr>
        <w:t>tyre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çështje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të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integritetit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dhe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është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miratuar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nga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Ministria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84539C">
        <w:rPr>
          <w:rFonts w:ascii="Times New Roman" w:hAnsi="Times New Roman" w:cs="Times New Roman"/>
          <w:color w:val="000000"/>
        </w:rPr>
        <w:t>Drejtësisë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4539C">
        <w:rPr>
          <w:rFonts w:ascii="Times New Roman" w:hAnsi="Times New Roman" w:cs="Times New Roman"/>
          <w:color w:val="000000"/>
        </w:rPr>
        <w:t>Koordinatori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Kombëtar</w:t>
      </w:r>
      <w:proofErr w:type="spellEnd"/>
      <w:r w:rsidRPr="0084539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4539C">
        <w:rPr>
          <w:rFonts w:ascii="Times New Roman" w:hAnsi="Times New Roman" w:cs="Times New Roman"/>
          <w:color w:val="000000"/>
        </w:rPr>
        <w:t>Antikorrupsion</w:t>
      </w:r>
      <w:proofErr w:type="spellEnd"/>
      <w:r w:rsidRPr="0084539C">
        <w:rPr>
          <w:rFonts w:ascii="Times New Roman" w:hAnsi="Times New Roman" w:cs="Times New Roman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0AC"/>
    <w:multiLevelType w:val="multilevel"/>
    <w:tmpl w:val="88C2E0F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65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Theme="minorHAnsi" w:hAnsiTheme="minorHAnsi" w:cstheme="minorHAns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asciiTheme="minorHAnsi" w:hAnsiTheme="minorHAnsi" w:cstheme="minorHAns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asciiTheme="minorHAnsi" w:hAnsiTheme="minorHAnsi" w:cstheme="minorHAns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asciiTheme="minorHAnsi" w:hAnsiTheme="minorHAnsi" w:cstheme="minorHAns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asciiTheme="minorHAnsi" w:hAnsiTheme="minorHAnsi" w:cstheme="minorHAns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asciiTheme="minorHAnsi" w:hAnsiTheme="minorHAnsi" w:cstheme="minorHAns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i/>
        <w:sz w:val="22"/>
      </w:rPr>
    </w:lvl>
  </w:abstractNum>
  <w:abstractNum w:abstractNumId="1" w15:restartNumberingAfterBreak="0">
    <w:nsid w:val="0E0C2784"/>
    <w:multiLevelType w:val="multilevel"/>
    <w:tmpl w:val="4542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eastAsiaTheme="minorHAnsi" w:hint="default"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2" w15:restartNumberingAfterBreak="0">
    <w:nsid w:val="3A434D91"/>
    <w:multiLevelType w:val="multilevel"/>
    <w:tmpl w:val="0DF26B28"/>
    <w:lvl w:ilvl="0">
      <w:start w:val="1"/>
      <w:numFmt w:val="decimal"/>
      <w:pStyle w:val="TOC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14A66"/>
    <w:multiLevelType w:val="hybridMultilevel"/>
    <w:tmpl w:val="146A7CA6"/>
    <w:lvl w:ilvl="0" w:tplc="3974738A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wMTQ2tjAwNzG0NDRQ0lEKTi0uzszPAykwqQUAoCqsSSwAAAA="/>
  </w:docVars>
  <w:rsids>
    <w:rsidRoot w:val="008D2ABC"/>
    <w:rsid w:val="00002F2E"/>
    <w:rsid w:val="00004858"/>
    <w:rsid w:val="000050DC"/>
    <w:rsid w:val="00005DCE"/>
    <w:rsid w:val="000079BB"/>
    <w:rsid w:val="0001197A"/>
    <w:rsid w:val="000207BA"/>
    <w:rsid w:val="00020D27"/>
    <w:rsid w:val="00020DAC"/>
    <w:rsid w:val="00026342"/>
    <w:rsid w:val="00027A1B"/>
    <w:rsid w:val="00027FAC"/>
    <w:rsid w:val="00030150"/>
    <w:rsid w:val="000316D6"/>
    <w:rsid w:val="00036531"/>
    <w:rsid w:val="00041BFA"/>
    <w:rsid w:val="00051A3C"/>
    <w:rsid w:val="00051C73"/>
    <w:rsid w:val="000558E3"/>
    <w:rsid w:val="0005689A"/>
    <w:rsid w:val="0005760E"/>
    <w:rsid w:val="000602B5"/>
    <w:rsid w:val="0006580C"/>
    <w:rsid w:val="000734E4"/>
    <w:rsid w:val="00073DFB"/>
    <w:rsid w:val="000750D3"/>
    <w:rsid w:val="00080C55"/>
    <w:rsid w:val="00080D97"/>
    <w:rsid w:val="00081DEF"/>
    <w:rsid w:val="00085929"/>
    <w:rsid w:val="000860B4"/>
    <w:rsid w:val="000866A7"/>
    <w:rsid w:val="000915BA"/>
    <w:rsid w:val="00093142"/>
    <w:rsid w:val="00093B1E"/>
    <w:rsid w:val="0009475D"/>
    <w:rsid w:val="00094CA0"/>
    <w:rsid w:val="000979AA"/>
    <w:rsid w:val="000A38E4"/>
    <w:rsid w:val="000A4952"/>
    <w:rsid w:val="000A4DF7"/>
    <w:rsid w:val="000A5480"/>
    <w:rsid w:val="000A7DBD"/>
    <w:rsid w:val="000B0A81"/>
    <w:rsid w:val="000B2A37"/>
    <w:rsid w:val="000B3210"/>
    <w:rsid w:val="000B4BA2"/>
    <w:rsid w:val="000C02C5"/>
    <w:rsid w:val="000C1A70"/>
    <w:rsid w:val="000C2FBF"/>
    <w:rsid w:val="000C381E"/>
    <w:rsid w:val="000C7031"/>
    <w:rsid w:val="000C7342"/>
    <w:rsid w:val="000D2163"/>
    <w:rsid w:val="000D51DD"/>
    <w:rsid w:val="000D7195"/>
    <w:rsid w:val="000D7D9A"/>
    <w:rsid w:val="000E166E"/>
    <w:rsid w:val="000E2A31"/>
    <w:rsid w:val="000E4026"/>
    <w:rsid w:val="000E683B"/>
    <w:rsid w:val="000E6C76"/>
    <w:rsid w:val="000E776A"/>
    <w:rsid w:val="000F3D15"/>
    <w:rsid w:val="000F5B64"/>
    <w:rsid w:val="000F7F0F"/>
    <w:rsid w:val="00101507"/>
    <w:rsid w:val="00102D86"/>
    <w:rsid w:val="00111DF5"/>
    <w:rsid w:val="00112CDE"/>
    <w:rsid w:val="00112EDA"/>
    <w:rsid w:val="0011684F"/>
    <w:rsid w:val="00123453"/>
    <w:rsid w:val="00124C0A"/>
    <w:rsid w:val="001270AC"/>
    <w:rsid w:val="00131DE2"/>
    <w:rsid w:val="001334FB"/>
    <w:rsid w:val="00133713"/>
    <w:rsid w:val="00141539"/>
    <w:rsid w:val="00142C9B"/>
    <w:rsid w:val="00142D63"/>
    <w:rsid w:val="00146CFC"/>
    <w:rsid w:val="00155D9B"/>
    <w:rsid w:val="0016363C"/>
    <w:rsid w:val="001659F2"/>
    <w:rsid w:val="00166FB4"/>
    <w:rsid w:val="001722C0"/>
    <w:rsid w:val="001735A8"/>
    <w:rsid w:val="00173831"/>
    <w:rsid w:val="001755A3"/>
    <w:rsid w:val="0017573D"/>
    <w:rsid w:val="0017631D"/>
    <w:rsid w:val="00181F8D"/>
    <w:rsid w:val="00184C9F"/>
    <w:rsid w:val="0018564F"/>
    <w:rsid w:val="00191477"/>
    <w:rsid w:val="00191DF0"/>
    <w:rsid w:val="001940FA"/>
    <w:rsid w:val="00194798"/>
    <w:rsid w:val="001954AC"/>
    <w:rsid w:val="001959A1"/>
    <w:rsid w:val="001A250A"/>
    <w:rsid w:val="001A2F15"/>
    <w:rsid w:val="001A38FB"/>
    <w:rsid w:val="001A41C1"/>
    <w:rsid w:val="001A53F4"/>
    <w:rsid w:val="001A6BBC"/>
    <w:rsid w:val="001B037C"/>
    <w:rsid w:val="001B13C8"/>
    <w:rsid w:val="001B64D6"/>
    <w:rsid w:val="001B74D7"/>
    <w:rsid w:val="001B7849"/>
    <w:rsid w:val="001C09CD"/>
    <w:rsid w:val="001C0A44"/>
    <w:rsid w:val="001C0C42"/>
    <w:rsid w:val="001C26A7"/>
    <w:rsid w:val="001C2FE3"/>
    <w:rsid w:val="001C321C"/>
    <w:rsid w:val="001C74FF"/>
    <w:rsid w:val="001D0669"/>
    <w:rsid w:val="001D0A85"/>
    <w:rsid w:val="001D1C09"/>
    <w:rsid w:val="001D784C"/>
    <w:rsid w:val="001E0ED7"/>
    <w:rsid w:val="001E4301"/>
    <w:rsid w:val="001E5AB4"/>
    <w:rsid w:val="001E7D49"/>
    <w:rsid w:val="001E7F5C"/>
    <w:rsid w:val="001F0C3C"/>
    <w:rsid w:val="001F337F"/>
    <w:rsid w:val="001F34A2"/>
    <w:rsid w:val="001F57E2"/>
    <w:rsid w:val="001F660A"/>
    <w:rsid w:val="001F6BA6"/>
    <w:rsid w:val="00203641"/>
    <w:rsid w:val="002052FA"/>
    <w:rsid w:val="00207282"/>
    <w:rsid w:val="00207794"/>
    <w:rsid w:val="00213674"/>
    <w:rsid w:val="00214999"/>
    <w:rsid w:val="0021547E"/>
    <w:rsid w:val="00221BA7"/>
    <w:rsid w:val="00222C69"/>
    <w:rsid w:val="00225F0B"/>
    <w:rsid w:val="00231429"/>
    <w:rsid w:val="002330C9"/>
    <w:rsid w:val="0023336F"/>
    <w:rsid w:val="00241228"/>
    <w:rsid w:val="002413B6"/>
    <w:rsid w:val="002428E4"/>
    <w:rsid w:val="00242DB8"/>
    <w:rsid w:val="002443CC"/>
    <w:rsid w:val="00244957"/>
    <w:rsid w:val="002467C5"/>
    <w:rsid w:val="00250DD8"/>
    <w:rsid w:val="0025503A"/>
    <w:rsid w:val="002551F7"/>
    <w:rsid w:val="00256184"/>
    <w:rsid w:val="0025743D"/>
    <w:rsid w:val="0026012B"/>
    <w:rsid w:val="002635C1"/>
    <w:rsid w:val="00263F2D"/>
    <w:rsid w:val="002653DE"/>
    <w:rsid w:val="00266864"/>
    <w:rsid w:val="002702B9"/>
    <w:rsid w:val="00271AE7"/>
    <w:rsid w:val="00271D3E"/>
    <w:rsid w:val="00273C39"/>
    <w:rsid w:val="00273DF8"/>
    <w:rsid w:val="00274340"/>
    <w:rsid w:val="00276C4A"/>
    <w:rsid w:val="002841B2"/>
    <w:rsid w:val="00286A00"/>
    <w:rsid w:val="00286E8D"/>
    <w:rsid w:val="0029077F"/>
    <w:rsid w:val="002915EF"/>
    <w:rsid w:val="00293248"/>
    <w:rsid w:val="0029792D"/>
    <w:rsid w:val="002A0009"/>
    <w:rsid w:val="002A362D"/>
    <w:rsid w:val="002A4DCA"/>
    <w:rsid w:val="002A5AC7"/>
    <w:rsid w:val="002A7A09"/>
    <w:rsid w:val="002A7FAA"/>
    <w:rsid w:val="002B0D73"/>
    <w:rsid w:val="002B2DC6"/>
    <w:rsid w:val="002B3CD4"/>
    <w:rsid w:val="002B4ED4"/>
    <w:rsid w:val="002B6037"/>
    <w:rsid w:val="002B7F59"/>
    <w:rsid w:val="002C09D7"/>
    <w:rsid w:val="002C3339"/>
    <w:rsid w:val="002C36CB"/>
    <w:rsid w:val="002C41EB"/>
    <w:rsid w:val="002C49F7"/>
    <w:rsid w:val="002C535E"/>
    <w:rsid w:val="002C67C7"/>
    <w:rsid w:val="002C6DEE"/>
    <w:rsid w:val="002D01F0"/>
    <w:rsid w:val="002D0273"/>
    <w:rsid w:val="002D060B"/>
    <w:rsid w:val="002D0E85"/>
    <w:rsid w:val="002D2BA7"/>
    <w:rsid w:val="002D540A"/>
    <w:rsid w:val="002D79B8"/>
    <w:rsid w:val="002E0A2A"/>
    <w:rsid w:val="002E62BF"/>
    <w:rsid w:val="002E6FC0"/>
    <w:rsid w:val="002E6FE7"/>
    <w:rsid w:val="002F000F"/>
    <w:rsid w:val="002F04CE"/>
    <w:rsid w:val="002F074B"/>
    <w:rsid w:val="002F29C6"/>
    <w:rsid w:val="002F4137"/>
    <w:rsid w:val="002F5CDC"/>
    <w:rsid w:val="00301C62"/>
    <w:rsid w:val="00307DC3"/>
    <w:rsid w:val="00320179"/>
    <w:rsid w:val="00320659"/>
    <w:rsid w:val="00323819"/>
    <w:rsid w:val="00324C9B"/>
    <w:rsid w:val="00333E00"/>
    <w:rsid w:val="00334241"/>
    <w:rsid w:val="00336F06"/>
    <w:rsid w:val="00337294"/>
    <w:rsid w:val="0034482E"/>
    <w:rsid w:val="00346A10"/>
    <w:rsid w:val="003554C1"/>
    <w:rsid w:val="003612A5"/>
    <w:rsid w:val="0036567D"/>
    <w:rsid w:val="00365AC4"/>
    <w:rsid w:val="003677E9"/>
    <w:rsid w:val="00372449"/>
    <w:rsid w:val="00373913"/>
    <w:rsid w:val="0037520D"/>
    <w:rsid w:val="00377322"/>
    <w:rsid w:val="00377FC7"/>
    <w:rsid w:val="00381F4C"/>
    <w:rsid w:val="003828E2"/>
    <w:rsid w:val="00391E0A"/>
    <w:rsid w:val="0039479A"/>
    <w:rsid w:val="00394C66"/>
    <w:rsid w:val="00397B93"/>
    <w:rsid w:val="003A5127"/>
    <w:rsid w:val="003A5FC3"/>
    <w:rsid w:val="003B03A4"/>
    <w:rsid w:val="003B443E"/>
    <w:rsid w:val="003B6D7D"/>
    <w:rsid w:val="003C063D"/>
    <w:rsid w:val="003C092F"/>
    <w:rsid w:val="003C2677"/>
    <w:rsid w:val="003C5EE2"/>
    <w:rsid w:val="003C7EED"/>
    <w:rsid w:val="003D1E58"/>
    <w:rsid w:val="003D3CDE"/>
    <w:rsid w:val="003D55DF"/>
    <w:rsid w:val="003D5788"/>
    <w:rsid w:val="003D6368"/>
    <w:rsid w:val="003D7667"/>
    <w:rsid w:val="003E16DB"/>
    <w:rsid w:val="003E2F39"/>
    <w:rsid w:val="003E3FBF"/>
    <w:rsid w:val="003E45A5"/>
    <w:rsid w:val="003E4708"/>
    <w:rsid w:val="003E4F31"/>
    <w:rsid w:val="003E60DD"/>
    <w:rsid w:val="003F01DA"/>
    <w:rsid w:val="003F177A"/>
    <w:rsid w:val="003F17E7"/>
    <w:rsid w:val="003F2A1E"/>
    <w:rsid w:val="003F33C5"/>
    <w:rsid w:val="003F598B"/>
    <w:rsid w:val="003F5E65"/>
    <w:rsid w:val="003F64AD"/>
    <w:rsid w:val="003F766C"/>
    <w:rsid w:val="003F7838"/>
    <w:rsid w:val="004020D0"/>
    <w:rsid w:val="0040242B"/>
    <w:rsid w:val="004050E5"/>
    <w:rsid w:val="00406AB1"/>
    <w:rsid w:val="004107FF"/>
    <w:rsid w:val="00414AAF"/>
    <w:rsid w:val="00415FAB"/>
    <w:rsid w:val="00416732"/>
    <w:rsid w:val="004212DD"/>
    <w:rsid w:val="00421DCD"/>
    <w:rsid w:val="00421EF2"/>
    <w:rsid w:val="004236FF"/>
    <w:rsid w:val="00424FDF"/>
    <w:rsid w:val="00425DA4"/>
    <w:rsid w:val="00426B23"/>
    <w:rsid w:val="004303E2"/>
    <w:rsid w:val="004323D5"/>
    <w:rsid w:val="00433B2E"/>
    <w:rsid w:val="004340C0"/>
    <w:rsid w:val="00434149"/>
    <w:rsid w:val="00434CB7"/>
    <w:rsid w:val="00446389"/>
    <w:rsid w:val="004467B1"/>
    <w:rsid w:val="00446946"/>
    <w:rsid w:val="0045410B"/>
    <w:rsid w:val="00456E33"/>
    <w:rsid w:val="00456FEF"/>
    <w:rsid w:val="00457F9E"/>
    <w:rsid w:val="00463460"/>
    <w:rsid w:val="0046376C"/>
    <w:rsid w:val="004650CF"/>
    <w:rsid w:val="0046582E"/>
    <w:rsid w:val="0046604C"/>
    <w:rsid w:val="00467E4D"/>
    <w:rsid w:val="004754C0"/>
    <w:rsid w:val="00475A90"/>
    <w:rsid w:val="00475C41"/>
    <w:rsid w:val="00480435"/>
    <w:rsid w:val="00480CF4"/>
    <w:rsid w:val="00483BB5"/>
    <w:rsid w:val="004849B2"/>
    <w:rsid w:val="0049099C"/>
    <w:rsid w:val="004936AD"/>
    <w:rsid w:val="00496134"/>
    <w:rsid w:val="004961CC"/>
    <w:rsid w:val="004A3B03"/>
    <w:rsid w:val="004A543D"/>
    <w:rsid w:val="004A6668"/>
    <w:rsid w:val="004A71DD"/>
    <w:rsid w:val="004B1DC9"/>
    <w:rsid w:val="004B238B"/>
    <w:rsid w:val="004B33A6"/>
    <w:rsid w:val="004B5C8C"/>
    <w:rsid w:val="004C2605"/>
    <w:rsid w:val="004C78E4"/>
    <w:rsid w:val="004D238B"/>
    <w:rsid w:val="004D400E"/>
    <w:rsid w:val="004D79F2"/>
    <w:rsid w:val="004E27A1"/>
    <w:rsid w:val="004E399E"/>
    <w:rsid w:val="004E5109"/>
    <w:rsid w:val="004E59E9"/>
    <w:rsid w:val="004E6092"/>
    <w:rsid w:val="004E740F"/>
    <w:rsid w:val="004F612E"/>
    <w:rsid w:val="005039EA"/>
    <w:rsid w:val="0050408D"/>
    <w:rsid w:val="0050472C"/>
    <w:rsid w:val="00506234"/>
    <w:rsid w:val="00511D0A"/>
    <w:rsid w:val="0051372A"/>
    <w:rsid w:val="00517E9F"/>
    <w:rsid w:val="00523A29"/>
    <w:rsid w:val="0052727F"/>
    <w:rsid w:val="005355A4"/>
    <w:rsid w:val="00537DC4"/>
    <w:rsid w:val="00540DCA"/>
    <w:rsid w:val="005424B3"/>
    <w:rsid w:val="00551D62"/>
    <w:rsid w:val="00552D01"/>
    <w:rsid w:val="00552F38"/>
    <w:rsid w:val="005542E8"/>
    <w:rsid w:val="00556D98"/>
    <w:rsid w:val="00557549"/>
    <w:rsid w:val="00561379"/>
    <w:rsid w:val="00561C93"/>
    <w:rsid w:val="00562131"/>
    <w:rsid w:val="00562133"/>
    <w:rsid w:val="00563D3B"/>
    <w:rsid w:val="00564797"/>
    <w:rsid w:val="00564BF8"/>
    <w:rsid w:val="005722B7"/>
    <w:rsid w:val="005747CA"/>
    <w:rsid w:val="00574CDA"/>
    <w:rsid w:val="005846D1"/>
    <w:rsid w:val="00585828"/>
    <w:rsid w:val="00591DEE"/>
    <w:rsid w:val="00592019"/>
    <w:rsid w:val="005927B2"/>
    <w:rsid w:val="005A09C7"/>
    <w:rsid w:val="005A34F7"/>
    <w:rsid w:val="005A4E74"/>
    <w:rsid w:val="005A7B2D"/>
    <w:rsid w:val="005B0E57"/>
    <w:rsid w:val="005B13D6"/>
    <w:rsid w:val="005B6FDE"/>
    <w:rsid w:val="005B7EA8"/>
    <w:rsid w:val="005C0E4E"/>
    <w:rsid w:val="005C23D5"/>
    <w:rsid w:val="005D07ED"/>
    <w:rsid w:val="005D0EE1"/>
    <w:rsid w:val="005D753C"/>
    <w:rsid w:val="005D7566"/>
    <w:rsid w:val="005E21DA"/>
    <w:rsid w:val="005E5001"/>
    <w:rsid w:val="005E67C6"/>
    <w:rsid w:val="005E68F6"/>
    <w:rsid w:val="005E6922"/>
    <w:rsid w:val="005F24B3"/>
    <w:rsid w:val="005F4D6C"/>
    <w:rsid w:val="005F6935"/>
    <w:rsid w:val="006009A8"/>
    <w:rsid w:val="00601BAE"/>
    <w:rsid w:val="006023D8"/>
    <w:rsid w:val="00604B5D"/>
    <w:rsid w:val="00614868"/>
    <w:rsid w:val="006165A4"/>
    <w:rsid w:val="00623D04"/>
    <w:rsid w:val="00623F59"/>
    <w:rsid w:val="00624669"/>
    <w:rsid w:val="00627730"/>
    <w:rsid w:val="006309C1"/>
    <w:rsid w:val="00632688"/>
    <w:rsid w:val="00632B36"/>
    <w:rsid w:val="00633B1F"/>
    <w:rsid w:val="006365D6"/>
    <w:rsid w:val="00641158"/>
    <w:rsid w:val="00654BFA"/>
    <w:rsid w:val="00656536"/>
    <w:rsid w:val="006578D9"/>
    <w:rsid w:val="00662C61"/>
    <w:rsid w:val="00674EE2"/>
    <w:rsid w:val="00680B02"/>
    <w:rsid w:val="006814F8"/>
    <w:rsid w:val="00682465"/>
    <w:rsid w:val="0068368C"/>
    <w:rsid w:val="00687121"/>
    <w:rsid w:val="00687702"/>
    <w:rsid w:val="00692203"/>
    <w:rsid w:val="00693892"/>
    <w:rsid w:val="006959CA"/>
    <w:rsid w:val="00697714"/>
    <w:rsid w:val="006977B4"/>
    <w:rsid w:val="006A5D7A"/>
    <w:rsid w:val="006A6183"/>
    <w:rsid w:val="006B1D51"/>
    <w:rsid w:val="006B3C09"/>
    <w:rsid w:val="006B5580"/>
    <w:rsid w:val="006B568E"/>
    <w:rsid w:val="006B5D2E"/>
    <w:rsid w:val="006B5D3F"/>
    <w:rsid w:val="006C0124"/>
    <w:rsid w:val="006C04A2"/>
    <w:rsid w:val="006C05EB"/>
    <w:rsid w:val="006C57C9"/>
    <w:rsid w:val="006C7ABD"/>
    <w:rsid w:val="006D14F3"/>
    <w:rsid w:val="006D1FA8"/>
    <w:rsid w:val="006D3289"/>
    <w:rsid w:val="006D3CF2"/>
    <w:rsid w:val="006D4693"/>
    <w:rsid w:val="006D6703"/>
    <w:rsid w:val="006D7B5E"/>
    <w:rsid w:val="006E25F0"/>
    <w:rsid w:val="006E27F1"/>
    <w:rsid w:val="006E35A2"/>
    <w:rsid w:val="006F387B"/>
    <w:rsid w:val="006F72DD"/>
    <w:rsid w:val="0070258C"/>
    <w:rsid w:val="0070292C"/>
    <w:rsid w:val="00710DCB"/>
    <w:rsid w:val="007112C1"/>
    <w:rsid w:val="00715F46"/>
    <w:rsid w:val="00717D72"/>
    <w:rsid w:val="00721F17"/>
    <w:rsid w:val="00722695"/>
    <w:rsid w:val="00722A1E"/>
    <w:rsid w:val="0072376E"/>
    <w:rsid w:val="00725585"/>
    <w:rsid w:val="00726549"/>
    <w:rsid w:val="00727907"/>
    <w:rsid w:val="007304EC"/>
    <w:rsid w:val="007323C9"/>
    <w:rsid w:val="00734139"/>
    <w:rsid w:val="00734B7C"/>
    <w:rsid w:val="0073589E"/>
    <w:rsid w:val="00740A2B"/>
    <w:rsid w:val="00746A9C"/>
    <w:rsid w:val="00746E5F"/>
    <w:rsid w:val="0075363A"/>
    <w:rsid w:val="00754A7C"/>
    <w:rsid w:val="007554F8"/>
    <w:rsid w:val="00757514"/>
    <w:rsid w:val="00757E23"/>
    <w:rsid w:val="00771AC9"/>
    <w:rsid w:val="007763BE"/>
    <w:rsid w:val="00783206"/>
    <w:rsid w:val="00783F3B"/>
    <w:rsid w:val="00785ADE"/>
    <w:rsid w:val="007870EE"/>
    <w:rsid w:val="007874C1"/>
    <w:rsid w:val="00790641"/>
    <w:rsid w:val="00791C50"/>
    <w:rsid w:val="007944F1"/>
    <w:rsid w:val="00794FA0"/>
    <w:rsid w:val="00795E28"/>
    <w:rsid w:val="00797171"/>
    <w:rsid w:val="007A1F82"/>
    <w:rsid w:val="007A23D8"/>
    <w:rsid w:val="007A4FA0"/>
    <w:rsid w:val="007A689C"/>
    <w:rsid w:val="007A7B98"/>
    <w:rsid w:val="007B39FE"/>
    <w:rsid w:val="007B60A8"/>
    <w:rsid w:val="007C337C"/>
    <w:rsid w:val="007C6C32"/>
    <w:rsid w:val="007C7DCA"/>
    <w:rsid w:val="007C7E3A"/>
    <w:rsid w:val="007D098B"/>
    <w:rsid w:val="007D118B"/>
    <w:rsid w:val="007D2068"/>
    <w:rsid w:val="007D3A79"/>
    <w:rsid w:val="007D4D2B"/>
    <w:rsid w:val="007D6656"/>
    <w:rsid w:val="007D7AED"/>
    <w:rsid w:val="007E213D"/>
    <w:rsid w:val="007E3B10"/>
    <w:rsid w:val="007E3EDD"/>
    <w:rsid w:val="007E746E"/>
    <w:rsid w:val="007E7A84"/>
    <w:rsid w:val="007F0B82"/>
    <w:rsid w:val="007F15CE"/>
    <w:rsid w:val="007F24A5"/>
    <w:rsid w:val="007F7719"/>
    <w:rsid w:val="007F779F"/>
    <w:rsid w:val="0080210F"/>
    <w:rsid w:val="00802BAE"/>
    <w:rsid w:val="00803B8D"/>
    <w:rsid w:val="00810F5A"/>
    <w:rsid w:val="008207E6"/>
    <w:rsid w:val="008231F6"/>
    <w:rsid w:val="00826772"/>
    <w:rsid w:val="008333B2"/>
    <w:rsid w:val="00834703"/>
    <w:rsid w:val="0084040C"/>
    <w:rsid w:val="00844115"/>
    <w:rsid w:val="00844690"/>
    <w:rsid w:val="0084539C"/>
    <w:rsid w:val="0084683B"/>
    <w:rsid w:val="0085164D"/>
    <w:rsid w:val="00851D66"/>
    <w:rsid w:val="00854C73"/>
    <w:rsid w:val="00856B63"/>
    <w:rsid w:val="008574FF"/>
    <w:rsid w:val="0085757B"/>
    <w:rsid w:val="00857E37"/>
    <w:rsid w:val="00857F6A"/>
    <w:rsid w:val="0086134E"/>
    <w:rsid w:val="008636F4"/>
    <w:rsid w:val="0086371A"/>
    <w:rsid w:val="008657E3"/>
    <w:rsid w:val="00867091"/>
    <w:rsid w:val="00867543"/>
    <w:rsid w:val="008679BF"/>
    <w:rsid w:val="00871F5C"/>
    <w:rsid w:val="008723AE"/>
    <w:rsid w:val="00877AC6"/>
    <w:rsid w:val="0088308C"/>
    <w:rsid w:val="00883FFD"/>
    <w:rsid w:val="0088780F"/>
    <w:rsid w:val="008902AA"/>
    <w:rsid w:val="00892551"/>
    <w:rsid w:val="008A181F"/>
    <w:rsid w:val="008A47BD"/>
    <w:rsid w:val="008A6ED9"/>
    <w:rsid w:val="008B1417"/>
    <w:rsid w:val="008B4C71"/>
    <w:rsid w:val="008B610F"/>
    <w:rsid w:val="008B729A"/>
    <w:rsid w:val="008B7971"/>
    <w:rsid w:val="008C076D"/>
    <w:rsid w:val="008C0C9F"/>
    <w:rsid w:val="008C0F4C"/>
    <w:rsid w:val="008C446F"/>
    <w:rsid w:val="008C551C"/>
    <w:rsid w:val="008D2ABC"/>
    <w:rsid w:val="008D3796"/>
    <w:rsid w:val="008D7AD2"/>
    <w:rsid w:val="008E64E8"/>
    <w:rsid w:val="008F1744"/>
    <w:rsid w:val="008F240D"/>
    <w:rsid w:val="008F544F"/>
    <w:rsid w:val="00900F10"/>
    <w:rsid w:val="009015BF"/>
    <w:rsid w:val="00902C80"/>
    <w:rsid w:val="00904273"/>
    <w:rsid w:val="00904358"/>
    <w:rsid w:val="009050A6"/>
    <w:rsid w:val="0090511B"/>
    <w:rsid w:val="00911155"/>
    <w:rsid w:val="00915C93"/>
    <w:rsid w:val="00916193"/>
    <w:rsid w:val="009179B9"/>
    <w:rsid w:val="00917A23"/>
    <w:rsid w:val="0092040C"/>
    <w:rsid w:val="00923970"/>
    <w:rsid w:val="009244BC"/>
    <w:rsid w:val="009273D1"/>
    <w:rsid w:val="0093335A"/>
    <w:rsid w:val="009338B0"/>
    <w:rsid w:val="00942A1F"/>
    <w:rsid w:val="009442FF"/>
    <w:rsid w:val="00944A53"/>
    <w:rsid w:val="00947616"/>
    <w:rsid w:val="00947FB9"/>
    <w:rsid w:val="0095339B"/>
    <w:rsid w:val="00955279"/>
    <w:rsid w:val="00956773"/>
    <w:rsid w:val="00965757"/>
    <w:rsid w:val="009657BA"/>
    <w:rsid w:val="009663D1"/>
    <w:rsid w:val="00966E8E"/>
    <w:rsid w:val="00967374"/>
    <w:rsid w:val="00970636"/>
    <w:rsid w:val="00970887"/>
    <w:rsid w:val="0097150F"/>
    <w:rsid w:val="0097304E"/>
    <w:rsid w:val="00977B97"/>
    <w:rsid w:val="00982E22"/>
    <w:rsid w:val="00984A55"/>
    <w:rsid w:val="009941DC"/>
    <w:rsid w:val="0099463E"/>
    <w:rsid w:val="00994BEB"/>
    <w:rsid w:val="00996C86"/>
    <w:rsid w:val="009A0213"/>
    <w:rsid w:val="009A2FBF"/>
    <w:rsid w:val="009A3F77"/>
    <w:rsid w:val="009B14F0"/>
    <w:rsid w:val="009B16B1"/>
    <w:rsid w:val="009B1AE1"/>
    <w:rsid w:val="009B313F"/>
    <w:rsid w:val="009B3EFE"/>
    <w:rsid w:val="009B42B4"/>
    <w:rsid w:val="009B43F4"/>
    <w:rsid w:val="009B5819"/>
    <w:rsid w:val="009C2565"/>
    <w:rsid w:val="009C6F2C"/>
    <w:rsid w:val="009D0A81"/>
    <w:rsid w:val="009D2F4C"/>
    <w:rsid w:val="009D324A"/>
    <w:rsid w:val="009D773E"/>
    <w:rsid w:val="009E0555"/>
    <w:rsid w:val="009E14B7"/>
    <w:rsid w:val="009E1763"/>
    <w:rsid w:val="009E509D"/>
    <w:rsid w:val="009E6F71"/>
    <w:rsid w:val="009F3178"/>
    <w:rsid w:val="009F337D"/>
    <w:rsid w:val="009F3402"/>
    <w:rsid w:val="009F368F"/>
    <w:rsid w:val="009F53C4"/>
    <w:rsid w:val="009F584A"/>
    <w:rsid w:val="009F6072"/>
    <w:rsid w:val="009F60AA"/>
    <w:rsid w:val="009F7DFC"/>
    <w:rsid w:val="00A00135"/>
    <w:rsid w:val="00A04C97"/>
    <w:rsid w:val="00A12ABB"/>
    <w:rsid w:val="00A12C8E"/>
    <w:rsid w:val="00A13D08"/>
    <w:rsid w:val="00A233D7"/>
    <w:rsid w:val="00A23A55"/>
    <w:rsid w:val="00A24A9F"/>
    <w:rsid w:val="00A25E58"/>
    <w:rsid w:val="00A26328"/>
    <w:rsid w:val="00A26348"/>
    <w:rsid w:val="00A3317F"/>
    <w:rsid w:val="00A34510"/>
    <w:rsid w:val="00A3575F"/>
    <w:rsid w:val="00A36EE4"/>
    <w:rsid w:val="00A4071F"/>
    <w:rsid w:val="00A4085E"/>
    <w:rsid w:val="00A422B4"/>
    <w:rsid w:val="00A446CA"/>
    <w:rsid w:val="00A446EF"/>
    <w:rsid w:val="00A44E41"/>
    <w:rsid w:val="00A454E6"/>
    <w:rsid w:val="00A47B7A"/>
    <w:rsid w:val="00A47CBC"/>
    <w:rsid w:val="00A522C8"/>
    <w:rsid w:val="00A52895"/>
    <w:rsid w:val="00A5294A"/>
    <w:rsid w:val="00A53A70"/>
    <w:rsid w:val="00A5611D"/>
    <w:rsid w:val="00A608B7"/>
    <w:rsid w:val="00A63573"/>
    <w:rsid w:val="00A70998"/>
    <w:rsid w:val="00A71F99"/>
    <w:rsid w:val="00A7305B"/>
    <w:rsid w:val="00A74042"/>
    <w:rsid w:val="00A8203E"/>
    <w:rsid w:val="00A91563"/>
    <w:rsid w:val="00A91C53"/>
    <w:rsid w:val="00A924C5"/>
    <w:rsid w:val="00A962CC"/>
    <w:rsid w:val="00A97153"/>
    <w:rsid w:val="00A97C2F"/>
    <w:rsid w:val="00AA4E95"/>
    <w:rsid w:val="00AA6F25"/>
    <w:rsid w:val="00AA7B18"/>
    <w:rsid w:val="00AB0AF2"/>
    <w:rsid w:val="00AB1AD5"/>
    <w:rsid w:val="00AB2E4A"/>
    <w:rsid w:val="00AB599A"/>
    <w:rsid w:val="00AB648B"/>
    <w:rsid w:val="00AC1EE8"/>
    <w:rsid w:val="00AC41C2"/>
    <w:rsid w:val="00AC55A1"/>
    <w:rsid w:val="00AC7EB0"/>
    <w:rsid w:val="00AD308E"/>
    <w:rsid w:val="00AD4E4C"/>
    <w:rsid w:val="00AD53D2"/>
    <w:rsid w:val="00AE000B"/>
    <w:rsid w:val="00AE3CFA"/>
    <w:rsid w:val="00AF2A67"/>
    <w:rsid w:val="00AF3F76"/>
    <w:rsid w:val="00B00B34"/>
    <w:rsid w:val="00B01002"/>
    <w:rsid w:val="00B03A87"/>
    <w:rsid w:val="00B03E37"/>
    <w:rsid w:val="00B1006B"/>
    <w:rsid w:val="00B14C6E"/>
    <w:rsid w:val="00B17652"/>
    <w:rsid w:val="00B26D6B"/>
    <w:rsid w:val="00B27EB7"/>
    <w:rsid w:val="00B303DC"/>
    <w:rsid w:val="00B3424B"/>
    <w:rsid w:val="00B3663A"/>
    <w:rsid w:val="00B400E6"/>
    <w:rsid w:val="00B42304"/>
    <w:rsid w:val="00B433EB"/>
    <w:rsid w:val="00B45274"/>
    <w:rsid w:val="00B46D52"/>
    <w:rsid w:val="00B5222C"/>
    <w:rsid w:val="00B52366"/>
    <w:rsid w:val="00B52BB6"/>
    <w:rsid w:val="00B52CBA"/>
    <w:rsid w:val="00B53679"/>
    <w:rsid w:val="00B54B6C"/>
    <w:rsid w:val="00B5699D"/>
    <w:rsid w:val="00B57E22"/>
    <w:rsid w:val="00B627D0"/>
    <w:rsid w:val="00B63E36"/>
    <w:rsid w:val="00B65221"/>
    <w:rsid w:val="00B726EC"/>
    <w:rsid w:val="00B729A0"/>
    <w:rsid w:val="00B74D87"/>
    <w:rsid w:val="00B7522E"/>
    <w:rsid w:val="00B753FC"/>
    <w:rsid w:val="00B75902"/>
    <w:rsid w:val="00B77AAA"/>
    <w:rsid w:val="00B8301E"/>
    <w:rsid w:val="00B863B2"/>
    <w:rsid w:val="00B86BBC"/>
    <w:rsid w:val="00B87B5B"/>
    <w:rsid w:val="00BA2953"/>
    <w:rsid w:val="00BA2AF7"/>
    <w:rsid w:val="00BA4697"/>
    <w:rsid w:val="00BA62CD"/>
    <w:rsid w:val="00BB20B5"/>
    <w:rsid w:val="00BB5395"/>
    <w:rsid w:val="00BB5E93"/>
    <w:rsid w:val="00BB628E"/>
    <w:rsid w:val="00BB6BCE"/>
    <w:rsid w:val="00BD04BC"/>
    <w:rsid w:val="00BD175F"/>
    <w:rsid w:val="00BD5694"/>
    <w:rsid w:val="00BD75D9"/>
    <w:rsid w:val="00BD79B8"/>
    <w:rsid w:val="00BE0CB4"/>
    <w:rsid w:val="00BE2678"/>
    <w:rsid w:val="00BE3108"/>
    <w:rsid w:val="00BE45DF"/>
    <w:rsid w:val="00BF3EDD"/>
    <w:rsid w:val="00BF6DDB"/>
    <w:rsid w:val="00BF71C4"/>
    <w:rsid w:val="00BF72CC"/>
    <w:rsid w:val="00C019B8"/>
    <w:rsid w:val="00C05CD9"/>
    <w:rsid w:val="00C14EC9"/>
    <w:rsid w:val="00C150DF"/>
    <w:rsid w:val="00C163E7"/>
    <w:rsid w:val="00C169A0"/>
    <w:rsid w:val="00C17F94"/>
    <w:rsid w:val="00C205D6"/>
    <w:rsid w:val="00C21AC9"/>
    <w:rsid w:val="00C2260A"/>
    <w:rsid w:val="00C322C3"/>
    <w:rsid w:val="00C32587"/>
    <w:rsid w:val="00C337E9"/>
    <w:rsid w:val="00C36E03"/>
    <w:rsid w:val="00C40105"/>
    <w:rsid w:val="00C40B27"/>
    <w:rsid w:val="00C4112E"/>
    <w:rsid w:val="00C45B9E"/>
    <w:rsid w:val="00C514F9"/>
    <w:rsid w:val="00C523D7"/>
    <w:rsid w:val="00C528C7"/>
    <w:rsid w:val="00C55577"/>
    <w:rsid w:val="00C56756"/>
    <w:rsid w:val="00C64B24"/>
    <w:rsid w:val="00C65FFC"/>
    <w:rsid w:val="00C676C0"/>
    <w:rsid w:val="00C77D2F"/>
    <w:rsid w:val="00C80B6F"/>
    <w:rsid w:val="00C83667"/>
    <w:rsid w:val="00C86EE9"/>
    <w:rsid w:val="00C87054"/>
    <w:rsid w:val="00C8713A"/>
    <w:rsid w:val="00C9152E"/>
    <w:rsid w:val="00C9162E"/>
    <w:rsid w:val="00C965D6"/>
    <w:rsid w:val="00C97DF7"/>
    <w:rsid w:val="00CA0118"/>
    <w:rsid w:val="00CA021B"/>
    <w:rsid w:val="00CA1A6D"/>
    <w:rsid w:val="00CA26C1"/>
    <w:rsid w:val="00CA29E3"/>
    <w:rsid w:val="00CA3115"/>
    <w:rsid w:val="00CA387F"/>
    <w:rsid w:val="00CB0189"/>
    <w:rsid w:val="00CB1E77"/>
    <w:rsid w:val="00CB4D25"/>
    <w:rsid w:val="00CB5962"/>
    <w:rsid w:val="00CC1DA2"/>
    <w:rsid w:val="00CC2627"/>
    <w:rsid w:val="00CC42E9"/>
    <w:rsid w:val="00CC5873"/>
    <w:rsid w:val="00CD1B05"/>
    <w:rsid w:val="00CD2B84"/>
    <w:rsid w:val="00CD2D25"/>
    <w:rsid w:val="00CD445B"/>
    <w:rsid w:val="00CD5C39"/>
    <w:rsid w:val="00CE1FFF"/>
    <w:rsid w:val="00CE238D"/>
    <w:rsid w:val="00CE6161"/>
    <w:rsid w:val="00CF02D5"/>
    <w:rsid w:val="00CF39EB"/>
    <w:rsid w:val="00D04E48"/>
    <w:rsid w:val="00D04E66"/>
    <w:rsid w:val="00D06265"/>
    <w:rsid w:val="00D10A76"/>
    <w:rsid w:val="00D10BEF"/>
    <w:rsid w:val="00D11FFF"/>
    <w:rsid w:val="00D12617"/>
    <w:rsid w:val="00D13F1D"/>
    <w:rsid w:val="00D161B0"/>
    <w:rsid w:val="00D16AE4"/>
    <w:rsid w:val="00D17C3D"/>
    <w:rsid w:val="00D21FBD"/>
    <w:rsid w:val="00D230A2"/>
    <w:rsid w:val="00D23A14"/>
    <w:rsid w:val="00D23F43"/>
    <w:rsid w:val="00D27746"/>
    <w:rsid w:val="00D27AE6"/>
    <w:rsid w:val="00D27F55"/>
    <w:rsid w:val="00D3038D"/>
    <w:rsid w:val="00D31C55"/>
    <w:rsid w:val="00D35B20"/>
    <w:rsid w:val="00D36A4C"/>
    <w:rsid w:val="00D41B69"/>
    <w:rsid w:val="00D421CC"/>
    <w:rsid w:val="00D4349D"/>
    <w:rsid w:val="00D43946"/>
    <w:rsid w:val="00D45307"/>
    <w:rsid w:val="00D47B39"/>
    <w:rsid w:val="00D47FF4"/>
    <w:rsid w:val="00D50FBC"/>
    <w:rsid w:val="00D52D23"/>
    <w:rsid w:val="00D550AE"/>
    <w:rsid w:val="00D551EB"/>
    <w:rsid w:val="00D565FF"/>
    <w:rsid w:val="00D5682F"/>
    <w:rsid w:val="00D57015"/>
    <w:rsid w:val="00D6198A"/>
    <w:rsid w:val="00D61D77"/>
    <w:rsid w:val="00D66044"/>
    <w:rsid w:val="00D67BF9"/>
    <w:rsid w:val="00D72F97"/>
    <w:rsid w:val="00D759A2"/>
    <w:rsid w:val="00D75DD2"/>
    <w:rsid w:val="00D77981"/>
    <w:rsid w:val="00D832EF"/>
    <w:rsid w:val="00D84093"/>
    <w:rsid w:val="00D8572B"/>
    <w:rsid w:val="00D90113"/>
    <w:rsid w:val="00D90C0A"/>
    <w:rsid w:val="00D923D8"/>
    <w:rsid w:val="00D93B29"/>
    <w:rsid w:val="00D94E71"/>
    <w:rsid w:val="00D964D1"/>
    <w:rsid w:val="00D96D62"/>
    <w:rsid w:val="00DA15DE"/>
    <w:rsid w:val="00DA79D7"/>
    <w:rsid w:val="00DB5BC0"/>
    <w:rsid w:val="00DC0DC3"/>
    <w:rsid w:val="00DC2E12"/>
    <w:rsid w:val="00DC309B"/>
    <w:rsid w:val="00DC3AFE"/>
    <w:rsid w:val="00DE0383"/>
    <w:rsid w:val="00DE1177"/>
    <w:rsid w:val="00DE5491"/>
    <w:rsid w:val="00DF0C56"/>
    <w:rsid w:val="00DF16C7"/>
    <w:rsid w:val="00DF4FCD"/>
    <w:rsid w:val="00DF701D"/>
    <w:rsid w:val="00E0020C"/>
    <w:rsid w:val="00E02949"/>
    <w:rsid w:val="00E126A3"/>
    <w:rsid w:val="00E14855"/>
    <w:rsid w:val="00E235BA"/>
    <w:rsid w:val="00E23705"/>
    <w:rsid w:val="00E25E52"/>
    <w:rsid w:val="00E2671E"/>
    <w:rsid w:val="00E272A9"/>
    <w:rsid w:val="00E3302A"/>
    <w:rsid w:val="00E33123"/>
    <w:rsid w:val="00E41232"/>
    <w:rsid w:val="00E43A7E"/>
    <w:rsid w:val="00E45374"/>
    <w:rsid w:val="00E512A6"/>
    <w:rsid w:val="00E512E6"/>
    <w:rsid w:val="00E51574"/>
    <w:rsid w:val="00E526F4"/>
    <w:rsid w:val="00E52B32"/>
    <w:rsid w:val="00E60D4A"/>
    <w:rsid w:val="00E610FF"/>
    <w:rsid w:val="00E622A3"/>
    <w:rsid w:val="00E626F8"/>
    <w:rsid w:val="00E6462B"/>
    <w:rsid w:val="00E66596"/>
    <w:rsid w:val="00E74B63"/>
    <w:rsid w:val="00E76C18"/>
    <w:rsid w:val="00E772DA"/>
    <w:rsid w:val="00E80283"/>
    <w:rsid w:val="00E81004"/>
    <w:rsid w:val="00E83372"/>
    <w:rsid w:val="00E84467"/>
    <w:rsid w:val="00E84C85"/>
    <w:rsid w:val="00E84F64"/>
    <w:rsid w:val="00E86CD2"/>
    <w:rsid w:val="00E9081D"/>
    <w:rsid w:val="00E90A00"/>
    <w:rsid w:val="00E91A6B"/>
    <w:rsid w:val="00E93298"/>
    <w:rsid w:val="00E96E4E"/>
    <w:rsid w:val="00E97B6E"/>
    <w:rsid w:val="00EA0CCC"/>
    <w:rsid w:val="00EA2E44"/>
    <w:rsid w:val="00EA3B82"/>
    <w:rsid w:val="00EA76F1"/>
    <w:rsid w:val="00EB2523"/>
    <w:rsid w:val="00EB6CCB"/>
    <w:rsid w:val="00EB6D32"/>
    <w:rsid w:val="00EC158E"/>
    <w:rsid w:val="00EC3EFD"/>
    <w:rsid w:val="00EC4978"/>
    <w:rsid w:val="00ED0A53"/>
    <w:rsid w:val="00ED0D86"/>
    <w:rsid w:val="00ED220D"/>
    <w:rsid w:val="00ED567D"/>
    <w:rsid w:val="00ED74BE"/>
    <w:rsid w:val="00EE4133"/>
    <w:rsid w:val="00EE4B7C"/>
    <w:rsid w:val="00EE5F6A"/>
    <w:rsid w:val="00EE693B"/>
    <w:rsid w:val="00EE7B54"/>
    <w:rsid w:val="00EE7BB6"/>
    <w:rsid w:val="00EF28F8"/>
    <w:rsid w:val="00EF5350"/>
    <w:rsid w:val="00EF7B29"/>
    <w:rsid w:val="00F05C4A"/>
    <w:rsid w:val="00F069FE"/>
    <w:rsid w:val="00F07839"/>
    <w:rsid w:val="00F12911"/>
    <w:rsid w:val="00F15112"/>
    <w:rsid w:val="00F15C5E"/>
    <w:rsid w:val="00F20C32"/>
    <w:rsid w:val="00F24972"/>
    <w:rsid w:val="00F26C57"/>
    <w:rsid w:val="00F303AF"/>
    <w:rsid w:val="00F308D2"/>
    <w:rsid w:val="00F31DA9"/>
    <w:rsid w:val="00F335F8"/>
    <w:rsid w:val="00F354FB"/>
    <w:rsid w:val="00F36417"/>
    <w:rsid w:val="00F451F5"/>
    <w:rsid w:val="00F4612D"/>
    <w:rsid w:val="00F46BC5"/>
    <w:rsid w:val="00F470AD"/>
    <w:rsid w:val="00F54C07"/>
    <w:rsid w:val="00F54D4B"/>
    <w:rsid w:val="00F56427"/>
    <w:rsid w:val="00F62401"/>
    <w:rsid w:val="00F62453"/>
    <w:rsid w:val="00F64E6F"/>
    <w:rsid w:val="00F654EA"/>
    <w:rsid w:val="00F71C61"/>
    <w:rsid w:val="00F72947"/>
    <w:rsid w:val="00F76474"/>
    <w:rsid w:val="00F77592"/>
    <w:rsid w:val="00F80599"/>
    <w:rsid w:val="00F80B36"/>
    <w:rsid w:val="00F816B3"/>
    <w:rsid w:val="00F83D23"/>
    <w:rsid w:val="00F87320"/>
    <w:rsid w:val="00F8754C"/>
    <w:rsid w:val="00F87AA0"/>
    <w:rsid w:val="00F9198D"/>
    <w:rsid w:val="00F95BDC"/>
    <w:rsid w:val="00F95C76"/>
    <w:rsid w:val="00F970D6"/>
    <w:rsid w:val="00FA0EFB"/>
    <w:rsid w:val="00FA2272"/>
    <w:rsid w:val="00FB1E1B"/>
    <w:rsid w:val="00FB2621"/>
    <w:rsid w:val="00FB285B"/>
    <w:rsid w:val="00FB3358"/>
    <w:rsid w:val="00FB506F"/>
    <w:rsid w:val="00FB7F81"/>
    <w:rsid w:val="00FC2DF7"/>
    <w:rsid w:val="00FD2232"/>
    <w:rsid w:val="00FD2482"/>
    <w:rsid w:val="00FD2BB4"/>
    <w:rsid w:val="00FD38D8"/>
    <w:rsid w:val="00FD3B2B"/>
    <w:rsid w:val="00FD3C7A"/>
    <w:rsid w:val="00FE341F"/>
    <w:rsid w:val="00FE4533"/>
    <w:rsid w:val="00FE5006"/>
    <w:rsid w:val="00FF2194"/>
    <w:rsid w:val="00FF21CC"/>
    <w:rsid w:val="00FF3228"/>
    <w:rsid w:val="00FF51D6"/>
    <w:rsid w:val="00FF74B3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9D1E"/>
  <w15:chartTrackingRefBased/>
  <w15:docId w15:val="{953497F1-8155-42B9-B587-5516C16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9C"/>
  </w:style>
  <w:style w:type="paragraph" w:styleId="Heading1">
    <w:name w:val="heading 1"/>
    <w:basedOn w:val="Normal"/>
    <w:next w:val="Normal"/>
    <w:link w:val="Heading1Char"/>
    <w:uiPriority w:val="9"/>
    <w:qFormat/>
    <w:rsid w:val="008D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BC"/>
  </w:style>
  <w:style w:type="paragraph" w:styleId="Footer">
    <w:name w:val="footer"/>
    <w:basedOn w:val="Normal"/>
    <w:link w:val="FooterChar"/>
    <w:uiPriority w:val="99"/>
    <w:unhideWhenUsed/>
    <w:rsid w:val="008D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BC"/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8D2A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2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ABC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D2ABC"/>
  </w:style>
  <w:style w:type="paragraph" w:styleId="BalloonText">
    <w:name w:val="Balloon Text"/>
    <w:basedOn w:val="Normal"/>
    <w:link w:val="BalloonTextChar"/>
    <w:uiPriority w:val="99"/>
    <w:semiHidden/>
    <w:unhideWhenUsed/>
    <w:rsid w:val="008D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B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8D2ABC"/>
  </w:style>
  <w:style w:type="paragraph" w:styleId="NormalWeb">
    <w:name w:val="Normal (Web)"/>
    <w:basedOn w:val="Normal"/>
    <w:uiPriority w:val="99"/>
    <w:unhideWhenUsed/>
    <w:rsid w:val="008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BVI fnr,16 Point,Superscript 6 Point,Footnote symbol,Footnote Reference Arial,ftref,fr,nota pié di pagina,Footnote reference number,Times 10 Point,Exposant 3 Point,EN Footnote Reference,note TESI,Footnote Reference Char Char Char,4_G"/>
    <w:basedOn w:val="DefaultParagraphFont"/>
    <w:link w:val="Char2"/>
    <w:uiPriority w:val="99"/>
    <w:unhideWhenUsed/>
    <w:qFormat/>
    <w:rsid w:val="008D2ABC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8D2ABC"/>
    <w:pPr>
      <w:spacing w:line="240" w:lineRule="exact"/>
      <w:jc w:val="both"/>
    </w:pPr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D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2ABC"/>
    <w:pPr>
      <w:spacing w:before="480"/>
      <w:jc w:val="both"/>
      <w:outlineLvl w:val="9"/>
    </w:pPr>
    <w:rPr>
      <w:b/>
      <w:bCs/>
      <w:sz w:val="28"/>
      <w:szCs w:val="28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1A38FB"/>
    <w:pPr>
      <w:tabs>
        <w:tab w:val="right" w:leader="dot" w:pos="10171"/>
      </w:tabs>
      <w:spacing w:after="100"/>
    </w:pPr>
    <w:rPr>
      <w:rFonts w:ascii="Times New Roman" w:eastAsiaTheme="minorEastAsia" w:hAnsi="Times New Roman" w:cs="Times New Roman"/>
      <w:noProof/>
      <w:lang w:val="sq-AL"/>
    </w:rPr>
  </w:style>
  <w:style w:type="paragraph" w:styleId="TOC2">
    <w:name w:val="toc 2"/>
    <w:basedOn w:val="Normal"/>
    <w:next w:val="Normal"/>
    <w:autoRedefine/>
    <w:uiPriority w:val="39"/>
    <w:unhideWhenUsed/>
    <w:rsid w:val="008D2ABC"/>
    <w:pPr>
      <w:numPr>
        <w:numId w:val="3"/>
      </w:numPr>
      <w:tabs>
        <w:tab w:val="right" w:leader="dot" w:pos="10171"/>
      </w:tabs>
      <w:spacing w:after="0"/>
      <w:jc w:val="both"/>
    </w:pPr>
    <w:rPr>
      <w:rFonts w:ascii="Times New Roman" w:eastAsiaTheme="majorEastAsia" w:hAnsi="Times New Roman" w:cs="Times New Roman"/>
      <w:noProof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8D2AB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39EA"/>
    <w:pPr>
      <w:spacing w:after="0" w:line="240" w:lineRule="auto"/>
    </w:pPr>
  </w:style>
  <w:style w:type="table" w:styleId="TableGrid">
    <w:name w:val="Table Grid"/>
    <w:basedOn w:val="TableNormal"/>
    <w:uiPriority w:val="39"/>
    <w:rsid w:val="0095677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0C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C3C"/>
    <w:rPr>
      <w:sz w:val="20"/>
      <w:szCs w:val="20"/>
    </w:rPr>
  </w:style>
  <w:style w:type="character" w:customStyle="1" w:styleId="fontstyle01">
    <w:name w:val="fontstyle01"/>
    <w:basedOn w:val="DefaultParagraphFont"/>
    <w:rsid w:val="00D57015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5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1DEE-D2D3-411B-BEFD-CAA24425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6916</Words>
  <Characters>39422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Gersi</cp:lastModifiedBy>
  <cp:revision>3</cp:revision>
  <dcterms:created xsi:type="dcterms:W3CDTF">2023-12-21T12:00:00Z</dcterms:created>
  <dcterms:modified xsi:type="dcterms:W3CDTF">2023-12-22T12:35:00Z</dcterms:modified>
</cp:coreProperties>
</file>