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>Raport Monitorimi i realizimit të zbatimit të Planit të Integritetit 2023</w:t>
      </w: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 xml:space="preserve">Bashkia </w:t>
      </w:r>
      <w:r w:rsidR="001423D1">
        <w:rPr>
          <w:rFonts w:ascii="Times New Roman" w:hAnsi="Times New Roman" w:cs="Times New Roman"/>
          <w:b/>
          <w:sz w:val="56"/>
          <w:szCs w:val="56"/>
        </w:rPr>
        <w:t>Tiranë</w:t>
      </w:r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02B27" w:rsidRPr="00D219D3" w:rsidRDefault="00402B27" w:rsidP="00402B27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</w:p>
        <w:p w:rsidR="00402B27" w:rsidRDefault="00402B27" w:rsidP="00402B2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B27" w:rsidRDefault="00864341" w:rsidP="00402B2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 w:rsidR="00402B2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 w:rsidR="001423D1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Tiranë</w:t>
            </w:r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_Toc170444147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4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864341" w:rsidP="00402B2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_Toc170444148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5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864341" w:rsidP="00402B2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_Toc170444149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5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864341" w:rsidP="00402B2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_Toc170444150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5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864341" w:rsidP="00402B2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 w:rsidR="00402B2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_Toc170444151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6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864341" w:rsidP="00402B2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 w:rsidR="00402B2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_Toc170444152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8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402B27" w:rsidP="00402B2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402B27" w:rsidRPr="00D219D3" w:rsidRDefault="00402B27" w:rsidP="00402B27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402B27" w:rsidRPr="00D219D3" w:rsidRDefault="00402B27" w:rsidP="00402B27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D219D3">
        <w:rPr>
          <w:rFonts w:ascii="Times New Roman" w:hAnsi="Times New Roman" w:cs="Times New Roman"/>
          <w:b w:val="0"/>
          <w:bCs w:val="0"/>
        </w:rPr>
        <w:t>Lista e Figurave</w:t>
      </w:r>
    </w:p>
    <w:p w:rsidR="00402B27" w:rsidRDefault="00402B27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02B27" w:rsidRDefault="00864341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="00402B27"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 w:rsidR="00402B27">
          <w:rPr>
            <w:noProof/>
            <w:webHidden/>
          </w:rPr>
          <w:tab/>
        </w:r>
        <w:r w:rsidR="00402B27">
          <w:rPr>
            <w:noProof/>
            <w:webHidden/>
          </w:rPr>
          <w:fldChar w:fldCharType="begin"/>
        </w:r>
        <w:r w:rsidR="00402B27">
          <w:rPr>
            <w:noProof/>
            <w:webHidden/>
          </w:rPr>
          <w:instrText xml:space="preserve"> PAGEREF _Toc170444175 \h </w:instrText>
        </w:r>
        <w:r w:rsidR="00402B27">
          <w:rPr>
            <w:noProof/>
            <w:webHidden/>
          </w:rPr>
        </w:r>
        <w:r w:rsidR="00402B27">
          <w:rPr>
            <w:noProof/>
            <w:webHidden/>
          </w:rPr>
          <w:fldChar w:fldCharType="separate"/>
        </w:r>
        <w:r w:rsidR="00402B27">
          <w:rPr>
            <w:noProof/>
            <w:webHidden/>
          </w:rPr>
          <w:t>6</w:t>
        </w:r>
        <w:r w:rsidR="00402B27">
          <w:rPr>
            <w:noProof/>
            <w:webHidden/>
          </w:rPr>
          <w:fldChar w:fldCharType="end"/>
        </w:r>
      </w:hyperlink>
    </w:p>
    <w:p w:rsidR="00402B27" w:rsidRDefault="00864341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="00402B27"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 w:rsidR="00402B27">
          <w:rPr>
            <w:noProof/>
            <w:webHidden/>
          </w:rPr>
          <w:tab/>
        </w:r>
        <w:r w:rsidR="00402B27">
          <w:rPr>
            <w:noProof/>
            <w:webHidden/>
          </w:rPr>
          <w:fldChar w:fldCharType="begin"/>
        </w:r>
        <w:r w:rsidR="00402B27">
          <w:rPr>
            <w:noProof/>
            <w:webHidden/>
          </w:rPr>
          <w:instrText xml:space="preserve"> PAGEREF _Toc170444176 \h </w:instrText>
        </w:r>
        <w:r w:rsidR="00402B27">
          <w:rPr>
            <w:noProof/>
            <w:webHidden/>
          </w:rPr>
        </w:r>
        <w:r w:rsidR="00402B27">
          <w:rPr>
            <w:noProof/>
            <w:webHidden/>
          </w:rPr>
          <w:fldChar w:fldCharType="separate"/>
        </w:r>
        <w:r w:rsidR="00402B27">
          <w:rPr>
            <w:noProof/>
            <w:webHidden/>
          </w:rPr>
          <w:t>7</w:t>
        </w:r>
        <w:r w:rsidR="00402B27">
          <w:rPr>
            <w:noProof/>
            <w:webHidden/>
          </w:rPr>
          <w:fldChar w:fldCharType="end"/>
        </w:r>
      </w:hyperlink>
    </w:p>
    <w:p w:rsidR="00402B27" w:rsidRDefault="00864341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="00402B27"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 w:rsidR="00402B27">
          <w:rPr>
            <w:noProof/>
            <w:webHidden/>
          </w:rPr>
          <w:tab/>
        </w:r>
        <w:r w:rsidR="00402B27">
          <w:rPr>
            <w:noProof/>
            <w:webHidden/>
          </w:rPr>
          <w:fldChar w:fldCharType="begin"/>
        </w:r>
        <w:r w:rsidR="00402B27">
          <w:rPr>
            <w:noProof/>
            <w:webHidden/>
          </w:rPr>
          <w:instrText xml:space="preserve"> PAGEREF _Toc170444177 \h </w:instrText>
        </w:r>
        <w:r w:rsidR="00402B27">
          <w:rPr>
            <w:noProof/>
            <w:webHidden/>
          </w:rPr>
        </w:r>
        <w:r w:rsidR="00402B27">
          <w:rPr>
            <w:noProof/>
            <w:webHidden/>
          </w:rPr>
          <w:fldChar w:fldCharType="separate"/>
        </w:r>
        <w:r w:rsidR="00402B27">
          <w:rPr>
            <w:noProof/>
            <w:webHidden/>
          </w:rPr>
          <w:t>8</w:t>
        </w:r>
        <w:r w:rsidR="00402B27">
          <w:rPr>
            <w:noProof/>
            <w:webHidden/>
          </w:rPr>
          <w:fldChar w:fldCharType="end"/>
        </w:r>
      </w:hyperlink>
    </w:p>
    <w:p w:rsidR="00402B27" w:rsidRDefault="00402B27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806F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806F8C" w:rsidRPr="005E6376" w:rsidRDefault="00806F8C" w:rsidP="00806F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806F8C" w:rsidRPr="005E6376" w:rsidRDefault="00806F8C" w:rsidP="00806F8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806F8C" w:rsidRDefault="00806F8C" w:rsidP="00806F8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 xml:space="preserve">qëllimit politik 5 të </w:t>
      </w:r>
      <w:r w:rsidRPr="005E6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trategjisë Ndërsektoriale për Decentralizimin dhe Qeverisjen Vendore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objektivi spaecifik 5.2: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E6376">
        <w:rPr>
          <w:rFonts w:ascii="Times New Roman" w:hAnsi="Times New Roman" w:cs="Times New Roman"/>
          <w:sz w:val="24"/>
          <w:szCs w:val="24"/>
        </w:rPr>
        <w:t>Nxitja e politikave kundër korrupsionit në nivel vendor dhe konsolidimi i mëtejshëm i arritjeve mbi integritetin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806F8C" w:rsidRDefault="00806F8C" w:rsidP="00806F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Procesi i menaxhimit të riskut të integritetit në nivel vendor, ka një qasje gjithëpërfshirëse ku angazhohen të gjitha strukturat e brendshme të bashkisë. Ndërsa hapi i parë i tij lidhet me hartimin e Planit të Integritetit për njësinë vendore (detajuar ky i fundit edhe me një Plan Veprimi 3-vjeçar), monitorimi dhe raportimi i planit të integritetit është etapa tjetër e menaxhimit të riskut në bashki. Monitorimi është periodik (çdo vit) dhe përfshin kryerjen e aktiviteteve nga ana e punonjësve dhe drejtuesve të bashkisë, për zbatimin e masave të miratuara për trajtimin e risqeve, në përputhje me përgjegjësitë që ata kanë. Ndërkaq raportimi është një procedurë e rregullt që siguron zbatimin e Planit të Veprimit për risqet e integritetit, sipas afateve kohore të parashikuara, për periudhën e kërkuar, për statusin e zbatimit të tyre për problematikat e hasura në zbatim si dhe përmban të dhëna për veprimtarinë e brendshme kontribuese, referuar kuadrit të brendshëm rregullator, burimeve njerëzore profesionale të qëndrueshme, si dhe transparencës e  komunikimit me grupet e interesuara.</w:t>
      </w:r>
    </w:p>
    <w:p w:rsidR="00806F8C" w:rsidRDefault="00806F8C" w:rsidP="00806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 i monitorimit është hartuar në përputhje me metodologjinë e monitorimit të Planit të Integritetit për institucionet e qeverisjes qëndrore. Analiza e të dhënave dhe vlerësimi i progresit të zbatimit të Planit të Veprimit të Planit të Integritetit për këtë periudhë raportimi është bërë në zbatim të Urdhrit nr. 553, datë 30.09.2021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 miratimin e metodologjisë së monitorimit të Planit të Integritetit për institucionet e qeverisjes qëndrore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806F8C" w:rsidRDefault="00806F8C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402B27" w:rsidRDefault="00402B27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402B27" w:rsidRDefault="00402B27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402B27" w:rsidRDefault="00402B27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7972E3" w:rsidRDefault="007972E3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1E2B2A" w:rsidRPr="00515E8F" w:rsidRDefault="00214E95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lastRenderedPageBreak/>
        <w:t>Raporti i M</w:t>
      </w:r>
      <w:r w:rsidR="000019C0" w:rsidRPr="00515E8F">
        <w:rPr>
          <w:rFonts w:ascii="Times New Roman" w:hAnsi="Times New Roman" w:cs="Times New Roman"/>
          <w:b/>
          <w:lang w:val="it-IT"/>
        </w:rPr>
        <w:t>onitorimit t</w:t>
      </w:r>
      <w:r w:rsidR="00AA4788" w:rsidRPr="00515E8F">
        <w:rPr>
          <w:rFonts w:ascii="Times New Roman" w:hAnsi="Times New Roman" w:cs="Times New Roman"/>
          <w:b/>
          <w:lang w:val="it-IT"/>
        </w:rPr>
        <w:t>ë</w:t>
      </w:r>
      <w:r w:rsidR="000019C0" w:rsidRPr="00515E8F">
        <w:rPr>
          <w:rFonts w:ascii="Times New Roman" w:hAnsi="Times New Roman" w:cs="Times New Roman"/>
          <w:b/>
          <w:lang w:val="it-IT"/>
        </w:rPr>
        <w:t xml:space="preserve"> PI p</w:t>
      </w:r>
      <w:r w:rsidR="00AA4788" w:rsidRPr="00515E8F">
        <w:rPr>
          <w:rFonts w:ascii="Times New Roman" w:hAnsi="Times New Roman" w:cs="Times New Roman"/>
          <w:b/>
          <w:lang w:val="it-IT"/>
        </w:rPr>
        <w:t>ë</w:t>
      </w:r>
      <w:r w:rsidR="000019C0" w:rsidRPr="00515E8F">
        <w:rPr>
          <w:rFonts w:ascii="Times New Roman" w:hAnsi="Times New Roman" w:cs="Times New Roman"/>
          <w:b/>
          <w:lang w:val="it-IT"/>
        </w:rPr>
        <w:t>r bashkin</w:t>
      </w:r>
      <w:r w:rsidR="00AA4788" w:rsidRPr="00515E8F">
        <w:rPr>
          <w:rFonts w:ascii="Times New Roman" w:hAnsi="Times New Roman" w:cs="Times New Roman"/>
          <w:b/>
          <w:lang w:val="it-IT"/>
        </w:rPr>
        <w:t>ë</w:t>
      </w:r>
      <w:r w:rsidR="00183035" w:rsidRPr="00515E8F">
        <w:rPr>
          <w:rFonts w:ascii="Times New Roman" w:hAnsi="Times New Roman" w:cs="Times New Roman"/>
          <w:b/>
          <w:lang w:val="it-IT"/>
        </w:rPr>
        <w:t xml:space="preserve"> Tiranë</w:t>
      </w:r>
      <w:r w:rsidR="00355B31">
        <w:rPr>
          <w:rFonts w:ascii="Times New Roman" w:hAnsi="Times New Roman" w:cs="Times New Roman"/>
          <w:b/>
          <w:lang w:val="it-IT"/>
        </w:rPr>
        <w:t xml:space="preserve"> V</w:t>
      </w:r>
      <w:r w:rsidR="00A96C65">
        <w:rPr>
          <w:rFonts w:ascii="Times New Roman" w:hAnsi="Times New Roman" w:cs="Times New Roman"/>
          <w:b/>
          <w:lang w:val="it-IT"/>
        </w:rPr>
        <w:t>iti</w:t>
      </w:r>
      <w:r w:rsidR="00355B31">
        <w:rPr>
          <w:rFonts w:ascii="Times New Roman" w:hAnsi="Times New Roman" w:cs="Times New Roman"/>
          <w:b/>
          <w:lang w:val="it-IT"/>
        </w:rPr>
        <w:t xml:space="preserve"> 2023</w:t>
      </w:r>
      <w:r w:rsidR="008D51F9">
        <w:rPr>
          <w:rFonts w:ascii="Times New Roman" w:hAnsi="Times New Roman" w:cs="Times New Roman"/>
          <w:b/>
          <w:lang w:val="it-IT"/>
        </w:rPr>
        <w:t>.</w:t>
      </w:r>
    </w:p>
    <w:p w:rsidR="001E2B2A" w:rsidRPr="00515E8F" w:rsidRDefault="001E2B2A" w:rsidP="001F7D76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515E8F" w:rsidRDefault="000019C0" w:rsidP="001F7D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15E8F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1D0E6A">
        <w:rPr>
          <w:rFonts w:ascii="Times New Roman" w:hAnsi="Times New Roman" w:cs="Times New Roman"/>
          <w:sz w:val="24"/>
          <w:szCs w:val="24"/>
          <w:lang w:val="it-IT"/>
        </w:rPr>
        <w:t>egritetit të  bashkisë Tiranë</w:t>
      </w:r>
      <w:r w:rsidR="00470A2B"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="001D0E6A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031C48" w:rsidRPr="00031C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D0E6A">
        <w:rPr>
          <w:rFonts w:ascii="Times New Roman" w:hAnsi="Times New Roman" w:cs="Times New Roman"/>
          <w:sz w:val="24"/>
          <w:szCs w:val="24"/>
          <w:lang w:val="it-IT"/>
        </w:rPr>
        <w:t xml:space="preserve">është </w:t>
      </w:r>
      <w:r w:rsidR="00031C48" w:rsidRPr="00515E8F">
        <w:rPr>
          <w:rFonts w:ascii="Times New Roman" w:hAnsi="Times New Roman" w:cs="Times New Roman"/>
          <w:sz w:val="24"/>
          <w:szCs w:val="24"/>
          <w:lang w:val="it-IT"/>
        </w:rPr>
        <w:t xml:space="preserve"> hartuar në përputhje me Metodologjinë e Monitorimit të Planit të Integritetit për institucionet e qeverisjes qendrore, të miratuar me urdhrin </w:t>
      </w:r>
      <w:r w:rsidR="00AA7F21">
        <w:rPr>
          <w:rFonts w:ascii="Times New Roman" w:hAnsi="Times New Roman" w:cs="Times New Roman"/>
          <w:sz w:val="24"/>
          <w:szCs w:val="24"/>
          <w:lang w:val="it-IT"/>
        </w:rPr>
        <w:t>e Ministrit të Drejtësisë nr.553, datë 30.09.2021</w:t>
      </w:r>
      <w:r w:rsidR="00031C48" w:rsidRPr="00515E8F">
        <w:rPr>
          <w:rFonts w:ascii="Times New Roman" w:hAnsi="Times New Roman" w:cs="Times New Roman"/>
          <w:sz w:val="24"/>
          <w:szCs w:val="24"/>
          <w:lang w:val="it-IT"/>
        </w:rPr>
        <w:t xml:space="preserve">.  </w:t>
      </w:r>
    </w:p>
    <w:p w:rsidR="00031C48" w:rsidRPr="00515E8F" w:rsidRDefault="001D0E6A" w:rsidP="001F7D76">
      <w:pPr>
        <w:pStyle w:val="Defaul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Në Planin e Integritetit </w:t>
      </w:r>
      <w:r w:rsidR="00031C48" w:rsidRPr="00515E8F">
        <w:rPr>
          <w:rFonts w:ascii="Times New Roman" w:hAnsi="Times New Roman" w:cs="Times New Roman"/>
          <w:lang w:val="it-IT"/>
        </w:rPr>
        <w:t xml:space="preserve"> janë përcaktur gjithsej 3</w:t>
      </w:r>
      <w:r w:rsidR="00031C48" w:rsidRPr="00515E8F">
        <w:rPr>
          <w:rFonts w:ascii="Times New Roman" w:hAnsi="Times New Roman" w:cs="Times New Roman"/>
          <w:bCs/>
          <w:lang w:val="it-IT"/>
        </w:rPr>
        <w:t xml:space="preserve"> objektiva për të cilat janë parashikuar fushat me risk dhe masat dhe aktivitete për realizimin e tyre, si vijon</w:t>
      </w:r>
      <w:r w:rsidR="00031C48" w:rsidRPr="00515E8F">
        <w:rPr>
          <w:rFonts w:ascii="Times New Roman" w:hAnsi="Times New Roman" w:cs="Times New Roman"/>
          <w:lang w:val="it-IT"/>
        </w:rPr>
        <w:t>:</w:t>
      </w:r>
    </w:p>
    <w:p w:rsidR="00912E9E" w:rsidRDefault="00912E9E" w:rsidP="001F7D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D27BC" w:rsidRPr="00515E8F" w:rsidRDefault="001D27BC" w:rsidP="001F7D76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1D27BC" w:rsidRPr="003E3044" w:rsidRDefault="006956B2" w:rsidP="001F7D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Objektivi I </w:t>
      </w:r>
      <w:r w:rsidR="00E428AE">
        <w:rPr>
          <w:rFonts w:ascii="Times New Roman" w:hAnsi="Times New Roman" w:cs="Times New Roman"/>
          <w:b/>
          <w:bCs/>
          <w:sz w:val="24"/>
          <w:szCs w:val="24"/>
          <w:lang w:val="it-IT"/>
        </w:rPr>
        <w:t>“</w:t>
      </w:r>
      <w:r w:rsidR="001D27BC" w:rsidRPr="003E3044">
        <w:rPr>
          <w:rFonts w:ascii="Times New Roman" w:hAnsi="Times New Roman" w:cs="Times New Roman"/>
          <w:sz w:val="24"/>
          <w:szCs w:val="24"/>
          <w:lang w:val="sq-AL"/>
        </w:rPr>
        <w:t>Forcimit të kuadrit të brendshëm rregullator, institucional dhe financiar në aspekte të veç</w:t>
      </w:r>
      <w:r w:rsidR="006E7765">
        <w:rPr>
          <w:rFonts w:ascii="Times New Roman" w:hAnsi="Times New Roman" w:cs="Times New Roman"/>
          <w:sz w:val="24"/>
          <w:szCs w:val="24"/>
          <w:lang w:val="sq-AL"/>
        </w:rPr>
        <w:t>anta të etikës dhe integritetit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D51F9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6E776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D27BC" w:rsidRPr="00515E8F" w:rsidRDefault="006956B2" w:rsidP="001F7D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1D27BC" w:rsidRPr="00515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428AE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 xml:space="preserve">Menaxhimit dhe </w:t>
      </w:r>
      <w:r w:rsidR="001D27BC" w:rsidRPr="00515E8F">
        <w:rPr>
          <w:rFonts w:ascii="Times New Roman" w:hAnsi="Times New Roman" w:cs="Times New Roman"/>
          <w:sz w:val="24"/>
          <w:szCs w:val="24"/>
          <w:lang w:val="sq-AL"/>
        </w:rPr>
        <w:t>zhvillimit të burimeve njerëzore në Bashki, për parandalimin dhe identifikimin e risqeve të integritetit për të gjitha nivelet dhe funksionet në Bashki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D51F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D27BC" w:rsidRPr="003E3044" w:rsidRDefault="006956B2" w:rsidP="001F7D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3E304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428AE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1D27BC" w:rsidRPr="00515E8F">
        <w:rPr>
          <w:rFonts w:ascii="Times New Roman" w:hAnsi="Times New Roman" w:cs="Times New Roman"/>
          <w:sz w:val="24"/>
          <w:szCs w:val="24"/>
          <w:lang w:val="sq-AL"/>
        </w:rPr>
        <w:t>Menaxhimit të riskut të integritetit për të gjithë bashkinë, me fokus në fu</w:t>
      </w:r>
      <w:r w:rsidR="006E7765" w:rsidRPr="00515E8F">
        <w:rPr>
          <w:rFonts w:ascii="Times New Roman" w:hAnsi="Times New Roman" w:cs="Times New Roman"/>
          <w:sz w:val="24"/>
          <w:szCs w:val="24"/>
          <w:lang w:val="sq-AL"/>
        </w:rPr>
        <w:t>sha të veçanta të përgjegjësisë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1D27BC" w:rsidRPr="00515E8F" w:rsidRDefault="000019C0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515E8F">
        <w:rPr>
          <w:rFonts w:ascii="Times New Roman" w:hAnsi="Times New Roman" w:cs="Times New Roman"/>
          <w:lang w:val="sq-AL"/>
        </w:rPr>
        <w:t>P</w:t>
      </w:r>
      <w:r w:rsidR="00AA4788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r bashkin</w:t>
      </w:r>
      <w:r w:rsidR="00AA4788" w:rsidRPr="00515E8F">
        <w:rPr>
          <w:rFonts w:ascii="Times New Roman" w:hAnsi="Times New Roman" w:cs="Times New Roman"/>
          <w:lang w:val="sq-AL"/>
        </w:rPr>
        <w:t>ë</w:t>
      </w:r>
      <w:r w:rsidR="00F130DC" w:rsidRPr="00515E8F">
        <w:rPr>
          <w:rFonts w:ascii="Times New Roman" w:hAnsi="Times New Roman" w:cs="Times New Roman"/>
          <w:lang w:val="sq-AL"/>
        </w:rPr>
        <w:t xml:space="preserve"> Tiranë</w:t>
      </w:r>
      <w:r w:rsidR="008D51F9">
        <w:rPr>
          <w:rFonts w:ascii="Times New Roman" w:hAnsi="Times New Roman" w:cs="Times New Roman"/>
          <w:lang w:val="sq-AL"/>
        </w:rPr>
        <w:t xml:space="preserve">, </w:t>
      </w:r>
      <w:r w:rsidRPr="00515E8F">
        <w:rPr>
          <w:rFonts w:ascii="Times New Roman" w:hAnsi="Times New Roman" w:cs="Times New Roman"/>
          <w:lang w:val="sq-AL"/>
        </w:rPr>
        <w:t xml:space="preserve">Plani i Integritetit është konceptuar i shtrirë në një periudhë </w:t>
      </w:r>
      <w:r w:rsidR="008D51F9">
        <w:rPr>
          <w:rFonts w:ascii="Times New Roman" w:hAnsi="Times New Roman" w:cs="Times New Roman"/>
          <w:lang w:val="sq-AL"/>
        </w:rPr>
        <w:t>3-</w:t>
      </w:r>
      <w:r w:rsidRPr="00515E8F">
        <w:rPr>
          <w:rFonts w:ascii="Times New Roman" w:hAnsi="Times New Roman" w:cs="Times New Roman"/>
          <w:lang w:val="sq-AL"/>
        </w:rPr>
        <w:t>vjeçare dhe konkretisht 2022-2025.</w:t>
      </w:r>
    </w:p>
    <w:p w:rsidR="006956B2" w:rsidRDefault="006956B2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D27BC" w:rsidRPr="003E3044" w:rsidRDefault="00163F40" w:rsidP="001F7D7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Situata e </w:t>
      </w:r>
      <w:r w:rsidR="00D74318">
        <w:rPr>
          <w:rFonts w:ascii="Times New Roman" w:hAnsi="Times New Roman" w:cs="Times New Roman"/>
          <w:b/>
          <w:i/>
        </w:rPr>
        <w:t xml:space="preserve">monitorimit </w:t>
      </w:r>
      <w:r w:rsidR="00AC5D61" w:rsidRPr="003E3044">
        <w:rPr>
          <w:rFonts w:ascii="Times New Roman" w:hAnsi="Times New Roman" w:cs="Times New Roman"/>
          <w:b/>
          <w:i/>
        </w:rPr>
        <w:t>t</w:t>
      </w:r>
      <w:r w:rsidR="003E3044">
        <w:rPr>
          <w:rFonts w:ascii="Times New Roman" w:hAnsi="Times New Roman" w:cs="Times New Roman"/>
          <w:b/>
          <w:i/>
        </w:rPr>
        <w:t>ë</w:t>
      </w:r>
      <w:r w:rsidR="00AC5D61" w:rsidRPr="003E3044">
        <w:rPr>
          <w:rFonts w:ascii="Times New Roman" w:hAnsi="Times New Roman" w:cs="Times New Roman"/>
          <w:b/>
          <w:i/>
        </w:rPr>
        <w:t xml:space="preserve"> Planit t</w:t>
      </w:r>
      <w:r w:rsidR="003E3044">
        <w:rPr>
          <w:rFonts w:ascii="Times New Roman" w:hAnsi="Times New Roman" w:cs="Times New Roman"/>
          <w:b/>
          <w:i/>
        </w:rPr>
        <w:t>ë</w:t>
      </w:r>
      <w:r w:rsidR="00AC5D61" w:rsidRPr="003E3044">
        <w:rPr>
          <w:rFonts w:ascii="Times New Roman" w:hAnsi="Times New Roman" w:cs="Times New Roman"/>
          <w:b/>
          <w:i/>
        </w:rPr>
        <w:t xml:space="preserve"> Integritetit p</w:t>
      </w:r>
      <w:r w:rsidR="003E3044">
        <w:rPr>
          <w:rFonts w:ascii="Times New Roman" w:hAnsi="Times New Roman" w:cs="Times New Roman"/>
          <w:b/>
          <w:i/>
        </w:rPr>
        <w:t>ë</w:t>
      </w:r>
      <w:r w:rsidR="00AC5D61" w:rsidRPr="003E3044">
        <w:rPr>
          <w:rFonts w:ascii="Times New Roman" w:hAnsi="Times New Roman" w:cs="Times New Roman"/>
          <w:b/>
          <w:i/>
        </w:rPr>
        <w:t>r periudh</w:t>
      </w:r>
      <w:r w:rsidR="003E3044">
        <w:rPr>
          <w:rFonts w:ascii="Times New Roman" w:hAnsi="Times New Roman" w:cs="Times New Roman"/>
          <w:b/>
          <w:i/>
        </w:rPr>
        <w:t>ë</w:t>
      </w:r>
      <w:r w:rsidR="00AC5D61" w:rsidRPr="003E3044">
        <w:rPr>
          <w:rFonts w:ascii="Times New Roman" w:hAnsi="Times New Roman" w:cs="Times New Roman"/>
          <w:b/>
          <w:i/>
        </w:rPr>
        <w:t xml:space="preserve">n </w:t>
      </w:r>
      <w:r w:rsidR="00D74318">
        <w:rPr>
          <w:rFonts w:ascii="Times New Roman" w:hAnsi="Times New Roman" w:cs="Times New Roman"/>
          <w:b/>
          <w:i/>
        </w:rPr>
        <w:t>janar - dhjetor</w:t>
      </w:r>
      <w:r w:rsidR="0045459A">
        <w:rPr>
          <w:rFonts w:ascii="Times New Roman" w:hAnsi="Times New Roman" w:cs="Times New Roman"/>
          <w:b/>
          <w:i/>
        </w:rPr>
        <w:t>202</w:t>
      </w:r>
      <w:r w:rsidR="00D74318">
        <w:rPr>
          <w:rFonts w:ascii="Times New Roman" w:hAnsi="Times New Roman" w:cs="Times New Roman"/>
          <w:b/>
          <w:i/>
        </w:rPr>
        <w:t>3</w:t>
      </w:r>
    </w:p>
    <w:p w:rsidR="00B11063" w:rsidRDefault="00AC5D61" w:rsidP="001F7D76">
      <w:pPr>
        <w:pStyle w:val="Default"/>
        <w:jc w:val="both"/>
        <w:rPr>
          <w:rFonts w:ascii="Times New Roman" w:hAnsi="Times New Roman" w:cs="Times New Roman"/>
        </w:rPr>
      </w:pPr>
      <w:r w:rsidRPr="006C3167">
        <w:rPr>
          <w:rFonts w:ascii="Times New Roman" w:hAnsi="Times New Roman" w:cs="Times New Roman"/>
          <w:b/>
          <w:i/>
        </w:rPr>
        <w:t>re</w:t>
      </w:r>
      <w:r w:rsidR="001D27BC" w:rsidRPr="006C3167">
        <w:rPr>
          <w:rFonts w:ascii="Times New Roman" w:hAnsi="Times New Roman" w:cs="Times New Roman"/>
          <w:b/>
          <w:i/>
        </w:rPr>
        <w:t>zulton si m</w:t>
      </w:r>
      <w:r w:rsidR="003E3044" w:rsidRPr="006C3167">
        <w:rPr>
          <w:rFonts w:ascii="Times New Roman" w:hAnsi="Times New Roman" w:cs="Times New Roman"/>
          <w:b/>
          <w:i/>
        </w:rPr>
        <w:t>ë</w:t>
      </w:r>
      <w:r w:rsidR="001D27BC" w:rsidRPr="006C3167">
        <w:rPr>
          <w:rFonts w:ascii="Times New Roman" w:hAnsi="Times New Roman" w:cs="Times New Roman"/>
          <w:b/>
          <w:i/>
        </w:rPr>
        <w:t xml:space="preserve"> posht</w:t>
      </w:r>
      <w:r w:rsidR="003E3044" w:rsidRPr="006C3167">
        <w:rPr>
          <w:rFonts w:ascii="Times New Roman" w:hAnsi="Times New Roman" w:cs="Times New Roman"/>
          <w:b/>
          <w:i/>
        </w:rPr>
        <w:t>ë</w:t>
      </w:r>
      <w:r w:rsidR="00B11063">
        <w:rPr>
          <w:rFonts w:ascii="Times New Roman" w:hAnsi="Times New Roman" w:cs="Times New Roman"/>
        </w:rPr>
        <w:t>:</w:t>
      </w:r>
    </w:p>
    <w:p w:rsidR="006956B2" w:rsidRDefault="006956B2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Default="00031C48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 w:rsidRPr="003E3044">
        <w:rPr>
          <w:rFonts w:ascii="Times New Roman" w:hAnsi="Times New Roman" w:cs="Times New Roman"/>
          <w:sz w:val="24"/>
          <w:szCs w:val="24"/>
        </w:rPr>
        <w:t xml:space="preserve">Nga monitorimi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0E6A">
        <w:rPr>
          <w:rFonts w:ascii="Times New Roman" w:hAnsi="Times New Roman" w:cs="Times New Roman"/>
          <w:sz w:val="24"/>
          <w:szCs w:val="24"/>
        </w:rPr>
        <w:t xml:space="preserve">procesit </w:t>
      </w:r>
      <w:r w:rsidRPr="003E3044">
        <w:rPr>
          <w:rFonts w:ascii="Times New Roman" w:hAnsi="Times New Roman" w:cs="Times New Roman"/>
          <w:sz w:val="24"/>
          <w:szCs w:val="24"/>
        </w:rPr>
        <w:t>rezulton</w:t>
      </w:r>
      <w:r w:rsidR="006C3167">
        <w:rPr>
          <w:rFonts w:ascii="Times New Roman" w:hAnsi="Times New Roman" w:cs="Times New Roman"/>
          <w:sz w:val="24"/>
          <w:szCs w:val="24"/>
        </w:rPr>
        <w:t>,</w:t>
      </w:r>
      <w:r w:rsidRPr="003E3044">
        <w:rPr>
          <w:rFonts w:ascii="Times New Roman" w:hAnsi="Times New Roman" w:cs="Times New Roman"/>
          <w:sz w:val="24"/>
          <w:szCs w:val="24"/>
        </w:rPr>
        <w:t xml:space="preserve"> se në totalin prej </w:t>
      </w:r>
      <w:r w:rsidR="00E428AE">
        <w:rPr>
          <w:rFonts w:ascii="Times New Roman" w:hAnsi="Times New Roman" w:cs="Times New Roman"/>
          <w:sz w:val="24"/>
          <w:szCs w:val="24"/>
        </w:rPr>
        <w:t xml:space="preserve">44 </w:t>
      </w:r>
      <w:r w:rsidRPr="003E3044">
        <w:rPr>
          <w:rFonts w:ascii="Times New Roman" w:hAnsi="Times New Roman" w:cs="Times New Roman"/>
          <w:sz w:val="24"/>
          <w:szCs w:val="24"/>
        </w:rPr>
        <w:t>masash (aktivitetesh) të parashikuara për zbatim për vitin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D0E6A">
        <w:rPr>
          <w:rFonts w:ascii="Times New Roman" w:hAnsi="Times New Roman" w:cs="Times New Roman"/>
          <w:sz w:val="24"/>
          <w:szCs w:val="24"/>
        </w:rPr>
        <w:t>,</w:t>
      </w:r>
      <w:r w:rsidRPr="003E3044">
        <w:rPr>
          <w:rFonts w:ascii="Times New Roman" w:hAnsi="Times New Roman" w:cs="Times New Roman"/>
          <w:sz w:val="24"/>
          <w:szCs w:val="24"/>
        </w:rPr>
        <w:t xml:space="preserve"> janë </w:t>
      </w:r>
      <w:r w:rsidRPr="006E7765">
        <w:rPr>
          <w:rFonts w:ascii="Times New Roman" w:hAnsi="Times New Roman" w:cs="Times New Roman"/>
          <w:b/>
          <w:sz w:val="24"/>
          <w:szCs w:val="24"/>
        </w:rPr>
        <w:t>zbatuar</w:t>
      </w:r>
      <w:r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="00E428AE">
        <w:rPr>
          <w:rFonts w:ascii="Times New Roman" w:hAnsi="Times New Roman" w:cs="Times New Roman"/>
          <w:sz w:val="24"/>
          <w:szCs w:val="24"/>
        </w:rPr>
        <w:t>27</w:t>
      </w:r>
      <w:r w:rsidRPr="006E7765">
        <w:rPr>
          <w:rFonts w:ascii="Times New Roman" w:hAnsi="Times New Roman" w:cs="Times New Roman"/>
          <w:sz w:val="24"/>
          <w:szCs w:val="24"/>
        </w:rPr>
        <w:t xml:space="preserve"> </w:t>
      </w:r>
      <w:r w:rsidRPr="003E3044">
        <w:rPr>
          <w:rFonts w:ascii="Times New Roman" w:hAnsi="Times New Roman" w:cs="Times New Roman"/>
          <w:sz w:val="24"/>
          <w:szCs w:val="24"/>
        </w:rPr>
        <w:t>masa/aktivitete</w:t>
      </w:r>
      <w:r>
        <w:rPr>
          <w:rFonts w:ascii="Times New Roman" w:hAnsi="Times New Roman" w:cs="Times New Roman"/>
          <w:sz w:val="24"/>
          <w:szCs w:val="24"/>
        </w:rPr>
        <w:t xml:space="preserve"> ose ne </w:t>
      </w:r>
      <w:r w:rsidR="00E428AE">
        <w:rPr>
          <w:rFonts w:ascii="Times New Roman" w:hAnsi="Times New Roman" w:cs="Times New Roman"/>
          <w:sz w:val="24"/>
          <w:szCs w:val="24"/>
        </w:rPr>
        <w:t>61</w:t>
      </w:r>
      <w:r w:rsidR="00227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3044">
        <w:rPr>
          <w:rFonts w:ascii="Times New Roman" w:hAnsi="Times New Roman" w:cs="Times New Roman"/>
          <w:sz w:val="24"/>
          <w:szCs w:val="24"/>
        </w:rPr>
        <w:t xml:space="preserve">, </w:t>
      </w:r>
      <w:r w:rsidRPr="001B692A">
        <w:rPr>
          <w:rFonts w:ascii="Times New Roman" w:hAnsi="Times New Roman" w:cs="Times New Roman"/>
          <w:b/>
          <w:sz w:val="24"/>
          <w:szCs w:val="24"/>
        </w:rPr>
        <w:t>në</w:t>
      </w:r>
      <w:r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Pr="006E7765">
        <w:rPr>
          <w:rFonts w:ascii="Times New Roman" w:hAnsi="Times New Roman" w:cs="Times New Roman"/>
          <w:b/>
          <w:sz w:val="24"/>
          <w:szCs w:val="24"/>
        </w:rPr>
        <w:t>proces zbatimi</w:t>
      </w:r>
      <w:r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="00E428AE">
        <w:rPr>
          <w:rFonts w:ascii="Times New Roman" w:hAnsi="Times New Roman" w:cs="Times New Roman"/>
          <w:b/>
          <w:sz w:val="24"/>
          <w:szCs w:val="24"/>
        </w:rPr>
        <w:t>11</w:t>
      </w:r>
      <w:r w:rsidRPr="006E7765">
        <w:rPr>
          <w:rFonts w:ascii="Times New Roman" w:hAnsi="Times New Roman" w:cs="Times New Roman"/>
          <w:sz w:val="24"/>
          <w:szCs w:val="24"/>
        </w:rPr>
        <w:t xml:space="preserve"> </w:t>
      </w:r>
      <w:r w:rsidRPr="003E3044">
        <w:rPr>
          <w:rFonts w:ascii="Times New Roman" w:hAnsi="Times New Roman" w:cs="Times New Roman"/>
          <w:sz w:val="24"/>
          <w:szCs w:val="24"/>
        </w:rPr>
        <w:t xml:space="preserve">masa/aktivitete </w:t>
      </w:r>
      <w:r w:rsidR="00E428AE">
        <w:rPr>
          <w:rFonts w:ascii="Times New Roman" w:hAnsi="Times New Roman" w:cs="Times New Roman"/>
          <w:sz w:val="24"/>
          <w:szCs w:val="24"/>
        </w:rPr>
        <w:t xml:space="preserve"> ose 25</w:t>
      </w:r>
      <w:r w:rsidR="006C3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3E3044">
        <w:rPr>
          <w:rFonts w:ascii="Times New Roman" w:hAnsi="Times New Roman" w:cs="Times New Roman"/>
          <w:sz w:val="24"/>
          <w:szCs w:val="24"/>
        </w:rPr>
        <w:t xml:space="preserve">dhe </w:t>
      </w:r>
      <w:r w:rsidRPr="006E7765">
        <w:rPr>
          <w:rFonts w:ascii="Times New Roman" w:hAnsi="Times New Roman" w:cs="Times New Roman"/>
          <w:b/>
          <w:sz w:val="24"/>
          <w:szCs w:val="24"/>
        </w:rPr>
        <w:t>të pazbatuara</w:t>
      </w:r>
      <w:r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="00E428AE">
        <w:rPr>
          <w:rFonts w:ascii="Times New Roman" w:hAnsi="Times New Roman" w:cs="Times New Roman"/>
          <w:sz w:val="24"/>
          <w:szCs w:val="24"/>
        </w:rPr>
        <w:t>6</w:t>
      </w:r>
      <w:r w:rsidR="006C3167">
        <w:rPr>
          <w:rFonts w:ascii="Times New Roman" w:hAnsi="Times New Roman" w:cs="Times New Roman"/>
          <w:sz w:val="24"/>
          <w:szCs w:val="24"/>
        </w:rPr>
        <w:t xml:space="preserve"> </w:t>
      </w:r>
      <w:r w:rsidRPr="003E3044">
        <w:rPr>
          <w:rFonts w:ascii="Times New Roman" w:hAnsi="Times New Roman" w:cs="Times New Roman"/>
          <w:sz w:val="24"/>
          <w:szCs w:val="24"/>
        </w:rPr>
        <w:t>masa/aktivitete</w:t>
      </w:r>
      <w:r w:rsidR="00E428AE">
        <w:rPr>
          <w:rFonts w:ascii="Times New Roman" w:hAnsi="Times New Roman" w:cs="Times New Roman"/>
          <w:sz w:val="24"/>
          <w:szCs w:val="24"/>
        </w:rPr>
        <w:t xml:space="preserve"> ose 14</w:t>
      </w:r>
      <w:r w:rsidR="002271F0">
        <w:rPr>
          <w:rFonts w:ascii="Times New Roman" w:hAnsi="Times New Roman" w:cs="Times New Roman"/>
          <w:sz w:val="24"/>
          <w:szCs w:val="24"/>
        </w:rPr>
        <w:t>%</w:t>
      </w:r>
      <w:r w:rsidRPr="003E3044">
        <w:rPr>
          <w:rFonts w:ascii="Times New Roman" w:hAnsi="Times New Roman" w:cs="Times New Roman"/>
          <w:sz w:val="24"/>
          <w:szCs w:val="24"/>
        </w:rPr>
        <w:t>.</w:t>
      </w:r>
    </w:p>
    <w:p w:rsidR="002268E1" w:rsidRDefault="002268E1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D1" w:rsidRDefault="001423D1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515E8F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Default="002268E1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:rsidR="002268E1" w:rsidRPr="003E3044" w:rsidRDefault="002268E1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</w:p>
        </w:tc>
        <w:tc>
          <w:tcPr>
            <w:tcW w:w="1475" w:type="dxa"/>
            <w:vMerge w:val="restart"/>
            <w:vAlign w:val="center"/>
          </w:tcPr>
          <w:p w:rsidR="002268E1" w:rsidRPr="003E3044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3E3044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515E8F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1489" w:type="dxa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950D5E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3E3044" w:rsidRDefault="002C4A96" w:rsidP="00AA7F2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Realizimi ne total </w:t>
            </w:r>
            <w:r w:rsidR="00AA7F21">
              <w:rPr>
                <w:rFonts w:ascii="Times New Roman" w:hAnsi="Times New Roman" w:cs="Times New Roman"/>
                <w:sz w:val="24"/>
                <w:szCs w:val="24"/>
              </w:rPr>
              <w:t>i objektivave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950D5E" w:rsidRDefault="00F758F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89" w:type="dxa"/>
            <w:vAlign w:val="center"/>
          </w:tcPr>
          <w:p w:rsidR="002268E1" w:rsidRPr="00950D5E" w:rsidRDefault="00F758F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:rsidR="002268E1" w:rsidRPr="00950D5E" w:rsidRDefault="00CC5C9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2" w:type="dxa"/>
            <w:vAlign w:val="center"/>
          </w:tcPr>
          <w:p w:rsidR="002268E1" w:rsidRPr="00950D5E" w:rsidRDefault="009767B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8E1" w:rsidRPr="003E3044" w:rsidRDefault="002268E1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Pr="008508C4" w:rsidRDefault="008508C4" w:rsidP="008508C4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Pr="00EA2028" w:rsidRDefault="008508C4" w:rsidP="0085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058B0">
        <w:rPr>
          <w:rFonts w:ascii="Times New Roman" w:hAnsi="Times New Roman" w:cs="Times New Roman"/>
          <w:sz w:val="24"/>
          <w:szCs w:val="24"/>
        </w:rPr>
        <w:t>STATUSI I ZBATIMIT TË MASAVE</w:t>
      </w:r>
    </w:p>
    <w:p w:rsidR="008508C4" w:rsidRPr="00EA2028" w:rsidRDefault="008508C4" w:rsidP="008508C4">
      <w:r w:rsidRPr="00EA2028">
        <w:rPr>
          <w:noProof/>
        </w:rPr>
        <w:drawing>
          <wp:inline distT="0" distB="0" distL="0" distR="0" wp14:anchorId="25CF046B" wp14:editId="11E93598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Pr="003203BA" w:rsidRDefault="008508C4" w:rsidP="008508C4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</w:rPr>
        <w:t xml:space="preserve">Gjatë vitit 2023,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>
        <w:rPr>
          <w:rFonts w:ascii="Times New Roman" w:hAnsi="Times New Roman" w:cs="Times New Roman"/>
          <w:sz w:val="24"/>
          <w:szCs w:val="24"/>
          <w:lang w:val="sq-AL"/>
        </w:rPr>
        <w:t>Tiranë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ka hartuar dhe miratuar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disa dokumente strategjike në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aspekte të veçanta të integritetit</w:t>
      </w:r>
      <w:r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burimeve njer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zore si dhe n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fusha t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ndryshme t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institucionale.</w:t>
      </w:r>
    </w:p>
    <w:p w:rsidR="0048432C" w:rsidRPr="008508C4" w:rsidRDefault="008A1756" w:rsidP="00C65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8C4">
        <w:rPr>
          <w:rFonts w:ascii="Times New Roman" w:hAnsi="Times New Roman" w:cs="Times New Roman"/>
          <w:b/>
          <w:sz w:val="24"/>
          <w:szCs w:val="24"/>
        </w:rPr>
        <w:t>Qasja Vler</w:t>
      </w:r>
      <w:r w:rsidR="008E6BA1" w:rsidRPr="008508C4">
        <w:rPr>
          <w:rFonts w:ascii="Times New Roman" w:hAnsi="Times New Roman" w:cs="Times New Roman"/>
          <w:b/>
          <w:sz w:val="24"/>
          <w:szCs w:val="24"/>
        </w:rPr>
        <w:t>ë</w:t>
      </w:r>
      <w:r w:rsidRPr="008508C4">
        <w:rPr>
          <w:rFonts w:ascii="Times New Roman" w:hAnsi="Times New Roman" w:cs="Times New Roman"/>
          <w:b/>
          <w:sz w:val="24"/>
          <w:szCs w:val="24"/>
        </w:rPr>
        <w:t>suese</w:t>
      </w:r>
    </w:p>
    <w:p w:rsidR="008A1756" w:rsidRDefault="00FD6BF3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Raporti i</w:t>
      </w:r>
      <w:r w:rsidR="008A1756">
        <w:rPr>
          <w:rFonts w:ascii="Times New Roman" w:hAnsi="Times New Roman" w:cs="Times New Roman"/>
          <w:sz w:val="24"/>
          <w:szCs w:val="24"/>
        </w:rPr>
        <w:t xml:space="preserve"> monitorimit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175CB">
        <w:rPr>
          <w:rFonts w:ascii="Times New Roman" w:hAnsi="Times New Roman" w:cs="Times New Roman"/>
          <w:sz w:val="24"/>
          <w:szCs w:val="24"/>
        </w:rPr>
        <w:t xml:space="preserve"> pl</w:t>
      </w:r>
      <w:r w:rsidR="008A1756">
        <w:rPr>
          <w:rFonts w:ascii="Times New Roman" w:hAnsi="Times New Roman" w:cs="Times New Roman"/>
          <w:sz w:val="24"/>
          <w:szCs w:val="24"/>
        </w:rPr>
        <w:t>anit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integritetit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Tiran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175CB">
        <w:rPr>
          <w:rFonts w:ascii="Times New Roman" w:hAnsi="Times New Roman" w:cs="Times New Roman"/>
          <w:sz w:val="24"/>
          <w:szCs w:val="24"/>
        </w:rPr>
        <w:t xml:space="preserve">, </w:t>
      </w:r>
      <w:r w:rsidR="008A1756"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rmban nj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rgjithshme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zbatueshm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dhe progresit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vitit 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175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 aktivitete dhe masat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kuadrit rregullator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performanc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s institucionale, menaxhimit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burimeve njer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zore  si dhe riskut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fusha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vecanta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rgjegj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sis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 ti rezistuar shkeljeve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175CB">
        <w:rPr>
          <w:rFonts w:ascii="Times New Roman" w:hAnsi="Times New Roman" w:cs="Times New Roman"/>
          <w:sz w:val="24"/>
          <w:szCs w:val="24"/>
        </w:rPr>
        <w:t xml:space="preserve"> integritetit si dhe ç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shtjeve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organizimit dhe funksionimit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strukturave teknike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.</w:t>
      </w:r>
    </w:p>
    <w:p w:rsidR="008A1756" w:rsidRPr="008508C4" w:rsidRDefault="008A1756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8C4">
        <w:rPr>
          <w:rFonts w:ascii="Times New Roman" w:hAnsi="Times New Roman" w:cs="Times New Roman"/>
          <w:b/>
          <w:sz w:val="24"/>
          <w:szCs w:val="24"/>
        </w:rPr>
        <w:t>Metodologjia e vler</w:t>
      </w:r>
      <w:r w:rsidR="008E6BA1" w:rsidRPr="008508C4">
        <w:rPr>
          <w:rFonts w:ascii="Times New Roman" w:hAnsi="Times New Roman" w:cs="Times New Roman"/>
          <w:b/>
          <w:sz w:val="24"/>
          <w:szCs w:val="24"/>
        </w:rPr>
        <w:t>ë</w:t>
      </w:r>
      <w:r w:rsidRPr="008508C4">
        <w:rPr>
          <w:rFonts w:ascii="Times New Roman" w:hAnsi="Times New Roman" w:cs="Times New Roman"/>
          <w:b/>
          <w:sz w:val="24"/>
          <w:szCs w:val="24"/>
        </w:rPr>
        <w:t>simit.</w:t>
      </w:r>
    </w:p>
    <w:p w:rsidR="008A1756" w:rsidRDefault="008A1756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 raport 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hartuar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baz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kontributit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drejtorit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strukturat teknike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31C77">
        <w:rPr>
          <w:rFonts w:ascii="Times New Roman" w:hAnsi="Times New Roman" w:cs="Times New Roman"/>
          <w:sz w:val="24"/>
          <w:szCs w:val="24"/>
        </w:rPr>
        <w:t xml:space="preserve"> Tiran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baz</w:t>
      </w:r>
      <w:r w:rsidR="005E434F">
        <w:rPr>
          <w:rFonts w:ascii="Times New Roman" w:hAnsi="Times New Roman" w:cs="Times New Roman"/>
          <w:sz w:val="24"/>
          <w:szCs w:val="24"/>
        </w:rPr>
        <w:t>uar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5E434F">
        <w:rPr>
          <w:rFonts w:ascii="Times New Roman" w:hAnsi="Times New Roman" w:cs="Times New Roman"/>
          <w:sz w:val="24"/>
          <w:szCs w:val="24"/>
        </w:rPr>
        <w:t xml:space="preserve"> aktivitetet dhe masat e p</w:t>
      </w:r>
      <w:r>
        <w:rPr>
          <w:rFonts w:ascii="Times New Roman" w:hAnsi="Times New Roman" w:cs="Times New Roman"/>
          <w:sz w:val="24"/>
          <w:szCs w:val="24"/>
        </w:rPr>
        <w:t xml:space="preserve">arashikuara </w:t>
      </w:r>
      <w:r w:rsidR="005E434F"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5E434F">
        <w:rPr>
          <w:rFonts w:ascii="Times New Roman" w:hAnsi="Times New Roman" w:cs="Times New Roman"/>
          <w:sz w:val="24"/>
          <w:szCs w:val="24"/>
        </w:rPr>
        <w:t>r zbatim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5E434F">
        <w:rPr>
          <w:rFonts w:ascii="Times New Roman" w:hAnsi="Times New Roman" w:cs="Times New Roman"/>
          <w:sz w:val="24"/>
          <w:szCs w:val="24"/>
        </w:rPr>
        <w:t>r vitin 2023</w:t>
      </w:r>
      <w:r w:rsidR="00F31C77">
        <w:rPr>
          <w:rFonts w:ascii="Times New Roman" w:hAnsi="Times New Roman" w:cs="Times New Roman"/>
          <w:sz w:val="24"/>
          <w:szCs w:val="24"/>
        </w:rPr>
        <w:t xml:space="preserve">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6E132A">
        <w:rPr>
          <w:rFonts w:ascii="Times New Roman" w:hAnsi="Times New Roman" w:cs="Times New Roman"/>
          <w:sz w:val="24"/>
          <w:szCs w:val="24"/>
        </w:rPr>
        <w:t xml:space="preserve"> </w:t>
      </w:r>
      <w:r w:rsidR="00F31C77">
        <w:rPr>
          <w:rFonts w:ascii="Times New Roman" w:hAnsi="Times New Roman" w:cs="Times New Roman"/>
          <w:sz w:val="24"/>
          <w:szCs w:val="24"/>
        </w:rPr>
        <w:t>planin e veprimit</w:t>
      </w:r>
      <w:r w:rsidR="006E132A">
        <w:rPr>
          <w:rFonts w:ascii="Times New Roman" w:hAnsi="Times New Roman" w:cs="Times New Roman"/>
          <w:sz w:val="24"/>
          <w:szCs w:val="24"/>
        </w:rPr>
        <w:t xml:space="preserve"> të</w:t>
      </w:r>
      <w:r w:rsidR="00F31C77">
        <w:rPr>
          <w:rFonts w:ascii="Times New Roman" w:hAnsi="Times New Roman" w:cs="Times New Roman"/>
          <w:sz w:val="24"/>
          <w:szCs w:val="24"/>
        </w:rPr>
        <w:t xml:space="preserve"> Planit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31C77">
        <w:rPr>
          <w:rFonts w:ascii="Times New Roman" w:hAnsi="Times New Roman" w:cs="Times New Roman"/>
          <w:sz w:val="24"/>
          <w:szCs w:val="24"/>
        </w:rPr>
        <w:t xml:space="preserve"> Integritetit</w:t>
      </w:r>
      <w:r w:rsidR="005E434F">
        <w:rPr>
          <w:rFonts w:ascii="Times New Roman" w:hAnsi="Times New Roman" w:cs="Times New Roman"/>
          <w:sz w:val="24"/>
          <w:szCs w:val="24"/>
        </w:rPr>
        <w:t xml:space="preserve"> dhe ecuria e deritanishme e tyre.</w:t>
      </w:r>
      <w:bookmarkStart w:id="0" w:name="_GoBack"/>
      <w:bookmarkEnd w:id="0"/>
    </w:p>
    <w:p w:rsidR="002271F0" w:rsidRDefault="005E434F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Default="001830EF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45459A" w:rsidRDefault="00D45B23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5459A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Objektivi I “</w:t>
      </w:r>
      <w:r w:rsidRPr="0045459A">
        <w:rPr>
          <w:rFonts w:ascii="Times New Roman" w:hAnsi="Times New Roman" w:cs="Times New Roman"/>
          <w:sz w:val="24"/>
          <w:szCs w:val="24"/>
          <w:lang w:val="sq-AL"/>
        </w:rPr>
        <w:t xml:space="preserve">Forcimi </w:t>
      </w:r>
      <w:r w:rsidR="007534F7" w:rsidRPr="0045459A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45459A">
        <w:rPr>
          <w:rFonts w:ascii="Times New Roman" w:hAnsi="Times New Roman" w:cs="Times New Roman"/>
          <w:sz w:val="24"/>
          <w:szCs w:val="24"/>
          <w:lang w:val="sq-AL"/>
        </w:rPr>
        <w:t>kuadrit të brendshëm rregullator, institucional dhe financiar në aspekte të veça</w:t>
      </w:r>
      <w:r w:rsidR="00D46A01">
        <w:rPr>
          <w:rFonts w:ascii="Times New Roman" w:hAnsi="Times New Roman" w:cs="Times New Roman"/>
          <w:sz w:val="24"/>
          <w:szCs w:val="24"/>
          <w:lang w:val="sq-AL"/>
        </w:rPr>
        <w:t>nta të etikës dhe integritetit.”</w:t>
      </w:r>
    </w:p>
    <w:p w:rsidR="005E434F" w:rsidRDefault="00664CF9" w:rsidP="001F7D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15E8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tij objektivi synohet 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simi dhe forcimi </w:t>
      </w:r>
      <w:r w:rsidR="00163F40" w:rsidRPr="00515E8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integritetit institucional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rmjet miratimit dhe zbatimit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kuadrit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nevojsh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m rregullator 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 ç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shtje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veçanta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integritetit, si dhe miratimit dhe 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kuadrit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m institucional n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459A">
        <w:rPr>
          <w:rFonts w:ascii="Times New Roman" w:hAnsi="Times New Roman" w:cs="Times New Roman"/>
          <w:sz w:val="24"/>
          <w:szCs w:val="24"/>
          <w:lang w:val="sq-AL"/>
        </w:rPr>
        <w:t xml:space="preserve"> menaxhimin e integritetit </w:t>
      </w:r>
      <w:r w:rsidR="00950D5E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institucional. </w:t>
      </w:r>
    </w:p>
    <w:p w:rsidR="009459D1" w:rsidRPr="00515E8F" w:rsidRDefault="00664CF9" w:rsidP="001F7D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15E8F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 raportuese</w:t>
      </w:r>
      <w:r w:rsidR="002400D0">
        <w:rPr>
          <w:rFonts w:ascii="Times New Roman" w:hAnsi="Times New Roman" w:cs="Times New Roman"/>
          <w:sz w:val="24"/>
          <w:szCs w:val="24"/>
          <w:lang w:val="sq-AL"/>
        </w:rPr>
        <w:t xml:space="preserve"> nga 9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 xml:space="preserve"> masa/aktivitete</w:t>
      </w:r>
      <w:r w:rsidR="008508C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8C4">
        <w:rPr>
          <w:rFonts w:ascii="Times New Roman" w:hAnsi="Times New Roman" w:cs="Times New Roman"/>
          <w:sz w:val="24"/>
          <w:szCs w:val="24"/>
          <w:lang w:val="sq-AL"/>
        </w:rPr>
        <w:t xml:space="preserve"> planifikuara p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8C4">
        <w:rPr>
          <w:rFonts w:ascii="Times New Roman" w:hAnsi="Times New Roman" w:cs="Times New Roman"/>
          <w:sz w:val="24"/>
          <w:szCs w:val="24"/>
          <w:lang w:val="sq-AL"/>
        </w:rPr>
        <w:t>r tu zbatuar,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realizuar</w:t>
      </w:r>
      <w:r w:rsidR="00F758F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 xml:space="preserve">6 masa/aktivitete 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>ose 66%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>, janë në</w:t>
      </w:r>
      <w:r w:rsidR="002400D0">
        <w:rPr>
          <w:rFonts w:ascii="Times New Roman" w:hAnsi="Times New Roman" w:cs="Times New Roman"/>
          <w:sz w:val="24"/>
          <w:szCs w:val="24"/>
          <w:lang w:val="sq-AL"/>
        </w:rPr>
        <w:t xml:space="preserve"> proces 2 masa/aktivitete ose 22 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 xml:space="preserve">%, si 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>dhe nuk jan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0D0">
        <w:rPr>
          <w:rFonts w:ascii="Times New Roman" w:hAnsi="Times New Roman" w:cs="Times New Roman"/>
          <w:sz w:val="24"/>
          <w:szCs w:val="24"/>
          <w:lang w:val="sq-AL"/>
        </w:rPr>
        <w:t xml:space="preserve"> realizuar 1 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 xml:space="preserve">masa/aktivitete </w:t>
      </w:r>
      <w:r w:rsidR="002400D0">
        <w:rPr>
          <w:rFonts w:ascii="Times New Roman" w:hAnsi="Times New Roman" w:cs="Times New Roman"/>
          <w:sz w:val="24"/>
          <w:szCs w:val="24"/>
          <w:lang w:val="sq-AL"/>
        </w:rPr>
        <w:t>ose 12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sipas tabel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950D5E" w:rsidRPr="00515E8F" w:rsidRDefault="00950D5E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542429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515E8F" w:rsidRDefault="00664CF9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3E3044" w:rsidRDefault="00664CF9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664CF9" w:rsidRPr="003E3044" w:rsidRDefault="00664CF9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3E3044" w:rsidRDefault="00664CF9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3E3044" w:rsidRDefault="00664CF9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664CF9" w:rsidRPr="00515E8F" w:rsidRDefault="00AE0E5E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</w:t>
            </w:r>
            <w:r w:rsidR="00F37AD6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542429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515E8F" w:rsidRDefault="00664CF9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515E8F" w:rsidRDefault="00664CF9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515E8F" w:rsidRDefault="00664CF9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515E8F" w:rsidRDefault="00664CF9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Default="00664CF9" w:rsidP="00E42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E428A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:rsidR="00E428AE" w:rsidRPr="00515E8F" w:rsidRDefault="00E428AE" w:rsidP="00E42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 realizimi</w:t>
            </w:r>
          </w:p>
        </w:tc>
        <w:tc>
          <w:tcPr>
            <w:tcW w:w="1482" w:type="dxa"/>
            <w:vAlign w:val="center"/>
          </w:tcPr>
          <w:p w:rsidR="00664CF9" w:rsidRPr="00515E8F" w:rsidRDefault="00664CF9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3E3044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3E3044" w:rsidRDefault="007B0692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9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Forcimi i kuadrit të brendshëm rregullator, institucional dhe financiar në aspekte të veça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nta të etikës dhe integritetit</w:t>
            </w:r>
          </w:p>
        </w:tc>
        <w:tc>
          <w:tcPr>
            <w:tcW w:w="1504" w:type="dxa"/>
            <w:vAlign w:val="center"/>
          </w:tcPr>
          <w:p w:rsidR="00DA4782" w:rsidRPr="00950D5E" w:rsidRDefault="0065595B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9" w:type="dxa"/>
            <w:vAlign w:val="center"/>
          </w:tcPr>
          <w:p w:rsidR="00DA4782" w:rsidRPr="00950D5E" w:rsidRDefault="002400D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:rsidR="00DA4782" w:rsidRPr="00950D5E" w:rsidRDefault="002400D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DA4782" w:rsidRPr="00950D5E" w:rsidRDefault="002400D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08C4" w:rsidRDefault="008508C4" w:rsidP="008508C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423D1" w:rsidRDefault="00A3530E" w:rsidP="008508C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08C4"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7B0692" w:rsidRPr="00EA2028" w:rsidRDefault="007B0692" w:rsidP="007B0692">
      <w:r w:rsidRPr="00EA2028">
        <w:rPr>
          <w:noProof/>
        </w:rPr>
        <w:drawing>
          <wp:inline distT="0" distB="0" distL="0" distR="0" wp14:anchorId="3D3D92CB" wp14:editId="7E355161">
            <wp:extent cx="5943600" cy="3470910"/>
            <wp:effectExtent l="0" t="0" r="0" b="1524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1626" w:rsidRPr="007B0692" w:rsidRDefault="00C657B4" w:rsidP="007B0692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Për </w:t>
      </w:r>
      <w:r w:rsidR="008E1626">
        <w:rPr>
          <w:rFonts w:ascii="Times New Roman" w:hAnsi="Times New Roman" w:cs="Times New Roman"/>
          <w:sz w:val="24"/>
          <w:szCs w:val="24"/>
        </w:rPr>
        <w:t>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monitorimi Janar Dhjetor 2023 Drejtoria e Burimeve Njer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zore, Koordinatori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r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drejt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n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r Informim, Drejtoria e Teknologjis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CC58D3">
        <w:rPr>
          <w:rFonts w:ascii="Times New Roman" w:hAnsi="Times New Roman" w:cs="Times New Roman"/>
          <w:sz w:val="24"/>
          <w:szCs w:val="24"/>
        </w:rPr>
        <w:t xml:space="preserve"> dhe I</w:t>
      </w:r>
      <w:r w:rsidR="008E1626">
        <w:rPr>
          <w:rFonts w:ascii="Times New Roman" w:hAnsi="Times New Roman" w:cs="Times New Roman"/>
          <w:sz w:val="24"/>
          <w:szCs w:val="24"/>
        </w:rPr>
        <w:t>nformacionit</w:t>
      </w:r>
      <w:r w:rsidR="00611DA2">
        <w:rPr>
          <w:rFonts w:ascii="Times New Roman" w:hAnsi="Times New Roman" w:cs="Times New Roman"/>
          <w:sz w:val="24"/>
          <w:szCs w:val="24"/>
        </w:rPr>
        <w:t xml:space="preserve"> </w:t>
      </w:r>
      <w:r w:rsidR="008E1626">
        <w:rPr>
          <w:rFonts w:ascii="Times New Roman" w:hAnsi="Times New Roman" w:cs="Times New Roman"/>
          <w:sz w:val="24"/>
          <w:szCs w:val="24"/>
        </w:rPr>
        <w:t>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rmbushje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angazhimit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tyre kan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kontribuar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forcimin e kuadrit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brendsh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m rregullator</w:t>
      </w:r>
      <w:r w:rsidR="00CC58D3">
        <w:rPr>
          <w:rFonts w:ascii="Times New Roman" w:hAnsi="Times New Roman" w:cs="Times New Roman"/>
          <w:sz w:val="24"/>
          <w:szCs w:val="24"/>
        </w:rPr>
        <w:t>,</w:t>
      </w:r>
      <w:r w:rsidR="00260BF9">
        <w:rPr>
          <w:rFonts w:ascii="Times New Roman" w:hAnsi="Times New Roman" w:cs="Times New Roman"/>
          <w:sz w:val="24"/>
          <w:szCs w:val="24"/>
        </w:rPr>
        <w:t xml:space="preserve"> </w:t>
      </w:r>
      <w:r w:rsidR="008E1626">
        <w:rPr>
          <w:rFonts w:ascii="Times New Roman" w:hAnsi="Times New Roman" w:cs="Times New Roman"/>
          <w:sz w:val="24"/>
          <w:szCs w:val="24"/>
        </w:rPr>
        <w:t>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aspekte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vecanta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etik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s dhe integritetit si 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posht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vijon:</w:t>
      </w:r>
    </w:p>
    <w:p w:rsidR="008E1626" w:rsidRDefault="00D45D4F" w:rsidP="001F7D76">
      <w:pPr>
        <w:pStyle w:val="ListParagraph"/>
        <w:numPr>
          <w:ilvl w:val="0"/>
          <w:numId w:val="1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60002CC6" wp14:editId="01C29EC5">
            <wp:simplePos x="0" y="0"/>
            <wp:positionH relativeFrom="margin">
              <wp:posOffset>7200900</wp:posOffset>
            </wp:positionH>
            <wp:positionV relativeFrom="margin">
              <wp:posOffset>6400800</wp:posOffset>
            </wp:positionV>
            <wp:extent cx="5404485" cy="2900045"/>
            <wp:effectExtent l="0" t="0" r="5715" b="1460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626"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rfshirja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rregulloren</w:t>
      </w:r>
      <w:r w:rsidR="00E428AE">
        <w:rPr>
          <w:rFonts w:ascii="Times New Roman" w:hAnsi="Times New Roman" w:cs="Times New Roman"/>
          <w:sz w:val="24"/>
          <w:szCs w:val="24"/>
        </w:rPr>
        <w:t xml:space="preserve"> </w:t>
      </w:r>
      <w:r w:rsidR="008E1626">
        <w:rPr>
          <w:rFonts w:ascii="Times New Roman" w:hAnsi="Times New Roman" w:cs="Times New Roman"/>
          <w:sz w:val="24"/>
          <w:szCs w:val="24"/>
        </w:rPr>
        <w:t>e brendshme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funksionimit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F1DF6">
        <w:rPr>
          <w:rFonts w:ascii="Times New Roman" w:hAnsi="Times New Roman" w:cs="Times New Roman"/>
          <w:sz w:val="24"/>
          <w:szCs w:val="24"/>
        </w:rPr>
        <w:t xml:space="preserve"> GMS </w:t>
      </w:r>
      <w:r w:rsidR="008E1626">
        <w:rPr>
          <w:rFonts w:ascii="Times New Roman" w:hAnsi="Times New Roman" w:cs="Times New Roman"/>
          <w:sz w:val="24"/>
          <w:szCs w:val="24"/>
        </w:rPr>
        <w:t>dhe publikimin e rregullores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faqen zyrtare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linkun </w:t>
      </w:r>
      <w:hyperlink r:id="rId11" w:history="1">
        <w:r w:rsidR="008E1626" w:rsidRPr="007542E4">
          <w:rPr>
            <w:rStyle w:val="Hyperlink"/>
            <w:rFonts w:ascii="Times New Roman" w:hAnsi="Times New Roman" w:cs="Times New Roman"/>
            <w:sz w:val="24"/>
            <w:szCs w:val="24"/>
          </w:rPr>
          <w:t>https://tirana.al/artikull/rregullorja-e-bashkise-tirane</w:t>
        </w:r>
      </w:hyperlink>
      <w:r w:rsidR="009F1DF6">
        <w:rPr>
          <w:rFonts w:ascii="Times New Roman" w:hAnsi="Times New Roman" w:cs="Times New Roman"/>
          <w:sz w:val="24"/>
          <w:szCs w:val="24"/>
        </w:rPr>
        <w:t>;</w:t>
      </w:r>
    </w:p>
    <w:p w:rsidR="008E1626" w:rsidRPr="008E1626" w:rsidRDefault="008E1626" w:rsidP="001F7D7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>rcjell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8E1626"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>r njohj</w:t>
      </w:r>
      <w:r w:rsidR="009F1DF6">
        <w:rPr>
          <w:rFonts w:ascii="Times New Roman" w:hAnsi="Times New Roman" w:cs="Times New Roman"/>
          <w:sz w:val="24"/>
          <w:szCs w:val="24"/>
        </w:rPr>
        <w:t>e</w:t>
      </w:r>
      <w:r w:rsidRPr="008E1626">
        <w:rPr>
          <w:rFonts w:ascii="Times New Roman" w:hAnsi="Times New Roman" w:cs="Times New Roman"/>
          <w:sz w:val="24"/>
          <w:szCs w:val="24"/>
        </w:rPr>
        <w:t xml:space="preserve"> 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>shilltar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>v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Kabinetit </w:t>
      </w:r>
      <w:r w:rsidR="00B25041">
        <w:rPr>
          <w:rFonts w:ascii="Times New Roman" w:hAnsi="Times New Roman" w:cs="Times New Roman"/>
          <w:sz w:val="24"/>
          <w:szCs w:val="24"/>
        </w:rPr>
        <w:t xml:space="preserve">e </w:t>
      </w:r>
      <w:r w:rsidRPr="008E1626">
        <w:rPr>
          <w:rFonts w:ascii="Times New Roman" w:hAnsi="Times New Roman" w:cs="Times New Roman"/>
          <w:sz w:val="24"/>
          <w:szCs w:val="24"/>
        </w:rPr>
        <w:t>Kodi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E1626">
        <w:rPr>
          <w:rFonts w:ascii="Times New Roman" w:hAnsi="Times New Roman" w:cs="Times New Roman"/>
          <w:sz w:val="24"/>
          <w:szCs w:val="24"/>
        </w:rPr>
        <w:t xml:space="preserve"> Etik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B25041">
        <w:rPr>
          <w:rFonts w:ascii="Times New Roman" w:hAnsi="Times New Roman" w:cs="Times New Roman"/>
          <w:sz w:val="24"/>
          <w:szCs w:val="24"/>
        </w:rPr>
        <w:t xml:space="preserve"> </w:t>
      </w:r>
      <w:r w:rsidRPr="008E1626">
        <w:rPr>
          <w:rFonts w:ascii="Times New Roman" w:hAnsi="Times New Roman" w:cs="Times New Roman"/>
          <w:sz w:val="24"/>
          <w:szCs w:val="24"/>
        </w:rPr>
        <w:t>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bashku me Planin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Integritetit &amp; Metodologjia e Vlersimit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Riskut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F1DF6">
        <w:rPr>
          <w:rFonts w:ascii="Times New Roman" w:hAnsi="Times New Roman" w:cs="Times New Roman"/>
          <w:sz w:val="24"/>
          <w:szCs w:val="24"/>
        </w:rPr>
        <w:t xml:space="preserve"> Integritetit”, </w:t>
      </w:r>
      <w:r w:rsidRPr="008E1626">
        <w:rPr>
          <w:rFonts w:ascii="Times New Roman" w:hAnsi="Times New Roman" w:cs="Times New Roman"/>
          <w:sz w:val="24"/>
          <w:szCs w:val="24"/>
        </w:rPr>
        <w:t xml:space="preserve">nga adresa zyrtare </w:t>
      </w:r>
      <w:hyperlink r:id="rId12" w:history="1">
        <w:r w:rsidRPr="008E1626">
          <w:rPr>
            <w:rStyle w:val="Hyperlink"/>
            <w:rFonts w:ascii="Times New Roman" w:hAnsi="Times New Roman" w:cs="Times New Roman"/>
            <w:sz w:val="24"/>
            <w:szCs w:val="24"/>
          </w:rPr>
          <w:t>burimenjerëzore@tirana.al</w:t>
        </w:r>
      </w:hyperlink>
      <w:r w:rsidRPr="008E1626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9F1DF6">
        <w:rPr>
          <w:rFonts w:ascii="Times New Roman" w:hAnsi="Times New Roman" w:cs="Times New Roman"/>
          <w:sz w:val="24"/>
          <w:szCs w:val="24"/>
        </w:rPr>
        <w:t>;</w:t>
      </w:r>
    </w:p>
    <w:p w:rsidR="008E1626" w:rsidRDefault="009F1DF6" w:rsidP="001F7D76">
      <w:pPr>
        <w:pStyle w:val="ListParagraph"/>
        <w:numPr>
          <w:ilvl w:val="0"/>
          <w:numId w:val="1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Hartimi i procedurave</w:t>
      </w:r>
      <w:r w:rsidR="008E1626">
        <w:rPr>
          <w:rFonts w:ascii="Times New Roman" w:hAnsi="Times New Roman" w:cs="Times New Roman"/>
          <w:sz w:val="24"/>
          <w:szCs w:val="24"/>
        </w:rPr>
        <w:t xml:space="preserve"> standarde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veprimit dhe krijimi i moduleve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trajnimit,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626">
        <w:rPr>
          <w:rFonts w:ascii="Times New Roman" w:hAnsi="Times New Roman" w:cs="Times New Roman"/>
          <w:sz w:val="24"/>
          <w:szCs w:val="24"/>
        </w:rPr>
        <w:t>si dhe ofrimin e mb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shtetjes logjistike gjat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trajnimeve, si dhe trajnimin e stafit brenda dhe jasht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si dhe jashte shtetit;</w:t>
      </w:r>
    </w:p>
    <w:p w:rsidR="00C669F5" w:rsidRDefault="00C669F5" w:rsidP="001F7D76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45459A" w:rsidRDefault="00133A0B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5459A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FB7761">
        <w:rPr>
          <w:rFonts w:ascii="Times New Roman" w:hAnsi="Times New Roman" w:cs="Times New Roman"/>
          <w:sz w:val="24"/>
          <w:szCs w:val="24"/>
          <w:lang w:val="sq-AL"/>
        </w:rPr>
        <w:t>Menaxhimi dhe</w:t>
      </w:r>
      <w:r w:rsidR="00854EF7" w:rsidRPr="0045459A">
        <w:rPr>
          <w:rFonts w:ascii="Times New Roman" w:hAnsi="Times New Roman" w:cs="Times New Roman"/>
          <w:sz w:val="24"/>
          <w:szCs w:val="24"/>
          <w:lang w:val="sq-AL"/>
        </w:rPr>
        <w:t xml:space="preserve"> zhvillimi</w:t>
      </w:r>
      <w:r w:rsidR="00FB7761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CC58D3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 në b</w:t>
      </w:r>
      <w:r w:rsidR="00854EF7" w:rsidRPr="0045459A">
        <w:rPr>
          <w:rFonts w:ascii="Times New Roman" w:hAnsi="Times New Roman" w:cs="Times New Roman"/>
          <w:sz w:val="24"/>
          <w:szCs w:val="24"/>
          <w:lang w:val="sq-AL"/>
        </w:rPr>
        <w:t>ashki, për parandalimin dhe identifikimin e risqeve të integritetit për të gj</w:t>
      </w:r>
      <w:r w:rsidR="00F37AD6" w:rsidRPr="0045459A">
        <w:rPr>
          <w:rFonts w:ascii="Times New Roman" w:hAnsi="Times New Roman" w:cs="Times New Roman"/>
          <w:sz w:val="24"/>
          <w:szCs w:val="24"/>
          <w:lang w:val="sq-AL"/>
        </w:rPr>
        <w:t>itha nivelet dhe funksionet në b</w:t>
      </w:r>
      <w:r w:rsidR="00854EF7" w:rsidRPr="0045459A">
        <w:rPr>
          <w:rFonts w:ascii="Times New Roman" w:hAnsi="Times New Roman" w:cs="Times New Roman"/>
          <w:sz w:val="24"/>
          <w:szCs w:val="24"/>
          <w:lang w:val="sq-AL"/>
        </w:rPr>
        <w:t>ashki</w:t>
      </w:r>
      <w:r w:rsidR="00D46A01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37AD6" w:rsidRPr="0045459A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7B0692" w:rsidRDefault="007B0692" w:rsidP="001F7D7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83F3D" w:rsidRDefault="00854EF7" w:rsidP="001F7D7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15E8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tij objektivi synohet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funksionimi i</w:t>
      </w:r>
      <w:r w:rsidR="00443643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administrat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institucionit n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rmjet forcimit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kapaciteteve njer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zore e profesionale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s, rekrutimit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stafit </w:t>
      </w:r>
      <w:r w:rsidR="00067963" w:rsidRPr="00515E8F">
        <w:rPr>
          <w:rFonts w:ascii="Times New Roman" w:hAnsi="Times New Roman" w:cs="Times New Roman"/>
          <w:sz w:val="24"/>
          <w:szCs w:val="24"/>
          <w:lang w:val="sq-AL"/>
        </w:rPr>
        <w:t>të nevojshm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rputhje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me struktur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n dhe organik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n, sanksionimit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procedur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ave 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qart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gjitha proceseve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e bashkis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067963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11DA2" w:rsidRDefault="00611DA2" w:rsidP="00611DA2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611DA2" w:rsidRDefault="007D6EA0" w:rsidP="00611DA2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8F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 xml:space="preserve"> nga 7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 xml:space="preserve"> masa /aktivitete për tu realizuar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realizua</w:t>
      </w:r>
      <w:r w:rsidR="003E0125" w:rsidRPr="00515E8F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 xml:space="preserve"> 5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 xml:space="preserve"> masa/aktivitete ose 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72 %, janë në proces 1</w:t>
      </w:r>
      <w:r w:rsidR="00260BF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masa/aktivitete ose 14% dhe nuk janë realizuar 1 masa/aktivitete ose 14</w:t>
      </w:r>
      <w:r w:rsidR="00260BF9">
        <w:rPr>
          <w:rFonts w:ascii="Times New Roman" w:hAnsi="Times New Roman" w:cs="Times New Roman"/>
          <w:sz w:val="24"/>
          <w:szCs w:val="24"/>
          <w:lang w:val="sq-AL"/>
        </w:rPr>
        <w:t>%</w:t>
      </w:r>
      <w:r w:rsidR="003E0125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sipas tabel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 si m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46A01" w:rsidRPr="00515E8F" w:rsidRDefault="00D46A01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542429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3E3044" w:rsidRDefault="007D6EA0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7D6EA0" w:rsidRPr="003E3044" w:rsidRDefault="007D6EA0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3E3044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6133" w:type="dxa"/>
            <w:gridSpan w:val="4"/>
            <w:vAlign w:val="center"/>
          </w:tcPr>
          <w:p w:rsidR="007D6EA0" w:rsidRPr="00515E8F" w:rsidRDefault="00F37AD6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542429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7B069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515E8F" w:rsidRDefault="007D6EA0" w:rsidP="00E428A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E428A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 realizimi</w:t>
            </w:r>
          </w:p>
        </w:tc>
        <w:tc>
          <w:tcPr>
            <w:tcW w:w="1636" w:type="dxa"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3E3044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3E3044" w:rsidRDefault="007B0692" w:rsidP="007B069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 dhe</w:t>
            </w:r>
            <w:r w:rsidRPr="0045459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zhvillimi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burimeve njerëzore në b</w:t>
            </w:r>
            <w:r w:rsidRPr="0045459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ashki, për parandalimin dhe identifikimin e risqeve të integritetit për të gjitha nivelet dhe funksionet në bashki</w:t>
            </w:r>
          </w:p>
        </w:tc>
        <w:tc>
          <w:tcPr>
            <w:tcW w:w="1504" w:type="dxa"/>
            <w:vAlign w:val="center"/>
          </w:tcPr>
          <w:p w:rsidR="00D46A01" w:rsidRPr="00515E8F" w:rsidRDefault="00EE45F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  <w:vAlign w:val="center"/>
          </w:tcPr>
          <w:p w:rsidR="00D46A01" w:rsidRPr="00515E8F" w:rsidRDefault="004A1B22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D46A01" w:rsidRPr="00515E8F" w:rsidRDefault="004A1B22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D46A01" w:rsidRPr="00515E8F" w:rsidRDefault="004A1B22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29F3" w:rsidRDefault="000A29F3" w:rsidP="001F7D76">
      <w:pPr>
        <w:tabs>
          <w:tab w:val="left" w:pos="5344"/>
        </w:tabs>
        <w:jc w:val="both"/>
        <w:rPr>
          <w:noProof/>
        </w:rPr>
      </w:pPr>
    </w:p>
    <w:p w:rsidR="007B0692" w:rsidRDefault="007B0692" w:rsidP="007B0692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B0692" w:rsidRDefault="007B0692" w:rsidP="007B0692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B0692" w:rsidRDefault="007B0692" w:rsidP="007B0692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7B0692" w:rsidRPr="00EA2028" w:rsidRDefault="007B0692" w:rsidP="007B0692">
      <w:r w:rsidRPr="00EA2028">
        <w:rPr>
          <w:noProof/>
        </w:rPr>
        <w:drawing>
          <wp:inline distT="0" distB="0" distL="0" distR="0" wp14:anchorId="09CFF56A" wp14:editId="0A06A885">
            <wp:extent cx="5943600" cy="3470910"/>
            <wp:effectExtent l="0" t="0" r="0" b="1524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3F3D" w:rsidRDefault="00D8272D" w:rsidP="001F7D76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monitorimi Janar Dhjetor 2023</w:t>
      </w:r>
      <w:r w:rsidR="000A2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FCF">
        <w:rPr>
          <w:rFonts w:ascii="Times New Roman" w:hAnsi="Times New Roman" w:cs="Times New Roman"/>
          <w:sz w:val="24"/>
          <w:szCs w:val="24"/>
        </w:rPr>
        <w:t>lidhur me k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="00A56FCF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="00A56FCF">
        <w:rPr>
          <w:rFonts w:ascii="Times New Roman" w:hAnsi="Times New Roman" w:cs="Times New Roman"/>
          <w:sz w:val="24"/>
          <w:szCs w:val="24"/>
        </w:rPr>
        <w:t xml:space="preserve"> objektiv </w:t>
      </w:r>
      <w:r w:rsidR="00683F3D">
        <w:rPr>
          <w:rFonts w:ascii="Times New Roman" w:hAnsi="Times New Roman" w:cs="Times New Roman"/>
          <w:sz w:val="24"/>
          <w:szCs w:val="24"/>
        </w:rPr>
        <w:t>jan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683F3D">
        <w:rPr>
          <w:rFonts w:ascii="Times New Roman" w:hAnsi="Times New Roman" w:cs="Times New Roman"/>
          <w:sz w:val="24"/>
          <w:szCs w:val="24"/>
        </w:rPr>
        <w:t xml:space="preserve"> </w:t>
      </w:r>
      <w:r w:rsidR="004A3DEF">
        <w:rPr>
          <w:rFonts w:ascii="Times New Roman" w:hAnsi="Times New Roman" w:cs="Times New Roman"/>
          <w:sz w:val="24"/>
          <w:szCs w:val="24"/>
        </w:rPr>
        <w:t xml:space="preserve">realizuar </w:t>
      </w:r>
      <w:r w:rsidR="00683F3D">
        <w:rPr>
          <w:rFonts w:ascii="Times New Roman" w:hAnsi="Times New Roman" w:cs="Times New Roman"/>
          <w:sz w:val="24"/>
          <w:szCs w:val="24"/>
        </w:rPr>
        <w:t xml:space="preserve">masat dhe aktivitete </w:t>
      </w:r>
      <w:r>
        <w:rPr>
          <w:rFonts w:ascii="Times New Roman" w:hAnsi="Times New Roman" w:cs="Times New Roman"/>
          <w:sz w:val="24"/>
          <w:szCs w:val="24"/>
        </w:rPr>
        <w:t>si 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vijon:</w:t>
      </w:r>
    </w:p>
    <w:p w:rsidR="00683F3D" w:rsidRDefault="00683F3D" w:rsidP="001F7D7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2D" w:rsidRPr="00D8272D" w:rsidRDefault="00D8272D" w:rsidP="001F7D7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Jan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masa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menaxhimin e procesit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publikimit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vendeve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lira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faqen zyrtare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 publikimit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tyren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linkun </w:t>
      </w:r>
      <w:hyperlink r:id="rId14" w:history="1">
        <w:r w:rsidRPr="007542E4">
          <w:rPr>
            <w:rStyle w:val="Hyperlink"/>
            <w:rFonts w:ascii="Times New Roman" w:hAnsi="Times New Roman" w:cs="Times New Roman"/>
            <w:sz w:val="24"/>
            <w:szCs w:val="24"/>
          </w:rPr>
          <w:t>https://tirana.al/punesimi/vende-pune</w:t>
        </w:r>
      </w:hyperlink>
      <w:r w:rsidR="009F1DF6">
        <w:rPr>
          <w:rStyle w:val="Hyperlink"/>
          <w:rFonts w:ascii="Times New Roman" w:hAnsi="Times New Roman" w:cs="Times New Roman"/>
          <w:sz w:val="24"/>
          <w:szCs w:val="24"/>
        </w:rPr>
        <w:t>;</w:t>
      </w:r>
    </w:p>
    <w:p w:rsidR="00994159" w:rsidRDefault="00D8272D" w:rsidP="001F7D76">
      <w:pPr>
        <w:pStyle w:val="ListParagraph"/>
        <w:numPr>
          <w:ilvl w:val="0"/>
          <w:numId w:val="1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Drejtoria e burimeve njerezore ka kryer analiz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nave statistikore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nje planifikim sa 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efe</w:t>
      </w:r>
      <w:r w:rsidR="00197ECD">
        <w:rPr>
          <w:rFonts w:ascii="Times New Roman" w:hAnsi="Times New Roman" w:cs="Times New Roman"/>
          <w:sz w:val="24"/>
          <w:szCs w:val="24"/>
        </w:rPr>
        <w:t>ktiv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197ECD">
        <w:rPr>
          <w:rFonts w:ascii="Times New Roman" w:hAnsi="Times New Roman" w:cs="Times New Roman"/>
          <w:sz w:val="24"/>
          <w:szCs w:val="24"/>
        </w:rPr>
        <w:t xml:space="preserve"> kapaciteteve njer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197ECD">
        <w:rPr>
          <w:rFonts w:ascii="Times New Roman" w:hAnsi="Times New Roman" w:cs="Times New Roman"/>
          <w:sz w:val="24"/>
          <w:szCs w:val="24"/>
        </w:rPr>
        <w:t xml:space="preserve">zore </w:t>
      </w:r>
      <w:r>
        <w:rPr>
          <w:rFonts w:ascii="Times New Roman" w:hAnsi="Times New Roman" w:cs="Times New Roman"/>
          <w:sz w:val="24"/>
          <w:szCs w:val="24"/>
        </w:rPr>
        <w:t xml:space="preserve">si dhe 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reflektuar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rregullore </w:t>
      </w:r>
      <w:r w:rsidR="00994159">
        <w:rPr>
          <w:rFonts w:ascii="Times New Roman" w:hAnsi="Times New Roman" w:cs="Times New Roman"/>
          <w:sz w:val="24"/>
          <w:szCs w:val="24"/>
        </w:rPr>
        <w:t>nevoja e q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ndrueshm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ris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burimeve njer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zore</w:t>
      </w:r>
      <w:r w:rsidR="009F1DF6">
        <w:rPr>
          <w:rFonts w:ascii="Times New Roman" w:hAnsi="Times New Roman" w:cs="Times New Roman"/>
          <w:sz w:val="24"/>
          <w:szCs w:val="24"/>
        </w:rPr>
        <w:t>;</w:t>
      </w:r>
    </w:p>
    <w:p w:rsidR="00100619" w:rsidRPr="00994159" w:rsidRDefault="008E6BA1" w:rsidP="001F7D76">
      <w:pPr>
        <w:pStyle w:val="ListParagraph"/>
        <w:numPr>
          <w:ilvl w:val="0"/>
          <w:numId w:val="1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v</w:t>
      </w:r>
      <w:r w:rsidR="00197ECD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197ECD">
        <w:rPr>
          <w:rFonts w:ascii="Times New Roman" w:hAnsi="Times New Roman" w:cs="Times New Roman"/>
          <w:sz w:val="24"/>
          <w:szCs w:val="24"/>
        </w:rPr>
        <w:t xml:space="preserve">simi i qendrave komunitare </w:t>
      </w:r>
      <w:r w:rsidR="00994159">
        <w:rPr>
          <w:rFonts w:ascii="Times New Roman" w:hAnsi="Times New Roman" w:cs="Times New Roman"/>
          <w:sz w:val="24"/>
          <w:szCs w:val="24"/>
        </w:rPr>
        <w:t>si dhe jan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miratuar </w:t>
      </w:r>
      <w:r w:rsidR="00A5195D">
        <w:rPr>
          <w:rFonts w:ascii="Times New Roman" w:hAnsi="Times New Roman" w:cs="Times New Roman"/>
          <w:sz w:val="24"/>
          <w:szCs w:val="24"/>
        </w:rPr>
        <w:t>strategjite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A5195D"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A5195D">
        <w:rPr>
          <w:rFonts w:ascii="Times New Roman" w:hAnsi="Times New Roman" w:cs="Times New Roman"/>
          <w:sz w:val="24"/>
          <w:szCs w:val="24"/>
        </w:rPr>
        <w:t>rmir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A5195D">
        <w:rPr>
          <w:rFonts w:ascii="Times New Roman" w:hAnsi="Times New Roman" w:cs="Times New Roman"/>
          <w:sz w:val="24"/>
          <w:szCs w:val="24"/>
        </w:rPr>
        <w:t xml:space="preserve">simin e </w:t>
      </w:r>
      <w:r w:rsidR="00994159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rbimit social me objektiva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qarta dhe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mundshme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F1DF6">
        <w:rPr>
          <w:rFonts w:ascii="Times New Roman" w:hAnsi="Times New Roman" w:cs="Times New Roman"/>
          <w:sz w:val="24"/>
          <w:szCs w:val="24"/>
        </w:rPr>
        <w:t xml:space="preserve"> drejtim;</w:t>
      </w:r>
    </w:p>
    <w:p w:rsidR="00100619" w:rsidRDefault="00100619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33A0B" w:rsidRPr="00515E8F" w:rsidRDefault="00D8272D" w:rsidP="001F7D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E0428E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133A0B" w:rsidRPr="00515E8F">
        <w:rPr>
          <w:rFonts w:ascii="Times New Roman" w:hAnsi="Times New Roman" w:cs="Times New Roman"/>
          <w:sz w:val="24"/>
          <w:szCs w:val="24"/>
          <w:lang w:val="sq-AL"/>
        </w:rPr>
        <w:t>Menaxhimit të riskut të integritetit për të gjithë bashkinë, me fokus në fu</w:t>
      </w:r>
      <w:r w:rsidR="00E0428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ha të veçanta të përgjegjësisë”</w:t>
      </w:r>
    </w:p>
    <w:p w:rsidR="00683F3D" w:rsidRDefault="00067963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515E8F">
        <w:rPr>
          <w:rFonts w:ascii="Times New Roman" w:hAnsi="Times New Roman" w:cs="Times New Roman"/>
          <w:lang w:val="sq-AL"/>
        </w:rPr>
        <w:t>P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rmes k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 xml:space="preserve">tij objektivi synohet </w:t>
      </w:r>
      <w:r w:rsidR="001E36B1" w:rsidRPr="00515E8F">
        <w:rPr>
          <w:rFonts w:ascii="Times New Roman" w:hAnsi="Times New Roman" w:cs="Times New Roman"/>
          <w:lang w:val="sq-AL"/>
        </w:rPr>
        <w:t>i</w:t>
      </w:r>
      <w:r w:rsidRPr="00515E8F">
        <w:rPr>
          <w:rFonts w:ascii="Times New Roman" w:hAnsi="Times New Roman" w:cs="Times New Roman"/>
          <w:lang w:val="sq-AL"/>
        </w:rPr>
        <w:t>dentifikimi dhe vlerësimi i ris</w:t>
      </w:r>
      <w:r w:rsidR="001164A9" w:rsidRPr="00515E8F">
        <w:rPr>
          <w:rFonts w:ascii="Times New Roman" w:hAnsi="Times New Roman" w:cs="Times New Roman"/>
          <w:lang w:val="sq-AL"/>
        </w:rPr>
        <w:t>qeve të integritetit në Bashki,</w:t>
      </w:r>
      <w:r w:rsidRPr="00515E8F">
        <w:rPr>
          <w:rFonts w:ascii="Times New Roman" w:hAnsi="Times New Roman" w:cs="Times New Roman"/>
          <w:lang w:val="sq-AL"/>
        </w:rPr>
        <w:t xml:space="preserve"> të cilat hasen më së shumti në fusha të veçanta të përgjegjësisë</w:t>
      </w:r>
      <w:r w:rsidR="004924C7">
        <w:rPr>
          <w:rFonts w:ascii="Times New Roman" w:hAnsi="Times New Roman" w:cs="Times New Roman"/>
          <w:lang w:val="sq-AL"/>
        </w:rPr>
        <w:t xml:space="preserve"> e cila paraqet sfida n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drejtim t</w:t>
      </w:r>
      <w:r w:rsidR="008E6BA1">
        <w:rPr>
          <w:rFonts w:ascii="Times New Roman" w:hAnsi="Times New Roman" w:cs="Times New Roman"/>
          <w:lang w:val="sq-AL"/>
        </w:rPr>
        <w:t>ë</w:t>
      </w:r>
      <w:r w:rsidR="00D01BDB">
        <w:rPr>
          <w:rFonts w:ascii="Times New Roman" w:hAnsi="Times New Roman" w:cs="Times New Roman"/>
          <w:lang w:val="sq-AL"/>
        </w:rPr>
        <w:t xml:space="preserve"> </w:t>
      </w:r>
      <w:r w:rsidR="004924C7">
        <w:rPr>
          <w:rFonts w:ascii="Times New Roman" w:hAnsi="Times New Roman" w:cs="Times New Roman"/>
          <w:lang w:val="sq-AL"/>
        </w:rPr>
        <w:t>fush</w:t>
      </w:r>
      <w:r w:rsidR="008E6BA1">
        <w:rPr>
          <w:rFonts w:ascii="Times New Roman" w:hAnsi="Times New Roman" w:cs="Times New Roman"/>
          <w:lang w:val="sq-AL"/>
        </w:rPr>
        <w:t>ë</w:t>
      </w:r>
      <w:r w:rsidR="00D01BDB">
        <w:rPr>
          <w:rFonts w:ascii="Times New Roman" w:hAnsi="Times New Roman" w:cs="Times New Roman"/>
          <w:lang w:val="sq-AL"/>
        </w:rPr>
        <w:t>s</w:t>
      </w:r>
      <w:r w:rsidR="004924C7">
        <w:rPr>
          <w:rFonts w:ascii="Times New Roman" w:hAnsi="Times New Roman" w:cs="Times New Roman"/>
          <w:lang w:val="sq-AL"/>
        </w:rPr>
        <w:t xml:space="preserve"> s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m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>naxhimit finaciar, menazhimit t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pronave t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bashkis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>, sh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>rbimeve publike</w:t>
      </w:r>
      <w:r w:rsidR="00D01BDB">
        <w:rPr>
          <w:rFonts w:ascii="Times New Roman" w:hAnsi="Times New Roman" w:cs="Times New Roman"/>
          <w:lang w:val="sq-AL"/>
        </w:rPr>
        <w:t xml:space="preserve">, </w:t>
      </w:r>
      <w:r w:rsidR="004924C7">
        <w:rPr>
          <w:rFonts w:ascii="Times New Roman" w:hAnsi="Times New Roman" w:cs="Times New Roman"/>
          <w:lang w:val="sq-AL"/>
        </w:rPr>
        <w:t>si dhe planifikimit t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territorit.</w:t>
      </w:r>
    </w:p>
    <w:p w:rsidR="004924C7" w:rsidRDefault="004924C7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4924C7" w:rsidRDefault="004924C7" w:rsidP="001F7D7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:rsidR="004924C7" w:rsidRDefault="004924C7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Default="00067963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515E8F">
        <w:rPr>
          <w:rFonts w:ascii="Times New Roman" w:hAnsi="Times New Roman" w:cs="Times New Roman"/>
          <w:lang w:val="sq-AL"/>
        </w:rPr>
        <w:lastRenderedPageBreak/>
        <w:t>Gjat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 xml:space="preserve"> periudh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s raportuese</w:t>
      </w:r>
      <w:r w:rsidR="00F31C77">
        <w:rPr>
          <w:rFonts w:ascii="Times New Roman" w:hAnsi="Times New Roman" w:cs="Times New Roman"/>
          <w:lang w:val="sq-AL"/>
        </w:rPr>
        <w:t xml:space="preserve"> p</w:t>
      </w:r>
      <w:r w:rsidR="008E6BA1">
        <w:rPr>
          <w:rFonts w:ascii="Times New Roman" w:hAnsi="Times New Roman" w:cs="Times New Roman"/>
          <w:lang w:val="sq-AL"/>
        </w:rPr>
        <w:t>ë</w:t>
      </w:r>
      <w:r w:rsidR="00F31C77">
        <w:rPr>
          <w:rFonts w:ascii="Times New Roman" w:hAnsi="Times New Roman" w:cs="Times New Roman"/>
          <w:lang w:val="sq-AL"/>
        </w:rPr>
        <w:t>r vitin 2023</w:t>
      </w:r>
      <w:r w:rsidR="00D01BDB">
        <w:rPr>
          <w:rFonts w:ascii="Times New Roman" w:hAnsi="Times New Roman" w:cs="Times New Roman"/>
          <w:lang w:val="sq-AL"/>
        </w:rPr>
        <w:t>,</w:t>
      </w:r>
      <w:r w:rsidRPr="00515E8F">
        <w:rPr>
          <w:rFonts w:ascii="Times New Roman" w:hAnsi="Times New Roman" w:cs="Times New Roman"/>
          <w:lang w:val="sq-AL"/>
        </w:rPr>
        <w:t xml:space="preserve"> </w:t>
      </w:r>
      <w:r w:rsidR="00CC58D3">
        <w:rPr>
          <w:rFonts w:ascii="Times New Roman" w:hAnsi="Times New Roman" w:cs="Times New Roman"/>
          <w:lang w:val="sq-AL"/>
        </w:rPr>
        <w:t xml:space="preserve">për këtë objektiv, </w:t>
      </w:r>
      <w:r w:rsidR="00A56FCF">
        <w:rPr>
          <w:rFonts w:ascii="Times New Roman" w:hAnsi="Times New Roman" w:cs="Times New Roman"/>
          <w:lang w:val="sq-AL"/>
        </w:rPr>
        <w:t>janë planifikuar 28</w:t>
      </w:r>
      <w:r w:rsidR="00260BF9">
        <w:rPr>
          <w:rFonts w:ascii="Times New Roman" w:hAnsi="Times New Roman" w:cs="Times New Roman"/>
          <w:lang w:val="sq-AL"/>
        </w:rPr>
        <w:t xml:space="preserve"> masa/aktivitete ku rezulton se janë realizuar</w:t>
      </w:r>
      <w:r w:rsidR="00CC58D3">
        <w:rPr>
          <w:rFonts w:ascii="Times New Roman" w:hAnsi="Times New Roman" w:cs="Times New Roman"/>
          <w:lang w:val="sq-AL"/>
        </w:rPr>
        <w:t>,</w:t>
      </w:r>
      <w:r w:rsidR="00A56FCF">
        <w:rPr>
          <w:rFonts w:ascii="Times New Roman" w:hAnsi="Times New Roman" w:cs="Times New Roman"/>
          <w:lang w:val="sq-AL"/>
        </w:rPr>
        <w:t xml:space="preserve"> 16 masa/aktivitete ose 57</w:t>
      </w:r>
      <w:r w:rsidR="00260BF9">
        <w:rPr>
          <w:rFonts w:ascii="Times New Roman" w:hAnsi="Times New Roman" w:cs="Times New Roman"/>
          <w:lang w:val="sq-AL"/>
        </w:rPr>
        <w:t>%, janë në proces realizimi</w:t>
      </w:r>
      <w:r w:rsidR="00CC58D3">
        <w:rPr>
          <w:rFonts w:ascii="Times New Roman" w:hAnsi="Times New Roman" w:cs="Times New Roman"/>
          <w:lang w:val="sq-AL"/>
        </w:rPr>
        <w:t>,</w:t>
      </w:r>
      <w:r w:rsidR="00A56FCF">
        <w:rPr>
          <w:rFonts w:ascii="Times New Roman" w:hAnsi="Times New Roman" w:cs="Times New Roman"/>
          <w:lang w:val="sq-AL"/>
        </w:rPr>
        <w:t xml:space="preserve"> 8 masa/aktivitete ose 28</w:t>
      </w:r>
      <w:r w:rsidR="00260BF9">
        <w:rPr>
          <w:rFonts w:ascii="Times New Roman" w:hAnsi="Times New Roman" w:cs="Times New Roman"/>
          <w:lang w:val="sq-AL"/>
        </w:rPr>
        <w:t>% dhe nuk janë realizuar</w:t>
      </w:r>
      <w:r w:rsidR="00CC58D3">
        <w:rPr>
          <w:rFonts w:ascii="Times New Roman" w:hAnsi="Times New Roman" w:cs="Times New Roman"/>
          <w:lang w:val="sq-AL"/>
        </w:rPr>
        <w:t>,</w:t>
      </w:r>
      <w:r w:rsidR="00A56FCF">
        <w:rPr>
          <w:rFonts w:ascii="Times New Roman" w:hAnsi="Times New Roman" w:cs="Times New Roman"/>
          <w:lang w:val="sq-AL"/>
        </w:rPr>
        <w:t xml:space="preserve"> 4 </w:t>
      </w:r>
      <w:r w:rsidR="00260BF9">
        <w:rPr>
          <w:rFonts w:ascii="Times New Roman" w:hAnsi="Times New Roman" w:cs="Times New Roman"/>
          <w:lang w:val="sq-AL"/>
        </w:rPr>
        <w:t>masa/aktivitete ose 14%</w:t>
      </w:r>
      <w:r w:rsidR="00CC58D3">
        <w:rPr>
          <w:rFonts w:ascii="Times New Roman" w:hAnsi="Times New Roman" w:cs="Times New Roman"/>
          <w:lang w:val="sq-AL"/>
        </w:rPr>
        <w:t>,</w:t>
      </w:r>
      <w:r w:rsidR="00260BF9">
        <w:rPr>
          <w:rFonts w:ascii="Times New Roman" w:hAnsi="Times New Roman" w:cs="Times New Roman"/>
          <w:lang w:val="sq-AL"/>
        </w:rPr>
        <w:t xml:space="preserve"> sipas </w:t>
      </w:r>
      <w:r w:rsidRPr="00515E8F">
        <w:rPr>
          <w:rFonts w:ascii="Times New Roman" w:hAnsi="Times New Roman" w:cs="Times New Roman"/>
          <w:lang w:val="sq-AL"/>
        </w:rPr>
        <w:t>tabel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s si m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 xml:space="preserve"> posht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:</w:t>
      </w:r>
    </w:p>
    <w:p w:rsidR="0045459A" w:rsidRPr="00515E8F" w:rsidRDefault="0045459A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515E8F" w:rsidRDefault="0018611F" w:rsidP="001F7D76">
      <w:pPr>
        <w:pStyle w:val="Default"/>
        <w:jc w:val="both"/>
        <w:rPr>
          <w:rFonts w:ascii="Gill Sans MT" w:hAnsi="Gill Sans MT" w:cs="Gill Sans MT"/>
          <w:sz w:val="20"/>
          <w:szCs w:val="20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542429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:rsidR="00067963" w:rsidRPr="00515E8F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7963" w:rsidRPr="003E3044" w:rsidRDefault="00067963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067963" w:rsidRPr="003E3044" w:rsidRDefault="00067963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067963" w:rsidRPr="003E3044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63" w:rsidRPr="003E3044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067963" w:rsidRPr="00515E8F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542429" w:rsidTr="006C5C70">
        <w:trPr>
          <w:trHeight w:val="918"/>
        </w:trPr>
        <w:tc>
          <w:tcPr>
            <w:tcW w:w="1807" w:type="dxa"/>
            <w:vMerge/>
            <w:vAlign w:val="center"/>
          </w:tcPr>
          <w:p w:rsidR="00067963" w:rsidRPr="00515E8F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067963" w:rsidRPr="00515E8F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067963" w:rsidRPr="00515E8F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AE0E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067963" w:rsidRPr="00515E8F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067963" w:rsidRPr="00515E8F" w:rsidRDefault="00067963" w:rsidP="00E428A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E428A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 realizimi</w:t>
            </w:r>
          </w:p>
        </w:tc>
        <w:tc>
          <w:tcPr>
            <w:tcW w:w="1482" w:type="dxa"/>
            <w:vAlign w:val="center"/>
          </w:tcPr>
          <w:p w:rsidR="00067963" w:rsidRPr="00515E8F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3E3044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:rsidR="006C5C70" w:rsidRPr="003E3044" w:rsidRDefault="006C5C7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Menaxhimi i riskut të integritetit me focus fusha të vecanta të përgjegjësisë</w:t>
            </w:r>
          </w:p>
        </w:tc>
        <w:tc>
          <w:tcPr>
            <w:tcW w:w="1504" w:type="dxa"/>
            <w:vAlign w:val="center"/>
          </w:tcPr>
          <w:p w:rsidR="006C5C70" w:rsidRPr="00515E8F" w:rsidRDefault="00F758F1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9" w:type="dxa"/>
            <w:vAlign w:val="center"/>
          </w:tcPr>
          <w:p w:rsidR="006C5C70" w:rsidRPr="00515E8F" w:rsidRDefault="00CC5C90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4" w:type="dxa"/>
            <w:vAlign w:val="center"/>
          </w:tcPr>
          <w:p w:rsidR="006C5C70" w:rsidRPr="00515E8F" w:rsidRDefault="00F758F1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  <w:vAlign w:val="center"/>
          </w:tcPr>
          <w:p w:rsidR="006C5C70" w:rsidRPr="00515E8F" w:rsidRDefault="009767B1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7963" w:rsidRPr="003E3044" w:rsidRDefault="00067963" w:rsidP="001F7D76">
      <w:pPr>
        <w:pStyle w:val="Default"/>
        <w:spacing w:after="85"/>
        <w:jc w:val="both"/>
        <w:rPr>
          <w:rFonts w:ascii="Times New Roman" w:hAnsi="Times New Roman" w:cs="Times New Roman"/>
        </w:rPr>
      </w:pPr>
    </w:p>
    <w:p w:rsidR="00067963" w:rsidRDefault="00067963" w:rsidP="001F7D76">
      <w:pPr>
        <w:tabs>
          <w:tab w:val="left" w:pos="37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6FCF" w:rsidRDefault="00A56FCF" w:rsidP="00A56FCF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A56FCF" w:rsidRPr="00EA2028" w:rsidRDefault="00A56FCF" w:rsidP="00A56FCF">
      <w:r w:rsidRPr="00EA2028">
        <w:rPr>
          <w:noProof/>
        </w:rPr>
        <w:drawing>
          <wp:inline distT="0" distB="0" distL="0" distR="0" wp14:anchorId="48C61C2C" wp14:editId="73338F6F">
            <wp:extent cx="5943600" cy="3470910"/>
            <wp:effectExtent l="0" t="0" r="0" b="152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97A76" w:rsidRDefault="00797A76" w:rsidP="001F7D76">
      <w:pPr>
        <w:tabs>
          <w:tab w:val="left" w:pos="37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B27" w:rsidRDefault="00402B27" w:rsidP="001F7D76">
      <w:pPr>
        <w:tabs>
          <w:tab w:val="left" w:pos="37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B27" w:rsidRPr="003E3044" w:rsidRDefault="00402B27" w:rsidP="001F7D76">
      <w:pPr>
        <w:tabs>
          <w:tab w:val="left" w:pos="37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E4C" w:rsidRPr="00D45D4F" w:rsidRDefault="00797A76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E3044">
        <w:rPr>
          <w:rFonts w:ascii="Times New Roman" w:hAnsi="Times New Roman" w:cs="Times New Roman"/>
          <w:sz w:val="24"/>
          <w:szCs w:val="24"/>
        </w:rPr>
        <w:t>ë</w:t>
      </w:r>
      <w:r w:rsidR="00A538F5" w:rsidRPr="003E3044">
        <w:rPr>
          <w:rFonts w:ascii="Times New Roman" w:hAnsi="Times New Roman" w:cs="Times New Roman"/>
          <w:sz w:val="24"/>
          <w:szCs w:val="24"/>
        </w:rPr>
        <w:t>r k</w:t>
      </w:r>
      <w:r w:rsidR="003E3044">
        <w:rPr>
          <w:rFonts w:ascii="Times New Roman" w:hAnsi="Times New Roman" w:cs="Times New Roman"/>
          <w:sz w:val="24"/>
          <w:szCs w:val="24"/>
        </w:rPr>
        <w:t>ë</w:t>
      </w:r>
      <w:r w:rsidR="00A538F5" w:rsidRPr="003E3044">
        <w:rPr>
          <w:rFonts w:ascii="Times New Roman" w:hAnsi="Times New Roman" w:cs="Times New Roman"/>
          <w:sz w:val="24"/>
          <w:szCs w:val="24"/>
        </w:rPr>
        <w:t>t</w:t>
      </w:r>
      <w:r w:rsidR="003E3044">
        <w:rPr>
          <w:rFonts w:ascii="Times New Roman" w:hAnsi="Times New Roman" w:cs="Times New Roman"/>
          <w:sz w:val="24"/>
          <w:szCs w:val="24"/>
        </w:rPr>
        <w:t>ë</w:t>
      </w:r>
      <w:r w:rsidR="00A538F5" w:rsidRPr="003E3044">
        <w:rPr>
          <w:rFonts w:ascii="Times New Roman" w:hAnsi="Times New Roman" w:cs="Times New Roman"/>
          <w:sz w:val="24"/>
          <w:szCs w:val="24"/>
        </w:rPr>
        <w:t xml:space="preserve"> periudh</w:t>
      </w:r>
      <w:r w:rsidR="003E3044">
        <w:rPr>
          <w:rFonts w:ascii="Times New Roman" w:hAnsi="Times New Roman" w:cs="Times New Roman"/>
          <w:sz w:val="24"/>
          <w:szCs w:val="24"/>
        </w:rPr>
        <w:t>ë</w:t>
      </w:r>
      <w:r w:rsidR="00A538F5" w:rsidRPr="003E3044">
        <w:rPr>
          <w:rFonts w:ascii="Times New Roman" w:hAnsi="Times New Roman" w:cs="Times New Roman"/>
          <w:sz w:val="24"/>
          <w:szCs w:val="24"/>
        </w:rPr>
        <w:t xml:space="preserve"> raportim</w:t>
      </w:r>
      <w:r w:rsidR="002F0F69">
        <w:rPr>
          <w:rFonts w:ascii="Times New Roman" w:hAnsi="Times New Roman" w:cs="Times New Roman"/>
          <w:sz w:val="24"/>
          <w:szCs w:val="24"/>
        </w:rPr>
        <w:t>i</w:t>
      </w:r>
      <w:r w:rsidR="00A538F5"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="009032A8">
        <w:rPr>
          <w:rFonts w:ascii="Times New Roman" w:hAnsi="Times New Roman" w:cs="Times New Roman"/>
          <w:sz w:val="24"/>
          <w:szCs w:val="24"/>
        </w:rPr>
        <w:t xml:space="preserve">nga realizimi </w:t>
      </w:r>
      <w:r w:rsidR="002F0F69">
        <w:rPr>
          <w:rFonts w:ascii="Times New Roman" w:hAnsi="Times New Roman" w:cs="Times New Roman"/>
          <w:sz w:val="24"/>
          <w:szCs w:val="24"/>
        </w:rPr>
        <w:t>i</w:t>
      </w:r>
      <w:r w:rsidR="009032A8">
        <w:rPr>
          <w:rFonts w:ascii="Times New Roman" w:hAnsi="Times New Roman" w:cs="Times New Roman"/>
          <w:sz w:val="24"/>
          <w:szCs w:val="24"/>
        </w:rPr>
        <w:t xml:space="preserve"> masave dhe aktiviteteve </w:t>
      </w:r>
      <w:r>
        <w:rPr>
          <w:rFonts w:ascii="Times New Roman" w:hAnsi="Times New Roman" w:cs="Times New Roman"/>
          <w:sz w:val="24"/>
          <w:szCs w:val="24"/>
        </w:rPr>
        <w:t>jan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032A8">
        <w:rPr>
          <w:rFonts w:ascii="Times New Roman" w:hAnsi="Times New Roman" w:cs="Times New Roman"/>
          <w:sz w:val="24"/>
          <w:szCs w:val="24"/>
        </w:rPr>
        <w:t xml:space="preserve"> arritur </w:t>
      </w:r>
      <w:r w:rsidR="00D8689F">
        <w:rPr>
          <w:rFonts w:ascii="Times New Roman" w:hAnsi="Times New Roman" w:cs="Times New Roman"/>
          <w:sz w:val="24"/>
          <w:szCs w:val="24"/>
        </w:rPr>
        <w:t xml:space="preserve">rezultate </w:t>
      </w:r>
      <w:r w:rsidR="009032A8">
        <w:rPr>
          <w:rFonts w:ascii="Times New Roman" w:hAnsi="Times New Roman" w:cs="Times New Roman"/>
          <w:sz w:val="24"/>
          <w:szCs w:val="24"/>
        </w:rPr>
        <w:t>n</w:t>
      </w:r>
      <w:r w:rsidR="00F130DC">
        <w:rPr>
          <w:rFonts w:ascii="Times New Roman" w:hAnsi="Times New Roman" w:cs="Times New Roman"/>
          <w:sz w:val="24"/>
          <w:szCs w:val="24"/>
        </w:rPr>
        <w:t>ë</w:t>
      </w:r>
      <w:r w:rsidR="009032A8">
        <w:rPr>
          <w:rFonts w:ascii="Times New Roman" w:hAnsi="Times New Roman" w:cs="Times New Roman"/>
          <w:sz w:val="24"/>
          <w:szCs w:val="24"/>
        </w:rPr>
        <w:t xml:space="preserve"> </w:t>
      </w:r>
      <w:r w:rsidR="00D8689F">
        <w:rPr>
          <w:rFonts w:ascii="Times New Roman" w:hAnsi="Times New Roman" w:cs="Times New Roman"/>
          <w:sz w:val="24"/>
          <w:szCs w:val="24"/>
        </w:rPr>
        <w:t>k</w:t>
      </w:r>
      <w:r w:rsidR="00B055B5">
        <w:rPr>
          <w:rFonts w:ascii="Times New Roman" w:hAnsi="Times New Roman" w:cs="Times New Roman"/>
          <w:sz w:val="24"/>
          <w:szCs w:val="24"/>
        </w:rPr>
        <w:t>ë</w:t>
      </w:r>
      <w:r w:rsidR="00D8689F">
        <w:rPr>
          <w:rFonts w:ascii="Times New Roman" w:hAnsi="Times New Roman" w:cs="Times New Roman"/>
          <w:sz w:val="24"/>
          <w:szCs w:val="24"/>
        </w:rPr>
        <w:t xml:space="preserve">to </w:t>
      </w:r>
      <w:r w:rsidR="009032A8">
        <w:rPr>
          <w:rFonts w:ascii="Times New Roman" w:hAnsi="Times New Roman" w:cs="Times New Roman"/>
          <w:sz w:val="24"/>
          <w:szCs w:val="24"/>
        </w:rPr>
        <w:t>drejtim</w:t>
      </w:r>
      <w:r w:rsidR="00D8689F">
        <w:rPr>
          <w:rFonts w:ascii="Times New Roman" w:hAnsi="Times New Roman" w:cs="Times New Roman"/>
          <w:sz w:val="24"/>
          <w:szCs w:val="24"/>
        </w:rPr>
        <w:t>e</w:t>
      </w:r>
      <w:r w:rsidR="009032A8">
        <w:rPr>
          <w:rFonts w:ascii="Times New Roman" w:hAnsi="Times New Roman" w:cs="Times New Roman"/>
          <w:sz w:val="24"/>
          <w:szCs w:val="24"/>
        </w:rPr>
        <w:t>:</w:t>
      </w:r>
    </w:p>
    <w:p w:rsidR="00797A76" w:rsidRDefault="00797A76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E4C" w:rsidRPr="00AA5E4C" w:rsidRDefault="00AA5E4C" w:rsidP="001F7D7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kryer trajnime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A11CF">
        <w:rPr>
          <w:rFonts w:ascii="Times New Roman" w:hAnsi="Times New Roman" w:cs="Times New Roman"/>
          <w:sz w:val="24"/>
          <w:szCs w:val="24"/>
          <w:lang w:val="sq-AL"/>
        </w:rPr>
        <w:t xml:space="preserve"> punon</w:t>
      </w:r>
      <w:r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sve lidhur me konceptet baz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planifikimit buxhetor afatmes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dhe monitorimit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 xml:space="preserve"> tij;</w:t>
      </w:r>
    </w:p>
    <w:p w:rsidR="00E17E9D" w:rsidRPr="00515E8F" w:rsidRDefault="00AA5E4C" w:rsidP="001F7D7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Ështe realizuar publikimi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faqen zyrtare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 raporteve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audit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 informacion i cili gjendet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linkun https://tirana.al/artikull/sinjalizim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523E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17E9D" w:rsidRPr="00960E1F" w:rsidRDefault="00AA5E4C" w:rsidP="001F7D7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ngritur nga Drejtoria e 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Planifikimit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ve P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ublike,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grupe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r menaxhimin e kontratave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ve publike dhe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rastet e nevoj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r asistenc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rkohet  ndihm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1BDB">
        <w:rPr>
          <w:rFonts w:ascii="Times New Roman" w:hAnsi="Times New Roman" w:cs="Times New Roman"/>
          <w:sz w:val="24"/>
          <w:szCs w:val="24"/>
          <w:lang w:val="sq-AL"/>
        </w:rPr>
        <w:t xml:space="preserve"> nga Drejtoria e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rgjithshme Juridike;</w:t>
      </w:r>
    </w:p>
    <w:p w:rsidR="00E17E9D" w:rsidRPr="006433FD" w:rsidRDefault="00522FCB" w:rsidP="001F7D7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rcaktuar tashm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kontrat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procedura dhe roli i mbikqyr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sit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monitorimin dhe zbatimin e kontratave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ve Publike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rmjet procedurave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prokurimit publik, ligjeve dhe udh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zimeve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fuqi duke u kordinuar edhe m</w:t>
      </w:r>
      <w:r w:rsidR="007D0EDA"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Drejtorin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rgjithshme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C58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C58D3" w:rsidRPr="006433FD">
        <w:rPr>
          <w:rFonts w:ascii="Times New Roman" w:hAnsi="Times New Roman" w:cs="Times New Roman"/>
          <w:b/>
          <w:sz w:val="24"/>
          <w:szCs w:val="24"/>
          <w:lang w:val="sq-AL"/>
        </w:rPr>
        <w:t>Menaxhimit F</w:t>
      </w:r>
      <w:r w:rsidR="009F1DF6" w:rsidRPr="006433FD">
        <w:rPr>
          <w:rFonts w:ascii="Times New Roman" w:hAnsi="Times New Roman" w:cs="Times New Roman"/>
          <w:b/>
          <w:sz w:val="24"/>
          <w:szCs w:val="24"/>
          <w:lang w:val="sq-AL"/>
        </w:rPr>
        <w:t>inanciar;</w:t>
      </w:r>
    </w:p>
    <w:p w:rsidR="00A56FCF" w:rsidRPr="006433FD" w:rsidRDefault="00A56FCF" w:rsidP="00A56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3FD">
        <w:rPr>
          <w:rFonts w:ascii="Times New Roman" w:hAnsi="Times New Roman" w:cs="Times New Roman"/>
          <w:b/>
          <w:sz w:val="24"/>
          <w:szCs w:val="24"/>
        </w:rPr>
        <w:t>Hapa të tjera:</w:t>
      </w:r>
    </w:p>
    <w:p w:rsidR="00C35498" w:rsidRPr="006433FD" w:rsidRDefault="000C34C3" w:rsidP="006433F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3FD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vijoj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puna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 hartimin dhe miratimin e Procedurave standard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Veprimit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 administrimin dhe ruajtjen e dokumentave financiare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bashkis</w:t>
      </w:r>
      <w:r w:rsidR="000548D2">
        <w:rPr>
          <w:rFonts w:ascii="Times New Roman" w:hAnsi="Times New Roman" w:cs="Times New Roman"/>
          <w:sz w:val="24"/>
          <w:szCs w:val="24"/>
        </w:rPr>
        <w:t>ë,</w:t>
      </w:r>
      <w:r w:rsidRPr="006433FD">
        <w:rPr>
          <w:rFonts w:ascii="Times New Roman" w:hAnsi="Times New Roman" w:cs="Times New Roman"/>
          <w:sz w:val="24"/>
          <w:szCs w:val="24"/>
        </w:rPr>
        <w:t xml:space="preserve">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vijohet me trajnimet e brendshme te stafit n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fush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n e prokurimeve publike dhe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rfshihen ato n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kalendarin vjetor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trajnimeve.</w:t>
      </w:r>
    </w:p>
    <w:p w:rsidR="000C34C3" w:rsidRPr="006433FD" w:rsidRDefault="000C34C3" w:rsidP="006433F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3FD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vjohet me tyrajnimet q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ofron shkolla Shqiptare e Administrat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s publike lidhur me planifikimin buxhetor afatmes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m, rolin e analizave buxhetore me q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llim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rmir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simin e cil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sis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k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rkesave</w:t>
      </w:r>
      <w:r w:rsidR="006433FD" w:rsidRPr="006433FD">
        <w:rPr>
          <w:rFonts w:ascii="Times New Roman" w:hAnsi="Times New Roman" w:cs="Times New Roman"/>
          <w:sz w:val="24"/>
          <w:szCs w:val="24"/>
        </w:rPr>
        <w:t xml:space="preserve"> buxhetore dhe finalizimin e PBA-s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="006433FD" w:rsidRPr="006433FD">
        <w:rPr>
          <w:rFonts w:ascii="Times New Roman" w:hAnsi="Times New Roman" w:cs="Times New Roman"/>
          <w:sz w:val="24"/>
          <w:szCs w:val="24"/>
        </w:rPr>
        <w:t>.</w:t>
      </w:r>
    </w:p>
    <w:p w:rsidR="006433FD" w:rsidRPr="006433FD" w:rsidRDefault="006433FD" w:rsidP="006433F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3FD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kushtohet v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mendje mang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sive</w:t>
      </w:r>
      <w:r w:rsidRPr="006433FD">
        <w:rPr>
          <w:rFonts w:ascii="Times New Roman" w:hAnsi="Times New Roman" w:cs="Times New Roman"/>
          <w:sz w:val="24"/>
          <w:szCs w:val="24"/>
        </w:rPr>
        <w:t xml:space="preserve"> n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realizimin e buxhetit vendor si pasoj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e zbatimit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pjessh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m apo me vones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kontratave publike nga ana e kompanive fituese si dhe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rgatitja e nj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informacioni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detajuar n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k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drejtim.</w:t>
      </w:r>
    </w:p>
    <w:p w:rsidR="00522FCB" w:rsidRDefault="00522FCB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372" w:rsidRDefault="00522FCB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Konkluzione</w:t>
      </w:r>
      <w:r w:rsidR="000548D2">
        <w:rPr>
          <w:rFonts w:ascii="Times New Roman" w:hAnsi="Times New Roman" w:cs="Times New Roman"/>
          <w:sz w:val="24"/>
          <w:szCs w:val="24"/>
        </w:rPr>
        <w:t xml:space="preserve"> dhe rekomandime</w:t>
      </w:r>
      <w:r w:rsidR="008223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CB" w:rsidRDefault="00522FCB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rmbyllje</w:t>
      </w:r>
      <w:r w:rsidR="00056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 raporti monitorimi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vitin 2023</w:t>
      </w:r>
      <w:r w:rsidR="00056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gjetjeve q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ky document na ofron</w:t>
      </w:r>
      <w:r w:rsidR="00056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nave analitike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raportuara dhe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kryer rezulton se:</w:t>
      </w:r>
    </w:p>
    <w:p w:rsidR="008231C8" w:rsidRPr="008231C8" w:rsidRDefault="008231C8" w:rsidP="008231C8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76ED5">
        <w:rPr>
          <w:rFonts w:ascii="Times New Roman" w:hAnsi="Times New Roman" w:cs="Times New Roman"/>
          <w:sz w:val="24"/>
          <w:szCs w:val="24"/>
        </w:rPr>
        <w:t xml:space="preserve">Bashkia </w:t>
      </w:r>
      <w:r>
        <w:rPr>
          <w:rFonts w:ascii="Times New Roman" w:hAnsi="Times New Roman" w:cs="Times New Roman"/>
          <w:sz w:val="24"/>
          <w:szCs w:val="24"/>
        </w:rPr>
        <w:t xml:space="preserve">Tiranë </w:t>
      </w:r>
      <w:r w:rsidRPr="00E76ED5">
        <w:rPr>
          <w:rFonts w:ascii="Times New Roman" w:hAnsi="Times New Roman" w:cs="Times New Roman"/>
          <w:sz w:val="24"/>
          <w:szCs w:val="24"/>
        </w:rPr>
        <w:t xml:space="preserve">ka vijuar me zbatimin e planit të Integritetit duke realizuar një nivel të </w:t>
      </w:r>
      <w:r>
        <w:rPr>
          <w:rFonts w:ascii="Times New Roman" w:hAnsi="Times New Roman" w:cs="Times New Roman"/>
          <w:sz w:val="24"/>
          <w:szCs w:val="24"/>
        </w:rPr>
        <w:t xml:space="preserve">mire </w:t>
      </w:r>
      <w:r w:rsidRPr="00E76ED5">
        <w:rPr>
          <w:rFonts w:ascii="Times New Roman" w:hAnsi="Times New Roman" w:cs="Times New Roman"/>
          <w:sz w:val="24"/>
          <w:szCs w:val="24"/>
        </w:rPr>
        <w:t xml:space="preserve">të realizimit të masave të planifikuara </w:t>
      </w:r>
      <w:r>
        <w:rPr>
          <w:rFonts w:ascii="Times New Roman" w:hAnsi="Times New Roman" w:cs="Times New Roman"/>
          <w:sz w:val="24"/>
          <w:szCs w:val="24"/>
        </w:rPr>
        <w:t>për integritetin (61-80%</w:t>
      </w:r>
      <w:r w:rsidRPr="00E76ED5">
        <w:rPr>
          <w:rFonts w:ascii="Times New Roman" w:hAnsi="Times New Roman" w:cs="Times New Roman"/>
          <w:sz w:val="24"/>
          <w:szCs w:val="24"/>
        </w:rPr>
        <w:t xml:space="preserve">) për vitin 2023, për sa i përket realizimit të objektivave ka arritur një nivel të mirë realizimi në objektivin </w:t>
      </w:r>
      <w:r>
        <w:rPr>
          <w:rFonts w:ascii="Times New Roman" w:hAnsi="Times New Roman" w:cs="Times New Roman"/>
          <w:sz w:val="24"/>
          <w:szCs w:val="24"/>
        </w:rPr>
        <w:t>e dytë</w:t>
      </w:r>
      <w:r w:rsidR="00806F8C">
        <w:rPr>
          <w:rFonts w:ascii="Times New Roman" w:hAnsi="Times New Roman" w:cs="Times New Roman"/>
          <w:sz w:val="24"/>
          <w:szCs w:val="24"/>
        </w:rPr>
        <w:t xml:space="preserve"> me 72% te realizimit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Menaxhimit dhe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zhvillimit të burimeve njerëzore në Bashki, për parandalimin dhe identifikimin e risqeve të integritetit për të gjitha nivelet dhe funksionet në Bashki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” </w:t>
      </w:r>
      <w:r w:rsidR="00806F8C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>duke sjellë një impakt në</w:t>
      </w:r>
      <w:r w:rsidR="00355D4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06F8C">
        <w:rPr>
          <w:rFonts w:ascii="Times New Roman" w:hAnsi="Times New Roman" w:cs="Times New Roman"/>
          <w:sz w:val="24"/>
          <w:szCs w:val="24"/>
          <w:lang w:val="sq-AL"/>
        </w:rPr>
        <w:t xml:space="preserve">fuqizimin e </w:t>
      </w:r>
      <w:r w:rsidR="00355D45">
        <w:rPr>
          <w:rFonts w:ascii="Times New Roman" w:hAnsi="Times New Roman" w:cs="Times New Roman"/>
          <w:sz w:val="24"/>
          <w:szCs w:val="24"/>
          <w:lang w:val="sq-AL"/>
        </w:rPr>
        <w:t>burim</w:t>
      </w:r>
      <w:r w:rsidR="00806F8C">
        <w:rPr>
          <w:rFonts w:ascii="Times New Roman" w:hAnsi="Times New Roman" w:cs="Times New Roman"/>
          <w:sz w:val="24"/>
          <w:szCs w:val="24"/>
          <w:lang w:val="sq-AL"/>
        </w:rPr>
        <w:t>eve</w:t>
      </w:r>
      <w:r w:rsidR="00355D45">
        <w:rPr>
          <w:rFonts w:ascii="Times New Roman" w:hAnsi="Times New Roman" w:cs="Times New Roman"/>
          <w:sz w:val="24"/>
          <w:szCs w:val="24"/>
          <w:lang w:val="sq-AL"/>
        </w:rPr>
        <w:t xml:space="preserve"> njerëzore </w:t>
      </w:r>
      <w:r w:rsidR="00806F8C">
        <w:rPr>
          <w:rFonts w:ascii="Times New Roman" w:hAnsi="Times New Roman" w:cs="Times New Roman"/>
          <w:sz w:val="24"/>
          <w:szCs w:val="24"/>
          <w:lang w:val="sq-AL"/>
        </w:rPr>
        <w:t>të qëndrueshme dhe profesionale.</w:t>
      </w:r>
    </w:p>
    <w:p w:rsidR="000548D2" w:rsidRDefault="000548D2" w:rsidP="000548D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0EDA" w:rsidRPr="000548D2" w:rsidRDefault="007D0EDA" w:rsidP="000548D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8D2">
        <w:rPr>
          <w:rFonts w:ascii="Times New Roman" w:hAnsi="Times New Roman" w:cs="Times New Roman"/>
          <w:sz w:val="24"/>
          <w:szCs w:val="24"/>
          <w:lang w:val="sq-AL"/>
        </w:rPr>
        <w:lastRenderedPageBreak/>
        <w:t>Të vijohet me zbatimin dhe raportimin e masave dhe angazhimeve të evidentuara më sipër që vijojnë të jenë në proces apo janë të parealizuara, sipas fushave të etikës, burimeve njerëzore dhe fushave të veçanta të përgjegjësisë</w:t>
      </w:r>
      <w:r w:rsidR="009F1DF6" w:rsidRPr="000548D2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0548D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7D0EDA" w:rsidRPr="00662322" w:rsidRDefault="007D0EDA" w:rsidP="001F7D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62322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hAnsi="Times New Roman" w:cs="Times New Roman"/>
          <w:sz w:val="24"/>
          <w:szCs w:val="24"/>
          <w:lang w:val="sq-AL"/>
        </w:rPr>
        <w:t>fokusohet vëmendja në realizimin e masave/aktiviteteve</w:t>
      </w:r>
      <w:r w:rsidR="00EA11C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62322">
        <w:rPr>
          <w:rFonts w:ascii="Times New Roman" w:hAnsi="Times New Roman" w:cs="Times New Roman"/>
          <w:sz w:val="24"/>
          <w:szCs w:val="24"/>
          <w:lang w:val="sq-AL"/>
        </w:rPr>
        <w:t xml:space="preserve">sipas fushave të ndyshme funksionale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nivel bashkie</w:t>
      </w:r>
      <w:r w:rsidR="00503347">
        <w:rPr>
          <w:rFonts w:ascii="Times New Roman" w:hAnsi="Times New Roman" w:cs="Times New Roman"/>
          <w:sz w:val="24"/>
          <w:szCs w:val="24"/>
          <w:lang w:val="sq-AL"/>
        </w:rPr>
        <w:t xml:space="preserve"> që janë në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 xml:space="preserve"> proces dhe ato të pa realizuara;</w:t>
      </w:r>
    </w:p>
    <w:p w:rsidR="007D0EDA" w:rsidRPr="00662322" w:rsidRDefault="007D0EDA" w:rsidP="001F7D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62322">
        <w:rPr>
          <w:rFonts w:ascii="Times New Roman" w:hAnsi="Times New Roman" w:cs="Times New Roman"/>
          <w:sz w:val="24"/>
          <w:szCs w:val="24"/>
          <w:lang w:val="sq-AL"/>
        </w:rPr>
        <w:t>Dërgimi brenda afateve të përcaktuara si dhe në përputhje me formatet e kërkuara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62322">
        <w:rPr>
          <w:rFonts w:ascii="Times New Roman" w:hAnsi="Times New Roman" w:cs="Times New Roman"/>
          <w:sz w:val="24"/>
          <w:szCs w:val="24"/>
          <w:lang w:val="sq-AL"/>
        </w:rPr>
        <w:t xml:space="preserve"> kontributeve nga struktura</w:t>
      </w:r>
      <w:r>
        <w:rPr>
          <w:rFonts w:ascii="Times New Roman" w:hAnsi="Times New Roman" w:cs="Times New Roman"/>
          <w:sz w:val="24"/>
          <w:szCs w:val="24"/>
          <w:lang w:val="sq-AL"/>
        </w:rPr>
        <w:t>t dhe institucionet përgjegjëse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05857" w:rsidRDefault="007D0EDA" w:rsidP="001F7D76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2948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8508C4" w:rsidRDefault="008508C4" w:rsidP="008508C4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08C4" w:rsidRDefault="008508C4" w:rsidP="008508C4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08C4" w:rsidRPr="008508C4" w:rsidRDefault="008508C4" w:rsidP="008508C4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5B3A8F" w:rsidRPr="00405857" w:rsidRDefault="00405857" w:rsidP="00405857">
      <w:pPr>
        <w:tabs>
          <w:tab w:val="left" w:pos="1830"/>
        </w:tabs>
        <w:rPr>
          <w:lang w:val="sq-AL"/>
        </w:rPr>
      </w:pPr>
      <w:r>
        <w:rPr>
          <w:lang w:val="sq-AL"/>
        </w:rPr>
        <w:tab/>
      </w:r>
    </w:p>
    <w:sectPr w:rsidR="005B3A8F" w:rsidRPr="00405857" w:rsidSect="007B0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3E" w:rsidRDefault="0035413E" w:rsidP="00A11F33">
      <w:pPr>
        <w:spacing w:after="0" w:line="240" w:lineRule="auto"/>
      </w:pPr>
      <w:r>
        <w:separator/>
      </w:r>
    </w:p>
  </w:endnote>
  <w:endnote w:type="continuationSeparator" w:id="0">
    <w:p w:rsidR="0035413E" w:rsidRDefault="0035413E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3E" w:rsidRDefault="0035413E" w:rsidP="00A11F33">
      <w:pPr>
        <w:spacing w:after="0" w:line="240" w:lineRule="auto"/>
      </w:pPr>
      <w:r>
        <w:separator/>
      </w:r>
    </w:p>
  </w:footnote>
  <w:footnote w:type="continuationSeparator" w:id="0">
    <w:p w:rsidR="0035413E" w:rsidRDefault="0035413E" w:rsidP="00A1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FCD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2354"/>
    <w:multiLevelType w:val="hybridMultilevel"/>
    <w:tmpl w:val="B50A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9AA19F4"/>
    <w:multiLevelType w:val="hybridMultilevel"/>
    <w:tmpl w:val="78920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D7090"/>
    <w:multiLevelType w:val="hybridMultilevel"/>
    <w:tmpl w:val="5DE6D6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4"/>
  </w:num>
  <w:num w:numId="6">
    <w:abstractNumId w:val="19"/>
  </w:num>
  <w:num w:numId="7">
    <w:abstractNumId w:val="10"/>
  </w:num>
  <w:num w:numId="8">
    <w:abstractNumId w:val="5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15"/>
  </w:num>
  <w:num w:numId="14">
    <w:abstractNumId w:val="17"/>
  </w:num>
  <w:num w:numId="15">
    <w:abstractNumId w:val="1"/>
  </w:num>
  <w:num w:numId="16">
    <w:abstractNumId w:val="2"/>
  </w:num>
  <w:num w:numId="17">
    <w:abstractNumId w:val="20"/>
  </w:num>
  <w:num w:numId="18">
    <w:abstractNumId w:val="12"/>
  </w:num>
  <w:num w:numId="19">
    <w:abstractNumId w:val="3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22B9E"/>
    <w:rsid w:val="00031C48"/>
    <w:rsid w:val="00034B37"/>
    <w:rsid w:val="000514C5"/>
    <w:rsid w:val="000548D2"/>
    <w:rsid w:val="00055DD3"/>
    <w:rsid w:val="00056B72"/>
    <w:rsid w:val="00063646"/>
    <w:rsid w:val="00067963"/>
    <w:rsid w:val="0008067F"/>
    <w:rsid w:val="000A29F3"/>
    <w:rsid w:val="000A383A"/>
    <w:rsid w:val="000A6FDF"/>
    <w:rsid w:val="000A7DD8"/>
    <w:rsid w:val="000C34C3"/>
    <w:rsid w:val="000D4363"/>
    <w:rsid w:val="000F4552"/>
    <w:rsid w:val="00100619"/>
    <w:rsid w:val="00107122"/>
    <w:rsid w:val="0011334D"/>
    <w:rsid w:val="001164A9"/>
    <w:rsid w:val="00117E3B"/>
    <w:rsid w:val="001305E1"/>
    <w:rsid w:val="00133A0B"/>
    <w:rsid w:val="0013456E"/>
    <w:rsid w:val="00136099"/>
    <w:rsid w:val="001423D1"/>
    <w:rsid w:val="00163F40"/>
    <w:rsid w:val="001824B7"/>
    <w:rsid w:val="00183035"/>
    <w:rsid w:val="001830EF"/>
    <w:rsid w:val="0018338C"/>
    <w:rsid w:val="0018611F"/>
    <w:rsid w:val="0019308C"/>
    <w:rsid w:val="00194153"/>
    <w:rsid w:val="00197ECD"/>
    <w:rsid w:val="001A08ED"/>
    <w:rsid w:val="001A4BA3"/>
    <w:rsid w:val="001B692A"/>
    <w:rsid w:val="001D0E6A"/>
    <w:rsid w:val="001D27BC"/>
    <w:rsid w:val="001E2B2A"/>
    <w:rsid w:val="001E36B1"/>
    <w:rsid w:val="001E4F9D"/>
    <w:rsid w:val="001F7D76"/>
    <w:rsid w:val="00205F88"/>
    <w:rsid w:val="00214E95"/>
    <w:rsid w:val="002268E1"/>
    <w:rsid w:val="002271F0"/>
    <w:rsid w:val="002400D0"/>
    <w:rsid w:val="00246106"/>
    <w:rsid w:val="00260BF9"/>
    <w:rsid w:val="00260F14"/>
    <w:rsid w:val="0027590C"/>
    <w:rsid w:val="00284AA5"/>
    <w:rsid w:val="00286519"/>
    <w:rsid w:val="00290FB7"/>
    <w:rsid w:val="002920B3"/>
    <w:rsid w:val="002949DA"/>
    <w:rsid w:val="002A51D9"/>
    <w:rsid w:val="002C4A96"/>
    <w:rsid w:val="002E1C07"/>
    <w:rsid w:val="002E1E4B"/>
    <w:rsid w:val="002E699E"/>
    <w:rsid w:val="002F08A1"/>
    <w:rsid w:val="002F0F69"/>
    <w:rsid w:val="00311B8A"/>
    <w:rsid w:val="00312838"/>
    <w:rsid w:val="00323976"/>
    <w:rsid w:val="0034229D"/>
    <w:rsid w:val="00342F2E"/>
    <w:rsid w:val="0035413E"/>
    <w:rsid w:val="00355B31"/>
    <w:rsid w:val="00355D45"/>
    <w:rsid w:val="00357504"/>
    <w:rsid w:val="00370FEB"/>
    <w:rsid w:val="0038286E"/>
    <w:rsid w:val="003A70C2"/>
    <w:rsid w:val="003B3366"/>
    <w:rsid w:val="003C199F"/>
    <w:rsid w:val="003D2C4F"/>
    <w:rsid w:val="003E0125"/>
    <w:rsid w:val="003E144B"/>
    <w:rsid w:val="003E3044"/>
    <w:rsid w:val="003E6B9F"/>
    <w:rsid w:val="003F305D"/>
    <w:rsid w:val="00402B27"/>
    <w:rsid w:val="00405857"/>
    <w:rsid w:val="00443643"/>
    <w:rsid w:val="00443B64"/>
    <w:rsid w:val="0045459A"/>
    <w:rsid w:val="00461565"/>
    <w:rsid w:val="00470A2B"/>
    <w:rsid w:val="00472F31"/>
    <w:rsid w:val="00480920"/>
    <w:rsid w:val="0048432C"/>
    <w:rsid w:val="004924C7"/>
    <w:rsid w:val="00493E22"/>
    <w:rsid w:val="004A1B22"/>
    <w:rsid w:val="004A3DEF"/>
    <w:rsid w:val="004C67CD"/>
    <w:rsid w:val="004C7C63"/>
    <w:rsid w:val="004E264D"/>
    <w:rsid w:val="004F1264"/>
    <w:rsid w:val="004F57B0"/>
    <w:rsid w:val="00503347"/>
    <w:rsid w:val="00503C1E"/>
    <w:rsid w:val="005057DD"/>
    <w:rsid w:val="00515DD7"/>
    <w:rsid w:val="00515E8F"/>
    <w:rsid w:val="00516AF1"/>
    <w:rsid w:val="00522FCB"/>
    <w:rsid w:val="00523E01"/>
    <w:rsid w:val="00542429"/>
    <w:rsid w:val="00557B8C"/>
    <w:rsid w:val="00570394"/>
    <w:rsid w:val="005A4A6F"/>
    <w:rsid w:val="005B3A8F"/>
    <w:rsid w:val="005C5B9E"/>
    <w:rsid w:val="005D088E"/>
    <w:rsid w:val="005E1615"/>
    <w:rsid w:val="005E434F"/>
    <w:rsid w:val="00611DA2"/>
    <w:rsid w:val="0061340B"/>
    <w:rsid w:val="00614FD5"/>
    <w:rsid w:val="00622855"/>
    <w:rsid w:val="00625302"/>
    <w:rsid w:val="006370FC"/>
    <w:rsid w:val="006433FD"/>
    <w:rsid w:val="0065595B"/>
    <w:rsid w:val="00662322"/>
    <w:rsid w:val="00663AA5"/>
    <w:rsid w:val="00664933"/>
    <w:rsid w:val="00664CF9"/>
    <w:rsid w:val="00683F3D"/>
    <w:rsid w:val="006956B2"/>
    <w:rsid w:val="006A7A22"/>
    <w:rsid w:val="006B1562"/>
    <w:rsid w:val="006B4A03"/>
    <w:rsid w:val="006C3167"/>
    <w:rsid w:val="006C5C70"/>
    <w:rsid w:val="006C7118"/>
    <w:rsid w:val="006D13CD"/>
    <w:rsid w:val="006D38AB"/>
    <w:rsid w:val="006E132A"/>
    <w:rsid w:val="006E7765"/>
    <w:rsid w:val="006F14C0"/>
    <w:rsid w:val="006F2090"/>
    <w:rsid w:val="00706CDB"/>
    <w:rsid w:val="00712AA9"/>
    <w:rsid w:val="00713AA9"/>
    <w:rsid w:val="0071685B"/>
    <w:rsid w:val="00725EA1"/>
    <w:rsid w:val="00735A1B"/>
    <w:rsid w:val="007534F7"/>
    <w:rsid w:val="007577EA"/>
    <w:rsid w:val="007601B0"/>
    <w:rsid w:val="007624D3"/>
    <w:rsid w:val="00763DC7"/>
    <w:rsid w:val="00784633"/>
    <w:rsid w:val="00793CB1"/>
    <w:rsid w:val="007972E3"/>
    <w:rsid w:val="00797A76"/>
    <w:rsid w:val="007A7B4F"/>
    <w:rsid w:val="007B0692"/>
    <w:rsid w:val="007B522B"/>
    <w:rsid w:val="007C328E"/>
    <w:rsid w:val="007D0EDA"/>
    <w:rsid w:val="007D6668"/>
    <w:rsid w:val="007D6EA0"/>
    <w:rsid w:val="007F26A7"/>
    <w:rsid w:val="007F566A"/>
    <w:rsid w:val="0080217A"/>
    <w:rsid w:val="008043B9"/>
    <w:rsid w:val="00806F8C"/>
    <w:rsid w:val="00815E41"/>
    <w:rsid w:val="0081638A"/>
    <w:rsid w:val="008167A8"/>
    <w:rsid w:val="00822372"/>
    <w:rsid w:val="008231C8"/>
    <w:rsid w:val="00823BBC"/>
    <w:rsid w:val="008508C4"/>
    <w:rsid w:val="0085451F"/>
    <w:rsid w:val="00854EF7"/>
    <w:rsid w:val="00862948"/>
    <w:rsid w:val="00864341"/>
    <w:rsid w:val="00896841"/>
    <w:rsid w:val="008A1756"/>
    <w:rsid w:val="008C16B0"/>
    <w:rsid w:val="008C46AA"/>
    <w:rsid w:val="008D51F9"/>
    <w:rsid w:val="008D7F2A"/>
    <w:rsid w:val="008E1626"/>
    <w:rsid w:val="008E6BA1"/>
    <w:rsid w:val="00902D62"/>
    <w:rsid w:val="009032A8"/>
    <w:rsid w:val="00912E9E"/>
    <w:rsid w:val="0091397A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4388"/>
    <w:rsid w:val="009767B1"/>
    <w:rsid w:val="00980C36"/>
    <w:rsid w:val="009900EA"/>
    <w:rsid w:val="00992123"/>
    <w:rsid w:val="00994159"/>
    <w:rsid w:val="009A32FD"/>
    <w:rsid w:val="009C5A9B"/>
    <w:rsid w:val="009F1DF6"/>
    <w:rsid w:val="00A11F33"/>
    <w:rsid w:val="00A173D4"/>
    <w:rsid w:val="00A21A55"/>
    <w:rsid w:val="00A3530E"/>
    <w:rsid w:val="00A416B3"/>
    <w:rsid w:val="00A5195D"/>
    <w:rsid w:val="00A538F5"/>
    <w:rsid w:val="00A53FBA"/>
    <w:rsid w:val="00A56FCF"/>
    <w:rsid w:val="00A62372"/>
    <w:rsid w:val="00A71B92"/>
    <w:rsid w:val="00A8239F"/>
    <w:rsid w:val="00A83C8F"/>
    <w:rsid w:val="00A918F8"/>
    <w:rsid w:val="00A96C65"/>
    <w:rsid w:val="00AA4788"/>
    <w:rsid w:val="00AA5E4C"/>
    <w:rsid w:val="00AA7F21"/>
    <w:rsid w:val="00AC18CE"/>
    <w:rsid w:val="00AC2C42"/>
    <w:rsid w:val="00AC5D61"/>
    <w:rsid w:val="00AE0E5E"/>
    <w:rsid w:val="00AF4CFC"/>
    <w:rsid w:val="00B055B5"/>
    <w:rsid w:val="00B11063"/>
    <w:rsid w:val="00B2206B"/>
    <w:rsid w:val="00B2395C"/>
    <w:rsid w:val="00B25041"/>
    <w:rsid w:val="00B3339C"/>
    <w:rsid w:val="00B6418E"/>
    <w:rsid w:val="00B676B4"/>
    <w:rsid w:val="00B90219"/>
    <w:rsid w:val="00BA5A27"/>
    <w:rsid w:val="00BB4300"/>
    <w:rsid w:val="00BC5D97"/>
    <w:rsid w:val="00BE10EC"/>
    <w:rsid w:val="00BE7583"/>
    <w:rsid w:val="00C31F4C"/>
    <w:rsid w:val="00C35498"/>
    <w:rsid w:val="00C36A1F"/>
    <w:rsid w:val="00C50C53"/>
    <w:rsid w:val="00C634E9"/>
    <w:rsid w:val="00C657B4"/>
    <w:rsid w:val="00C669F5"/>
    <w:rsid w:val="00C7451D"/>
    <w:rsid w:val="00C751EF"/>
    <w:rsid w:val="00C8489C"/>
    <w:rsid w:val="00C95AB0"/>
    <w:rsid w:val="00CC58D3"/>
    <w:rsid w:val="00CC5C90"/>
    <w:rsid w:val="00D01BDB"/>
    <w:rsid w:val="00D07C04"/>
    <w:rsid w:val="00D07CA7"/>
    <w:rsid w:val="00D23433"/>
    <w:rsid w:val="00D45B23"/>
    <w:rsid w:val="00D45D4F"/>
    <w:rsid w:val="00D46A01"/>
    <w:rsid w:val="00D74318"/>
    <w:rsid w:val="00D8272D"/>
    <w:rsid w:val="00D8689F"/>
    <w:rsid w:val="00DA3018"/>
    <w:rsid w:val="00DA4782"/>
    <w:rsid w:val="00DE2993"/>
    <w:rsid w:val="00DE6CCE"/>
    <w:rsid w:val="00DF38C5"/>
    <w:rsid w:val="00DF6AF9"/>
    <w:rsid w:val="00E0428E"/>
    <w:rsid w:val="00E0572C"/>
    <w:rsid w:val="00E17E9D"/>
    <w:rsid w:val="00E428AE"/>
    <w:rsid w:val="00E634E1"/>
    <w:rsid w:val="00E7697A"/>
    <w:rsid w:val="00E9620B"/>
    <w:rsid w:val="00EA11CF"/>
    <w:rsid w:val="00EA3918"/>
    <w:rsid w:val="00ED485E"/>
    <w:rsid w:val="00EE253A"/>
    <w:rsid w:val="00EE45F1"/>
    <w:rsid w:val="00EE4E07"/>
    <w:rsid w:val="00EE659B"/>
    <w:rsid w:val="00EE7B4B"/>
    <w:rsid w:val="00EF75B9"/>
    <w:rsid w:val="00F130DC"/>
    <w:rsid w:val="00F175CB"/>
    <w:rsid w:val="00F31C77"/>
    <w:rsid w:val="00F32C35"/>
    <w:rsid w:val="00F37AD6"/>
    <w:rsid w:val="00F53498"/>
    <w:rsid w:val="00F53DBF"/>
    <w:rsid w:val="00F55E88"/>
    <w:rsid w:val="00F6054F"/>
    <w:rsid w:val="00F758F1"/>
    <w:rsid w:val="00F82427"/>
    <w:rsid w:val="00F94439"/>
    <w:rsid w:val="00FB0FFC"/>
    <w:rsid w:val="00FB7761"/>
    <w:rsid w:val="00FD273C"/>
    <w:rsid w:val="00FD6BF3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2E951F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02B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2B2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2B27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02B27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402B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imenjer&#235;zore@tirana.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rana.al/artikull/rregullorja-e-bashkise-tirane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tirana.al/punesimi/vende-pu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</c:v>
                </c:pt>
                <c:pt idx="1">
                  <c:v>27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BA-4971-99A3-F1986D2C9E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A7-4DBE-9712-0D39F63B19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35380614434123E-2"/>
          <c:y val="0.23900111894815426"/>
          <c:w val="0.82407407407407407"/>
          <c:h val="0.54986814148231467"/>
        </c:manualLayout>
      </c:layout>
      <c:pie3DChart>
        <c:varyColors val="1"/>
        <c:ser>
          <c:idx val="1"/>
          <c:order val="0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BD4B-4A7E-BEAA-299DB5E530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BD4B-4A7E-BEAA-299DB5E530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BD4B-4A7E-BEAA-299DB5E53052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BD4B-4A7E-BEAA-299DB5E53052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D4B-4A7E-BEAA-299DB5E530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BD4B-4A7E-BEAA-299DB5E530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BD4B-4A7E-BEAA-299DB5E53052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BD4B-4A7E-BEAA-299DB5E53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4-4177-B261-FCB9B34639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16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C8-4F0A-BE28-2C3F194E41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0375-15C1-4117-8C86-99099F67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12</cp:revision>
  <cp:lastPrinted>2024-06-13T07:33:00Z</cp:lastPrinted>
  <dcterms:created xsi:type="dcterms:W3CDTF">2024-05-30T08:56:00Z</dcterms:created>
  <dcterms:modified xsi:type="dcterms:W3CDTF">2024-07-09T08:28:00Z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