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2E17" w:rsidRPr="00D219D3" w:rsidRDefault="00582E17" w:rsidP="00582E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Bulqizë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82E17" w:rsidRPr="00D219D3" w:rsidRDefault="00582E17" w:rsidP="00582E17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582E17" w:rsidRDefault="00582E17" w:rsidP="00582E1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Bulqizë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17" w:rsidRDefault="00582E17" w:rsidP="00582E1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582E17" w:rsidRPr="00D219D3" w:rsidRDefault="00582E17" w:rsidP="00582E17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582E17" w:rsidRPr="00D219D3" w:rsidRDefault="00582E17" w:rsidP="00582E17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582E17" w:rsidRDefault="00582E17" w:rsidP="00582E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E17" w:rsidRDefault="00582E17" w:rsidP="00582E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2E17" w:rsidRDefault="00582E17" w:rsidP="00582E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E17" w:rsidRDefault="00582E17" w:rsidP="00582E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E17" w:rsidRDefault="00582E17" w:rsidP="00582E1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Pr="00D219D3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82E17" w:rsidRDefault="00582E17" w:rsidP="00582E1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5E6376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595FF3" w:rsidRPr="005E6376" w:rsidRDefault="00595FF3" w:rsidP="00595FF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595FF3" w:rsidRDefault="00595FF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 w:rsidR="00045F85"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 w:rsidR="00045F85"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 w:rsidR="00AD1EE1"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</w:t>
      </w:r>
      <w:r w:rsidR="00045F85">
        <w:rPr>
          <w:rFonts w:ascii="Times New Roman" w:hAnsi="Times New Roman" w:cs="Times New Roman"/>
          <w:sz w:val="24"/>
          <w:szCs w:val="24"/>
        </w:rPr>
        <w:t>trategjisë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8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 xml:space="preserve">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 w:rsidR="00045F85"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5.2: </w:t>
      </w:r>
      <w:r w:rsidR="00045F8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045F85"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 w:rsidR="00045F85"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045F85" w:rsidRDefault="00045F85" w:rsidP="00045F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48B" w:rsidRDefault="002E148B" w:rsidP="002E1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bookmarkEnd w:id="0"/>
    <w:p w:rsidR="008D596E" w:rsidRDefault="008D596E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E2B2A" w:rsidRPr="00595FF3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  <w:r>
        <w:rPr>
          <w:rFonts w:ascii="Times New Roman" w:hAnsi="Times New Roman" w:cs="Times New Roman"/>
          <w:b/>
          <w:lang w:val="it-IT"/>
        </w:rPr>
        <w:t>R</w:t>
      </w:r>
      <w:r w:rsidR="00214E95" w:rsidRPr="00651E2E">
        <w:rPr>
          <w:rFonts w:ascii="Times New Roman" w:hAnsi="Times New Roman" w:cs="Times New Roman"/>
          <w:b/>
          <w:lang w:val="it-IT"/>
        </w:rPr>
        <w:t>aporti i M</w:t>
      </w:r>
      <w:r w:rsidR="000019C0" w:rsidRPr="00651E2E">
        <w:rPr>
          <w:rFonts w:ascii="Times New Roman" w:hAnsi="Times New Roman" w:cs="Times New Roman"/>
          <w:b/>
          <w:lang w:val="it-IT"/>
        </w:rPr>
        <w:t>onitorimit t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>r bashkin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183035" w:rsidRPr="00651E2E">
        <w:rPr>
          <w:rFonts w:ascii="Times New Roman" w:hAnsi="Times New Roman" w:cs="Times New Roman"/>
          <w:b/>
          <w:lang w:val="it-IT"/>
        </w:rPr>
        <w:t xml:space="preserve"> </w:t>
      </w:r>
      <w:r w:rsidR="003549EF" w:rsidRPr="00651E2E">
        <w:rPr>
          <w:rFonts w:ascii="Times New Roman" w:hAnsi="Times New Roman" w:cs="Times New Roman"/>
          <w:b/>
          <w:lang w:val="it-IT"/>
        </w:rPr>
        <w:t>Bulqizë</w:t>
      </w:r>
      <w:r w:rsidR="00DC31BD" w:rsidRPr="00651E2E">
        <w:rPr>
          <w:rFonts w:ascii="Times New Roman" w:hAnsi="Times New Roman" w:cs="Times New Roman"/>
          <w:b/>
          <w:lang w:val="it-IT"/>
        </w:rPr>
        <w:t xml:space="preserve"> </w:t>
      </w:r>
      <w:r w:rsidR="00355B31" w:rsidRPr="00651E2E">
        <w:rPr>
          <w:rFonts w:ascii="Times New Roman" w:hAnsi="Times New Roman" w:cs="Times New Roman"/>
          <w:b/>
          <w:lang w:val="it-IT"/>
        </w:rPr>
        <w:t>V</w:t>
      </w:r>
      <w:r w:rsidR="00A96C65" w:rsidRPr="00651E2E">
        <w:rPr>
          <w:rFonts w:ascii="Times New Roman" w:hAnsi="Times New Roman" w:cs="Times New Roman"/>
          <w:b/>
          <w:lang w:val="it-IT"/>
        </w:rPr>
        <w:t>iti</w:t>
      </w:r>
      <w:r w:rsidR="00355B31" w:rsidRPr="00651E2E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651E2E">
        <w:rPr>
          <w:rFonts w:ascii="Times New Roman" w:hAnsi="Times New Roman" w:cs="Times New Roman"/>
          <w:b/>
          <w:lang w:val="it-IT"/>
        </w:rPr>
        <w:t>.</w:t>
      </w:r>
    </w:p>
    <w:p w:rsidR="001E2B2A" w:rsidRPr="00651E2E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51E2E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614796">
        <w:rPr>
          <w:rFonts w:ascii="Times New Roman" w:hAnsi="Times New Roman" w:cs="Times New Roman"/>
          <w:sz w:val="24"/>
          <w:szCs w:val="24"/>
          <w:lang w:val="it-IT"/>
        </w:rPr>
        <w:t xml:space="preserve">bashkisë Bulqizë 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është i dyti dokument i hartuar </w:t>
      </w:r>
      <w:r w:rsidR="002E148B">
        <w:rPr>
          <w:rFonts w:ascii="Times New Roman" w:hAnsi="Times New Roman" w:cs="Times New Roman"/>
          <w:sz w:val="24"/>
          <w:szCs w:val="24"/>
          <w:lang w:val="it-IT"/>
        </w:rPr>
        <w:t xml:space="preserve"> nga AMVV 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>në përputhje me Metodologjinë e Monitorimit të Planit të Integritetit për institucionet e qeverisjes qendrore, të miratuar me urdhrin e Ministrit të Drejtësisë</w:t>
      </w:r>
      <w:r w:rsidR="00AC0B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>
        <w:rPr>
          <w:rFonts w:ascii="Times New Roman" w:hAnsi="Times New Roman" w:cs="Times New Roman"/>
          <w:lang w:val="sq-AL"/>
        </w:rPr>
        <w:t>553, datë 30.09.2021.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651E2E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51E2E">
        <w:rPr>
          <w:rFonts w:ascii="Times New Roman" w:hAnsi="Times New Roman" w:cs="Times New Roman"/>
          <w:lang w:val="it-IT"/>
        </w:rPr>
        <w:lastRenderedPageBreak/>
        <w:t xml:space="preserve">Në Planin e Integritetit të bashkisë </w:t>
      </w:r>
      <w:r w:rsidR="003549EF" w:rsidRPr="00651E2E">
        <w:rPr>
          <w:rFonts w:ascii="Times New Roman" w:hAnsi="Times New Roman" w:cs="Times New Roman"/>
          <w:lang w:val="it-IT"/>
        </w:rPr>
        <w:t>Bulqizë</w:t>
      </w:r>
      <w:r w:rsidR="00570394" w:rsidRPr="00651E2E">
        <w:rPr>
          <w:rFonts w:ascii="Times New Roman" w:hAnsi="Times New Roman" w:cs="Times New Roman"/>
          <w:lang w:val="it-IT"/>
        </w:rPr>
        <w:t xml:space="preserve"> </w:t>
      </w:r>
      <w:r w:rsidRPr="00651E2E">
        <w:rPr>
          <w:rFonts w:ascii="Times New Roman" w:hAnsi="Times New Roman" w:cs="Times New Roman"/>
          <w:lang w:val="it-IT"/>
        </w:rPr>
        <w:t>janë p</w:t>
      </w:r>
      <w:r w:rsidR="003549EF" w:rsidRPr="00651E2E">
        <w:rPr>
          <w:rFonts w:ascii="Times New Roman" w:hAnsi="Times New Roman" w:cs="Times New Roman"/>
          <w:lang w:val="it-IT"/>
        </w:rPr>
        <w:t>ërcaktur gjithsej 4</w:t>
      </w:r>
      <w:r w:rsidRPr="00651E2E">
        <w:rPr>
          <w:rFonts w:ascii="Times New Roman" w:hAnsi="Times New Roman" w:cs="Times New Roman"/>
          <w:bCs/>
          <w:lang w:val="it-IT"/>
        </w:rPr>
        <w:t xml:space="preserve"> objektiva</w:t>
      </w:r>
      <w:r w:rsidR="00EF61B8">
        <w:rPr>
          <w:rFonts w:ascii="Times New Roman" w:hAnsi="Times New Roman" w:cs="Times New Roman"/>
          <w:bCs/>
          <w:lang w:val="it-IT"/>
        </w:rPr>
        <w:t>,</w:t>
      </w:r>
      <w:r w:rsidRPr="00651E2E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651E2E">
        <w:rPr>
          <w:rFonts w:ascii="Times New Roman" w:hAnsi="Times New Roman" w:cs="Times New Roman"/>
          <w:lang w:val="it-IT"/>
        </w:rPr>
        <w:t>:</w:t>
      </w:r>
    </w:p>
    <w:p w:rsidR="001D27BC" w:rsidRPr="00651E2E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61479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61479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148B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3549EF" w:rsidRPr="006147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Përmirësimin e mjedisit të brendshëm institucional që promovon dhe garanton integritetin në të gjitha nivelet organizative, </w:t>
      </w:r>
      <w:r w:rsidR="005061DF" w:rsidRPr="006147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funksionale dhe proceset e punës me qëllimin final vendosjen e funksionimit të sistemit efektiv të menaxhimit të riskut të integritetit institucional dhe përmirësimin e performancës</w:t>
      </w:r>
      <w:r w:rsidR="002E148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;</w:t>
      </w:r>
    </w:p>
    <w:p w:rsidR="001D27BC" w:rsidRPr="0061479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61479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148B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3549EF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Zhvillimi i burimeve njerëzore për të qenë të afta dhe të qëndrueshme për të zbatuar dhe konsoliduar mekanizmat e integritetit institucional</w:t>
      </w:r>
      <w:r w:rsidR="002E148B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1D27BC" w:rsidRPr="00614796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2E148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- </w:t>
      </w:r>
      <w:r w:rsidR="003549EF" w:rsidRPr="00614796">
        <w:rPr>
          <w:rFonts w:ascii="Times New Roman" w:hAnsi="Times New Roman" w:cs="Times New Roman"/>
          <w:bCs/>
          <w:sz w:val="24"/>
          <w:szCs w:val="24"/>
          <w:lang w:val="sq-AL"/>
        </w:rPr>
        <w:t>Përmirësimi i rezistencës institucionale ndaj risqeve të integritetit në procese me risk për shkelje të integritetit për bashkinë</w:t>
      </w:r>
      <w:r w:rsidR="002E148B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3549EF" w:rsidRPr="00614796" w:rsidRDefault="003549EF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79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</w:t>
      </w:r>
      <w:r w:rsidR="002E148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- </w:t>
      </w:r>
      <w:r w:rsidRPr="00614796">
        <w:rPr>
          <w:rFonts w:ascii="Times New Roman" w:hAnsi="Times New Roman" w:cs="Times New Roman"/>
          <w:bCs/>
          <w:sz w:val="24"/>
          <w:szCs w:val="24"/>
          <w:lang w:val="sq-AL"/>
        </w:rPr>
        <w:t>Rritja e besueshmërisë së publikut përmes përmirësimit të imazhit, transparencës me publikun dhe grupet e interesit dhe mekanizmave llogaridhënës në vendimmarrjen vendore</w:t>
      </w:r>
      <w:r w:rsidR="002E148B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1D27BC" w:rsidRPr="00651E2E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Plani i Integritetit</w:t>
      </w:r>
      <w:r w:rsidR="00614796">
        <w:rPr>
          <w:rFonts w:ascii="Times New Roman" w:hAnsi="Times New Roman" w:cs="Times New Roman"/>
          <w:lang w:val="sq-AL"/>
        </w:rPr>
        <w:t>,</w:t>
      </w:r>
      <w:r w:rsidRPr="00651E2E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651E2E">
        <w:rPr>
          <w:rFonts w:ascii="Times New Roman" w:hAnsi="Times New Roman" w:cs="Times New Roman"/>
          <w:lang w:val="sq-AL"/>
        </w:rPr>
        <w:t>3-</w:t>
      </w:r>
      <w:r w:rsidRPr="00651E2E">
        <w:rPr>
          <w:rFonts w:ascii="Times New Roman" w:hAnsi="Times New Roman" w:cs="Times New Roman"/>
          <w:lang w:val="sq-AL"/>
        </w:rPr>
        <w:t>v</w:t>
      </w:r>
      <w:r w:rsidR="00EF48D6">
        <w:rPr>
          <w:rFonts w:ascii="Times New Roman" w:hAnsi="Times New Roman" w:cs="Times New Roman"/>
          <w:lang w:val="sq-AL"/>
        </w:rPr>
        <w:t>jeçare dhe konkretisht 2022-2024</w:t>
      </w:r>
      <w:r w:rsidRPr="00651E2E">
        <w:rPr>
          <w:rFonts w:ascii="Times New Roman" w:hAnsi="Times New Roman" w:cs="Times New Roman"/>
          <w:lang w:val="sq-AL"/>
        </w:rPr>
        <w:t>.</w:t>
      </w:r>
    </w:p>
    <w:p w:rsidR="006956B2" w:rsidRPr="00651E2E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614796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14796">
        <w:rPr>
          <w:rFonts w:ascii="Times New Roman" w:hAnsi="Times New Roman" w:cs="Times New Roman"/>
          <w:b/>
        </w:rPr>
        <w:t>Situata</w:t>
      </w:r>
      <w:proofErr w:type="spellEnd"/>
      <w:r w:rsidRPr="00614796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614796">
        <w:rPr>
          <w:rFonts w:ascii="Times New Roman" w:hAnsi="Times New Roman" w:cs="Times New Roman"/>
          <w:b/>
        </w:rPr>
        <w:t>monitorimit</w:t>
      </w:r>
      <w:proofErr w:type="spellEnd"/>
      <w:r w:rsidR="00D74318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t</w:t>
      </w:r>
      <w:r w:rsidR="003E3044" w:rsidRPr="00614796">
        <w:rPr>
          <w:rFonts w:ascii="Times New Roman" w:hAnsi="Times New Roman" w:cs="Times New Roman"/>
          <w:b/>
        </w:rPr>
        <w:t>ë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Planit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t</w:t>
      </w:r>
      <w:r w:rsidR="003E3044" w:rsidRPr="00614796">
        <w:rPr>
          <w:rFonts w:ascii="Times New Roman" w:hAnsi="Times New Roman" w:cs="Times New Roman"/>
          <w:b/>
        </w:rPr>
        <w:t>ë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Integritetit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Bashki</w:t>
      </w:r>
      <w:r w:rsidR="00D07CA7" w:rsidRPr="00614796">
        <w:rPr>
          <w:rFonts w:ascii="Times New Roman" w:hAnsi="Times New Roman" w:cs="Times New Roman"/>
          <w:b/>
        </w:rPr>
        <w:t>a</w:t>
      </w:r>
      <w:proofErr w:type="spellEnd"/>
      <w:r w:rsidR="00D07CA7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8D0FBF" w:rsidRPr="00614796">
        <w:rPr>
          <w:rFonts w:ascii="Times New Roman" w:hAnsi="Times New Roman" w:cs="Times New Roman"/>
          <w:b/>
        </w:rPr>
        <w:t>Bulqizë</w:t>
      </w:r>
      <w:proofErr w:type="spellEnd"/>
      <w:r w:rsidR="008D0FBF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>r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periudh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>n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14796">
        <w:rPr>
          <w:rFonts w:ascii="Times New Roman" w:hAnsi="Times New Roman" w:cs="Times New Roman"/>
          <w:b/>
        </w:rPr>
        <w:t>janar</w:t>
      </w:r>
      <w:proofErr w:type="spellEnd"/>
      <w:r w:rsidR="00D74318" w:rsidRPr="00614796">
        <w:rPr>
          <w:rFonts w:ascii="Times New Roman" w:hAnsi="Times New Roman" w:cs="Times New Roman"/>
          <w:b/>
        </w:rPr>
        <w:t xml:space="preserve"> </w:t>
      </w:r>
      <w:r w:rsidR="00EF48D6" w:rsidRPr="00614796">
        <w:rPr>
          <w:rFonts w:ascii="Times New Roman" w:hAnsi="Times New Roman" w:cs="Times New Roman"/>
          <w:b/>
        </w:rPr>
        <w:t>–</w:t>
      </w:r>
      <w:r w:rsidR="00D74318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14796">
        <w:rPr>
          <w:rFonts w:ascii="Times New Roman" w:hAnsi="Times New Roman" w:cs="Times New Roman"/>
          <w:b/>
        </w:rPr>
        <w:t>dhjetor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r w:rsidR="0045459A" w:rsidRPr="00614796">
        <w:rPr>
          <w:rFonts w:ascii="Times New Roman" w:hAnsi="Times New Roman" w:cs="Times New Roman"/>
          <w:b/>
        </w:rPr>
        <w:t>202</w:t>
      </w:r>
      <w:r w:rsidR="00D74318" w:rsidRPr="00614796">
        <w:rPr>
          <w:rFonts w:ascii="Times New Roman" w:hAnsi="Times New Roman" w:cs="Times New Roman"/>
          <w:b/>
        </w:rPr>
        <w:t>3</w:t>
      </w:r>
      <w:r w:rsidR="00614796">
        <w:rPr>
          <w:rFonts w:ascii="Times New Roman" w:hAnsi="Times New Roman" w:cs="Times New Roman"/>
          <w:b/>
        </w:rPr>
        <w:t>,</w:t>
      </w:r>
      <w:r w:rsidR="00EF48D6" w:rsidRPr="00614796">
        <w:rPr>
          <w:rFonts w:ascii="Times New Roman" w:hAnsi="Times New Roman" w:cs="Times New Roman"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rezulton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si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më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poshtë</w:t>
      </w:r>
      <w:proofErr w:type="spellEnd"/>
      <w:r w:rsidR="00EF48D6" w:rsidRPr="00614796">
        <w:rPr>
          <w:rFonts w:ascii="Times New Roman" w:hAnsi="Times New Roman" w:cs="Times New Roman"/>
        </w:rPr>
        <w:t>:</w:t>
      </w:r>
    </w:p>
    <w:p w:rsidR="006956B2" w:rsidRPr="00651E2E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BF" w:rsidRPr="00651E2E">
        <w:rPr>
          <w:rFonts w:ascii="Times New Roman" w:hAnsi="Times New Roman" w:cs="Times New Roman"/>
          <w:sz w:val="24"/>
          <w:szCs w:val="24"/>
        </w:rPr>
        <w:t>Bulqizë</w:t>
      </w:r>
      <w:proofErr w:type="spellEnd"/>
      <w:r w:rsidR="008D0FB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</w:rPr>
        <w:t>28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EF48D6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EF48D6">
        <w:rPr>
          <w:rFonts w:ascii="Times New Roman" w:hAnsi="Times New Roman" w:cs="Times New Roman"/>
          <w:sz w:val="24"/>
          <w:szCs w:val="24"/>
        </w:rPr>
        <w:t xml:space="preserve"> </w:t>
      </w:r>
      <w:r w:rsidR="00DD7C8B" w:rsidRPr="00651E2E">
        <w:rPr>
          <w:rFonts w:ascii="Times New Roman" w:hAnsi="Times New Roman" w:cs="Times New Roman"/>
          <w:sz w:val="24"/>
          <w:szCs w:val="24"/>
        </w:rPr>
        <w:t>1</w:t>
      </w:r>
      <w:r w:rsidR="00EE2F52">
        <w:rPr>
          <w:rFonts w:ascii="Times New Roman" w:hAnsi="Times New Roman" w:cs="Times New Roman"/>
          <w:sz w:val="24"/>
          <w:szCs w:val="24"/>
        </w:rPr>
        <w:t>5</w:t>
      </w:r>
      <w:r w:rsidRPr="00651E2E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8F62AA">
        <w:rPr>
          <w:rFonts w:ascii="Times New Roman" w:hAnsi="Times New Roman" w:cs="Times New Roman"/>
          <w:sz w:val="24"/>
          <w:szCs w:val="24"/>
        </w:rPr>
        <w:t>54</w:t>
      </w:r>
      <w:r w:rsidR="002271F0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65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F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</w:rPr>
        <w:t>9</w:t>
      </w:r>
      <w:r w:rsidRPr="00651E2E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E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4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D3141">
        <w:rPr>
          <w:rFonts w:ascii="Times New Roman" w:hAnsi="Times New Roman" w:cs="Times New Roman"/>
          <w:sz w:val="24"/>
          <w:szCs w:val="24"/>
        </w:rPr>
        <w:t xml:space="preserve"> 32</w:t>
      </w:r>
      <w:r w:rsidR="008D0FBF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pa</w:t>
      </w:r>
      <w:r w:rsidR="00EF48D6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432534">
        <w:rPr>
          <w:rFonts w:ascii="Times New Roman" w:hAnsi="Times New Roman" w:cs="Times New Roman"/>
          <w:sz w:val="24"/>
          <w:szCs w:val="24"/>
        </w:rPr>
        <w:t>4</w:t>
      </w:r>
      <w:r w:rsidR="002271F0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2A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8F62AA">
        <w:rPr>
          <w:rFonts w:ascii="Times New Roman" w:hAnsi="Times New Roman" w:cs="Times New Roman"/>
          <w:sz w:val="24"/>
          <w:szCs w:val="24"/>
        </w:rPr>
        <w:t xml:space="preserve"> 14</w:t>
      </w:r>
      <w:r w:rsidR="00595FF3">
        <w:rPr>
          <w:rFonts w:ascii="Times New Roman" w:hAnsi="Times New Roman" w:cs="Times New Roman"/>
          <w:sz w:val="24"/>
          <w:szCs w:val="24"/>
        </w:rPr>
        <w:t xml:space="preserve"> </w:t>
      </w:r>
      <w:r w:rsidR="002271F0" w:rsidRPr="00651E2E">
        <w:rPr>
          <w:rFonts w:ascii="Times New Roman" w:hAnsi="Times New Roman" w:cs="Times New Roman"/>
          <w:sz w:val="24"/>
          <w:szCs w:val="24"/>
        </w:rPr>
        <w:t>%</w:t>
      </w:r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EF48D6" w:rsidRPr="00651E2E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51E2E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51E2E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651E2E" w:rsidRDefault="00374583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Bulqizë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51E2E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51E2E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51E2E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51E2E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ë</w:t>
            </w:r>
            <w:proofErr w:type="spellEnd"/>
            <w:r w:rsidR="002C4A96"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51E2E" w:rsidRDefault="00595FF3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9" w:type="dxa"/>
            <w:vAlign w:val="center"/>
          </w:tcPr>
          <w:p w:rsidR="002268E1" w:rsidRPr="00651E2E" w:rsidRDefault="00EE2F5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4" w:type="dxa"/>
            <w:vAlign w:val="center"/>
          </w:tcPr>
          <w:p w:rsidR="002268E1" w:rsidRPr="00651E2E" w:rsidRDefault="00595FF3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2268E1" w:rsidRPr="00651E2E" w:rsidRDefault="00EE2F5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8E1" w:rsidRPr="00651E2E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51E2E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Default="00595FF3" w:rsidP="00595FF3">
      <w:r>
        <w:t xml:space="preserve">                                                </w:t>
      </w:r>
    </w:p>
    <w:p w:rsidR="00614796" w:rsidRDefault="00595FF3" w:rsidP="00595FF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</w:p>
    <w:p w:rsidR="00614796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595FF3" w:rsidRPr="00EA2028" w:rsidRDefault="00A805CE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B26C95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5058B0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EA2028" w:rsidRDefault="00595FF3" w:rsidP="00595FF3">
      <w:r w:rsidRPr="00EA2028">
        <w:rPr>
          <w:noProof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0556FC" w:rsidRDefault="00654C8F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>
        <w:rPr>
          <w:rFonts w:ascii="Times New Roman" w:hAnsi="Times New Roman" w:cs="Times New Roman"/>
          <w:sz w:val="24"/>
          <w:szCs w:val="24"/>
        </w:rPr>
        <w:t xml:space="preserve"> 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>Bulqiz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m institucional, zhvillimin e burimeve njer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besueshm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rket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imazhit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s.</w:t>
      </w:r>
      <w:r w:rsidR="005D09FF" w:rsidRPr="000556F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</w:p>
    <w:p w:rsidR="00654C8F" w:rsidRPr="000556FC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>
        <w:rPr>
          <w:rFonts w:ascii="Times New Roman" w:hAnsi="Times New Roman" w:cs="Times New Roman"/>
          <w:sz w:val="24"/>
          <w:szCs w:val="24"/>
        </w:rPr>
        <w:t>pl</w:t>
      </w:r>
      <w:r w:rsidR="008A1756" w:rsidRPr="00651E2E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68" w:rsidRPr="00651E2E">
        <w:rPr>
          <w:rFonts w:ascii="Times New Roman" w:hAnsi="Times New Roman" w:cs="Times New Roman"/>
          <w:sz w:val="24"/>
          <w:szCs w:val="24"/>
        </w:rPr>
        <w:t>Bulqiz</w:t>
      </w:r>
      <w:r w:rsidR="00E2171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nj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zbatueshm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>
        <w:rPr>
          <w:rFonts w:ascii="Times New Roman" w:hAnsi="Times New Roman" w:cs="Times New Roman"/>
          <w:sz w:val="24"/>
          <w:szCs w:val="24"/>
        </w:rPr>
        <w:t>,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performanc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1756" w:rsidRPr="00651E2E">
        <w:rPr>
          <w:rFonts w:ascii="Times New Roman" w:hAnsi="Times New Roman" w:cs="Times New Roman"/>
          <w:sz w:val="24"/>
          <w:szCs w:val="24"/>
        </w:rPr>
        <w:t>njer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rgjegj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sis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c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shtjeve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>.</w:t>
      </w:r>
    </w:p>
    <w:p w:rsidR="008A1756" w:rsidRPr="000556FC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651E2E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sht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drejtorit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>,</w:t>
      </w:r>
      <w:r w:rsidR="00654C8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</w:t>
      </w:r>
      <w:r w:rsidR="005E434F" w:rsidRPr="00651E2E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Pr="00651E2E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51E2E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Koordinatori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168" w:rsidRPr="00651E2E">
        <w:rPr>
          <w:rFonts w:ascii="Times New Roman" w:eastAsia="Times New Roman" w:hAnsi="Times New Roman" w:cs="Times New Roman"/>
          <w:sz w:val="24"/>
          <w:szCs w:val="24"/>
        </w:rPr>
        <w:t>Bulqiz</w:t>
      </w:r>
      <w:r w:rsidR="00E2171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35168"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1F0" w:rsidRPr="00651E2E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651E2E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651E2E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651E2E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="00635168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performancës”</w:t>
      </w:r>
    </w:p>
    <w:p w:rsidR="00664CF9" w:rsidRPr="00651E2E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54C8F" w:rsidRPr="00651E2E" w:rsidRDefault="00654C8F" w:rsidP="00654C8F">
      <w:pPr>
        <w:pStyle w:val="Default"/>
        <w:jc w:val="both"/>
        <w:rPr>
          <w:rFonts w:ascii="Times New Roman" w:eastAsia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 xml:space="preserve">Përmes këtij objektivi synohet </w:t>
      </w:r>
      <w:r w:rsidR="00635168" w:rsidRPr="00651E2E">
        <w:rPr>
          <w:rFonts w:ascii="Times New Roman" w:eastAsia="Times New Roman" w:hAnsi="Times New Roman" w:cs="Times New Roman"/>
          <w:lang w:val="sq-AL"/>
        </w:rPr>
        <w:t>krijimi i  një mjedisi dhe fryme institucionale që nxit kulturën e integritetit dhe mbështetet atë në të gjitha nivelet organizative – niveli ekzekutiv, menaxherial teknik dhe mbështetës, si dhe në të gjitha funksionet dhe nënproceset përkatëse të punës, si në menaxhimin financiar, njerëzor, të pronave dhe territorit, informacionit etj.</w:t>
      </w:r>
    </w:p>
    <w:p w:rsidR="00635168" w:rsidRPr="00651E2E" w:rsidRDefault="00635168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651E2E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63516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1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>mjedisit t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99E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brendshëm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1309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institucional që promovon dhe garanton integritetin në të gjitha nivelet organizative.</w:t>
      </w:r>
      <w:r w:rsidR="002227CB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F1309" w:rsidRPr="00651E2E" w:rsidRDefault="00664CF9" w:rsidP="003249B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ti i planifikuar p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96D53" w:rsidRPr="00651E2E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651E2E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651E2E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651E2E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651E2E" w:rsidRDefault="00651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1504" w:type="dxa"/>
            <w:vAlign w:val="center"/>
          </w:tcPr>
          <w:p w:rsidR="00DA4782" w:rsidRPr="00651E2E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Align w:val="center"/>
          </w:tcPr>
          <w:p w:rsidR="00DA4782" w:rsidRPr="00651E2E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DA4782" w:rsidRPr="00651E2E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DA4782" w:rsidRPr="00651E2E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4CF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Pr="005058B0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EA2028" w:rsidRDefault="000556FC" w:rsidP="000556FC">
      <w:r w:rsidRPr="00EA2028">
        <w:rPr>
          <w:noProof/>
        </w:rPr>
        <w:drawing>
          <wp:inline distT="0" distB="0" distL="0" distR="0" wp14:anchorId="6602C4D9" wp14:editId="13469825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0556FC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sht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n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mas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2434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>:</w:t>
      </w:r>
    </w:p>
    <w:p w:rsidR="00FF445D" w:rsidRPr="00651E2E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45D" w:rsidRPr="00651E2E" w:rsidRDefault="00DF1309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hartuar dhe miratuar disa dokumente strategjike për aspekte të veçanta të integritetit</w:t>
      </w:r>
      <w:r w:rsidR="00437B18" w:rsidRPr="00651E2E">
        <w:rPr>
          <w:rFonts w:ascii="Times New Roman" w:hAnsi="Times New Roman" w:cs="Times New Roman"/>
          <w:sz w:val="24"/>
          <w:szCs w:val="24"/>
          <w:lang w:val="sq-AL"/>
        </w:rPr>
        <w:t>,  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7B1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nivelet organizative,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funksionale  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proceset e pun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 duke hartuar manualet dhe procedurat standarde t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veprimit p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 vendet e pun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ekzistuese si dhe ato t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reja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F445D" w:rsidRPr="00651E2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:rsidR="00FF445D" w:rsidRPr="00651E2E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Default="00133A0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DF1309" w:rsidRPr="00651E2E">
        <w:rPr>
          <w:rFonts w:ascii="Times New Roman" w:hAnsi="Times New Roman" w:cs="Times New Roman"/>
          <w:bCs/>
          <w:sz w:val="24"/>
          <w:szCs w:val="24"/>
          <w:lang w:val="sq-AL"/>
        </w:rPr>
        <w:t>Zhvillimi i burimeve njerëzore për të qenë të afta dhe të qëndrueshme për të zbatuar dhe konsoliduar mekanizmat e integritetit institucional</w:t>
      </w:r>
      <w:r w:rsidR="001208A4">
        <w:rPr>
          <w:rFonts w:ascii="Times New Roman" w:hAnsi="Times New Roman" w:cs="Times New Roman"/>
          <w:i/>
          <w:sz w:val="24"/>
          <w:szCs w:val="24"/>
          <w:lang w:val="sq-AL"/>
        </w:rPr>
        <w:t>’.</w:t>
      </w:r>
    </w:p>
    <w:p w:rsidR="001208A4" w:rsidRPr="00651E2E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9100E5" w:rsidRPr="00651E2E" w:rsidRDefault="00DF1309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Ky objektiv synon të adresojë nevojat reale të bashkisë, të identifikuara në të gjitha fushat e përgjegjësisë dhe proceset përkatëse të punë</w:t>
      </w:r>
      <w:r w:rsidR="009100E5" w:rsidRPr="00651E2E">
        <w:rPr>
          <w:rFonts w:ascii="Times New Roman" w:hAnsi="Times New Roman" w:cs="Times New Roman"/>
          <w:sz w:val="24"/>
          <w:szCs w:val="24"/>
          <w:lang w:val="sq-AL"/>
        </w:rPr>
        <w:t>s dhe ka rëndësi të veçantë në qëndrueshmërinë e përpjekjeve të nisura për vendosjen e sistemeve efektive të integritetit.</w:t>
      </w:r>
    </w:p>
    <w:p w:rsidR="007D6EA0" w:rsidRPr="00651E2E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51E2E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r tu realizuar 7 </w:t>
      </w:r>
      <w:r w:rsidR="00F96D53" w:rsidRPr="00651E2E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aktivitete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nga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cila jan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realizuar 3 masa/aktivitete ose 44% 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proces realizimi 2 masa/aktivitete ose 28% 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 dhe nuk jan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 zbatuar 2 masa/aktivitete ose 28%</w:t>
      </w:r>
      <w:r w:rsidR="004D6D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sipas tabelës 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dhe grafikut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>si më poshtë: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651E2E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51E2E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51E2E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651E2E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51E2E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51E2E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51E2E" w:rsidRDefault="00651E2E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Zhvillimi i burimeve njerëzore për të qenë të afta dhe të qëndrueshme për të zbatuar dhe konsoliduar mekanizmat e integritetit institucional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1504" w:type="dxa"/>
            <w:vAlign w:val="center"/>
          </w:tcPr>
          <w:p w:rsidR="00D46A01" w:rsidRPr="00651E2E" w:rsidRDefault="00A80D08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D46A01" w:rsidRPr="00651E2E" w:rsidRDefault="00A80D08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D46A01" w:rsidRPr="00651E2E" w:rsidRDefault="00A80D08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46A01" w:rsidRPr="00651E2E" w:rsidRDefault="00A80D08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88E" w:rsidRPr="00651E2E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0D08" w:rsidRPr="005058B0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80D08" w:rsidRPr="00EA2028" w:rsidRDefault="00A80D08" w:rsidP="00A80D08">
      <w:r w:rsidRPr="00EA2028">
        <w:rPr>
          <w:noProof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D53" w:rsidRPr="00651E2E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83F3D" w:rsidRPr="00651E2E" w:rsidRDefault="00D8272D" w:rsidP="004D6D39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periudh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7E0D2E">
        <w:rPr>
          <w:rFonts w:ascii="Times New Roman" w:hAnsi="Times New Roman" w:cs="Times New Roman"/>
          <w:sz w:val="24"/>
          <w:szCs w:val="24"/>
        </w:rPr>
        <w:t xml:space="preserve"> -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A80D08">
        <w:rPr>
          <w:rFonts w:ascii="Times New Roman" w:hAnsi="Times New Roman" w:cs="Times New Roman"/>
          <w:sz w:val="24"/>
          <w:szCs w:val="24"/>
        </w:rPr>
        <w:t>,</w:t>
      </w:r>
      <w:r w:rsidR="004D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k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r w:rsidR="00A80D08">
        <w:rPr>
          <w:rFonts w:ascii="Times New Roman" w:hAnsi="Times New Roman" w:cs="Times New Roman"/>
          <w:sz w:val="24"/>
          <w:szCs w:val="24"/>
        </w:rPr>
        <w:t>t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jan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k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r w:rsidR="00A80D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9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posht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:</w:t>
      </w:r>
    </w:p>
    <w:p w:rsidR="00F96D53" w:rsidRPr="00651E2E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9A5656" w:rsidRPr="00A80D08" w:rsidRDefault="00B864AB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Bashkia </w:t>
      </w:r>
      <w:r w:rsidR="00FF445D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ka  realizuar trajnime t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sve 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rputhje me detyrat dhe v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t e pun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ata mbulojn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si dhe trajnime specifike sipa</w:t>
      </w:r>
      <w:r w:rsidR="009A5656" w:rsidRPr="00651E2E">
        <w:rPr>
          <w:rFonts w:ascii="Times New Roman" w:hAnsi="Times New Roman" w:cs="Times New Roman"/>
          <w:sz w:val="24"/>
          <w:szCs w:val="24"/>
          <w:lang w:val="sq-AL"/>
        </w:rPr>
        <w:t>s natyr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5656" w:rsidRPr="00651E2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5656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5656" w:rsidRPr="00651E2E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5656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operohet.</w:t>
      </w:r>
    </w:p>
    <w:p w:rsidR="00A80D08" w:rsidRPr="00A80D08" w:rsidRDefault="00A80D08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suar nevojat 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staf shtes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sektorin e informacionit.</w:t>
      </w:r>
    </w:p>
    <w:p w:rsidR="00A80D08" w:rsidRPr="00651E2E" w:rsidRDefault="004D6D39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BF7A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80D08">
        <w:rPr>
          <w:rFonts w:ascii="Times New Roman" w:hAnsi="Times New Roman" w:cs="Times New Roman"/>
          <w:sz w:val="24"/>
          <w:szCs w:val="24"/>
        </w:rPr>
        <w:t>ealiz</w:t>
      </w:r>
      <w:r>
        <w:rPr>
          <w:rFonts w:ascii="Times New Roman" w:hAnsi="Times New Roman" w:cs="Times New Roman"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t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natyr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r w:rsidR="00A80D0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80D08">
        <w:rPr>
          <w:rFonts w:ascii="Times New Roman" w:hAnsi="Times New Roman" w:cs="Times New Roman"/>
          <w:sz w:val="24"/>
          <w:szCs w:val="24"/>
        </w:rPr>
        <w:t>pun</w:t>
      </w:r>
      <w:r w:rsidR="00E15AAE">
        <w:rPr>
          <w:rFonts w:ascii="Times New Roman" w:hAnsi="Times New Roman" w:cs="Times New Roman"/>
          <w:sz w:val="24"/>
          <w:szCs w:val="24"/>
        </w:rPr>
        <w:t>ë</w:t>
      </w:r>
      <w:r w:rsidR="00A80D0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80D08">
        <w:rPr>
          <w:rFonts w:ascii="Times New Roman" w:hAnsi="Times New Roman" w:cs="Times New Roman"/>
          <w:sz w:val="24"/>
          <w:szCs w:val="24"/>
        </w:rPr>
        <w:t>.</w:t>
      </w:r>
    </w:p>
    <w:p w:rsidR="00651E2E" w:rsidRDefault="00651E2E" w:rsidP="00F96D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96D53" w:rsidRPr="00651E2E" w:rsidRDefault="00D8272D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651E2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9A5656" w:rsidRPr="00651E2E">
        <w:rPr>
          <w:rFonts w:ascii="Times New Roman" w:hAnsi="Times New Roman" w:cs="Times New Roman"/>
          <w:bCs/>
          <w:sz w:val="24"/>
          <w:szCs w:val="24"/>
          <w:lang w:val="sq-AL"/>
        </w:rPr>
        <w:t>Përmirësimi i rezistencës institucionale ndaj risqeve të integritetit në procese me risk për shkelje të integritetit për bashkinë”.</w:t>
      </w:r>
      <w:r w:rsidR="009A5656" w:rsidRPr="00651E2E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:rsidR="004924C7" w:rsidRPr="00651E2E" w:rsidRDefault="009A5656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Ky objektiv synon t</w:t>
      </w:r>
      <w:r w:rsidR="00E21714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 xml:space="preserve"> pëmirësojë efektivitetin, efiçencën dhe cilësinë e proceseve të punës në fushat funksionale të bashkisë të tilla si menaxhimi financiar, shërbimeve publike, planifikimit të territorit, menaxhimit të pronave dhe aseteve publike etj, duke i bërë më rezistente ndaj shkeljeve të mundshme të integritetit.</w:t>
      </w:r>
    </w:p>
    <w:p w:rsidR="009A5656" w:rsidRPr="00651E2E" w:rsidRDefault="009A5656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4924C7" w:rsidRPr="00651E2E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651E2E" w:rsidRDefault="00067963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Gjat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>s monitoruese</w:t>
      </w:r>
      <w:r w:rsidR="00F31C77" w:rsidRPr="00651E2E">
        <w:rPr>
          <w:rFonts w:ascii="Times New Roman" w:hAnsi="Times New Roman" w:cs="Times New Roman"/>
          <w:lang w:val="sq-AL"/>
        </w:rPr>
        <w:t xml:space="preserve"> p</w:t>
      </w:r>
      <w:r w:rsidR="008E6BA1" w:rsidRPr="00651E2E">
        <w:rPr>
          <w:rFonts w:ascii="Times New Roman" w:hAnsi="Times New Roman" w:cs="Times New Roman"/>
          <w:lang w:val="sq-AL"/>
        </w:rPr>
        <w:t>ë</w:t>
      </w:r>
      <w:r w:rsidR="00F31C77" w:rsidRPr="00651E2E">
        <w:rPr>
          <w:rFonts w:ascii="Times New Roman" w:hAnsi="Times New Roman" w:cs="Times New Roman"/>
          <w:lang w:val="sq-AL"/>
        </w:rPr>
        <w:t>r vitin 2023</w:t>
      </w:r>
      <w:r w:rsidRPr="00651E2E">
        <w:rPr>
          <w:rFonts w:ascii="Times New Roman" w:hAnsi="Times New Roman" w:cs="Times New Roman"/>
          <w:lang w:val="sq-AL"/>
        </w:rPr>
        <w:t xml:space="preserve"> jan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planifikuar p</w:t>
      </w:r>
      <w:r w:rsidR="003926C8">
        <w:rPr>
          <w:rFonts w:ascii="Times New Roman" w:hAnsi="Times New Roman" w:cs="Times New Roman"/>
          <w:lang w:val="sq-AL"/>
        </w:rPr>
        <w:t>ë</w:t>
      </w:r>
      <w:r w:rsidR="00983CCA">
        <w:rPr>
          <w:rFonts w:ascii="Times New Roman" w:hAnsi="Times New Roman" w:cs="Times New Roman"/>
          <w:lang w:val="sq-AL"/>
        </w:rPr>
        <w:t>r tu realizuar gjithsej 17</w:t>
      </w:r>
      <w:r w:rsidR="00972434">
        <w:rPr>
          <w:rFonts w:ascii="Times New Roman" w:hAnsi="Times New Roman" w:cs="Times New Roman"/>
          <w:lang w:val="sq-AL"/>
        </w:rPr>
        <w:t xml:space="preserve"> masa/aktivitete nga t</w:t>
      </w:r>
      <w:r w:rsidR="003926C8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cilat jan</w:t>
      </w:r>
      <w:r w:rsidR="003926C8">
        <w:rPr>
          <w:rFonts w:ascii="Times New Roman" w:hAnsi="Times New Roman" w:cs="Times New Roman"/>
          <w:lang w:val="sq-AL"/>
        </w:rPr>
        <w:t>ë</w:t>
      </w:r>
      <w:r w:rsidR="00983CCA">
        <w:rPr>
          <w:rFonts w:ascii="Times New Roman" w:hAnsi="Times New Roman" w:cs="Times New Roman"/>
          <w:lang w:val="sq-AL"/>
        </w:rPr>
        <w:t xml:space="preserve"> realizuar 9 masa/aktivitete ose 53</w:t>
      </w:r>
      <w:r w:rsidR="00972434">
        <w:rPr>
          <w:rFonts w:ascii="Times New Roman" w:hAnsi="Times New Roman" w:cs="Times New Roman"/>
          <w:lang w:val="sq-AL"/>
        </w:rPr>
        <w:t>%, jan</w:t>
      </w:r>
      <w:r w:rsidR="003926C8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n</w:t>
      </w:r>
      <w:r w:rsidR="003926C8">
        <w:rPr>
          <w:rFonts w:ascii="Times New Roman" w:hAnsi="Times New Roman" w:cs="Times New Roman"/>
          <w:lang w:val="sq-AL"/>
        </w:rPr>
        <w:t>ë</w:t>
      </w:r>
      <w:r w:rsidR="00983CCA">
        <w:rPr>
          <w:rFonts w:ascii="Times New Roman" w:hAnsi="Times New Roman" w:cs="Times New Roman"/>
          <w:lang w:val="sq-AL"/>
        </w:rPr>
        <w:t xml:space="preserve"> proces 6</w:t>
      </w:r>
      <w:r w:rsidR="00972434">
        <w:rPr>
          <w:rFonts w:ascii="Times New Roman" w:hAnsi="Times New Roman" w:cs="Times New Roman"/>
          <w:lang w:val="sq-AL"/>
        </w:rPr>
        <w:t xml:space="preserve"> masa/aktivitete </w:t>
      </w:r>
      <w:r w:rsidR="00983CCA">
        <w:rPr>
          <w:rFonts w:ascii="Times New Roman" w:hAnsi="Times New Roman" w:cs="Times New Roman"/>
          <w:lang w:val="sq-AL"/>
        </w:rPr>
        <w:t xml:space="preserve"> ose 35</w:t>
      </w:r>
      <w:r w:rsidR="003926C8">
        <w:rPr>
          <w:rFonts w:ascii="Times New Roman" w:hAnsi="Times New Roman" w:cs="Times New Roman"/>
          <w:lang w:val="sq-AL"/>
        </w:rPr>
        <w:t xml:space="preserve">% </w:t>
      </w:r>
      <w:r w:rsidR="00972434">
        <w:rPr>
          <w:rFonts w:ascii="Times New Roman" w:hAnsi="Times New Roman" w:cs="Times New Roman"/>
          <w:lang w:val="sq-AL"/>
        </w:rPr>
        <w:t>dhe nuk jan</w:t>
      </w:r>
      <w:r w:rsidR="003926C8">
        <w:rPr>
          <w:rFonts w:ascii="Times New Roman" w:hAnsi="Times New Roman" w:cs="Times New Roman"/>
          <w:lang w:val="sq-AL"/>
        </w:rPr>
        <w:t>ë</w:t>
      </w:r>
      <w:r w:rsidR="00972434">
        <w:rPr>
          <w:rFonts w:ascii="Times New Roman" w:hAnsi="Times New Roman" w:cs="Times New Roman"/>
          <w:lang w:val="sq-AL"/>
        </w:rPr>
        <w:t xml:space="preserve"> </w:t>
      </w:r>
      <w:r w:rsidRPr="00651E2E">
        <w:rPr>
          <w:rFonts w:ascii="Times New Roman" w:hAnsi="Times New Roman" w:cs="Times New Roman"/>
          <w:lang w:val="sq-AL"/>
        </w:rPr>
        <w:t xml:space="preserve"> realizuar</w:t>
      </w:r>
      <w:r w:rsidR="003926C8">
        <w:rPr>
          <w:rFonts w:ascii="Times New Roman" w:hAnsi="Times New Roman" w:cs="Times New Roman"/>
          <w:lang w:val="sq-AL"/>
        </w:rPr>
        <w:t xml:space="preserve"> 2</w:t>
      </w:r>
      <w:r w:rsidRPr="00651E2E">
        <w:rPr>
          <w:rFonts w:ascii="Times New Roman" w:hAnsi="Times New Roman" w:cs="Times New Roman"/>
          <w:lang w:val="sq-AL"/>
        </w:rPr>
        <w:t xml:space="preserve"> masa</w:t>
      </w:r>
      <w:r w:rsidR="00983CCA">
        <w:rPr>
          <w:rFonts w:ascii="Times New Roman" w:hAnsi="Times New Roman" w:cs="Times New Roman"/>
          <w:lang w:val="sq-AL"/>
        </w:rPr>
        <w:t>/aktivitete ose 12</w:t>
      </w:r>
      <w:r w:rsidR="003926C8">
        <w:rPr>
          <w:rFonts w:ascii="Times New Roman" w:hAnsi="Times New Roman" w:cs="Times New Roman"/>
          <w:lang w:val="sq-AL"/>
        </w:rPr>
        <w:t xml:space="preserve">% </w:t>
      </w:r>
      <w:r w:rsidRPr="00651E2E">
        <w:rPr>
          <w:rFonts w:ascii="Times New Roman" w:hAnsi="Times New Roman" w:cs="Times New Roman"/>
          <w:lang w:val="sq-AL"/>
        </w:rPr>
        <w:t>sipas tabel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>s</w:t>
      </w:r>
      <w:r w:rsidR="003926C8">
        <w:rPr>
          <w:rFonts w:ascii="Times New Roman" w:hAnsi="Times New Roman" w:cs="Times New Roman"/>
          <w:lang w:val="sq-AL"/>
        </w:rPr>
        <w:t xml:space="preserve"> dhe grafikut </w:t>
      </w:r>
      <w:r w:rsidRPr="00651E2E">
        <w:rPr>
          <w:rFonts w:ascii="Times New Roman" w:hAnsi="Times New Roman" w:cs="Times New Roman"/>
          <w:lang w:val="sq-AL"/>
        </w:rPr>
        <w:t xml:space="preserve"> si m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 xml:space="preserve"> posht</w:t>
      </w:r>
      <w:r w:rsidR="003E3044" w:rsidRPr="00651E2E">
        <w:rPr>
          <w:rFonts w:ascii="Times New Roman" w:hAnsi="Times New Roman" w:cs="Times New Roman"/>
          <w:lang w:val="sq-AL"/>
        </w:rPr>
        <w:t>ë</w:t>
      </w:r>
      <w:r w:rsidRPr="00651E2E">
        <w:rPr>
          <w:rFonts w:ascii="Times New Roman" w:hAnsi="Times New Roman" w:cs="Times New Roman"/>
          <w:lang w:val="sq-AL"/>
        </w:rPr>
        <w:t>:</w:t>
      </w:r>
    </w:p>
    <w:p w:rsidR="0045459A" w:rsidRPr="00651E2E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651E2E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FF445D" w:rsidRPr="00651E2E" w:rsidRDefault="00FF445D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651E2E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651E2E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067963" w:rsidRPr="00651E2E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51E2E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651E2E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651E2E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3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067963" w:rsidRPr="00651E2E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651E2E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651E2E" w:rsidRDefault="00651E2E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Përmirësimi i rezistencës institucionale ndaj risqeve të integritetit në procese me risk për shkelje të integritetit për bashkinë</w:t>
            </w:r>
          </w:p>
        </w:tc>
        <w:tc>
          <w:tcPr>
            <w:tcW w:w="1504" w:type="dxa"/>
            <w:vAlign w:val="center"/>
          </w:tcPr>
          <w:p w:rsidR="006C5C70" w:rsidRPr="00651E2E" w:rsidRDefault="00983CC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9" w:type="dxa"/>
            <w:vAlign w:val="center"/>
          </w:tcPr>
          <w:p w:rsidR="006C5C70" w:rsidRPr="00651E2E" w:rsidRDefault="00983CC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6C5C70" w:rsidRPr="00651E2E" w:rsidRDefault="00983CC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6C5C70" w:rsidRPr="00651E2E" w:rsidRDefault="009D02CE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7963" w:rsidRPr="00651E2E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202BC" w:rsidRDefault="009202BC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83CCA" w:rsidRPr="005058B0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983CCA" w:rsidRPr="00EA2028" w:rsidRDefault="00983CCA" w:rsidP="00983CCA">
      <w:r w:rsidRPr="00EA2028">
        <w:rPr>
          <w:noProof/>
        </w:rPr>
        <w:drawing>
          <wp:inline distT="0" distB="0" distL="0" distR="0" wp14:anchorId="38255132" wp14:editId="0AA8C6CE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3CCA" w:rsidRPr="00651E2E" w:rsidRDefault="00983CCA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847C2" w:rsidRPr="00651E2E" w:rsidRDefault="008847C2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3E1C3A" w:rsidRPr="00651E2E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4D6D39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="004D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>
        <w:rPr>
          <w:rFonts w:ascii="Times New Roman" w:hAnsi="Times New Roman" w:cs="Times New Roman"/>
          <w:sz w:val="24"/>
          <w:szCs w:val="24"/>
        </w:rPr>
        <w:t>realizyuar</w:t>
      </w:r>
      <w:proofErr w:type="spellEnd"/>
      <w:r w:rsidR="004D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posht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:</w:t>
      </w:r>
    </w:p>
    <w:p w:rsidR="003E1C3A" w:rsidRPr="00651E2E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76" w:rsidRPr="00651E2E" w:rsidRDefault="002F6D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simi i  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nave kontab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l me iventarin fizik.</w:t>
      </w:r>
    </w:p>
    <w:p w:rsidR="00FF445D" w:rsidRPr="00651E2E" w:rsidRDefault="002F6D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detajuar plani vendor referuar planit 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rgjithsh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m vendor duke u bazuar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linj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n e tij me q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llim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lidhje me zhvillimin e zonave 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vecanta t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qytetit.</w:t>
      </w:r>
    </w:p>
    <w:p w:rsidR="00FF445D" w:rsidRPr="00983CCA" w:rsidRDefault="002F6D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Rritja e v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mendjes ndaj zonave rurale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ofrimin e sh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rbimeve ndaj qytetar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ve 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rmjet rritjes s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zore, kapaciteteve teknike, 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simit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 infrastruktur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s,  administrim dhe logjistik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7B18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83CCA" w:rsidRPr="00983CCA" w:rsidRDefault="00983C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83CCA">
        <w:rPr>
          <w:rFonts w:ascii="Times New Roman" w:hAnsi="Times New Roman" w:cs="Times New Roman"/>
          <w:sz w:val="24"/>
          <w:szCs w:val="24"/>
          <w:lang w:val="sq-AL"/>
        </w:rPr>
        <w:t>Vlerësimi i trajnimeve përkatëse specialistëve të aseteve.</w:t>
      </w:r>
    </w:p>
    <w:p w:rsidR="00983CCA" w:rsidRPr="00983CCA" w:rsidRDefault="00983C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83CCA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hartuar informacioni lidhur me pritshmëritë (performanca e instrumentit të zgjedhur për ofrimin e shërbimit), cilësinë (mënyra se si instrumenti arrin qëllimet), kriteret krahasues</w:t>
      </w:r>
      <w:r w:rsidRPr="00983CCA">
        <w:rPr>
          <w:rFonts w:ascii="Times New Roman" w:hAnsi="Times New Roman" w:cs="Times New Roman"/>
          <w:sz w:val="24"/>
          <w:szCs w:val="24"/>
        </w:rPr>
        <w:t>e</w:t>
      </w:r>
      <w:r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(për qëllime përmirësimi vetjak</w:t>
      </w:r>
      <w:r w:rsidRPr="00983CCA">
        <w:rPr>
          <w:rFonts w:ascii="Times New Roman" w:hAnsi="Times New Roman" w:cs="Times New Roman"/>
          <w:sz w:val="24"/>
          <w:szCs w:val="24"/>
        </w:rPr>
        <w:t>,</w:t>
      </w:r>
      <w:r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por edhe në raport me shembujt e institucioneve homologe) si dhe standar</w:t>
      </w:r>
      <w:r w:rsidRPr="00983CCA">
        <w:rPr>
          <w:rFonts w:ascii="Times New Roman" w:hAnsi="Times New Roman" w:cs="Times New Roman"/>
          <w:sz w:val="24"/>
          <w:szCs w:val="24"/>
        </w:rPr>
        <w:t>d</w:t>
      </w:r>
      <w:r w:rsidRPr="00983CCA">
        <w:rPr>
          <w:rFonts w:ascii="Times New Roman" w:hAnsi="Times New Roman" w:cs="Times New Roman"/>
          <w:sz w:val="24"/>
          <w:szCs w:val="24"/>
          <w:lang w:val="sq-AL"/>
        </w:rPr>
        <w:t>i i ndjekur për to;</w:t>
      </w:r>
    </w:p>
    <w:p w:rsidR="00983CCA" w:rsidRPr="00983CCA" w:rsidRDefault="00525D70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3CCA"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cakt</w:t>
      </w:r>
      <w:r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="00983CCA"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periodiciteti i nevo</w:t>
      </w:r>
      <w:proofErr w:type="spellStart"/>
      <w:r w:rsidR="00983CCA" w:rsidRPr="00983CCA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="00983CCA" w:rsidRPr="00983CCA">
        <w:rPr>
          <w:rFonts w:ascii="Times New Roman" w:hAnsi="Times New Roman" w:cs="Times New Roman"/>
          <w:sz w:val="24"/>
          <w:szCs w:val="24"/>
          <w:lang w:val="sq-AL"/>
        </w:rPr>
        <w:t>hëm i monitorimeve dhe evidentimi i këtij procesi</w:t>
      </w:r>
      <w:r w:rsidR="00983CC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83CCA" w:rsidRPr="00983CCA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</w:p>
    <w:p w:rsidR="00230D2A" w:rsidRDefault="00230D2A" w:rsidP="002F6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F6DCA" w:rsidRPr="00651E2E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 “</w:t>
      </w:r>
      <w:r w:rsidRPr="00651E2E">
        <w:rPr>
          <w:rFonts w:ascii="Times New Roman" w:hAnsi="Times New Roman" w:cs="Times New Roman"/>
          <w:bCs/>
          <w:sz w:val="24"/>
          <w:szCs w:val="24"/>
          <w:lang w:val="sq-AL"/>
        </w:rPr>
        <w:t>Rritja e besueshmërisë së publikut përmes përmirësimit të imazhit, transparencës me publikun dhe grupet e interesit dhe mekanizmave llogaridhënës në vendimmarrjen vendore”.</w:t>
      </w:r>
      <w:r w:rsidRPr="00651E2E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:rsidR="002F6DCA" w:rsidRPr="00651E2E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2F6DCA" w:rsidRPr="00651E2E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Objektivi i katërt grupon dhe adreson risqet që lidhen me ndarjen e informacionit dhe komunikimit të brendshëm dhe të jashtëm, transparencës së limituar, imazhit dhe besueshmërisë së ulët publike. </w:t>
      </w:r>
    </w:p>
    <w:p w:rsidR="002F6DCA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Zbatimi i masave të planifikuara do të përmirësojnë transparencën dhe llogaridhënien e bashkisë duke ndikuar për mirë te imazhi dhe besueshmëria e qytetarëve dhe grupeve të interesit te Bashkia e Bulqizës.</w:t>
      </w:r>
    </w:p>
    <w:p w:rsidR="003926C8" w:rsidRDefault="003926C8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926C8" w:rsidRPr="00651E2E" w:rsidRDefault="003926C8" w:rsidP="003926C8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Gjatë periudhë</w:t>
      </w:r>
      <w:r>
        <w:rPr>
          <w:rFonts w:ascii="Times New Roman" w:hAnsi="Times New Roman" w:cs="Times New Roman"/>
          <w:lang w:val="sq-AL"/>
        </w:rPr>
        <w:t>s monitoruese</w:t>
      </w:r>
      <w:r w:rsidRPr="00651E2E">
        <w:rPr>
          <w:rFonts w:ascii="Times New Roman" w:hAnsi="Times New Roman" w:cs="Times New Roman"/>
          <w:lang w:val="sq-AL"/>
        </w:rPr>
        <w:t xml:space="preserve"> për vitin 2023</w:t>
      </w:r>
      <w:r>
        <w:rPr>
          <w:rFonts w:ascii="Times New Roman" w:hAnsi="Times New Roman" w:cs="Times New Roman"/>
          <w:lang w:val="sq-AL"/>
        </w:rPr>
        <w:t xml:space="preserve"> lidhur me këtë objektiv</w:t>
      </w:r>
      <w:r w:rsidRPr="00651E2E">
        <w:rPr>
          <w:rFonts w:ascii="Times New Roman" w:hAnsi="Times New Roman" w:cs="Times New Roman"/>
          <w:lang w:val="sq-AL"/>
        </w:rPr>
        <w:t xml:space="preserve"> janë</w:t>
      </w:r>
      <w:r>
        <w:rPr>
          <w:rFonts w:ascii="Times New Roman" w:hAnsi="Times New Roman" w:cs="Times New Roman"/>
          <w:lang w:val="sq-AL"/>
        </w:rPr>
        <w:t xml:space="preserve"> planifikuar për tu realizuar</w:t>
      </w:r>
      <w:r w:rsidR="00983CCA">
        <w:rPr>
          <w:rFonts w:ascii="Times New Roman" w:hAnsi="Times New Roman" w:cs="Times New Roman"/>
          <w:lang w:val="sq-AL"/>
        </w:rPr>
        <w:t xml:space="preserve"> gjithsej 3</w:t>
      </w:r>
      <w:r>
        <w:rPr>
          <w:rFonts w:ascii="Times New Roman" w:hAnsi="Times New Roman" w:cs="Times New Roman"/>
          <w:lang w:val="sq-AL"/>
        </w:rPr>
        <w:t xml:space="preserve"> masa/aktivite</w:t>
      </w:r>
      <w:r w:rsidR="00983CCA">
        <w:rPr>
          <w:rFonts w:ascii="Times New Roman" w:hAnsi="Times New Roman" w:cs="Times New Roman"/>
          <w:lang w:val="sq-AL"/>
        </w:rPr>
        <w:t xml:space="preserve">te nga të cilat janë realizuar </w:t>
      </w:r>
      <w:r w:rsidR="00525D70">
        <w:rPr>
          <w:rFonts w:ascii="Times New Roman" w:hAnsi="Times New Roman" w:cs="Times New Roman"/>
          <w:lang w:val="sq-AL"/>
        </w:rPr>
        <w:t>masa/aktivitete ose 66</w:t>
      </w:r>
      <w:r>
        <w:rPr>
          <w:rFonts w:ascii="Times New Roman" w:hAnsi="Times New Roman" w:cs="Times New Roman"/>
          <w:lang w:val="sq-AL"/>
        </w:rPr>
        <w:t>%, është në proces real</w:t>
      </w:r>
      <w:r w:rsidR="00525D70">
        <w:rPr>
          <w:rFonts w:ascii="Times New Roman" w:hAnsi="Times New Roman" w:cs="Times New Roman"/>
          <w:lang w:val="sq-AL"/>
        </w:rPr>
        <w:t xml:space="preserve">izimi  1 masa/aktivitete  ose 34 % </w:t>
      </w:r>
      <w:r w:rsidRPr="00651E2E">
        <w:rPr>
          <w:rFonts w:ascii="Times New Roman" w:hAnsi="Times New Roman" w:cs="Times New Roman"/>
          <w:lang w:val="sq-AL"/>
        </w:rPr>
        <w:t>sipas tabelës</w:t>
      </w:r>
      <w:r>
        <w:rPr>
          <w:rFonts w:ascii="Times New Roman" w:hAnsi="Times New Roman" w:cs="Times New Roman"/>
          <w:lang w:val="sq-AL"/>
        </w:rPr>
        <w:t xml:space="preserve"> dhe grafikut </w:t>
      </w:r>
      <w:r w:rsidRPr="00651E2E">
        <w:rPr>
          <w:rFonts w:ascii="Times New Roman" w:hAnsi="Times New Roman" w:cs="Times New Roman"/>
          <w:lang w:val="sq-AL"/>
        </w:rPr>
        <w:t xml:space="preserve"> si më poshtë:</w:t>
      </w:r>
    </w:p>
    <w:p w:rsidR="003926C8" w:rsidRPr="00651E2E" w:rsidRDefault="003926C8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6DCA" w:rsidRPr="00651E2E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1E2E" w:rsidRDefault="00651E2E" w:rsidP="002F6DC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651E2E" w:rsidRDefault="00651E2E" w:rsidP="002F6DC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4D6EEA" w:rsidRPr="00651E2E" w:rsidTr="00E21714">
        <w:trPr>
          <w:trHeight w:val="226"/>
        </w:trPr>
        <w:tc>
          <w:tcPr>
            <w:tcW w:w="1807" w:type="dxa"/>
            <w:vMerge w:val="restart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D6EEA" w:rsidRPr="00651E2E" w:rsidRDefault="004D6EEA" w:rsidP="00E2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4D6EEA" w:rsidRPr="00651E2E" w:rsidRDefault="004D6EEA" w:rsidP="00E2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4D6EEA" w:rsidRPr="00651E2E" w:rsidTr="00E21714">
        <w:trPr>
          <w:trHeight w:val="918"/>
        </w:trPr>
        <w:tc>
          <w:tcPr>
            <w:tcW w:w="1807" w:type="dxa"/>
            <w:vMerge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parealizuara</w:t>
            </w:r>
          </w:p>
        </w:tc>
      </w:tr>
      <w:tr w:rsidR="004D6EEA" w:rsidRPr="00651E2E" w:rsidTr="00E21714">
        <w:trPr>
          <w:trHeight w:val="1196"/>
        </w:trPr>
        <w:tc>
          <w:tcPr>
            <w:tcW w:w="3282" w:type="dxa"/>
            <w:gridSpan w:val="2"/>
            <w:vAlign w:val="center"/>
          </w:tcPr>
          <w:p w:rsidR="004D6EEA" w:rsidRPr="00651E2E" w:rsidRDefault="00651E2E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Rritja e besueshmërisë së publikut përmes përmirësimit të imazhit, transparencës me publikun dhe grupet e interesit dhe mekanizmave llogaridhënës në vendimmarrjen vendore</w:t>
            </w:r>
          </w:p>
        </w:tc>
        <w:tc>
          <w:tcPr>
            <w:tcW w:w="1504" w:type="dxa"/>
            <w:vAlign w:val="center"/>
          </w:tcPr>
          <w:p w:rsidR="004D6EEA" w:rsidRPr="00651E2E" w:rsidRDefault="00525D70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4D6EEA" w:rsidRPr="00651E2E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4D6EEA" w:rsidRPr="00651E2E" w:rsidRDefault="00525D70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6DCA" w:rsidRPr="00651E2E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6DCA" w:rsidRPr="00651E2E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Pr="005058B0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525D70" w:rsidRPr="00EA2028" w:rsidRDefault="00525D70" w:rsidP="00525D70">
      <w:r w:rsidRPr="00EA2028">
        <w:rPr>
          <w:noProof/>
        </w:rPr>
        <w:drawing>
          <wp:inline distT="0" distB="0" distL="0" distR="0" wp14:anchorId="79499AC8" wp14:editId="17C3DFFF">
            <wp:extent cx="5943600" cy="3470910"/>
            <wp:effectExtent l="0" t="0" r="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6DCA" w:rsidRPr="002E0EE6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4D6EEA" w:rsidRPr="00651E2E" w:rsidRDefault="004D6EEA" w:rsidP="004D6EE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:</w:t>
      </w:r>
    </w:p>
    <w:p w:rsidR="004D6EEA" w:rsidRPr="00651E2E" w:rsidRDefault="004D6EEA" w:rsidP="004D6EE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EA" w:rsidRPr="00651E2E" w:rsidRDefault="004D6EEA" w:rsidP="004D6EEA">
      <w:pPr>
        <w:pStyle w:val="ListParagraph"/>
        <w:numPr>
          <w:ilvl w:val="0"/>
          <w:numId w:val="27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Rritja e v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mendjes ndaj zonave rurale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ofrimin e sh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rbimeve ndaj qytetar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ve 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rmjet rritjes s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zore, kapaciteteve teknike, p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simit n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 infrastruktur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s,  administrim dhe logjistik</w:t>
      </w:r>
      <w:r w:rsid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D6EEA" w:rsidRPr="00525D70" w:rsidRDefault="004D6EEA" w:rsidP="004D6EEA">
      <w:pPr>
        <w:pStyle w:val="ListParagraph"/>
        <w:numPr>
          <w:ilvl w:val="0"/>
          <w:numId w:val="27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732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51E2E" w:rsidRPr="003F073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F07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 xml:space="preserve"> krijuar </w:t>
      </w:r>
      <w:r w:rsidRPr="003F0732">
        <w:rPr>
          <w:rFonts w:ascii="Times New Roman" w:hAnsi="Times New Roman" w:cs="Times New Roman"/>
          <w:sz w:val="24"/>
          <w:szCs w:val="24"/>
          <w:lang w:val="sq-AL"/>
        </w:rPr>
        <w:t>regjistri i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F0732">
        <w:rPr>
          <w:rFonts w:ascii="Times New Roman" w:hAnsi="Times New Roman" w:cs="Times New Roman"/>
          <w:sz w:val="24"/>
          <w:szCs w:val="24"/>
          <w:lang w:val="sq-AL"/>
        </w:rPr>
        <w:t>kontratave ekzistuese për pronat në pronësi apo administrim të Bashkisë, si dhe jan</w:t>
      </w:r>
      <w:r w:rsidR="00651E2E" w:rsidRPr="003F073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F0732">
        <w:rPr>
          <w:rFonts w:ascii="Times New Roman" w:hAnsi="Times New Roman" w:cs="Times New Roman"/>
          <w:sz w:val="24"/>
          <w:szCs w:val="24"/>
          <w:lang w:val="sq-AL"/>
        </w:rPr>
        <w:t xml:space="preserve"> përcaktuar  kriteret që duhet të përmbajë një sistem i thjeshtë i menaxhimit të pronave dhe garantimi i transparencës së të dhënave ndaj publikut, në mënyrë elektronike, nëpërmjet internetit apo shërbimit në sportel.</w:t>
      </w:r>
    </w:p>
    <w:p w:rsidR="00525D70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EE2F52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EE2F52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E15AAE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E15AAE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AE">
        <w:rPr>
          <w:rFonts w:ascii="Times New Roman" w:hAnsi="Times New Roman" w:cs="Times New Roman"/>
          <w:sz w:val="24"/>
          <w:szCs w:val="24"/>
        </w:rPr>
        <w:t>T</w:t>
      </w:r>
      <w:r w:rsidR="00E15AAE" w:rsidRPr="00E15A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AE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AE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AE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E15AA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sistëmit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AE" w:rsidRPr="00E15AAE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="00E15AAE" w:rsidRPr="00E15AAE">
        <w:rPr>
          <w:rFonts w:ascii="Times New Roman" w:hAnsi="Times New Roman" w:cs="Times New Roman"/>
          <w:sz w:val="24"/>
          <w:szCs w:val="24"/>
        </w:rPr>
        <w:t>.</w:t>
      </w:r>
    </w:p>
    <w:p w:rsidR="00E15AAE" w:rsidRPr="00E15AAE" w:rsidRDefault="00E15AAE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5AAE">
        <w:rPr>
          <w:rFonts w:ascii="Times New Roman" w:hAnsi="Times New Roman" w:cs="Times New Roman"/>
          <w:sz w:val="24"/>
          <w:szCs w:val="24"/>
          <w:lang w:val="sq-AL"/>
        </w:rPr>
        <w:t>Të vlerësohen mundësitë e blerjes së sistemeve të IT</w:t>
      </w:r>
      <w:r w:rsidRPr="00E15AAE">
        <w:rPr>
          <w:rFonts w:ascii="Times New Roman" w:hAnsi="Times New Roman" w:cs="Times New Roman"/>
          <w:sz w:val="24"/>
          <w:szCs w:val="24"/>
        </w:rPr>
        <w:t>-s</w:t>
      </w:r>
      <w:r w:rsidRP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15AAE">
        <w:rPr>
          <w:rFonts w:ascii="Times New Roman" w:hAnsi="Times New Roman" w:cs="Times New Roman"/>
          <w:sz w:val="24"/>
          <w:szCs w:val="24"/>
        </w:rPr>
        <w:t>,</w:t>
      </w:r>
      <w:r w:rsidRPr="00E15AAE">
        <w:rPr>
          <w:rFonts w:ascii="Times New Roman" w:hAnsi="Times New Roman" w:cs="Times New Roman"/>
          <w:sz w:val="24"/>
          <w:szCs w:val="24"/>
          <w:lang w:val="sq-AL"/>
        </w:rPr>
        <w:t xml:space="preserve"> të përshtatshme dhe të dedikuara për procesin e kontabilizimit</w:t>
      </w:r>
    </w:p>
    <w:p w:rsidR="00E15AAE" w:rsidRPr="00E15AAE" w:rsidRDefault="00E15AAE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5AAE">
        <w:rPr>
          <w:rFonts w:ascii="Times New Roman" w:hAnsi="Times New Roman" w:cs="Times New Roman"/>
          <w:sz w:val="24"/>
          <w:szCs w:val="24"/>
          <w:lang w:val="sq-AL"/>
        </w:rPr>
        <w:t>Të kryhen  të gjitha  procedurat e  nevojshme për pajisur bashkinë me  pronat dhe asetet  e trashëguara</w:t>
      </w:r>
    </w:p>
    <w:p w:rsidR="00E15AAE" w:rsidRPr="00E15AAE" w:rsidRDefault="00E15AAE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5AAE">
        <w:rPr>
          <w:rFonts w:ascii="Times New Roman" w:hAnsi="Times New Roman" w:cs="Times New Roman"/>
          <w:sz w:val="24"/>
          <w:szCs w:val="24"/>
          <w:lang w:val="sq-AL"/>
        </w:rPr>
        <w:t>Të realizohet iventari fizik në baza vjetore për të saktësuar procesin e iventarizimit.</w:t>
      </w:r>
    </w:p>
    <w:p w:rsidR="00E15AAE" w:rsidRPr="00E15AAE" w:rsidRDefault="00E15AAE" w:rsidP="00E15AA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5AAE">
        <w:rPr>
          <w:rFonts w:ascii="Times New Roman" w:hAnsi="Times New Roman" w:cs="Times New Roman"/>
          <w:sz w:val="24"/>
          <w:szCs w:val="24"/>
          <w:lang w:val="sq-AL"/>
        </w:rPr>
        <w:lastRenderedPageBreak/>
        <w:t>Të përfundohet inventarizimi i pronave dhe të përditësohet informacioni i saktë në listën e pronave sikurse dhe në efektet kontabël në rast diferencash midis inventarizimit fizik dhe gjendjes së tyre në sistemet përkatëse kontabël;</w:t>
      </w:r>
    </w:p>
    <w:p w:rsidR="00E15AAE" w:rsidRDefault="00E15AAE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Gill Sans MT" w:hAnsi="Gill Sans MT" w:cs="Times New Roman"/>
          <w:sz w:val="20"/>
          <w:szCs w:val="20"/>
          <w:lang w:val="sq-AL"/>
        </w:rPr>
      </w:pPr>
    </w:p>
    <w:p w:rsidR="00522FCB" w:rsidRPr="00EE2F52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651E2E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q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4A3069" w:rsidRPr="004A3069" w:rsidRDefault="004A3069" w:rsidP="004A30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A306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Bulqizë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(41-60%)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integritetitn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9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4A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1479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Përmirësimin e mjedisit të brendshëm institucional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”.</w:t>
      </w:r>
    </w:p>
    <w:p w:rsidR="007D0EDA" w:rsidRPr="00651E2E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 si dhe në përputhje me formatet e kërkuara të kontributeve nga strukturat dhe institucionet përgjegjëse</w:t>
      </w:r>
    </w:p>
    <w:p w:rsidR="005B3A8F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DA" w:rsidRDefault="00957ADA" w:rsidP="00A11F33">
      <w:pPr>
        <w:spacing w:after="0" w:line="240" w:lineRule="auto"/>
      </w:pPr>
      <w:r>
        <w:separator/>
      </w:r>
    </w:p>
  </w:endnote>
  <w:endnote w:type="continuationSeparator" w:id="0">
    <w:p w:rsidR="00957ADA" w:rsidRDefault="00957ADA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DA" w:rsidRDefault="00957ADA" w:rsidP="00A11F33">
      <w:pPr>
        <w:spacing w:after="0" w:line="240" w:lineRule="auto"/>
      </w:pPr>
      <w:r>
        <w:separator/>
      </w:r>
    </w:p>
  </w:footnote>
  <w:footnote w:type="continuationSeparator" w:id="0">
    <w:p w:rsidR="00957ADA" w:rsidRDefault="00957ADA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26"/>
  </w:num>
  <w:num w:numId="7">
    <w:abstractNumId w:val="13"/>
  </w:num>
  <w:num w:numId="8">
    <w:abstractNumId w:val="5"/>
  </w:num>
  <w:num w:numId="9">
    <w:abstractNumId w:va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18"/>
  </w:num>
  <w:num w:numId="14">
    <w:abstractNumId w:val="23"/>
  </w:num>
  <w:num w:numId="15">
    <w:abstractNumId w:val="1"/>
  </w:num>
  <w:num w:numId="16">
    <w:abstractNumId w:val="3"/>
  </w:num>
  <w:num w:numId="17">
    <w:abstractNumId w:val="28"/>
  </w:num>
  <w:num w:numId="18">
    <w:abstractNumId w:val="15"/>
  </w:num>
  <w:num w:numId="19">
    <w:abstractNumId w:val="22"/>
  </w:num>
  <w:num w:numId="20">
    <w:abstractNumId w:val="19"/>
  </w:num>
  <w:num w:numId="21">
    <w:abstractNumId w:val="9"/>
  </w:num>
  <w:num w:numId="22">
    <w:abstractNumId w:val="11"/>
  </w:num>
  <w:num w:numId="23">
    <w:abstractNumId w:val="2"/>
  </w:num>
  <w:num w:numId="24">
    <w:abstractNumId w:val="7"/>
  </w:num>
  <w:num w:numId="25">
    <w:abstractNumId w:val="24"/>
  </w:num>
  <w:num w:numId="26">
    <w:abstractNumId w:val="14"/>
  </w:num>
  <w:num w:numId="27">
    <w:abstractNumId w:val="21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31C48"/>
    <w:rsid w:val="00034B37"/>
    <w:rsid w:val="00044850"/>
    <w:rsid w:val="00045F85"/>
    <w:rsid w:val="000514C5"/>
    <w:rsid w:val="000545DD"/>
    <w:rsid w:val="000556FC"/>
    <w:rsid w:val="00055DD3"/>
    <w:rsid w:val="00056B72"/>
    <w:rsid w:val="00063646"/>
    <w:rsid w:val="00067963"/>
    <w:rsid w:val="00073F57"/>
    <w:rsid w:val="0008067F"/>
    <w:rsid w:val="000A383A"/>
    <w:rsid w:val="000A6FDF"/>
    <w:rsid w:val="000D4363"/>
    <w:rsid w:val="000D4657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63F40"/>
    <w:rsid w:val="001758F3"/>
    <w:rsid w:val="001824B7"/>
    <w:rsid w:val="00183035"/>
    <w:rsid w:val="001830EF"/>
    <w:rsid w:val="0018338C"/>
    <w:rsid w:val="0018611F"/>
    <w:rsid w:val="00194153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1AF8"/>
    <w:rsid w:val="002227CB"/>
    <w:rsid w:val="002268E1"/>
    <w:rsid w:val="002271F0"/>
    <w:rsid w:val="00230D2A"/>
    <w:rsid w:val="00246106"/>
    <w:rsid w:val="00260F14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E0EE6"/>
    <w:rsid w:val="002E148B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C4F"/>
    <w:rsid w:val="003E0125"/>
    <w:rsid w:val="003E1C3A"/>
    <w:rsid w:val="003E3044"/>
    <w:rsid w:val="003E6B9F"/>
    <w:rsid w:val="003F0732"/>
    <w:rsid w:val="003F305D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A3069"/>
    <w:rsid w:val="004C67CD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2E17"/>
    <w:rsid w:val="0058409D"/>
    <w:rsid w:val="00595FF3"/>
    <w:rsid w:val="005B3A8F"/>
    <w:rsid w:val="005C5B9E"/>
    <w:rsid w:val="005D088E"/>
    <w:rsid w:val="005D09FF"/>
    <w:rsid w:val="005E1615"/>
    <w:rsid w:val="005E434F"/>
    <w:rsid w:val="00605F70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83F3D"/>
    <w:rsid w:val="006956B2"/>
    <w:rsid w:val="006A7A22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26A7"/>
    <w:rsid w:val="007F566A"/>
    <w:rsid w:val="0080217A"/>
    <w:rsid w:val="008043B9"/>
    <w:rsid w:val="00813998"/>
    <w:rsid w:val="00815E41"/>
    <w:rsid w:val="0081638A"/>
    <w:rsid w:val="008167A8"/>
    <w:rsid w:val="00836D09"/>
    <w:rsid w:val="00854EF7"/>
    <w:rsid w:val="00862948"/>
    <w:rsid w:val="008847C2"/>
    <w:rsid w:val="008A1756"/>
    <w:rsid w:val="008B3799"/>
    <w:rsid w:val="008C16B0"/>
    <w:rsid w:val="008D0FBF"/>
    <w:rsid w:val="008D51F9"/>
    <w:rsid w:val="008D596E"/>
    <w:rsid w:val="008E1626"/>
    <w:rsid w:val="008E6BA1"/>
    <w:rsid w:val="008F62AA"/>
    <w:rsid w:val="00902D62"/>
    <w:rsid w:val="009032A8"/>
    <w:rsid w:val="00905558"/>
    <w:rsid w:val="009100E5"/>
    <w:rsid w:val="00912E9E"/>
    <w:rsid w:val="0091397A"/>
    <w:rsid w:val="009202BC"/>
    <w:rsid w:val="00931010"/>
    <w:rsid w:val="009459D1"/>
    <w:rsid w:val="0094610D"/>
    <w:rsid w:val="00950D5E"/>
    <w:rsid w:val="009535A8"/>
    <w:rsid w:val="00957ADA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A32FD"/>
    <w:rsid w:val="009A5656"/>
    <w:rsid w:val="009C04A3"/>
    <w:rsid w:val="009C48FA"/>
    <w:rsid w:val="009C5A9B"/>
    <w:rsid w:val="009D02CE"/>
    <w:rsid w:val="009D5773"/>
    <w:rsid w:val="009E7249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5CE"/>
    <w:rsid w:val="00A80D08"/>
    <w:rsid w:val="00A83C8F"/>
    <w:rsid w:val="00A918F8"/>
    <w:rsid w:val="00A96C65"/>
    <w:rsid w:val="00AA4788"/>
    <w:rsid w:val="00AA5E4C"/>
    <w:rsid w:val="00AC0B1E"/>
    <w:rsid w:val="00AC18CE"/>
    <w:rsid w:val="00AC2C42"/>
    <w:rsid w:val="00AC5D61"/>
    <w:rsid w:val="00AD1EE1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B1F7E"/>
    <w:rsid w:val="00BB4300"/>
    <w:rsid w:val="00BE10EC"/>
    <w:rsid w:val="00BE7583"/>
    <w:rsid w:val="00BF7A4A"/>
    <w:rsid w:val="00C31F4C"/>
    <w:rsid w:val="00C50C53"/>
    <w:rsid w:val="00C669F5"/>
    <w:rsid w:val="00C7451D"/>
    <w:rsid w:val="00C751EF"/>
    <w:rsid w:val="00C8489C"/>
    <w:rsid w:val="00D0024B"/>
    <w:rsid w:val="00D07C04"/>
    <w:rsid w:val="00D07CA7"/>
    <w:rsid w:val="00D23433"/>
    <w:rsid w:val="00D3128B"/>
    <w:rsid w:val="00D45B23"/>
    <w:rsid w:val="00D45D4F"/>
    <w:rsid w:val="00D46A01"/>
    <w:rsid w:val="00D74318"/>
    <w:rsid w:val="00D8272D"/>
    <w:rsid w:val="00D8689F"/>
    <w:rsid w:val="00DA3018"/>
    <w:rsid w:val="00DA4782"/>
    <w:rsid w:val="00DC31BD"/>
    <w:rsid w:val="00DD7C8B"/>
    <w:rsid w:val="00DE2993"/>
    <w:rsid w:val="00DE6CCE"/>
    <w:rsid w:val="00DF1309"/>
    <w:rsid w:val="00DF38C5"/>
    <w:rsid w:val="00E0428E"/>
    <w:rsid w:val="00E0572C"/>
    <w:rsid w:val="00E15AAE"/>
    <w:rsid w:val="00E17E9D"/>
    <w:rsid w:val="00E21714"/>
    <w:rsid w:val="00E40CF3"/>
    <w:rsid w:val="00E41EEC"/>
    <w:rsid w:val="00E634E1"/>
    <w:rsid w:val="00E7697A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E48D3D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582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582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2E1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2E1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2E17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582E1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15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3-4A37-942F-322AF14ABD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5-4A74-A2D4-55E6F7EB24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351B-EAF2-4499-A88B-51FAAABD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11</cp:revision>
  <dcterms:created xsi:type="dcterms:W3CDTF">2024-06-06T09:41:00Z</dcterms:created>
  <dcterms:modified xsi:type="dcterms:W3CDTF">2024-07-09T07:36:00Z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