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7.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ED6DC" w14:textId="0B81F23D" w:rsidR="00E73358" w:rsidRPr="00E35625" w:rsidRDefault="00E73358" w:rsidP="00365EDE">
      <w:pPr>
        <w:pStyle w:val="Title"/>
        <w:jc w:val="left"/>
        <w:rPr>
          <w:lang w:val="sq-AL"/>
        </w:rPr>
      </w:pPr>
      <w:bookmarkStart w:id="0" w:name="_GoBack"/>
      <w:bookmarkEnd w:id="0"/>
      <w:r w:rsidRPr="00E35625">
        <w:rPr>
          <w:noProof/>
        </w:rPr>
        <w:drawing>
          <wp:anchor distT="0" distB="0" distL="114300" distR="114300" simplePos="0" relativeHeight="251658240" behindDoc="0" locked="0" layoutInCell="1" allowOverlap="1" wp14:anchorId="097FDD4D" wp14:editId="1C8DFA3C">
            <wp:simplePos x="0" y="0"/>
            <wp:positionH relativeFrom="column">
              <wp:posOffset>2074384</wp:posOffset>
            </wp:positionH>
            <wp:positionV relativeFrom="paragraph">
              <wp:posOffset>578</wp:posOffset>
            </wp:positionV>
            <wp:extent cx="1817008" cy="1121434"/>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008" cy="1121434"/>
                    </a:xfrm>
                    <a:prstGeom prst="rect">
                      <a:avLst/>
                    </a:prstGeom>
                  </pic:spPr>
                </pic:pic>
              </a:graphicData>
            </a:graphic>
          </wp:anchor>
        </w:drawing>
      </w:r>
      <w:r w:rsidR="00365EDE">
        <w:rPr>
          <w:lang w:val="sq-AL"/>
        </w:rPr>
        <w:br w:type="textWrapping" w:clear="all"/>
      </w:r>
    </w:p>
    <w:p w14:paraId="5828559F" w14:textId="77777777" w:rsidR="00E73358" w:rsidRPr="00E35625" w:rsidRDefault="00E73358" w:rsidP="00E14B65">
      <w:pPr>
        <w:pStyle w:val="Title"/>
        <w:jc w:val="center"/>
        <w:rPr>
          <w:lang w:val="sq-AL"/>
        </w:rPr>
      </w:pPr>
    </w:p>
    <w:p w14:paraId="3CCD9543" w14:textId="127CDE3D" w:rsidR="005240C4" w:rsidRPr="00E35625" w:rsidRDefault="00F66C86" w:rsidP="00E14B65">
      <w:pPr>
        <w:pStyle w:val="Title"/>
        <w:jc w:val="center"/>
        <w:rPr>
          <w:lang w:val="sq-AL"/>
        </w:rPr>
      </w:pPr>
      <w:r w:rsidRPr="00E35625">
        <w:rPr>
          <w:lang w:val="sq-AL"/>
        </w:rPr>
        <w:t>S</w:t>
      </w:r>
      <w:r w:rsidR="00335551" w:rsidRPr="00E35625">
        <w:rPr>
          <w:lang w:val="sq-AL"/>
        </w:rPr>
        <w:t>t</w:t>
      </w:r>
      <w:r w:rsidRPr="00E35625">
        <w:rPr>
          <w:lang w:val="sq-AL"/>
        </w:rPr>
        <w:t>rategjia Kombëtare</w:t>
      </w:r>
    </w:p>
    <w:p w14:paraId="71242FA7" w14:textId="77777777" w:rsidR="003C3772" w:rsidRPr="00E35625" w:rsidRDefault="00F66C86" w:rsidP="00E14B65">
      <w:pPr>
        <w:pStyle w:val="Title"/>
        <w:jc w:val="center"/>
        <w:rPr>
          <w:lang w:val="sq-AL"/>
        </w:rPr>
      </w:pPr>
      <w:r w:rsidRPr="00E35625">
        <w:rPr>
          <w:lang w:val="sq-AL"/>
        </w:rPr>
        <w:t xml:space="preserve">e Punësimit dhe Aftësive </w:t>
      </w:r>
      <w:r w:rsidR="00335551" w:rsidRPr="00E35625">
        <w:rPr>
          <w:lang w:val="sq-AL"/>
        </w:rPr>
        <w:t>2023-</w:t>
      </w:r>
      <w:r w:rsidRPr="00E35625">
        <w:rPr>
          <w:lang w:val="sq-AL"/>
        </w:rPr>
        <w:t>2030</w:t>
      </w:r>
    </w:p>
    <w:p w14:paraId="38B0E0C3" w14:textId="77777777" w:rsidR="003C3772" w:rsidRPr="00E35625" w:rsidRDefault="003C3772" w:rsidP="00E14B65">
      <w:pPr>
        <w:pStyle w:val="Title"/>
        <w:jc w:val="center"/>
        <w:rPr>
          <w:lang w:val="sq-AL"/>
        </w:rPr>
      </w:pPr>
    </w:p>
    <w:p w14:paraId="6D5DC054" w14:textId="14A29322" w:rsidR="00752B93" w:rsidRPr="00E35625" w:rsidRDefault="00752B93" w:rsidP="00E14B65">
      <w:pPr>
        <w:jc w:val="center"/>
        <w:rPr>
          <w:lang w:val="sq-AL"/>
        </w:rPr>
      </w:pPr>
    </w:p>
    <w:p w14:paraId="3BF33A8C" w14:textId="7D19D35D" w:rsidR="0061550F" w:rsidRPr="00E35625" w:rsidRDefault="0061550F" w:rsidP="00E14B65">
      <w:pPr>
        <w:jc w:val="center"/>
        <w:rPr>
          <w:lang w:val="sq-AL"/>
        </w:rPr>
      </w:pPr>
    </w:p>
    <w:p w14:paraId="62CE9410" w14:textId="77777777" w:rsidR="0061550F" w:rsidRPr="00E35625" w:rsidRDefault="0061550F" w:rsidP="00E14B65">
      <w:pPr>
        <w:jc w:val="center"/>
        <w:rPr>
          <w:lang w:val="sq-AL"/>
        </w:rPr>
      </w:pPr>
    </w:p>
    <w:p w14:paraId="12BADDB3" w14:textId="25D7C7F0" w:rsidR="00752B93" w:rsidRPr="00E35625" w:rsidRDefault="00752B93" w:rsidP="00E14B65">
      <w:pPr>
        <w:jc w:val="center"/>
        <w:rPr>
          <w:lang w:val="sq-AL"/>
        </w:rPr>
      </w:pPr>
    </w:p>
    <w:p w14:paraId="621E0698" w14:textId="34EFEF34" w:rsidR="00752B93" w:rsidRPr="00E35625" w:rsidRDefault="00752B93" w:rsidP="00E14B65">
      <w:pPr>
        <w:jc w:val="center"/>
        <w:rPr>
          <w:lang w:val="sq-AL"/>
        </w:rPr>
      </w:pPr>
    </w:p>
    <w:p w14:paraId="73B86CA3" w14:textId="77777777" w:rsidR="00752B93" w:rsidRPr="00E35625" w:rsidRDefault="00752B93" w:rsidP="00E14B65">
      <w:pPr>
        <w:jc w:val="center"/>
        <w:rPr>
          <w:lang w:val="sq-AL"/>
        </w:rPr>
      </w:pPr>
    </w:p>
    <w:p w14:paraId="4A28B06E" w14:textId="50BD3B4B" w:rsidR="003C3772" w:rsidRPr="00E35625" w:rsidRDefault="00D20708" w:rsidP="00E14B65">
      <w:pPr>
        <w:jc w:val="center"/>
        <w:rPr>
          <w:lang w:val="sq-AL"/>
        </w:rPr>
      </w:pPr>
      <w:r>
        <w:rPr>
          <w:lang w:val="sq-AL"/>
        </w:rPr>
        <w:t>29.12.2022</w:t>
      </w:r>
    </w:p>
    <w:p w14:paraId="35C6ED0B" w14:textId="5F10809A" w:rsidR="00F66C86" w:rsidRPr="00E35625" w:rsidRDefault="00F66C86" w:rsidP="00E14B65">
      <w:pPr>
        <w:pStyle w:val="Title"/>
        <w:rPr>
          <w:lang w:val="sq-AL"/>
        </w:rPr>
      </w:pPr>
      <w:r w:rsidRPr="00E35625">
        <w:rPr>
          <w:lang w:val="sq-AL"/>
        </w:rPr>
        <w:br w:type="page"/>
      </w:r>
    </w:p>
    <w:p w14:paraId="47AEEEEC" w14:textId="2CD56BF7" w:rsidR="00E73358" w:rsidRPr="00E35625" w:rsidRDefault="00025307" w:rsidP="00487227">
      <w:pPr>
        <w:pStyle w:val="TOC1"/>
        <w:rPr>
          <w:lang w:val="sq-AL"/>
        </w:rPr>
      </w:pPr>
      <w:r w:rsidRPr="00E35625">
        <w:rPr>
          <w:lang w:val="sq-AL"/>
        </w:rPr>
        <w:lastRenderedPageBreak/>
        <w:t>TABELA E PËRMBAJTJES</w:t>
      </w:r>
    </w:p>
    <w:p w14:paraId="23921591" w14:textId="77777777" w:rsidR="00E73358" w:rsidRPr="00E35625" w:rsidRDefault="00E73358" w:rsidP="00426319">
      <w:pPr>
        <w:pStyle w:val="TOC1"/>
        <w:spacing w:before="0" w:after="0"/>
        <w:rPr>
          <w:lang w:val="sq-AL"/>
        </w:rPr>
      </w:pPr>
    </w:p>
    <w:p w14:paraId="69875C3E" w14:textId="71B4CAAE" w:rsidR="00426319" w:rsidRDefault="00426319" w:rsidP="00426319">
      <w:pPr>
        <w:pStyle w:val="TOC1"/>
        <w:spacing w:before="0" w:after="0"/>
        <w:rPr>
          <w:rFonts w:eastAsiaTheme="minorEastAsia" w:cstheme="minorBidi"/>
          <w:b w:val="0"/>
          <w:bCs w:val="0"/>
          <w:caps w:val="0"/>
          <w:noProof/>
          <w:sz w:val="24"/>
          <w:szCs w:val="24"/>
          <w:u w:val="none"/>
          <w:lang w:eastAsia="en-GB"/>
        </w:rPr>
      </w:pPr>
      <w:r>
        <w:rPr>
          <w:b w:val="0"/>
          <w:bCs w:val="0"/>
          <w:caps w:val="0"/>
          <w:sz w:val="20"/>
          <w:szCs w:val="20"/>
          <w:lang w:val="sq-AL"/>
        </w:rPr>
        <w:fldChar w:fldCharType="begin"/>
      </w:r>
      <w:r>
        <w:rPr>
          <w:b w:val="0"/>
          <w:bCs w:val="0"/>
          <w:caps w:val="0"/>
          <w:sz w:val="20"/>
          <w:szCs w:val="20"/>
          <w:lang w:val="sq-AL"/>
        </w:rPr>
        <w:instrText xml:space="preserve"> TOC \o "1-3" \h \z \u </w:instrText>
      </w:r>
      <w:r>
        <w:rPr>
          <w:b w:val="0"/>
          <w:bCs w:val="0"/>
          <w:caps w:val="0"/>
          <w:sz w:val="20"/>
          <w:szCs w:val="20"/>
          <w:lang w:val="sq-AL"/>
        </w:rPr>
        <w:fldChar w:fldCharType="separate"/>
      </w:r>
      <w:hyperlink w:anchor="_Toc123165396" w:history="1">
        <w:r w:rsidRPr="00556B97">
          <w:rPr>
            <w:rStyle w:val="Hyperlink"/>
            <w:noProof/>
            <w:lang w:val="sq-AL"/>
          </w:rPr>
          <w:t>Tabelat dhe figurat</w:t>
        </w:r>
        <w:r>
          <w:rPr>
            <w:noProof/>
            <w:webHidden/>
          </w:rPr>
          <w:tab/>
        </w:r>
        <w:r>
          <w:rPr>
            <w:noProof/>
            <w:webHidden/>
          </w:rPr>
          <w:fldChar w:fldCharType="begin"/>
        </w:r>
        <w:r>
          <w:rPr>
            <w:noProof/>
            <w:webHidden/>
          </w:rPr>
          <w:instrText xml:space="preserve"> PAGEREF _Toc123165396 \h </w:instrText>
        </w:r>
        <w:r>
          <w:rPr>
            <w:noProof/>
            <w:webHidden/>
          </w:rPr>
        </w:r>
        <w:r>
          <w:rPr>
            <w:noProof/>
            <w:webHidden/>
          </w:rPr>
          <w:fldChar w:fldCharType="separate"/>
        </w:r>
        <w:r w:rsidR="00342919">
          <w:rPr>
            <w:noProof/>
            <w:webHidden/>
          </w:rPr>
          <w:t>3</w:t>
        </w:r>
        <w:r>
          <w:rPr>
            <w:noProof/>
            <w:webHidden/>
          </w:rPr>
          <w:fldChar w:fldCharType="end"/>
        </w:r>
      </w:hyperlink>
    </w:p>
    <w:p w14:paraId="08EAAD23" w14:textId="37EAFB39" w:rsidR="00426319" w:rsidRDefault="004D4D2F" w:rsidP="00426319">
      <w:pPr>
        <w:pStyle w:val="TOC1"/>
        <w:spacing w:before="0" w:after="0"/>
        <w:rPr>
          <w:rFonts w:eastAsiaTheme="minorEastAsia" w:cstheme="minorBidi"/>
          <w:b w:val="0"/>
          <w:bCs w:val="0"/>
          <w:caps w:val="0"/>
          <w:noProof/>
          <w:sz w:val="24"/>
          <w:szCs w:val="24"/>
          <w:u w:val="none"/>
          <w:lang w:eastAsia="en-GB"/>
        </w:rPr>
      </w:pPr>
      <w:hyperlink w:anchor="_Toc123165397" w:history="1">
        <w:r w:rsidR="00426319" w:rsidRPr="00556B97">
          <w:rPr>
            <w:rStyle w:val="Hyperlink"/>
            <w:noProof/>
            <w:lang w:val="sq-AL"/>
          </w:rPr>
          <w:t>Lista e shkurtimeve</w:t>
        </w:r>
        <w:r w:rsidR="00426319">
          <w:rPr>
            <w:noProof/>
            <w:webHidden/>
          </w:rPr>
          <w:tab/>
        </w:r>
        <w:r w:rsidR="00426319">
          <w:rPr>
            <w:noProof/>
            <w:webHidden/>
          </w:rPr>
          <w:fldChar w:fldCharType="begin"/>
        </w:r>
        <w:r w:rsidR="00426319">
          <w:rPr>
            <w:noProof/>
            <w:webHidden/>
          </w:rPr>
          <w:instrText xml:space="preserve"> PAGEREF _Toc123165397 \h </w:instrText>
        </w:r>
        <w:r w:rsidR="00426319">
          <w:rPr>
            <w:noProof/>
            <w:webHidden/>
          </w:rPr>
        </w:r>
        <w:r w:rsidR="00426319">
          <w:rPr>
            <w:noProof/>
            <w:webHidden/>
          </w:rPr>
          <w:fldChar w:fldCharType="separate"/>
        </w:r>
        <w:r w:rsidR="00342919">
          <w:rPr>
            <w:noProof/>
            <w:webHidden/>
          </w:rPr>
          <w:t>4</w:t>
        </w:r>
        <w:r w:rsidR="00426319">
          <w:rPr>
            <w:noProof/>
            <w:webHidden/>
          </w:rPr>
          <w:fldChar w:fldCharType="end"/>
        </w:r>
      </w:hyperlink>
    </w:p>
    <w:p w14:paraId="2E00DFCC" w14:textId="458D5F0B" w:rsidR="00426319" w:rsidRDefault="004D4D2F" w:rsidP="00426319">
      <w:pPr>
        <w:pStyle w:val="TOC1"/>
        <w:spacing w:before="0" w:after="0"/>
        <w:rPr>
          <w:rFonts w:eastAsiaTheme="minorEastAsia" w:cstheme="minorBidi"/>
          <w:b w:val="0"/>
          <w:bCs w:val="0"/>
          <w:caps w:val="0"/>
          <w:noProof/>
          <w:sz w:val="24"/>
          <w:szCs w:val="24"/>
          <w:u w:val="none"/>
          <w:lang w:eastAsia="en-GB"/>
        </w:rPr>
      </w:pPr>
      <w:hyperlink w:anchor="_Toc123165398" w:history="1">
        <w:r w:rsidR="00426319" w:rsidRPr="00556B97">
          <w:rPr>
            <w:rStyle w:val="Hyperlink"/>
            <w:noProof/>
            <w:lang w:val="sq-AL"/>
          </w:rPr>
          <w:t>I.</w:t>
        </w:r>
        <w:r w:rsidR="00426319">
          <w:rPr>
            <w:rFonts w:eastAsiaTheme="minorEastAsia" w:cstheme="minorBidi"/>
            <w:b w:val="0"/>
            <w:bCs w:val="0"/>
            <w:caps w:val="0"/>
            <w:noProof/>
            <w:sz w:val="24"/>
            <w:szCs w:val="24"/>
            <w:u w:val="none"/>
            <w:lang w:eastAsia="en-GB"/>
          </w:rPr>
          <w:tab/>
        </w:r>
        <w:r w:rsidR="00426319" w:rsidRPr="00556B97">
          <w:rPr>
            <w:rStyle w:val="Hyperlink"/>
            <w:noProof/>
            <w:lang w:val="sq-AL"/>
          </w:rPr>
          <w:t>Kuadri strategjik</w:t>
        </w:r>
        <w:r w:rsidR="00426319">
          <w:rPr>
            <w:noProof/>
            <w:webHidden/>
          </w:rPr>
          <w:tab/>
        </w:r>
        <w:r w:rsidR="00426319">
          <w:rPr>
            <w:noProof/>
            <w:webHidden/>
          </w:rPr>
          <w:fldChar w:fldCharType="begin"/>
        </w:r>
        <w:r w:rsidR="00426319">
          <w:rPr>
            <w:noProof/>
            <w:webHidden/>
          </w:rPr>
          <w:instrText xml:space="preserve"> PAGEREF _Toc123165398 \h </w:instrText>
        </w:r>
        <w:r w:rsidR="00426319">
          <w:rPr>
            <w:noProof/>
            <w:webHidden/>
          </w:rPr>
        </w:r>
        <w:r w:rsidR="00426319">
          <w:rPr>
            <w:noProof/>
            <w:webHidden/>
          </w:rPr>
          <w:fldChar w:fldCharType="separate"/>
        </w:r>
        <w:r w:rsidR="00342919">
          <w:rPr>
            <w:noProof/>
            <w:webHidden/>
          </w:rPr>
          <w:t>5</w:t>
        </w:r>
        <w:r w:rsidR="00426319">
          <w:rPr>
            <w:noProof/>
            <w:webHidden/>
          </w:rPr>
          <w:fldChar w:fldCharType="end"/>
        </w:r>
      </w:hyperlink>
    </w:p>
    <w:p w14:paraId="729664E8" w14:textId="6FD59B49" w:rsidR="00426319" w:rsidRDefault="004D4D2F" w:rsidP="00426319">
      <w:pPr>
        <w:pStyle w:val="TOC2"/>
        <w:tabs>
          <w:tab w:val="left" w:pos="581"/>
          <w:tab w:val="right" w:leader="dot" w:pos="9350"/>
        </w:tabs>
        <w:rPr>
          <w:rFonts w:eastAsiaTheme="minorEastAsia" w:cstheme="minorBidi"/>
          <w:b w:val="0"/>
          <w:bCs w:val="0"/>
          <w:smallCaps w:val="0"/>
          <w:noProof/>
          <w:sz w:val="24"/>
          <w:szCs w:val="24"/>
          <w:lang w:eastAsia="en-GB"/>
        </w:rPr>
      </w:pPr>
      <w:hyperlink w:anchor="_Toc123165399" w:history="1">
        <w:r w:rsidR="00426319" w:rsidRPr="00556B97">
          <w:rPr>
            <w:rStyle w:val="Hyperlink"/>
            <w:noProof/>
            <w:lang w:val="sq-AL"/>
          </w:rPr>
          <w:t>1.1.</w:t>
        </w:r>
        <w:r w:rsidR="00426319">
          <w:rPr>
            <w:rFonts w:eastAsiaTheme="minorEastAsia" w:cstheme="minorBidi"/>
            <w:b w:val="0"/>
            <w:bCs w:val="0"/>
            <w:smallCaps w:val="0"/>
            <w:noProof/>
            <w:sz w:val="24"/>
            <w:szCs w:val="24"/>
            <w:lang w:eastAsia="en-GB"/>
          </w:rPr>
          <w:tab/>
        </w:r>
        <w:r w:rsidR="00426319" w:rsidRPr="00556B97">
          <w:rPr>
            <w:rStyle w:val="Hyperlink"/>
            <w:noProof/>
            <w:lang w:val="sq-AL"/>
          </w:rPr>
          <w:t>Konteksti ekonomik dhe i tregut të punës</w:t>
        </w:r>
        <w:r w:rsidR="00426319">
          <w:rPr>
            <w:noProof/>
            <w:webHidden/>
          </w:rPr>
          <w:tab/>
        </w:r>
        <w:r w:rsidR="00426319">
          <w:rPr>
            <w:noProof/>
            <w:webHidden/>
          </w:rPr>
          <w:fldChar w:fldCharType="begin"/>
        </w:r>
        <w:r w:rsidR="00426319">
          <w:rPr>
            <w:noProof/>
            <w:webHidden/>
          </w:rPr>
          <w:instrText xml:space="preserve"> PAGEREF _Toc123165399 \h </w:instrText>
        </w:r>
        <w:r w:rsidR="00426319">
          <w:rPr>
            <w:noProof/>
            <w:webHidden/>
          </w:rPr>
        </w:r>
        <w:r w:rsidR="00426319">
          <w:rPr>
            <w:noProof/>
            <w:webHidden/>
          </w:rPr>
          <w:fldChar w:fldCharType="separate"/>
        </w:r>
        <w:r w:rsidR="00342919">
          <w:rPr>
            <w:noProof/>
            <w:webHidden/>
          </w:rPr>
          <w:t>5</w:t>
        </w:r>
        <w:r w:rsidR="00426319">
          <w:rPr>
            <w:noProof/>
            <w:webHidden/>
          </w:rPr>
          <w:fldChar w:fldCharType="end"/>
        </w:r>
      </w:hyperlink>
    </w:p>
    <w:p w14:paraId="0EAA0348" w14:textId="267E1B18" w:rsidR="00426319" w:rsidRDefault="004D4D2F" w:rsidP="00426319">
      <w:pPr>
        <w:pStyle w:val="TOC2"/>
        <w:tabs>
          <w:tab w:val="left" w:pos="581"/>
          <w:tab w:val="right" w:leader="dot" w:pos="9350"/>
        </w:tabs>
        <w:rPr>
          <w:rFonts w:eastAsiaTheme="minorEastAsia" w:cstheme="minorBidi"/>
          <w:b w:val="0"/>
          <w:bCs w:val="0"/>
          <w:smallCaps w:val="0"/>
          <w:noProof/>
          <w:sz w:val="24"/>
          <w:szCs w:val="24"/>
          <w:lang w:eastAsia="en-GB"/>
        </w:rPr>
      </w:pPr>
      <w:hyperlink w:anchor="_Toc123165400" w:history="1">
        <w:r w:rsidR="00426319" w:rsidRPr="00556B97">
          <w:rPr>
            <w:rStyle w:val="Hyperlink"/>
            <w:noProof/>
            <w:lang w:val="sq-AL"/>
          </w:rPr>
          <w:t>1.2.</w:t>
        </w:r>
        <w:r w:rsidR="00426319">
          <w:rPr>
            <w:rFonts w:eastAsiaTheme="minorEastAsia" w:cstheme="minorBidi"/>
            <w:b w:val="0"/>
            <w:bCs w:val="0"/>
            <w:smallCaps w:val="0"/>
            <w:noProof/>
            <w:sz w:val="24"/>
            <w:szCs w:val="24"/>
            <w:lang w:eastAsia="en-GB"/>
          </w:rPr>
          <w:tab/>
        </w:r>
        <w:r w:rsidR="00426319" w:rsidRPr="00556B97">
          <w:rPr>
            <w:rStyle w:val="Hyperlink"/>
            <w:noProof/>
            <w:lang w:val="sq-AL"/>
          </w:rPr>
          <w:t>Konteksti strategjik 2030 dhe objektivat e zhvillimit të qëndrueshëm</w:t>
        </w:r>
        <w:r w:rsidR="00426319">
          <w:rPr>
            <w:noProof/>
            <w:webHidden/>
          </w:rPr>
          <w:tab/>
        </w:r>
        <w:r w:rsidR="00426319">
          <w:rPr>
            <w:noProof/>
            <w:webHidden/>
          </w:rPr>
          <w:fldChar w:fldCharType="begin"/>
        </w:r>
        <w:r w:rsidR="00426319">
          <w:rPr>
            <w:noProof/>
            <w:webHidden/>
          </w:rPr>
          <w:instrText xml:space="preserve"> PAGEREF _Toc123165400 \h </w:instrText>
        </w:r>
        <w:r w:rsidR="00426319">
          <w:rPr>
            <w:noProof/>
            <w:webHidden/>
          </w:rPr>
        </w:r>
        <w:r w:rsidR="00426319">
          <w:rPr>
            <w:noProof/>
            <w:webHidden/>
          </w:rPr>
          <w:fldChar w:fldCharType="separate"/>
        </w:r>
        <w:r w:rsidR="00342919">
          <w:rPr>
            <w:noProof/>
            <w:webHidden/>
          </w:rPr>
          <w:t>12</w:t>
        </w:r>
        <w:r w:rsidR="00426319">
          <w:rPr>
            <w:noProof/>
            <w:webHidden/>
          </w:rPr>
          <w:fldChar w:fldCharType="end"/>
        </w:r>
      </w:hyperlink>
    </w:p>
    <w:p w14:paraId="2B4CA352" w14:textId="54651163" w:rsidR="00426319" w:rsidRDefault="004D4D2F" w:rsidP="00426319">
      <w:pPr>
        <w:pStyle w:val="TOC1"/>
        <w:spacing w:before="0" w:after="0"/>
        <w:rPr>
          <w:rFonts w:eastAsiaTheme="minorEastAsia" w:cstheme="minorBidi"/>
          <w:b w:val="0"/>
          <w:bCs w:val="0"/>
          <w:caps w:val="0"/>
          <w:noProof/>
          <w:sz w:val="24"/>
          <w:szCs w:val="24"/>
          <w:u w:val="none"/>
          <w:lang w:eastAsia="en-GB"/>
        </w:rPr>
      </w:pPr>
      <w:hyperlink w:anchor="_Toc123165401" w:history="1">
        <w:r w:rsidR="00426319" w:rsidRPr="00556B97">
          <w:rPr>
            <w:rStyle w:val="Hyperlink"/>
            <w:noProof/>
            <w:lang w:val="sq-AL"/>
          </w:rPr>
          <w:t>II.</w:t>
        </w:r>
        <w:r w:rsidR="00426319">
          <w:rPr>
            <w:rFonts w:eastAsiaTheme="minorEastAsia" w:cstheme="minorBidi"/>
            <w:b w:val="0"/>
            <w:bCs w:val="0"/>
            <w:caps w:val="0"/>
            <w:noProof/>
            <w:sz w:val="24"/>
            <w:szCs w:val="24"/>
            <w:u w:val="none"/>
            <w:lang w:eastAsia="en-GB"/>
          </w:rPr>
          <w:tab/>
        </w:r>
        <w:r w:rsidR="00426319" w:rsidRPr="00556B97">
          <w:rPr>
            <w:rStyle w:val="Hyperlink"/>
            <w:noProof/>
            <w:lang w:val="sq-AL"/>
          </w:rPr>
          <w:t>Sfidat kryesore të sektorit dhe institucionale për zhvillimin e vendit për të ardhmen dhe procesin e anëtarësimit në BE</w:t>
        </w:r>
        <w:r w:rsidR="00426319">
          <w:rPr>
            <w:noProof/>
            <w:webHidden/>
          </w:rPr>
          <w:tab/>
        </w:r>
        <w:r w:rsidR="00426319">
          <w:rPr>
            <w:noProof/>
            <w:webHidden/>
          </w:rPr>
          <w:fldChar w:fldCharType="begin"/>
        </w:r>
        <w:r w:rsidR="00426319">
          <w:rPr>
            <w:noProof/>
            <w:webHidden/>
          </w:rPr>
          <w:instrText xml:space="preserve"> PAGEREF _Toc123165401 \h </w:instrText>
        </w:r>
        <w:r w:rsidR="00426319">
          <w:rPr>
            <w:noProof/>
            <w:webHidden/>
          </w:rPr>
        </w:r>
        <w:r w:rsidR="00426319">
          <w:rPr>
            <w:noProof/>
            <w:webHidden/>
          </w:rPr>
          <w:fldChar w:fldCharType="separate"/>
        </w:r>
        <w:r w:rsidR="00342919">
          <w:rPr>
            <w:noProof/>
            <w:webHidden/>
          </w:rPr>
          <w:t>15</w:t>
        </w:r>
        <w:r w:rsidR="00426319">
          <w:rPr>
            <w:noProof/>
            <w:webHidden/>
          </w:rPr>
          <w:fldChar w:fldCharType="end"/>
        </w:r>
      </w:hyperlink>
    </w:p>
    <w:p w14:paraId="3622432D" w14:textId="1F0D68AB" w:rsidR="00426319" w:rsidRDefault="004D4D2F" w:rsidP="00426319">
      <w:pPr>
        <w:pStyle w:val="TOC2"/>
        <w:tabs>
          <w:tab w:val="left" w:pos="581"/>
          <w:tab w:val="right" w:leader="dot" w:pos="9350"/>
        </w:tabs>
        <w:rPr>
          <w:rFonts w:eastAsiaTheme="minorEastAsia" w:cstheme="minorBidi"/>
          <w:b w:val="0"/>
          <w:bCs w:val="0"/>
          <w:smallCaps w:val="0"/>
          <w:noProof/>
          <w:sz w:val="24"/>
          <w:szCs w:val="24"/>
          <w:lang w:eastAsia="en-GB"/>
        </w:rPr>
      </w:pPr>
      <w:hyperlink w:anchor="_Toc123165402" w:history="1">
        <w:r w:rsidR="00426319" w:rsidRPr="00556B97">
          <w:rPr>
            <w:rStyle w:val="Hyperlink"/>
            <w:noProof/>
            <w:lang w:val="sq-AL"/>
          </w:rPr>
          <w:t>2.1.</w:t>
        </w:r>
        <w:r w:rsidR="00426319">
          <w:rPr>
            <w:rFonts w:eastAsiaTheme="minorEastAsia" w:cstheme="minorBidi"/>
            <w:b w:val="0"/>
            <w:bCs w:val="0"/>
            <w:smallCaps w:val="0"/>
            <w:noProof/>
            <w:sz w:val="24"/>
            <w:szCs w:val="24"/>
            <w:lang w:eastAsia="en-GB"/>
          </w:rPr>
          <w:tab/>
        </w:r>
        <w:r w:rsidR="00426319" w:rsidRPr="00556B97">
          <w:rPr>
            <w:rStyle w:val="Hyperlink"/>
            <w:noProof/>
            <w:lang w:val="sq-AL"/>
          </w:rPr>
          <w:t>Sfidat e tregut të punës dhe aftësive</w:t>
        </w:r>
        <w:r w:rsidR="00426319">
          <w:rPr>
            <w:noProof/>
            <w:webHidden/>
          </w:rPr>
          <w:tab/>
        </w:r>
        <w:r w:rsidR="00426319">
          <w:rPr>
            <w:noProof/>
            <w:webHidden/>
          </w:rPr>
          <w:fldChar w:fldCharType="begin"/>
        </w:r>
        <w:r w:rsidR="00426319">
          <w:rPr>
            <w:noProof/>
            <w:webHidden/>
          </w:rPr>
          <w:instrText xml:space="preserve"> PAGEREF _Toc123165402 \h </w:instrText>
        </w:r>
        <w:r w:rsidR="00426319">
          <w:rPr>
            <w:noProof/>
            <w:webHidden/>
          </w:rPr>
        </w:r>
        <w:r w:rsidR="00426319">
          <w:rPr>
            <w:noProof/>
            <w:webHidden/>
          </w:rPr>
          <w:fldChar w:fldCharType="separate"/>
        </w:r>
        <w:r w:rsidR="00342919">
          <w:rPr>
            <w:noProof/>
            <w:webHidden/>
          </w:rPr>
          <w:t>15</w:t>
        </w:r>
        <w:r w:rsidR="00426319">
          <w:rPr>
            <w:noProof/>
            <w:webHidden/>
          </w:rPr>
          <w:fldChar w:fldCharType="end"/>
        </w:r>
      </w:hyperlink>
    </w:p>
    <w:p w14:paraId="5B77ECA3" w14:textId="082F0891" w:rsidR="00426319" w:rsidRDefault="004D4D2F" w:rsidP="00426319">
      <w:pPr>
        <w:pStyle w:val="TOC3"/>
        <w:tabs>
          <w:tab w:val="left" w:pos="741"/>
          <w:tab w:val="right" w:leader="dot" w:pos="9350"/>
        </w:tabs>
        <w:rPr>
          <w:rFonts w:eastAsiaTheme="minorEastAsia" w:cstheme="minorBidi"/>
          <w:smallCaps w:val="0"/>
          <w:noProof/>
          <w:sz w:val="24"/>
          <w:szCs w:val="24"/>
          <w:lang w:eastAsia="en-GB"/>
        </w:rPr>
      </w:pPr>
      <w:hyperlink w:anchor="_Toc123165403" w:history="1">
        <w:r w:rsidR="00426319" w:rsidRPr="00556B97">
          <w:rPr>
            <w:rStyle w:val="Hyperlink"/>
            <w:noProof/>
            <w:lang w:val="sq-AL"/>
          </w:rPr>
          <w:t>2.1.1.</w:t>
        </w:r>
        <w:r w:rsidR="00426319">
          <w:rPr>
            <w:rFonts w:eastAsiaTheme="minorEastAsia" w:cstheme="minorBidi"/>
            <w:smallCaps w:val="0"/>
            <w:noProof/>
            <w:sz w:val="24"/>
            <w:szCs w:val="24"/>
            <w:lang w:eastAsia="en-GB"/>
          </w:rPr>
          <w:tab/>
        </w:r>
        <w:r w:rsidR="00426319" w:rsidRPr="00556B97">
          <w:rPr>
            <w:rStyle w:val="Hyperlink"/>
            <w:noProof/>
            <w:lang w:val="sq-AL"/>
          </w:rPr>
          <w:t>Zhvillimi i aftësive</w:t>
        </w:r>
        <w:r w:rsidR="00426319">
          <w:rPr>
            <w:noProof/>
            <w:webHidden/>
          </w:rPr>
          <w:tab/>
        </w:r>
        <w:r w:rsidR="00426319">
          <w:rPr>
            <w:noProof/>
            <w:webHidden/>
          </w:rPr>
          <w:fldChar w:fldCharType="begin"/>
        </w:r>
        <w:r w:rsidR="00426319">
          <w:rPr>
            <w:noProof/>
            <w:webHidden/>
          </w:rPr>
          <w:instrText xml:space="preserve"> PAGEREF _Toc123165403 \h </w:instrText>
        </w:r>
        <w:r w:rsidR="00426319">
          <w:rPr>
            <w:noProof/>
            <w:webHidden/>
          </w:rPr>
        </w:r>
        <w:r w:rsidR="00426319">
          <w:rPr>
            <w:noProof/>
            <w:webHidden/>
          </w:rPr>
          <w:fldChar w:fldCharType="separate"/>
        </w:r>
        <w:r w:rsidR="00342919">
          <w:rPr>
            <w:noProof/>
            <w:webHidden/>
          </w:rPr>
          <w:t>15</w:t>
        </w:r>
        <w:r w:rsidR="00426319">
          <w:rPr>
            <w:noProof/>
            <w:webHidden/>
          </w:rPr>
          <w:fldChar w:fldCharType="end"/>
        </w:r>
      </w:hyperlink>
    </w:p>
    <w:p w14:paraId="22BE1A82" w14:textId="323F1683" w:rsidR="00426319" w:rsidRDefault="004D4D2F" w:rsidP="00426319">
      <w:pPr>
        <w:pStyle w:val="TOC3"/>
        <w:tabs>
          <w:tab w:val="left" w:pos="741"/>
          <w:tab w:val="right" w:leader="dot" w:pos="9350"/>
        </w:tabs>
        <w:rPr>
          <w:rFonts w:eastAsiaTheme="minorEastAsia" w:cstheme="minorBidi"/>
          <w:smallCaps w:val="0"/>
          <w:noProof/>
          <w:sz w:val="24"/>
          <w:szCs w:val="24"/>
          <w:lang w:eastAsia="en-GB"/>
        </w:rPr>
      </w:pPr>
      <w:hyperlink w:anchor="_Toc123165404" w:history="1">
        <w:r w:rsidR="00426319" w:rsidRPr="00556B97">
          <w:rPr>
            <w:rStyle w:val="Hyperlink"/>
            <w:noProof/>
            <w:lang w:val="sq-AL"/>
          </w:rPr>
          <w:t>2.1.2.</w:t>
        </w:r>
        <w:r w:rsidR="00426319">
          <w:rPr>
            <w:rFonts w:eastAsiaTheme="minorEastAsia" w:cstheme="minorBidi"/>
            <w:smallCaps w:val="0"/>
            <w:noProof/>
            <w:sz w:val="24"/>
            <w:szCs w:val="24"/>
            <w:lang w:eastAsia="en-GB"/>
          </w:rPr>
          <w:tab/>
        </w:r>
        <w:r w:rsidR="00426319" w:rsidRPr="00556B97">
          <w:rPr>
            <w:rStyle w:val="Hyperlink"/>
            <w:noProof/>
            <w:lang w:val="sq-AL"/>
          </w:rPr>
          <w:t>Funksionimi i tregut të punës</w:t>
        </w:r>
        <w:r w:rsidR="00426319">
          <w:rPr>
            <w:noProof/>
            <w:webHidden/>
          </w:rPr>
          <w:tab/>
        </w:r>
        <w:r w:rsidR="00426319">
          <w:rPr>
            <w:noProof/>
            <w:webHidden/>
          </w:rPr>
          <w:fldChar w:fldCharType="begin"/>
        </w:r>
        <w:r w:rsidR="00426319">
          <w:rPr>
            <w:noProof/>
            <w:webHidden/>
          </w:rPr>
          <w:instrText xml:space="preserve"> PAGEREF _Toc123165404 \h </w:instrText>
        </w:r>
        <w:r w:rsidR="00426319">
          <w:rPr>
            <w:noProof/>
            <w:webHidden/>
          </w:rPr>
        </w:r>
        <w:r w:rsidR="00426319">
          <w:rPr>
            <w:noProof/>
            <w:webHidden/>
          </w:rPr>
          <w:fldChar w:fldCharType="separate"/>
        </w:r>
        <w:r w:rsidR="00342919">
          <w:rPr>
            <w:noProof/>
            <w:webHidden/>
          </w:rPr>
          <w:t>17</w:t>
        </w:r>
        <w:r w:rsidR="00426319">
          <w:rPr>
            <w:noProof/>
            <w:webHidden/>
          </w:rPr>
          <w:fldChar w:fldCharType="end"/>
        </w:r>
      </w:hyperlink>
    </w:p>
    <w:p w14:paraId="720BB947" w14:textId="369C5D89" w:rsidR="00426319" w:rsidRDefault="004D4D2F" w:rsidP="00426319">
      <w:pPr>
        <w:pStyle w:val="TOC3"/>
        <w:tabs>
          <w:tab w:val="left" w:pos="741"/>
          <w:tab w:val="right" w:leader="dot" w:pos="9350"/>
        </w:tabs>
        <w:rPr>
          <w:rFonts w:eastAsiaTheme="minorEastAsia" w:cstheme="minorBidi"/>
          <w:smallCaps w:val="0"/>
          <w:noProof/>
          <w:sz w:val="24"/>
          <w:szCs w:val="24"/>
          <w:lang w:eastAsia="en-GB"/>
        </w:rPr>
      </w:pPr>
      <w:hyperlink w:anchor="_Toc123165405" w:history="1">
        <w:r w:rsidR="00426319" w:rsidRPr="00556B97">
          <w:rPr>
            <w:rStyle w:val="Hyperlink"/>
            <w:noProof/>
            <w:lang w:val="sq-AL"/>
          </w:rPr>
          <w:t>2.1.3.</w:t>
        </w:r>
        <w:r w:rsidR="00426319">
          <w:rPr>
            <w:rFonts w:eastAsiaTheme="minorEastAsia" w:cstheme="minorBidi"/>
            <w:smallCaps w:val="0"/>
            <w:noProof/>
            <w:sz w:val="24"/>
            <w:szCs w:val="24"/>
            <w:lang w:eastAsia="en-GB"/>
          </w:rPr>
          <w:tab/>
        </w:r>
        <w:r w:rsidR="00426319" w:rsidRPr="00556B97">
          <w:rPr>
            <w:rStyle w:val="Hyperlink"/>
            <w:noProof/>
            <w:lang w:val="sq-AL"/>
          </w:rPr>
          <w:t>Cilësia e punës</w:t>
        </w:r>
        <w:r w:rsidR="00426319">
          <w:rPr>
            <w:noProof/>
            <w:webHidden/>
          </w:rPr>
          <w:tab/>
        </w:r>
        <w:r w:rsidR="00426319">
          <w:rPr>
            <w:noProof/>
            <w:webHidden/>
          </w:rPr>
          <w:fldChar w:fldCharType="begin"/>
        </w:r>
        <w:r w:rsidR="00426319">
          <w:rPr>
            <w:noProof/>
            <w:webHidden/>
          </w:rPr>
          <w:instrText xml:space="preserve"> PAGEREF _Toc123165405 \h </w:instrText>
        </w:r>
        <w:r w:rsidR="00426319">
          <w:rPr>
            <w:noProof/>
            <w:webHidden/>
          </w:rPr>
        </w:r>
        <w:r w:rsidR="00426319">
          <w:rPr>
            <w:noProof/>
            <w:webHidden/>
          </w:rPr>
          <w:fldChar w:fldCharType="separate"/>
        </w:r>
        <w:r w:rsidR="00342919">
          <w:rPr>
            <w:noProof/>
            <w:webHidden/>
          </w:rPr>
          <w:t>19</w:t>
        </w:r>
        <w:r w:rsidR="00426319">
          <w:rPr>
            <w:noProof/>
            <w:webHidden/>
          </w:rPr>
          <w:fldChar w:fldCharType="end"/>
        </w:r>
      </w:hyperlink>
    </w:p>
    <w:p w14:paraId="46CFC0A5" w14:textId="1B416093" w:rsidR="00426319" w:rsidRDefault="004D4D2F" w:rsidP="00426319">
      <w:pPr>
        <w:pStyle w:val="TOC2"/>
        <w:tabs>
          <w:tab w:val="right" w:leader="dot" w:pos="9350"/>
        </w:tabs>
        <w:rPr>
          <w:rFonts w:eastAsiaTheme="minorEastAsia" w:cstheme="minorBidi"/>
          <w:b w:val="0"/>
          <w:bCs w:val="0"/>
          <w:smallCaps w:val="0"/>
          <w:noProof/>
          <w:sz w:val="24"/>
          <w:szCs w:val="24"/>
          <w:lang w:eastAsia="en-GB"/>
        </w:rPr>
      </w:pPr>
      <w:hyperlink w:anchor="_Toc123165406" w:history="1">
        <w:r w:rsidR="00426319" w:rsidRPr="00556B97">
          <w:rPr>
            <w:rStyle w:val="Hyperlink"/>
            <w:noProof/>
            <w:lang w:val="sq-AL"/>
          </w:rPr>
          <w:t>2.2 Politikat aktuale të tregut të punës dhe sfidat institucionale</w:t>
        </w:r>
        <w:r w:rsidR="00426319">
          <w:rPr>
            <w:noProof/>
            <w:webHidden/>
          </w:rPr>
          <w:tab/>
        </w:r>
        <w:r w:rsidR="00426319">
          <w:rPr>
            <w:noProof/>
            <w:webHidden/>
          </w:rPr>
          <w:fldChar w:fldCharType="begin"/>
        </w:r>
        <w:r w:rsidR="00426319">
          <w:rPr>
            <w:noProof/>
            <w:webHidden/>
          </w:rPr>
          <w:instrText xml:space="preserve"> PAGEREF _Toc123165406 \h </w:instrText>
        </w:r>
        <w:r w:rsidR="00426319">
          <w:rPr>
            <w:noProof/>
            <w:webHidden/>
          </w:rPr>
        </w:r>
        <w:r w:rsidR="00426319">
          <w:rPr>
            <w:noProof/>
            <w:webHidden/>
          </w:rPr>
          <w:fldChar w:fldCharType="separate"/>
        </w:r>
        <w:r w:rsidR="00342919">
          <w:rPr>
            <w:noProof/>
            <w:webHidden/>
          </w:rPr>
          <w:t>22</w:t>
        </w:r>
        <w:r w:rsidR="00426319">
          <w:rPr>
            <w:noProof/>
            <w:webHidden/>
          </w:rPr>
          <w:fldChar w:fldCharType="end"/>
        </w:r>
      </w:hyperlink>
    </w:p>
    <w:p w14:paraId="2B1E4A7E" w14:textId="6CC9CB4C"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07" w:history="1">
        <w:r w:rsidR="00426319" w:rsidRPr="00556B97">
          <w:rPr>
            <w:rStyle w:val="Hyperlink"/>
            <w:noProof/>
            <w:lang w:val="sq-AL"/>
          </w:rPr>
          <w:t>2.2.1 Shërbimet e punësimit</w:t>
        </w:r>
        <w:r w:rsidR="00426319">
          <w:rPr>
            <w:noProof/>
            <w:webHidden/>
          </w:rPr>
          <w:tab/>
        </w:r>
        <w:r w:rsidR="00426319">
          <w:rPr>
            <w:noProof/>
            <w:webHidden/>
          </w:rPr>
          <w:fldChar w:fldCharType="begin"/>
        </w:r>
        <w:r w:rsidR="00426319">
          <w:rPr>
            <w:noProof/>
            <w:webHidden/>
          </w:rPr>
          <w:instrText xml:space="preserve"> PAGEREF _Toc123165407 \h </w:instrText>
        </w:r>
        <w:r w:rsidR="00426319">
          <w:rPr>
            <w:noProof/>
            <w:webHidden/>
          </w:rPr>
        </w:r>
        <w:r w:rsidR="00426319">
          <w:rPr>
            <w:noProof/>
            <w:webHidden/>
          </w:rPr>
          <w:fldChar w:fldCharType="separate"/>
        </w:r>
        <w:r w:rsidR="00342919">
          <w:rPr>
            <w:noProof/>
            <w:webHidden/>
          </w:rPr>
          <w:t>22</w:t>
        </w:r>
        <w:r w:rsidR="00426319">
          <w:rPr>
            <w:noProof/>
            <w:webHidden/>
          </w:rPr>
          <w:fldChar w:fldCharType="end"/>
        </w:r>
      </w:hyperlink>
    </w:p>
    <w:p w14:paraId="441C815D" w14:textId="6C31957F"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08" w:history="1">
        <w:r w:rsidR="00426319" w:rsidRPr="00556B97">
          <w:rPr>
            <w:rStyle w:val="Hyperlink"/>
            <w:noProof/>
            <w:lang w:val="sq-AL"/>
          </w:rPr>
          <w:t>2.2.2 Programet e nxitjes së punësimit</w:t>
        </w:r>
        <w:r w:rsidR="00426319">
          <w:rPr>
            <w:noProof/>
            <w:webHidden/>
          </w:rPr>
          <w:tab/>
        </w:r>
        <w:r w:rsidR="00426319">
          <w:rPr>
            <w:noProof/>
            <w:webHidden/>
          </w:rPr>
          <w:fldChar w:fldCharType="begin"/>
        </w:r>
        <w:r w:rsidR="00426319">
          <w:rPr>
            <w:noProof/>
            <w:webHidden/>
          </w:rPr>
          <w:instrText xml:space="preserve"> PAGEREF _Toc123165408 \h </w:instrText>
        </w:r>
        <w:r w:rsidR="00426319">
          <w:rPr>
            <w:noProof/>
            <w:webHidden/>
          </w:rPr>
        </w:r>
        <w:r w:rsidR="00426319">
          <w:rPr>
            <w:noProof/>
            <w:webHidden/>
          </w:rPr>
          <w:fldChar w:fldCharType="separate"/>
        </w:r>
        <w:r w:rsidR="00342919">
          <w:rPr>
            <w:noProof/>
            <w:webHidden/>
          </w:rPr>
          <w:t>24</w:t>
        </w:r>
        <w:r w:rsidR="00426319">
          <w:rPr>
            <w:noProof/>
            <w:webHidden/>
          </w:rPr>
          <w:fldChar w:fldCharType="end"/>
        </w:r>
      </w:hyperlink>
    </w:p>
    <w:p w14:paraId="149BB277" w14:textId="6DF03664"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09" w:history="1">
        <w:r w:rsidR="00426319" w:rsidRPr="00556B97">
          <w:rPr>
            <w:rStyle w:val="Hyperlink"/>
            <w:noProof/>
            <w:lang w:val="sq-AL"/>
          </w:rPr>
          <w:t>2.2.3 Arsimi dhe formimi profesional</w:t>
        </w:r>
        <w:r w:rsidR="00426319">
          <w:rPr>
            <w:noProof/>
            <w:webHidden/>
          </w:rPr>
          <w:tab/>
        </w:r>
        <w:r w:rsidR="00426319">
          <w:rPr>
            <w:noProof/>
            <w:webHidden/>
          </w:rPr>
          <w:fldChar w:fldCharType="begin"/>
        </w:r>
        <w:r w:rsidR="00426319">
          <w:rPr>
            <w:noProof/>
            <w:webHidden/>
          </w:rPr>
          <w:instrText xml:space="preserve"> PAGEREF _Toc123165409 \h </w:instrText>
        </w:r>
        <w:r w:rsidR="00426319">
          <w:rPr>
            <w:noProof/>
            <w:webHidden/>
          </w:rPr>
        </w:r>
        <w:r w:rsidR="00426319">
          <w:rPr>
            <w:noProof/>
            <w:webHidden/>
          </w:rPr>
          <w:fldChar w:fldCharType="separate"/>
        </w:r>
        <w:r w:rsidR="00342919">
          <w:rPr>
            <w:noProof/>
            <w:webHidden/>
          </w:rPr>
          <w:t>24</w:t>
        </w:r>
        <w:r w:rsidR="00426319">
          <w:rPr>
            <w:noProof/>
            <w:webHidden/>
          </w:rPr>
          <w:fldChar w:fldCharType="end"/>
        </w:r>
      </w:hyperlink>
    </w:p>
    <w:p w14:paraId="341A455D" w14:textId="0B7A6FC8"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10" w:history="1">
        <w:r w:rsidR="00426319" w:rsidRPr="00556B97">
          <w:rPr>
            <w:rStyle w:val="Hyperlink"/>
            <w:noProof/>
            <w:lang w:val="sq-AL"/>
          </w:rPr>
          <w:t>2.2.4 Inspektimi i punës</w:t>
        </w:r>
        <w:r w:rsidR="00426319">
          <w:rPr>
            <w:noProof/>
            <w:webHidden/>
          </w:rPr>
          <w:tab/>
        </w:r>
        <w:r w:rsidR="00426319">
          <w:rPr>
            <w:noProof/>
            <w:webHidden/>
          </w:rPr>
          <w:fldChar w:fldCharType="begin"/>
        </w:r>
        <w:r w:rsidR="00426319">
          <w:rPr>
            <w:noProof/>
            <w:webHidden/>
          </w:rPr>
          <w:instrText xml:space="preserve"> PAGEREF _Toc123165410 \h </w:instrText>
        </w:r>
        <w:r w:rsidR="00426319">
          <w:rPr>
            <w:noProof/>
            <w:webHidden/>
          </w:rPr>
        </w:r>
        <w:r w:rsidR="00426319">
          <w:rPr>
            <w:noProof/>
            <w:webHidden/>
          </w:rPr>
          <w:fldChar w:fldCharType="separate"/>
        </w:r>
        <w:r w:rsidR="00342919">
          <w:rPr>
            <w:noProof/>
            <w:webHidden/>
          </w:rPr>
          <w:t>25</w:t>
        </w:r>
        <w:r w:rsidR="00426319">
          <w:rPr>
            <w:noProof/>
            <w:webHidden/>
          </w:rPr>
          <w:fldChar w:fldCharType="end"/>
        </w:r>
      </w:hyperlink>
    </w:p>
    <w:p w14:paraId="6EE3DB39" w14:textId="056B4155"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11" w:history="1">
        <w:r w:rsidR="00426319" w:rsidRPr="00556B97">
          <w:rPr>
            <w:rStyle w:val="Hyperlink"/>
            <w:noProof/>
            <w:lang w:val="sq-AL"/>
          </w:rPr>
          <w:t>2.2.5 Partneriteti social</w:t>
        </w:r>
        <w:r w:rsidR="00426319">
          <w:rPr>
            <w:noProof/>
            <w:webHidden/>
          </w:rPr>
          <w:tab/>
        </w:r>
        <w:r w:rsidR="00426319">
          <w:rPr>
            <w:noProof/>
            <w:webHidden/>
          </w:rPr>
          <w:fldChar w:fldCharType="begin"/>
        </w:r>
        <w:r w:rsidR="00426319">
          <w:rPr>
            <w:noProof/>
            <w:webHidden/>
          </w:rPr>
          <w:instrText xml:space="preserve"> PAGEREF _Toc123165411 \h </w:instrText>
        </w:r>
        <w:r w:rsidR="00426319">
          <w:rPr>
            <w:noProof/>
            <w:webHidden/>
          </w:rPr>
        </w:r>
        <w:r w:rsidR="00426319">
          <w:rPr>
            <w:noProof/>
            <w:webHidden/>
          </w:rPr>
          <w:fldChar w:fldCharType="separate"/>
        </w:r>
        <w:r w:rsidR="00342919">
          <w:rPr>
            <w:noProof/>
            <w:webHidden/>
          </w:rPr>
          <w:t>26</w:t>
        </w:r>
        <w:r w:rsidR="00426319">
          <w:rPr>
            <w:noProof/>
            <w:webHidden/>
          </w:rPr>
          <w:fldChar w:fldCharType="end"/>
        </w:r>
      </w:hyperlink>
    </w:p>
    <w:p w14:paraId="365DFCC3" w14:textId="2856774D"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12" w:history="1">
        <w:r w:rsidR="00426319" w:rsidRPr="00556B97">
          <w:rPr>
            <w:rStyle w:val="Hyperlink"/>
            <w:noProof/>
            <w:lang w:val="sq-AL"/>
          </w:rPr>
          <w:t>2.2.6 Legjislacioni për mbrojtjen e punësimit</w:t>
        </w:r>
        <w:r w:rsidR="00426319">
          <w:rPr>
            <w:noProof/>
            <w:webHidden/>
          </w:rPr>
          <w:tab/>
        </w:r>
        <w:r w:rsidR="00426319">
          <w:rPr>
            <w:noProof/>
            <w:webHidden/>
          </w:rPr>
          <w:fldChar w:fldCharType="begin"/>
        </w:r>
        <w:r w:rsidR="00426319">
          <w:rPr>
            <w:noProof/>
            <w:webHidden/>
          </w:rPr>
          <w:instrText xml:space="preserve"> PAGEREF _Toc123165412 \h </w:instrText>
        </w:r>
        <w:r w:rsidR="00426319">
          <w:rPr>
            <w:noProof/>
            <w:webHidden/>
          </w:rPr>
        </w:r>
        <w:r w:rsidR="00426319">
          <w:rPr>
            <w:noProof/>
            <w:webHidden/>
          </w:rPr>
          <w:fldChar w:fldCharType="separate"/>
        </w:r>
        <w:r w:rsidR="00342919">
          <w:rPr>
            <w:noProof/>
            <w:webHidden/>
          </w:rPr>
          <w:t>27</w:t>
        </w:r>
        <w:r w:rsidR="00426319">
          <w:rPr>
            <w:noProof/>
            <w:webHidden/>
          </w:rPr>
          <w:fldChar w:fldCharType="end"/>
        </w:r>
      </w:hyperlink>
    </w:p>
    <w:p w14:paraId="4EB6A3C6" w14:textId="5C1C675F"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13" w:history="1">
        <w:r w:rsidR="00426319" w:rsidRPr="00556B97">
          <w:rPr>
            <w:rStyle w:val="Hyperlink"/>
            <w:noProof/>
            <w:lang w:val="sq-AL"/>
          </w:rPr>
          <w:t>2.2.7 Paga minimale</w:t>
        </w:r>
        <w:r w:rsidR="00426319">
          <w:rPr>
            <w:noProof/>
            <w:webHidden/>
          </w:rPr>
          <w:tab/>
        </w:r>
        <w:r w:rsidR="00426319">
          <w:rPr>
            <w:noProof/>
            <w:webHidden/>
          </w:rPr>
          <w:fldChar w:fldCharType="begin"/>
        </w:r>
        <w:r w:rsidR="00426319">
          <w:rPr>
            <w:noProof/>
            <w:webHidden/>
          </w:rPr>
          <w:instrText xml:space="preserve"> PAGEREF _Toc123165413 \h </w:instrText>
        </w:r>
        <w:r w:rsidR="00426319">
          <w:rPr>
            <w:noProof/>
            <w:webHidden/>
          </w:rPr>
        </w:r>
        <w:r w:rsidR="00426319">
          <w:rPr>
            <w:noProof/>
            <w:webHidden/>
          </w:rPr>
          <w:fldChar w:fldCharType="separate"/>
        </w:r>
        <w:r w:rsidR="00342919">
          <w:rPr>
            <w:noProof/>
            <w:webHidden/>
          </w:rPr>
          <w:t>28</w:t>
        </w:r>
        <w:r w:rsidR="00426319">
          <w:rPr>
            <w:noProof/>
            <w:webHidden/>
          </w:rPr>
          <w:fldChar w:fldCharType="end"/>
        </w:r>
      </w:hyperlink>
    </w:p>
    <w:p w14:paraId="4FB5C217" w14:textId="1EFFCF2D"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14" w:history="1">
        <w:r w:rsidR="00426319" w:rsidRPr="00556B97">
          <w:rPr>
            <w:rStyle w:val="Hyperlink"/>
            <w:noProof/>
            <w:lang w:val="sq-AL"/>
          </w:rPr>
          <w:t>2.2.8 Politika pasive e tregut të punës</w:t>
        </w:r>
        <w:r w:rsidR="00426319">
          <w:rPr>
            <w:noProof/>
            <w:webHidden/>
          </w:rPr>
          <w:tab/>
        </w:r>
        <w:r w:rsidR="00426319">
          <w:rPr>
            <w:noProof/>
            <w:webHidden/>
          </w:rPr>
          <w:fldChar w:fldCharType="begin"/>
        </w:r>
        <w:r w:rsidR="00426319">
          <w:rPr>
            <w:noProof/>
            <w:webHidden/>
          </w:rPr>
          <w:instrText xml:space="preserve"> PAGEREF _Toc123165414 \h </w:instrText>
        </w:r>
        <w:r w:rsidR="00426319">
          <w:rPr>
            <w:noProof/>
            <w:webHidden/>
          </w:rPr>
        </w:r>
        <w:r w:rsidR="00426319">
          <w:rPr>
            <w:noProof/>
            <w:webHidden/>
          </w:rPr>
          <w:fldChar w:fldCharType="separate"/>
        </w:r>
        <w:r w:rsidR="00342919">
          <w:rPr>
            <w:noProof/>
            <w:webHidden/>
          </w:rPr>
          <w:t>28</w:t>
        </w:r>
        <w:r w:rsidR="00426319">
          <w:rPr>
            <w:noProof/>
            <w:webHidden/>
          </w:rPr>
          <w:fldChar w:fldCharType="end"/>
        </w:r>
      </w:hyperlink>
    </w:p>
    <w:p w14:paraId="0AE3BA0F" w14:textId="7AF65E8F"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15" w:history="1">
        <w:r w:rsidR="00426319" w:rsidRPr="00556B97">
          <w:rPr>
            <w:rStyle w:val="Hyperlink"/>
            <w:noProof/>
            <w:lang w:val="sq-AL"/>
          </w:rPr>
          <w:t>2.2.9.Tatimi i punës</w:t>
        </w:r>
        <w:r w:rsidR="00426319">
          <w:rPr>
            <w:noProof/>
            <w:webHidden/>
          </w:rPr>
          <w:tab/>
        </w:r>
        <w:r w:rsidR="00426319">
          <w:rPr>
            <w:noProof/>
            <w:webHidden/>
          </w:rPr>
          <w:fldChar w:fldCharType="begin"/>
        </w:r>
        <w:r w:rsidR="00426319">
          <w:rPr>
            <w:noProof/>
            <w:webHidden/>
          </w:rPr>
          <w:instrText xml:space="preserve"> PAGEREF _Toc123165415 \h </w:instrText>
        </w:r>
        <w:r w:rsidR="00426319">
          <w:rPr>
            <w:noProof/>
            <w:webHidden/>
          </w:rPr>
        </w:r>
        <w:r w:rsidR="00426319">
          <w:rPr>
            <w:noProof/>
            <w:webHidden/>
          </w:rPr>
          <w:fldChar w:fldCharType="separate"/>
        </w:r>
        <w:r w:rsidR="00342919">
          <w:rPr>
            <w:noProof/>
            <w:webHidden/>
          </w:rPr>
          <w:t>29</w:t>
        </w:r>
        <w:r w:rsidR="00426319">
          <w:rPr>
            <w:noProof/>
            <w:webHidden/>
          </w:rPr>
          <w:fldChar w:fldCharType="end"/>
        </w:r>
      </w:hyperlink>
    </w:p>
    <w:p w14:paraId="5D6592C9" w14:textId="2190C702" w:rsidR="00426319" w:rsidRDefault="004D4D2F" w:rsidP="00426319">
      <w:pPr>
        <w:pStyle w:val="TOC1"/>
        <w:spacing w:before="0" w:after="0"/>
        <w:rPr>
          <w:rFonts w:eastAsiaTheme="minorEastAsia" w:cstheme="minorBidi"/>
          <w:b w:val="0"/>
          <w:bCs w:val="0"/>
          <w:caps w:val="0"/>
          <w:noProof/>
          <w:sz w:val="24"/>
          <w:szCs w:val="24"/>
          <w:u w:val="none"/>
          <w:lang w:eastAsia="en-GB"/>
        </w:rPr>
      </w:pPr>
      <w:hyperlink w:anchor="_Toc123165416" w:history="1">
        <w:r w:rsidR="00426319" w:rsidRPr="00556B97">
          <w:rPr>
            <w:rStyle w:val="Hyperlink"/>
            <w:noProof/>
            <w:lang w:val="sq-AL"/>
          </w:rPr>
          <w:t>III.</w:t>
        </w:r>
        <w:r w:rsidR="00426319">
          <w:rPr>
            <w:rFonts w:eastAsiaTheme="minorEastAsia" w:cstheme="minorBidi"/>
            <w:b w:val="0"/>
            <w:bCs w:val="0"/>
            <w:caps w:val="0"/>
            <w:noProof/>
            <w:sz w:val="24"/>
            <w:szCs w:val="24"/>
            <w:u w:val="none"/>
            <w:lang w:eastAsia="en-GB"/>
          </w:rPr>
          <w:tab/>
        </w:r>
        <w:r w:rsidR="00426319" w:rsidRPr="00556B97">
          <w:rPr>
            <w:rStyle w:val="Hyperlink"/>
            <w:noProof/>
            <w:lang w:val="sq-AL"/>
          </w:rPr>
          <w:t>Vizioni, Shtyllat ose Fushat Strategjike dhe Qëllimet e Politikave</w:t>
        </w:r>
        <w:r w:rsidR="00426319">
          <w:rPr>
            <w:noProof/>
            <w:webHidden/>
          </w:rPr>
          <w:tab/>
        </w:r>
        <w:r w:rsidR="00426319">
          <w:rPr>
            <w:noProof/>
            <w:webHidden/>
          </w:rPr>
          <w:fldChar w:fldCharType="begin"/>
        </w:r>
        <w:r w:rsidR="00426319">
          <w:rPr>
            <w:noProof/>
            <w:webHidden/>
          </w:rPr>
          <w:instrText xml:space="preserve"> PAGEREF _Toc123165416 \h </w:instrText>
        </w:r>
        <w:r w:rsidR="00426319">
          <w:rPr>
            <w:noProof/>
            <w:webHidden/>
          </w:rPr>
        </w:r>
        <w:r w:rsidR="00426319">
          <w:rPr>
            <w:noProof/>
            <w:webHidden/>
          </w:rPr>
          <w:fldChar w:fldCharType="separate"/>
        </w:r>
        <w:r w:rsidR="00342919">
          <w:rPr>
            <w:noProof/>
            <w:webHidden/>
          </w:rPr>
          <w:t>31</w:t>
        </w:r>
        <w:r w:rsidR="00426319">
          <w:rPr>
            <w:noProof/>
            <w:webHidden/>
          </w:rPr>
          <w:fldChar w:fldCharType="end"/>
        </w:r>
      </w:hyperlink>
    </w:p>
    <w:p w14:paraId="1CBD11D9" w14:textId="13733AEB" w:rsidR="00426319" w:rsidRDefault="004D4D2F" w:rsidP="00426319">
      <w:pPr>
        <w:pStyle w:val="TOC2"/>
        <w:tabs>
          <w:tab w:val="left" w:pos="581"/>
          <w:tab w:val="right" w:leader="dot" w:pos="9350"/>
        </w:tabs>
        <w:rPr>
          <w:rFonts w:eastAsiaTheme="minorEastAsia" w:cstheme="minorBidi"/>
          <w:b w:val="0"/>
          <w:bCs w:val="0"/>
          <w:smallCaps w:val="0"/>
          <w:noProof/>
          <w:sz w:val="24"/>
          <w:szCs w:val="24"/>
          <w:lang w:eastAsia="en-GB"/>
        </w:rPr>
      </w:pPr>
      <w:hyperlink w:anchor="_Toc123165417" w:history="1">
        <w:r w:rsidR="00426319" w:rsidRPr="00556B97">
          <w:rPr>
            <w:rStyle w:val="Hyperlink"/>
            <w:noProof/>
            <w:lang w:val="sq-AL"/>
          </w:rPr>
          <w:t>3.1.</w:t>
        </w:r>
        <w:r w:rsidR="00426319">
          <w:rPr>
            <w:rFonts w:eastAsiaTheme="minorEastAsia" w:cstheme="minorBidi"/>
            <w:b w:val="0"/>
            <w:bCs w:val="0"/>
            <w:smallCaps w:val="0"/>
            <w:noProof/>
            <w:sz w:val="24"/>
            <w:szCs w:val="24"/>
            <w:lang w:eastAsia="en-GB"/>
          </w:rPr>
          <w:tab/>
        </w:r>
        <w:r w:rsidR="00426319" w:rsidRPr="00556B97">
          <w:rPr>
            <w:rStyle w:val="Hyperlink"/>
            <w:noProof/>
            <w:lang w:val="sq-AL"/>
          </w:rPr>
          <w:t>Vizioni</w:t>
        </w:r>
        <w:r w:rsidR="00426319">
          <w:rPr>
            <w:noProof/>
            <w:webHidden/>
          </w:rPr>
          <w:tab/>
        </w:r>
        <w:r w:rsidR="00426319">
          <w:rPr>
            <w:noProof/>
            <w:webHidden/>
          </w:rPr>
          <w:fldChar w:fldCharType="begin"/>
        </w:r>
        <w:r w:rsidR="00426319">
          <w:rPr>
            <w:noProof/>
            <w:webHidden/>
          </w:rPr>
          <w:instrText xml:space="preserve"> PAGEREF _Toc123165417 \h </w:instrText>
        </w:r>
        <w:r w:rsidR="00426319">
          <w:rPr>
            <w:noProof/>
            <w:webHidden/>
          </w:rPr>
        </w:r>
        <w:r w:rsidR="00426319">
          <w:rPr>
            <w:noProof/>
            <w:webHidden/>
          </w:rPr>
          <w:fldChar w:fldCharType="separate"/>
        </w:r>
        <w:r w:rsidR="00342919">
          <w:rPr>
            <w:noProof/>
            <w:webHidden/>
          </w:rPr>
          <w:t>31</w:t>
        </w:r>
        <w:r w:rsidR="00426319">
          <w:rPr>
            <w:noProof/>
            <w:webHidden/>
          </w:rPr>
          <w:fldChar w:fldCharType="end"/>
        </w:r>
      </w:hyperlink>
    </w:p>
    <w:p w14:paraId="1C6269BB" w14:textId="3833E4A1" w:rsidR="00426319" w:rsidRDefault="004D4D2F" w:rsidP="00426319">
      <w:pPr>
        <w:pStyle w:val="TOC2"/>
        <w:tabs>
          <w:tab w:val="left" w:pos="581"/>
          <w:tab w:val="right" w:leader="dot" w:pos="9350"/>
        </w:tabs>
        <w:rPr>
          <w:rFonts w:eastAsiaTheme="minorEastAsia" w:cstheme="minorBidi"/>
          <w:b w:val="0"/>
          <w:bCs w:val="0"/>
          <w:smallCaps w:val="0"/>
          <w:noProof/>
          <w:sz w:val="24"/>
          <w:szCs w:val="24"/>
          <w:lang w:eastAsia="en-GB"/>
        </w:rPr>
      </w:pPr>
      <w:hyperlink w:anchor="_Toc123165418" w:history="1">
        <w:r w:rsidR="00426319" w:rsidRPr="00556B97">
          <w:rPr>
            <w:rStyle w:val="Hyperlink"/>
            <w:noProof/>
            <w:lang w:val="sq-AL"/>
          </w:rPr>
          <w:t>3.2.</w:t>
        </w:r>
        <w:r w:rsidR="00426319">
          <w:rPr>
            <w:rFonts w:eastAsiaTheme="minorEastAsia" w:cstheme="minorBidi"/>
            <w:b w:val="0"/>
            <w:bCs w:val="0"/>
            <w:smallCaps w:val="0"/>
            <w:noProof/>
            <w:sz w:val="24"/>
            <w:szCs w:val="24"/>
            <w:lang w:eastAsia="en-GB"/>
          </w:rPr>
          <w:tab/>
        </w:r>
        <w:r w:rsidR="00426319" w:rsidRPr="00556B97">
          <w:rPr>
            <w:rStyle w:val="Hyperlink"/>
            <w:noProof/>
            <w:lang w:val="sq-AL"/>
          </w:rPr>
          <w:t>Qëllimet e politikës</w:t>
        </w:r>
        <w:r w:rsidR="00426319">
          <w:rPr>
            <w:noProof/>
            <w:webHidden/>
          </w:rPr>
          <w:tab/>
        </w:r>
        <w:r w:rsidR="00426319">
          <w:rPr>
            <w:noProof/>
            <w:webHidden/>
          </w:rPr>
          <w:fldChar w:fldCharType="begin"/>
        </w:r>
        <w:r w:rsidR="00426319">
          <w:rPr>
            <w:noProof/>
            <w:webHidden/>
          </w:rPr>
          <w:instrText xml:space="preserve"> PAGEREF _Toc123165418 \h </w:instrText>
        </w:r>
        <w:r w:rsidR="00426319">
          <w:rPr>
            <w:noProof/>
            <w:webHidden/>
          </w:rPr>
        </w:r>
        <w:r w:rsidR="00426319">
          <w:rPr>
            <w:noProof/>
            <w:webHidden/>
          </w:rPr>
          <w:fldChar w:fldCharType="separate"/>
        </w:r>
        <w:r w:rsidR="00342919">
          <w:rPr>
            <w:noProof/>
            <w:webHidden/>
          </w:rPr>
          <w:t>31</w:t>
        </w:r>
        <w:r w:rsidR="00426319">
          <w:rPr>
            <w:noProof/>
            <w:webHidden/>
          </w:rPr>
          <w:fldChar w:fldCharType="end"/>
        </w:r>
      </w:hyperlink>
    </w:p>
    <w:p w14:paraId="067EF1BF" w14:textId="01B612AE" w:rsidR="00426319" w:rsidRDefault="004D4D2F" w:rsidP="00426319">
      <w:pPr>
        <w:pStyle w:val="TOC3"/>
        <w:tabs>
          <w:tab w:val="left" w:pos="741"/>
          <w:tab w:val="right" w:leader="dot" w:pos="9350"/>
        </w:tabs>
        <w:rPr>
          <w:rFonts w:eastAsiaTheme="minorEastAsia" w:cstheme="minorBidi"/>
          <w:smallCaps w:val="0"/>
          <w:noProof/>
          <w:sz w:val="24"/>
          <w:szCs w:val="24"/>
          <w:lang w:eastAsia="en-GB"/>
        </w:rPr>
      </w:pPr>
      <w:hyperlink w:anchor="_Toc123165419" w:history="1">
        <w:r w:rsidR="00426319" w:rsidRPr="00556B97">
          <w:rPr>
            <w:rStyle w:val="Hyperlink"/>
            <w:noProof/>
            <w:lang w:val="sq-AL"/>
          </w:rPr>
          <w:t>3.2.1.</w:t>
        </w:r>
        <w:r w:rsidR="00426319">
          <w:rPr>
            <w:rFonts w:eastAsiaTheme="minorEastAsia" w:cstheme="minorBidi"/>
            <w:smallCaps w:val="0"/>
            <w:noProof/>
            <w:sz w:val="24"/>
            <w:szCs w:val="24"/>
            <w:lang w:eastAsia="en-GB"/>
          </w:rPr>
          <w:tab/>
        </w:r>
        <w:r w:rsidR="00426319" w:rsidRPr="00556B97">
          <w:rPr>
            <w:rStyle w:val="Hyperlink"/>
            <w:noProof/>
            <w:lang w:val="sq-AL"/>
          </w:rPr>
          <w:t>Qëllimi i politikës 1: Zhvillimi i aftësive dhe lidhje më e mirë e kërkesës me ofertën në tregun e punës për më shumë punësim</w:t>
        </w:r>
        <w:r w:rsidR="00426319">
          <w:rPr>
            <w:noProof/>
            <w:webHidden/>
          </w:rPr>
          <w:tab/>
        </w:r>
        <w:r w:rsidR="00426319">
          <w:rPr>
            <w:noProof/>
            <w:webHidden/>
          </w:rPr>
          <w:fldChar w:fldCharType="begin"/>
        </w:r>
        <w:r w:rsidR="00426319">
          <w:rPr>
            <w:noProof/>
            <w:webHidden/>
          </w:rPr>
          <w:instrText xml:space="preserve"> PAGEREF _Toc123165419 \h </w:instrText>
        </w:r>
        <w:r w:rsidR="00426319">
          <w:rPr>
            <w:noProof/>
            <w:webHidden/>
          </w:rPr>
        </w:r>
        <w:r w:rsidR="00426319">
          <w:rPr>
            <w:noProof/>
            <w:webHidden/>
          </w:rPr>
          <w:fldChar w:fldCharType="separate"/>
        </w:r>
        <w:r w:rsidR="00342919">
          <w:rPr>
            <w:noProof/>
            <w:webHidden/>
          </w:rPr>
          <w:t>31</w:t>
        </w:r>
        <w:r w:rsidR="00426319">
          <w:rPr>
            <w:noProof/>
            <w:webHidden/>
          </w:rPr>
          <w:fldChar w:fldCharType="end"/>
        </w:r>
      </w:hyperlink>
    </w:p>
    <w:p w14:paraId="4F0CD273" w14:textId="6D54C549" w:rsidR="00426319" w:rsidRDefault="004D4D2F" w:rsidP="00426319">
      <w:pPr>
        <w:pStyle w:val="TOC3"/>
        <w:tabs>
          <w:tab w:val="right" w:leader="dot" w:pos="9350"/>
        </w:tabs>
        <w:rPr>
          <w:rFonts w:eastAsiaTheme="minorEastAsia" w:cstheme="minorBidi"/>
          <w:smallCaps w:val="0"/>
          <w:noProof/>
          <w:sz w:val="24"/>
          <w:szCs w:val="24"/>
          <w:lang w:eastAsia="en-GB"/>
        </w:rPr>
      </w:pPr>
      <w:hyperlink w:anchor="_Toc123165420" w:history="1">
        <w:r w:rsidR="00426319" w:rsidRPr="00556B97">
          <w:rPr>
            <w:rStyle w:val="Hyperlink"/>
            <w:noProof/>
            <w:lang w:val="sq-AL"/>
          </w:rPr>
          <w:t>Qëllimi i politikës 2: Mundësimi i punësimit të denjë për gra dhe burra nëpërmjet zbatimit të politikave gjithëpërfshirëse të tregut të punës</w:t>
        </w:r>
        <w:r w:rsidR="00426319">
          <w:rPr>
            <w:noProof/>
            <w:webHidden/>
          </w:rPr>
          <w:tab/>
        </w:r>
        <w:r w:rsidR="00426319">
          <w:rPr>
            <w:noProof/>
            <w:webHidden/>
          </w:rPr>
          <w:fldChar w:fldCharType="begin"/>
        </w:r>
        <w:r w:rsidR="00426319">
          <w:rPr>
            <w:noProof/>
            <w:webHidden/>
          </w:rPr>
          <w:instrText xml:space="preserve"> PAGEREF _Toc123165420 \h </w:instrText>
        </w:r>
        <w:r w:rsidR="00426319">
          <w:rPr>
            <w:noProof/>
            <w:webHidden/>
          </w:rPr>
        </w:r>
        <w:r w:rsidR="00426319">
          <w:rPr>
            <w:noProof/>
            <w:webHidden/>
          </w:rPr>
          <w:fldChar w:fldCharType="separate"/>
        </w:r>
        <w:r w:rsidR="00342919">
          <w:rPr>
            <w:noProof/>
            <w:webHidden/>
          </w:rPr>
          <w:t>36</w:t>
        </w:r>
        <w:r w:rsidR="00426319">
          <w:rPr>
            <w:noProof/>
            <w:webHidden/>
          </w:rPr>
          <w:fldChar w:fldCharType="end"/>
        </w:r>
      </w:hyperlink>
    </w:p>
    <w:p w14:paraId="39F26A1B" w14:textId="68D663D0" w:rsidR="00426319" w:rsidRDefault="004D4D2F" w:rsidP="00426319">
      <w:pPr>
        <w:pStyle w:val="TOC1"/>
        <w:spacing w:before="0" w:after="0"/>
        <w:rPr>
          <w:rFonts w:eastAsiaTheme="minorEastAsia" w:cstheme="minorBidi"/>
          <w:b w:val="0"/>
          <w:bCs w:val="0"/>
          <w:caps w:val="0"/>
          <w:noProof/>
          <w:sz w:val="24"/>
          <w:szCs w:val="24"/>
          <w:u w:val="none"/>
          <w:lang w:eastAsia="en-GB"/>
        </w:rPr>
      </w:pPr>
      <w:hyperlink w:anchor="_Toc123165421" w:history="1">
        <w:r w:rsidR="00426319" w:rsidRPr="00556B97">
          <w:rPr>
            <w:rStyle w:val="Hyperlink"/>
            <w:noProof/>
            <w:lang w:val="sq-AL"/>
          </w:rPr>
          <w:t>IV.</w:t>
        </w:r>
        <w:r w:rsidR="00426319">
          <w:rPr>
            <w:rFonts w:eastAsiaTheme="minorEastAsia" w:cstheme="minorBidi"/>
            <w:b w:val="0"/>
            <w:bCs w:val="0"/>
            <w:caps w:val="0"/>
            <w:noProof/>
            <w:sz w:val="24"/>
            <w:szCs w:val="24"/>
            <w:u w:val="none"/>
            <w:lang w:eastAsia="en-GB"/>
          </w:rPr>
          <w:tab/>
        </w:r>
        <w:r w:rsidR="00426319" w:rsidRPr="00556B97">
          <w:rPr>
            <w:rStyle w:val="Hyperlink"/>
            <w:noProof/>
            <w:lang w:val="sq-AL"/>
          </w:rPr>
          <w:t>Llogaridhënia, monitorimi dhe analizat vlerësuese</w:t>
        </w:r>
        <w:r w:rsidR="00426319">
          <w:rPr>
            <w:noProof/>
            <w:webHidden/>
          </w:rPr>
          <w:tab/>
        </w:r>
        <w:r w:rsidR="00426319">
          <w:rPr>
            <w:noProof/>
            <w:webHidden/>
          </w:rPr>
          <w:fldChar w:fldCharType="begin"/>
        </w:r>
        <w:r w:rsidR="00426319">
          <w:rPr>
            <w:noProof/>
            <w:webHidden/>
          </w:rPr>
          <w:instrText xml:space="preserve"> PAGEREF _Toc123165421 \h </w:instrText>
        </w:r>
        <w:r w:rsidR="00426319">
          <w:rPr>
            <w:noProof/>
            <w:webHidden/>
          </w:rPr>
        </w:r>
        <w:r w:rsidR="00426319">
          <w:rPr>
            <w:noProof/>
            <w:webHidden/>
          </w:rPr>
          <w:fldChar w:fldCharType="separate"/>
        </w:r>
        <w:r w:rsidR="00342919">
          <w:rPr>
            <w:noProof/>
            <w:webHidden/>
          </w:rPr>
          <w:t>41</w:t>
        </w:r>
        <w:r w:rsidR="00426319">
          <w:rPr>
            <w:noProof/>
            <w:webHidden/>
          </w:rPr>
          <w:fldChar w:fldCharType="end"/>
        </w:r>
      </w:hyperlink>
    </w:p>
    <w:p w14:paraId="23DD6FF7" w14:textId="7B78BC97" w:rsidR="00426319" w:rsidRDefault="004D4D2F" w:rsidP="00426319">
      <w:pPr>
        <w:pStyle w:val="TOC2"/>
        <w:tabs>
          <w:tab w:val="left" w:pos="581"/>
          <w:tab w:val="right" w:leader="dot" w:pos="9350"/>
        </w:tabs>
        <w:rPr>
          <w:rFonts w:eastAsiaTheme="minorEastAsia" w:cstheme="minorBidi"/>
          <w:b w:val="0"/>
          <w:bCs w:val="0"/>
          <w:smallCaps w:val="0"/>
          <w:noProof/>
          <w:sz w:val="24"/>
          <w:szCs w:val="24"/>
          <w:lang w:eastAsia="en-GB"/>
        </w:rPr>
      </w:pPr>
      <w:hyperlink w:anchor="_Toc123165422" w:history="1">
        <w:r w:rsidR="00426319" w:rsidRPr="00556B97">
          <w:rPr>
            <w:rStyle w:val="Hyperlink"/>
            <w:noProof/>
            <w:lang w:val="sq-AL"/>
          </w:rPr>
          <w:t>4.1.</w:t>
        </w:r>
        <w:r w:rsidR="00426319">
          <w:rPr>
            <w:rFonts w:eastAsiaTheme="minorEastAsia" w:cstheme="minorBidi"/>
            <w:b w:val="0"/>
            <w:bCs w:val="0"/>
            <w:smallCaps w:val="0"/>
            <w:noProof/>
            <w:sz w:val="24"/>
            <w:szCs w:val="24"/>
            <w:lang w:eastAsia="en-GB"/>
          </w:rPr>
          <w:tab/>
        </w:r>
        <w:r w:rsidR="00426319" w:rsidRPr="00556B97">
          <w:rPr>
            <w:rStyle w:val="Hyperlink"/>
            <w:noProof/>
            <w:lang w:val="sq-AL"/>
          </w:rPr>
          <w:t>Mekanizmat e Zbatimit dhe Koordinimit</w:t>
        </w:r>
        <w:r w:rsidR="00426319">
          <w:rPr>
            <w:noProof/>
            <w:webHidden/>
          </w:rPr>
          <w:tab/>
        </w:r>
        <w:r w:rsidR="00426319">
          <w:rPr>
            <w:noProof/>
            <w:webHidden/>
          </w:rPr>
          <w:fldChar w:fldCharType="begin"/>
        </w:r>
        <w:r w:rsidR="00426319">
          <w:rPr>
            <w:noProof/>
            <w:webHidden/>
          </w:rPr>
          <w:instrText xml:space="preserve"> PAGEREF _Toc123165422 \h </w:instrText>
        </w:r>
        <w:r w:rsidR="00426319">
          <w:rPr>
            <w:noProof/>
            <w:webHidden/>
          </w:rPr>
        </w:r>
        <w:r w:rsidR="00426319">
          <w:rPr>
            <w:noProof/>
            <w:webHidden/>
          </w:rPr>
          <w:fldChar w:fldCharType="separate"/>
        </w:r>
        <w:r w:rsidR="00342919">
          <w:rPr>
            <w:noProof/>
            <w:webHidden/>
          </w:rPr>
          <w:t>41</w:t>
        </w:r>
        <w:r w:rsidR="00426319">
          <w:rPr>
            <w:noProof/>
            <w:webHidden/>
          </w:rPr>
          <w:fldChar w:fldCharType="end"/>
        </w:r>
      </w:hyperlink>
    </w:p>
    <w:p w14:paraId="011D2EA0" w14:textId="17CC1DA7" w:rsidR="00426319" w:rsidRDefault="004D4D2F" w:rsidP="00426319">
      <w:pPr>
        <w:pStyle w:val="TOC2"/>
        <w:tabs>
          <w:tab w:val="left" w:pos="581"/>
          <w:tab w:val="right" w:leader="dot" w:pos="9350"/>
        </w:tabs>
        <w:rPr>
          <w:rFonts w:eastAsiaTheme="minorEastAsia" w:cstheme="minorBidi"/>
          <w:b w:val="0"/>
          <w:bCs w:val="0"/>
          <w:smallCaps w:val="0"/>
          <w:noProof/>
          <w:sz w:val="24"/>
          <w:szCs w:val="24"/>
          <w:lang w:eastAsia="en-GB"/>
        </w:rPr>
      </w:pPr>
      <w:hyperlink w:anchor="_Toc123165423" w:history="1">
        <w:r w:rsidR="00426319" w:rsidRPr="00556B97">
          <w:rPr>
            <w:rStyle w:val="Hyperlink"/>
            <w:noProof/>
            <w:lang w:val="sq-AL"/>
          </w:rPr>
          <w:t>4.2.</w:t>
        </w:r>
        <w:r w:rsidR="00426319">
          <w:rPr>
            <w:rFonts w:eastAsiaTheme="minorEastAsia" w:cstheme="minorBidi"/>
            <w:b w:val="0"/>
            <w:bCs w:val="0"/>
            <w:smallCaps w:val="0"/>
            <w:noProof/>
            <w:sz w:val="24"/>
            <w:szCs w:val="24"/>
            <w:lang w:eastAsia="en-GB"/>
          </w:rPr>
          <w:tab/>
        </w:r>
        <w:r w:rsidR="00426319" w:rsidRPr="00556B97">
          <w:rPr>
            <w:rStyle w:val="Hyperlink"/>
            <w:noProof/>
            <w:lang w:val="sq-AL"/>
          </w:rPr>
          <w:t>Monitorimi dhe Vlerësimi</w:t>
        </w:r>
        <w:r w:rsidR="00426319">
          <w:rPr>
            <w:noProof/>
            <w:webHidden/>
          </w:rPr>
          <w:tab/>
        </w:r>
        <w:r w:rsidR="00426319">
          <w:rPr>
            <w:noProof/>
            <w:webHidden/>
          </w:rPr>
          <w:fldChar w:fldCharType="begin"/>
        </w:r>
        <w:r w:rsidR="00426319">
          <w:rPr>
            <w:noProof/>
            <w:webHidden/>
          </w:rPr>
          <w:instrText xml:space="preserve"> PAGEREF _Toc123165423 \h </w:instrText>
        </w:r>
        <w:r w:rsidR="00426319">
          <w:rPr>
            <w:noProof/>
            <w:webHidden/>
          </w:rPr>
        </w:r>
        <w:r w:rsidR="00426319">
          <w:rPr>
            <w:noProof/>
            <w:webHidden/>
          </w:rPr>
          <w:fldChar w:fldCharType="separate"/>
        </w:r>
        <w:r w:rsidR="00342919">
          <w:rPr>
            <w:noProof/>
            <w:webHidden/>
          </w:rPr>
          <w:t>41</w:t>
        </w:r>
        <w:r w:rsidR="00426319">
          <w:rPr>
            <w:noProof/>
            <w:webHidden/>
          </w:rPr>
          <w:fldChar w:fldCharType="end"/>
        </w:r>
      </w:hyperlink>
    </w:p>
    <w:p w14:paraId="57926612" w14:textId="16424647" w:rsidR="00426319" w:rsidRDefault="004D4D2F" w:rsidP="00426319">
      <w:pPr>
        <w:pStyle w:val="TOC1"/>
        <w:spacing w:before="0" w:after="0"/>
        <w:rPr>
          <w:rFonts w:eastAsiaTheme="minorEastAsia" w:cstheme="minorBidi"/>
          <w:b w:val="0"/>
          <w:bCs w:val="0"/>
          <w:caps w:val="0"/>
          <w:noProof/>
          <w:sz w:val="24"/>
          <w:szCs w:val="24"/>
          <w:u w:val="none"/>
          <w:lang w:eastAsia="en-GB"/>
        </w:rPr>
      </w:pPr>
      <w:hyperlink w:anchor="_Toc123165424" w:history="1">
        <w:r w:rsidR="00426319" w:rsidRPr="00556B97">
          <w:rPr>
            <w:rStyle w:val="Hyperlink"/>
            <w:noProof/>
            <w:lang w:val="sq-AL"/>
          </w:rPr>
          <w:t>V.</w:t>
        </w:r>
        <w:r w:rsidR="00426319">
          <w:rPr>
            <w:rFonts w:eastAsiaTheme="minorEastAsia" w:cstheme="minorBidi"/>
            <w:b w:val="0"/>
            <w:bCs w:val="0"/>
            <w:caps w:val="0"/>
            <w:noProof/>
            <w:sz w:val="24"/>
            <w:szCs w:val="24"/>
            <w:u w:val="none"/>
            <w:lang w:eastAsia="en-GB"/>
          </w:rPr>
          <w:tab/>
        </w:r>
        <w:r w:rsidR="00426319" w:rsidRPr="00556B97">
          <w:rPr>
            <w:rStyle w:val="Hyperlink"/>
            <w:noProof/>
            <w:lang w:val="sq-AL"/>
          </w:rPr>
          <w:t>Burimet financiare për zbatimin e Strategjisë</w:t>
        </w:r>
        <w:r w:rsidR="00426319">
          <w:rPr>
            <w:noProof/>
            <w:webHidden/>
          </w:rPr>
          <w:tab/>
        </w:r>
        <w:r w:rsidR="00426319">
          <w:rPr>
            <w:noProof/>
            <w:webHidden/>
          </w:rPr>
          <w:fldChar w:fldCharType="begin"/>
        </w:r>
        <w:r w:rsidR="00426319">
          <w:rPr>
            <w:noProof/>
            <w:webHidden/>
          </w:rPr>
          <w:instrText xml:space="preserve"> PAGEREF _Toc123165424 \h </w:instrText>
        </w:r>
        <w:r w:rsidR="00426319">
          <w:rPr>
            <w:noProof/>
            <w:webHidden/>
          </w:rPr>
        </w:r>
        <w:r w:rsidR="00426319">
          <w:rPr>
            <w:noProof/>
            <w:webHidden/>
          </w:rPr>
          <w:fldChar w:fldCharType="separate"/>
        </w:r>
        <w:r w:rsidR="00342919">
          <w:rPr>
            <w:noProof/>
            <w:webHidden/>
          </w:rPr>
          <w:t>42</w:t>
        </w:r>
        <w:r w:rsidR="00426319">
          <w:rPr>
            <w:noProof/>
            <w:webHidden/>
          </w:rPr>
          <w:fldChar w:fldCharType="end"/>
        </w:r>
      </w:hyperlink>
    </w:p>
    <w:p w14:paraId="2662B85A" w14:textId="0E09F906" w:rsidR="00426319" w:rsidRDefault="004D4D2F" w:rsidP="00426319">
      <w:pPr>
        <w:pStyle w:val="TOC1"/>
        <w:spacing w:before="0" w:after="0"/>
        <w:rPr>
          <w:rFonts w:eastAsiaTheme="minorEastAsia" w:cstheme="minorBidi"/>
          <w:b w:val="0"/>
          <w:bCs w:val="0"/>
          <w:caps w:val="0"/>
          <w:noProof/>
          <w:sz w:val="24"/>
          <w:szCs w:val="24"/>
          <w:u w:val="none"/>
          <w:lang w:eastAsia="en-GB"/>
        </w:rPr>
      </w:pPr>
      <w:hyperlink w:anchor="_Toc123165425" w:history="1">
        <w:r w:rsidR="00426319" w:rsidRPr="00556B97">
          <w:rPr>
            <w:rStyle w:val="Hyperlink"/>
            <w:noProof/>
            <w:lang w:val="sq-AL"/>
          </w:rPr>
          <w:t>VI.</w:t>
        </w:r>
        <w:r w:rsidR="00426319">
          <w:rPr>
            <w:rFonts w:eastAsiaTheme="minorEastAsia" w:cstheme="minorBidi"/>
            <w:b w:val="0"/>
            <w:bCs w:val="0"/>
            <w:caps w:val="0"/>
            <w:noProof/>
            <w:sz w:val="24"/>
            <w:szCs w:val="24"/>
            <w:u w:val="none"/>
            <w:lang w:eastAsia="en-GB"/>
          </w:rPr>
          <w:tab/>
        </w:r>
        <w:r w:rsidR="00426319" w:rsidRPr="00556B97">
          <w:rPr>
            <w:rStyle w:val="Hyperlink"/>
            <w:noProof/>
            <w:lang w:val="sq-AL"/>
          </w:rPr>
          <w:t>Shtojca</w:t>
        </w:r>
        <w:r w:rsidR="00426319">
          <w:rPr>
            <w:noProof/>
            <w:webHidden/>
          </w:rPr>
          <w:tab/>
        </w:r>
        <w:r w:rsidR="00426319">
          <w:rPr>
            <w:noProof/>
            <w:webHidden/>
          </w:rPr>
          <w:fldChar w:fldCharType="begin"/>
        </w:r>
        <w:r w:rsidR="00426319">
          <w:rPr>
            <w:noProof/>
            <w:webHidden/>
          </w:rPr>
          <w:instrText xml:space="preserve"> PAGEREF _Toc123165425 \h </w:instrText>
        </w:r>
        <w:r w:rsidR="00426319">
          <w:rPr>
            <w:noProof/>
            <w:webHidden/>
          </w:rPr>
        </w:r>
        <w:r w:rsidR="00426319">
          <w:rPr>
            <w:noProof/>
            <w:webHidden/>
          </w:rPr>
          <w:fldChar w:fldCharType="separate"/>
        </w:r>
        <w:r w:rsidR="00342919">
          <w:rPr>
            <w:noProof/>
            <w:webHidden/>
          </w:rPr>
          <w:t>44</w:t>
        </w:r>
        <w:r w:rsidR="00426319">
          <w:rPr>
            <w:noProof/>
            <w:webHidden/>
          </w:rPr>
          <w:fldChar w:fldCharType="end"/>
        </w:r>
      </w:hyperlink>
    </w:p>
    <w:p w14:paraId="344724A5" w14:textId="1C5F4140" w:rsidR="00426319" w:rsidRDefault="004D4D2F" w:rsidP="00426319">
      <w:pPr>
        <w:pStyle w:val="TOC2"/>
        <w:tabs>
          <w:tab w:val="right" w:leader="dot" w:pos="9350"/>
        </w:tabs>
        <w:rPr>
          <w:rFonts w:eastAsiaTheme="minorEastAsia" w:cstheme="minorBidi"/>
          <w:b w:val="0"/>
          <w:bCs w:val="0"/>
          <w:smallCaps w:val="0"/>
          <w:noProof/>
          <w:sz w:val="24"/>
          <w:szCs w:val="24"/>
          <w:lang w:eastAsia="en-GB"/>
        </w:rPr>
      </w:pPr>
      <w:hyperlink w:anchor="_Toc123165426" w:history="1">
        <w:r w:rsidR="00426319" w:rsidRPr="00556B97">
          <w:rPr>
            <w:rStyle w:val="Hyperlink"/>
            <w:noProof/>
            <w:lang w:val="sq-AL"/>
          </w:rPr>
          <w:t>Shtojca 1: Plani i veprimit për zbatimin e Strategjisë Kombëtare të Punësimit dhe Aftësive 2023 – 2030</w:t>
        </w:r>
        <w:r w:rsidR="00426319">
          <w:rPr>
            <w:noProof/>
            <w:webHidden/>
          </w:rPr>
          <w:tab/>
        </w:r>
        <w:r w:rsidR="00426319">
          <w:rPr>
            <w:noProof/>
            <w:webHidden/>
          </w:rPr>
          <w:fldChar w:fldCharType="begin"/>
        </w:r>
        <w:r w:rsidR="00426319">
          <w:rPr>
            <w:noProof/>
            <w:webHidden/>
          </w:rPr>
          <w:instrText xml:space="preserve"> PAGEREF _Toc123165426 \h </w:instrText>
        </w:r>
        <w:r w:rsidR="00426319">
          <w:rPr>
            <w:noProof/>
            <w:webHidden/>
          </w:rPr>
        </w:r>
        <w:r w:rsidR="00426319">
          <w:rPr>
            <w:noProof/>
            <w:webHidden/>
          </w:rPr>
          <w:fldChar w:fldCharType="separate"/>
        </w:r>
        <w:r w:rsidR="00342919">
          <w:rPr>
            <w:noProof/>
            <w:webHidden/>
          </w:rPr>
          <w:t>44</w:t>
        </w:r>
        <w:r w:rsidR="00426319">
          <w:rPr>
            <w:noProof/>
            <w:webHidden/>
          </w:rPr>
          <w:fldChar w:fldCharType="end"/>
        </w:r>
      </w:hyperlink>
    </w:p>
    <w:p w14:paraId="2855A084" w14:textId="5C5D6136" w:rsidR="00426319" w:rsidRDefault="004D4D2F" w:rsidP="00426319">
      <w:pPr>
        <w:pStyle w:val="TOC2"/>
        <w:tabs>
          <w:tab w:val="right" w:leader="dot" w:pos="9350"/>
        </w:tabs>
        <w:rPr>
          <w:rFonts w:eastAsiaTheme="minorEastAsia" w:cstheme="minorBidi"/>
          <w:b w:val="0"/>
          <w:bCs w:val="0"/>
          <w:smallCaps w:val="0"/>
          <w:noProof/>
          <w:sz w:val="24"/>
          <w:szCs w:val="24"/>
          <w:lang w:eastAsia="en-GB"/>
        </w:rPr>
      </w:pPr>
      <w:hyperlink w:anchor="_Toc123165427" w:history="1">
        <w:r w:rsidR="00426319" w:rsidRPr="00556B97">
          <w:rPr>
            <w:rStyle w:val="Hyperlink"/>
            <w:noProof/>
            <w:lang w:val="sq-AL"/>
          </w:rPr>
          <w:t>Shtojca 2: Treguesit e monitorueshëm</w:t>
        </w:r>
        <w:r w:rsidR="00426319">
          <w:rPr>
            <w:noProof/>
            <w:webHidden/>
          </w:rPr>
          <w:tab/>
        </w:r>
        <w:r w:rsidR="00426319">
          <w:rPr>
            <w:noProof/>
            <w:webHidden/>
          </w:rPr>
          <w:fldChar w:fldCharType="begin"/>
        </w:r>
        <w:r w:rsidR="00426319">
          <w:rPr>
            <w:noProof/>
            <w:webHidden/>
          </w:rPr>
          <w:instrText xml:space="preserve"> PAGEREF _Toc123165427 \h </w:instrText>
        </w:r>
        <w:r w:rsidR="00426319">
          <w:rPr>
            <w:noProof/>
            <w:webHidden/>
          </w:rPr>
        </w:r>
        <w:r w:rsidR="00426319">
          <w:rPr>
            <w:noProof/>
            <w:webHidden/>
          </w:rPr>
          <w:fldChar w:fldCharType="separate"/>
        </w:r>
        <w:r w:rsidR="00342919">
          <w:rPr>
            <w:noProof/>
            <w:webHidden/>
          </w:rPr>
          <w:t>44</w:t>
        </w:r>
        <w:r w:rsidR="00426319">
          <w:rPr>
            <w:noProof/>
            <w:webHidden/>
          </w:rPr>
          <w:fldChar w:fldCharType="end"/>
        </w:r>
      </w:hyperlink>
    </w:p>
    <w:p w14:paraId="77FBA1DF" w14:textId="65848C9C" w:rsidR="00426319" w:rsidRDefault="004D4D2F" w:rsidP="00426319">
      <w:pPr>
        <w:pStyle w:val="TOC2"/>
        <w:tabs>
          <w:tab w:val="right" w:leader="dot" w:pos="9350"/>
        </w:tabs>
        <w:rPr>
          <w:rFonts w:eastAsiaTheme="minorEastAsia" w:cstheme="minorBidi"/>
          <w:b w:val="0"/>
          <w:bCs w:val="0"/>
          <w:smallCaps w:val="0"/>
          <w:noProof/>
          <w:sz w:val="24"/>
          <w:szCs w:val="24"/>
          <w:lang w:eastAsia="en-GB"/>
        </w:rPr>
      </w:pPr>
      <w:hyperlink w:anchor="_Toc123165428" w:history="1">
        <w:r w:rsidR="00426319" w:rsidRPr="00556B97">
          <w:rPr>
            <w:rStyle w:val="Hyperlink"/>
            <w:noProof/>
            <w:lang w:val="sq-AL"/>
          </w:rPr>
          <w:t>Shtojca 3: Plani i Garancisë Rinore</w:t>
        </w:r>
        <w:r w:rsidR="00426319">
          <w:rPr>
            <w:noProof/>
            <w:webHidden/>
          </w:rPr>
          <w:tab/>
        </w:r>
        <w:r w:rsidR="00426319">
          <w:rPr>
            <w:noProof/>
            <w:webHidden/>
          </w:rPr>
          <w:fldChar w:fldCharType="begin"/>
        </w:r>
        <w:r w:rsidR="00426319">
          <w:rPr>
            <w:noProof/>
            <w:webHidden/>
          </w:rPr>
          <w:instrText xml:space="preserve"> PAGEREF _Toc123165428 \h </w:instrText>
        </w:r>
        <w:r w:rsidR="00426319">
          <w:rPr>
            <w:noProof/>
            <w:webHidden/>
          </w:rPr>
        </w:r>
        <w:r w:rsidR="00426319">
          <w:rPr>
            <w:noProof/>
            <w:webHidden/>
          </w:rPr>
          <w:fldChar w:fldCharType="separate"/>
        </w:r>
        <w:r w:rsidR="00342919">
          <w:rPr>
            <w:noProof/>
            <w:webHidden/>
          </w:rPr>
          <w:t>44</w:t>
        </w:r>
        <w:r w:rsidR="00426319">
          <w:rPr>
            <w:noProof/>
            <w:webHidden/>
          </w:rPr>
          <w:fldChar w:fldCharType="end"/>
        </w:r>
      </w:hyperlink>
    </w:p>
    <w:p w14:paraId="5DABD557" w14:textId="0971F5EA" w:rsidR="00942922" w:rsidRPr="00E35625" w:rsidRDefault="00426319" w:rsidP="00426319">
      <w:pPr>
        <w:spacing w:before="0" w:after="0"/>
        <w:rPr>
          <w:rFonts w:ascii="Calibri" w:hAnsi="Calibri" w:cs="Calibri"/>
          <w:color w:val="000000" w:themeColor="text1"/>
          <w:lang w:val="sq-AL"/>
        </w:rPr>
      </w:pPr>
      <w:r>
        <w:rPr>
          <w:rFonts w:cstheme="minorHAnsi"/>
          <w:b/>
          <w:bCs/>
          <w:caps/>
          <w:sz w:val="20"/>
          <w:szCs w:val="20"/>
          <w:u w:val="single"/>
          <w:lang w:val="sq-AL"/>
        </w:rPr>
        <w:fldChar w:fldCharType="end"/>
      </w:r>
    </w:p>
    <w:p w14:paraId="080F02BB" w14:textId="77777777" w:rsidR="005240C4" w:rsidRPr="00E35625" w:rsidRDefault="005240C4" w:rsidP="00E14B65">
      <w:pPr>
        <w:rPr>
          <w:rFonts w:eastAsiaTheme="majorEastAsia"/>
          <w:color w:val="2F5496" w:themeColor="accent1" w:themeShade="BF"/>
          <w:sz w:val="28"/>
          <w:szCs w:val="32"/>
          <w:lang w:val="sq-AL"/>
        </w:rPr>
      </w:pPr>
      <w:r w:rsidRPr="00E35625">
        <w:rPr>
          <w:lang w:val="sq-AL"/>
        </w:rPr>
        <w:br w:type="page"/>
      </w:r>
    </w:p>
    <w:p w14:paraId="15F13DC4" w14:textId="6604444C" w:rsidR="00D20708" w:rsidRDefault="00EC4580" w:rsidP="00D20708">
      <w:pPr>
        <w:pStyle w:val="Heading1"/>
        <w:numPr>
          <w:ilvl w:val="0"/>
          <w:numId w:val="0"/>
        </w:numPr>
        <w:rPr>
          <w:lang w:val="sq-AL"/>
        </w:rPr>
      </w:pPr>
      <w:bookmarkStart w:id="1" w:name="_Toc123165396"/>
      <w:r>
        <w:rPr>
          <w:lang w:val="sq-AL"/>
        </w:rPr>
        <w:lastRenderedPageBreak/>
        <w:t>Tabelat dhe figurat</w:t>
      </w:r>
      <w:bookmarkEnd w:id="1"/>
    </w:p>
    <w:p w14:paraId="4CBD05D4" w14:textId="77777777" w:rsidR="00D20708" w:rsidRPr="00D20708" w:rsidRDefault="00D20708" w:rsidP="00F374AC">
      <w:pPr>
        <w:spacing w:before="0" w:after="120"/>
        <w:rPr>
          <w:lang w:val="sq-AL"/>
        </w:rPr>
      </w:pPr>
    </w:p>
    <w:p w14:paraId="0B5CE6BA" w14:textId="47FAE6BF" w:rsidR="006562F5" w:rsidRDefault="00D20708">
      <w:pPr>
        <w:pStyle w:val="TableofFigures"/>
        <w:tabs>
          <w:tab w:val="right" w:leader="dot" w:pos="9350"/>
        </w:tabs>
        <w:rPr>
          <w:rFonts w:eastAsiaTheme="minorEastAsia"/>
          <w:noProof/>
          <w:sz w:val="24"/>
          <w:lang w:eastAsia="en-GB"/>
        </w:rPr>
      </w:pPr>
      <w:r>
        <w:rPr>
          <w:lang w:val="sq-AL"/>
        </w:rPr>
        <w:fldChar w:fldCharType="begin"/>
      </w:r>
      <w:r>
        <w:rPr>
          <w:lang w:val="sq-AL"/>
        </w:rPr>
        <w:instrText xml:space="preserve"> TOC \h \z \c "Tabela" </w:instrText>
      </w:r>
      <w:r>
        <w:rPr>
          <w:lang w:val="sq-AL"/>
        </w:rPr>
        <w:fldChar w:fldCharType="separate"/>
      </w:r>
      <w:hyperlink w:anchor="_Toc123166700" w:history="1">
        <w:r w:rsidR="006562F5" w:rsidRPr="005F0570">
          <w:rPr>
            <w:rStyle w:val="Hyperlink"/>
            <w:noProof/>
          </w:rPr>
          <w:t>Tabela 1: Të dhëna kryesore mbi tregun e punës, 2021. Anketa e Forcave të Punës, INSTAT, 2021</w:t>
        </w:r>
        <w:r w:rsidR="006562F5">
          <w:rPr>
            <w:noProof/>
            <w:webHidden/>
          </w:rPr>
          <w:tab/>
        </w:r>
        <w:r w:rsidR="006562F5">
          <w:rPr>
            <w:noProof/>
            <w:webHidden/>
          </w:rPr>
          <w:fldChar w:fldCharType="begin"/>
        </w:r>
        <w:r w:rsidR="006562F5">
          <w:rPr>
            <w:noProof/>
            <w:webHidden/>
          </w:rPr>
          <w:instrText xml:space="preserve"> PAGEREF _Toc123166700 \h </w:instrText>
        </w:r>
        <w:r w:rsidR="006562F5">
          <w:rPr>
            <w:noProof/>
            <w:webHidden/>
          </w:rPr>
        </w:r>
        <w:r w:rsidR="006562F5">
          <w:rPr>
            <w:noProof/>
            <w:webHidden/>
          </w:rPr>
          <w:fldChar w:fldCharType="separate"/>
        </w:r>
        <w:r w:rsidR="006562F5">
          <w:rPr>
            <w:noProof/>
            <w:webHidden/>
          </w:rPr>
          <w:t>8</w:t>
        </w:r>
        <w:r w:rsidR="006562F5">
          <w:rPr>
            <w:noProof/>
            <w:webHidden/>
          </w:rPr>
          <w:fldChar w:fldCharType="end"/>
        </w:r>
      </w:hyperlink>
    </w:p>
    <w:p w14:paraId="060C1D3B" w14:textId="2104BB40" w:rsidR="006562F5" w:rsidRDefault="004D4D2F">
      <w:pPr>
        <w:pStyle w:val="TableofFigures"/>
        <w:tabs>
          <w:tab w:val="right" w:leader="dot" w:pos="9350"/>
        </w:tabs>
        <w:rPr>
          <w:rFonts w:eastAsiaTheme="minorEastAsia"/>
          <w:noProof/>
          <w:sz w:val="24"/>
          <w:lang w:eastAsia="en-GB"/>
        </w:rPr>
      </w:pPr>
      <w:hyperlink w:anchor="_Toc123166701" w:history="1">
        <w:r w:rsidR="006562F5" w:rsidRPr="005F0570">
          <w:rPr>
            <w:rStyle w:val="Hyperlink"/>
            <w:noProof/>
          </w:rPr>
          <w:t>Tabela 2: Tabela: Pagat mesatare dhe indeksi Kaitz sipas profesioneve të ndryshme</w:t>
        </w:r>
        <w:r w:rsidR="006562F5">
          <w:rPr>
            <w:noProof/>
            <w:webHidden/>
          </w:rPr>
          <w:tab/>
        </w:r>
        <w:r w:rsidR="006562F5">
          <w:rPr>
            <w:noProof/>
            <w:webHidden/>
          </w:rPr>
          <w:fldChar w:fldCharType="begin"/>
        </w:r>
        <w:r w:rsidR="006562F5">
          <w:rPr>
            <w:noProof/>
            <w:webHidden/>
          </w:rPr>
          <w:instrText xml:space="preserve"> PAGEREF _Toc123166701 \h </w:instrText>
        </w:r>
        <w:r w:rsidR="006562F5">
          <w:rPr>
            <w:noProof/>
            <w:webHidden/>
          </w:rPr>
        </w:r>
        <w:r w:rsidR="006562F5">
          <w:rPr>
            <w:noProof/>
            <w:webHidden/>
          </w:rPr>
          <w:fldChar w:fldCharType="separate"/>
        </w:r>
        <w:r w:rsidR="006562F5">
          <w:rPr>
            <w:noProof/>
            <w:webHidden/>
          </w:rPr>
          <w:t>28</w:t>
        </w:r>
        <w:r w:rsidR="006562F5">
          <w:rPr>
            <w:noProof/>
            <w:webHidden/>
          </w:rPr>
          <w:fldChar w:fldCharType="end"/>
        </w:r>
      </w:hyperlink>
    </w:p>
    <w:p w14:paraId="19CA01A1" w14:textId="21A8F56A" w:rsidR="006562F5" w:rsidRDefault="004D4D2F">
      <w:pPr>
        <w:pStyle w:val="TableofFigures"/>
        <w:tabs>
          <w:tab w:val="right" w:leader="dot" w:pos="9350"/>
        </w:tabs>
        <w:rPr>
          <w:rFonts w:eastAsiaTheme="minorEastAsia"/>
          <w:noProof/>
          <w:sz w:val="24"/>
          <w:lang w:eastAsia="en-GB"/>
        </w:rPr>
      </w:pPr>
      <w:hyperlink w:anchor="_Toc123166702" w:history="1">
        <w:r w:rsidR="006562F5" w:rsidRPr="005F0570">
          <w:rPr>
            <w:rStyle w:val="Hyperlink"/>
            <w:noProof/>
          </w:rPr>
          <w:t>Tabela 3: Kosto e Strategjisë Kombëtare e Punësimit dhe Aftësive, sipas burimit të financimit</w:t>
        </w:r>
        <w:r w:rsidR="006562F5">
          <w:rPr>
            <w:noProof/>
            <w:webHidden/>
          </w:rPr>
          <w:tab/>
        </w:r>
        <w:r w:rsidR="006562F5">
          <w:rPr>
            <w:noProof/>
            <w:webHidden/>
          </w:rPr>
          <w:fldChar w:fldCharType="begin"/>
        </w:r>
        <w:r w:rsidR="006562F5">
          <w:rPr>
            <w:noProof/>
            <w:webHidden/>
          </w:rPr>
          <w:instrText xml:space="preserve"> PAGEREF _Toc123166702 \h </w:instrText>
        </w:r>
        <w:r w:rsidR="006562F5">
          <w:rPr>
            <w:noProof/>
            <w:webHidden/>
          </w:rPr>
        </w:r>
        <w:r w:rsidR="006562F5">
          <w:rPr>
            <w:noProof/>
            <w:webHidden/>
          </w:rPr>
          <w:fldChar w:fldCharType="separate"/>
        </w:r>
        <w:r w:rsidR="006562F5">
          <w:rPr>
            <w:noProof/>
            <w:webHidden/>
          </w:rPr>
          <w:t>42</w:t>
        </w:r>
        <w:r w:rsidR="006562F5">
          <w:rPr>
            <w:noProof/>
            <w:webHidden/>
          </w:rPr>
          <w:fldChar w:fldCharType="end"/>
        </w:r>
      </w:hyperlink>
    </w:p>
    <w:p w14:paraId="75AD42DE" w14:textId="7FE9A131" w:rsidR="006562F5" w:rsidRDefault="004D4D2F">
      <w:pPr>
        <w:pStyle w:val="TableofFigures"/>
        <w:tabs>
          <w:tab w:val="right" w:leader="dot" w:pos="9350"/>
        </w:tabs>
        <w:rPr>
          <w:rFonts w:eastAsiaTheme="minorEastAsia"/>
          <w:noProof/>
          <w:sz w:val="24"/>
          <w:lang w:eastAsia="en-GB"/>
        </w:rPr>
      </w:pPr>
      <w:hyperlink w:anchor="_Toc123166703" w:history="1">
        <w:r w:rsidR="006562F5" w:rsidRPr="005F0570">
          <w:rPr>
            <w:rStyle w:val="Hyperlink"/>
            <w:noProof/>
          </w:rPr>
          <w:t>Tabela 4: Kosto e Strategjisë Kombëtare të Punësimit dhe Aftësive 2023-2030, pa dalluar burimin e financimit</w:t>
        </w:r>
        <w:r w:rsidR="006562F5">
          <w:rPr>
            <w:noProof/>
            <w:webHidden/>
          </w:rPr>
          <w:tab/>
        </w:r>
        <w:r w:rsidR="006562F5">
          <w:rPr>
            <w:noProof/>
            <w:webHidden/>
          </w:rPr>
          <w:fldChar w:fldCharType="begin"/>
        </w:r>
        <w:r w:rsidR="006562F5">
          <w:rPr>
            <w:noProof/>
            <w:webHidden/>
          </w:rPr>
          <w:instrText xml:space="preserve"> PAGEREF _Toc123166703 \h </w:instrText>
        </w:r>
        <w:r w:rsidR="006562F5">
          <w:rPr>
            <w:noProof/>
            <w:webHidden/>
          </w:rPr>
        </w:r>
        <w:r w:rsidR="006562F5">
          <w:rPr>
            <w:noProof/>
            <w:webHidden/>
          </w:rPr>
          <w:fldChar w:fldCharType="separate"/>
        </w:r>
        <w:r w:rsidR="006562F5">
          <w:rPr>
            <w:noProof/>
            <w:webHidden/>
          </w:rPr>
          <w:t>43</w:t>
        </w:r>
        <w:r w:rsidR="006562F5">
          <w:rPr>
            <w:noProof/>
            <w:webHidden/>
          </w:rPr>
          <w:fldChar w:fldCharType="end"/>
        </w:r>
      </w:hyperlink>
    </w:p>
    <w:p w14:paraId="766B5A02" w14:textId="7D9FB232" w:rsidR="00D20708" w:rsidRDefault="00D20708" w:rsidP="00F374AC">
      <w:pPr>
        <w:pStyle w:val="TableofFigures"/>
        <w:tabs>
          <w:tab w:val="right" w:leader="dot" w:pos="9350"/>
        </w:tabs>
        <w:spacing w:before="0" w:after="120"/>
        <w:rPr>
          <w:rFonts w:eastAsiaTheme="minorEastAsia"/>
          <w:noProof/>
          <w:sz w:val="24"/>
          <w:lang w:eastAsia="en-GB"/>
        </w:rPr>
      </w:pPr>
      <w:r>
        <w:rPr>
          <w:lang w:val="sq-AL"/>
        </w:rPr>
        <w:fldChar w:fldCharType="end"/>
      </w:r>
      <w:r>
        <w:rPr>
          <w:lang w:val="sq-AL"/>
        </w:rPr>
        <w:fldChar w:fldCharType="begin"/>
      </w:r>
      <w:r>
        <w:rPr>
          <w:lang w:val="sq-AL"/>
        </w:rPr>
        <w:instrText xml:space="preserve"> TOC \h \z \c "Figura" </w:instrText>
      </w:r>
      <w:r>
        <w:rPr>
          <w:lang w:val="sq-AL"/>
        </w:rPr>
        <w:fldChar w:fldCharType="separate"/>
      </w:r>
      <w:hyperlink w:anchor="_Toc123162112" w:history="1">
        <w:r w:rsidRPr="00913CBA">
          <w:rPr>
            <w:rStyle w:val="Hyperlink"/>
            <w:noProof/>
          </w:rPr>
          <w:t>Figura 1: Të punësuar kontribues dhe ndërmarrjet aktive 2014-2021</w:t>
        </w:r>
        <w:r>
          <w:rPr>
            <w:noProof/>
            <w:webHidden/>
          </w:rPr>
          <w:tab/>
        </w:r>
        <w:r>
          <w:rPr>
            <w:noProof/>
            <w:webHidden/>
          </w:rPr>
          <w:fldChar w:fldCharType="begin"/>
        </w:r>
        <w:r>
          <w:rPr>
            <w:noProof/>
            <w:webHidden/>
          </w:rPr>
          <w:instrText xml:space="preserve"> PAGEREF _Toc123162112 \h </w:instrText>
        </w:r>
        <w:r>
          <w:rPr>
            <w:noProof/>
            <w:webHidden/>
          </w:rPr>
        </w:r>
        <w:r>
          <w:rPr>
            <w:noProof/>
            <w:webHidden/>
          </w:rPr>
          <w:fldChar w:fldCharType="separate"/>
        </w:r>
        <w:r w:rsidR="006562F5">
          <w:rPr>
            <w:noProof/>
            <w:webHidden/>
          </w:rPr>
          <w:t>5</w:t>
        </w:r>
        <w:r>
          <w:rPr>
            <w:noProof/>
            <w:webHidden/>
          </w:rPr>
          <w:fldChar w:fldCharType="end"/>
        </w:r>
      </w:hyperlink>
    </w:p>
    <w:p w14:paraId="0F6907A0" w14:textId="531BCF2C" w:rsidR="00D20708" w:rsidRDefault="004D4D2F" w:rsidP="00F374AC">
      <w:pPr>
        <w:pStyle w:val="TableofFigures"/>
        <w:tabs>
          <w:tab w:val="right" w:leader="dot" w:pos="9350"/>
        </w:tabs>
        <w:spacing w:before="0" w:after="120"/>
        <w:rPr>
          <w:rFonts w:eastAsiaTheme="minorEastAsia"/>
          <w:noProof/>
          <w:sz w:val="24"/>
          <w:lang w:eastAsia="en-GB"/>
        </w:rPr>
      </w:pPr>
      <w:hyperlink w:anchor="_Toc123162113" w:history="1">
        <w:r w:rsidR="00D20708" w:rsidRPr="00913CBA">
          <w:rPr>
            <w:rStyle w:val="Hyperlink"/>
            <w:noProof/>
          </w:rPr>
          <w:t>Figura 2: Rritja në punësim dhe produktivitet sipas sektorëve, 2011-2021</w:t>
        </w:r>
        <w:r w:rsidR="00D20708">
          <w:rPr>
            <w:noProof/>
            <w:webHidden/>
          </w:rPr>
          <w:tab/>
        </w:r>
        <w:r w:rsidR="00D20708">
          <w:rPr>
            <w:noProof/>
            <w:webHidden/>
          </w:rPr>
          <w:fldChar w:fldCharType="begin"/>
        </w:r>
        <w:r w:rsidR="00D20708">
          <w:rPr>
            <w:noProof/>
            <w:webHidden/>
          </w:rPr>
          <w:instrText xml:space="preserve"> PAGEREF _Toc123162113 \h </w:instrText>
        </w:r>
        <w:r w:rsidR="00D20708">
          <w:rPr>
            <w:noProof/>
            <w:webHidden/>
          </w:rPr>
        </w:r>
        <w:r w:rsidR="00D20708">
          <w:rPr>
            <w:noProof/>
            <w:webHidden/>
          </w:rPr>
          <w:fldChar w:fldCharType="separate"/>
        </w:r>
        <w:r w:rsidR="006562F5">
          <w:rPr>
            <w:noProof/>
            <w:webHidden/>
          </w:rPr>
          <w:t>7</w:t>
        </w:r>
        <w:r w:rsidR="00D20708">
          <w:rPr>
            <w:noProof/>
            <w:webHidden/>
          </w:rPr>
          <w:fldChar w:fldCharType="end"/>
        </w:r>
      </w:hyperlink>
    </w:p>
    <w:p w14:paraId="4B563335" w14:textId="1045E653" w:rsidR="00D20708" w:rsidRDefault="004D4D2F" w:rsidP="00F374AC">
      <w:pPr>
        <w:pStyle w:val="TableofFigures"/>
        <w:tabs>
          <w:tab w:val="right" w:leader="dot" w:pos="9350"/>
        </w:tabs>
        <w:spacing w:before="0" w:after="120"/>
        <w:rPr>
          <w:rFonts w:eastAsiaTheme="minorEastAsia"/>
          <w:noProof/>
          <w:sz w:val="24"/>
          <w:lang w:eastAsia="en-GB"/>
        </w:rPr>
      </w:pPr>
      <w:hyperlink w:anchor="_Toc123162114" w:history="1">
        <w:r w:rsidR="00D20708" w:rsidRPr="00913CBA">
          <w:rPr>
            <w:rStyle w:val="Hyperlink"/>
            <w:noProof/>
          </w:rPr>
          <w:t>Figura 3: Shkalla e papunësisë, 2014-2021</w:t>
        </w:r>
        <w:r w:rsidR="00D20708">
          <w:rPr>
            <w:noProof/>
            <w:webHidden/>
          </w:rPr>
          <w:tab/>
        </w:r>
        <w:r w:rsidR="00D20708">
          <w:rPr>
            <w:noProof/>
            <w:webHidden/>
          </w:rPr>
          <w:fldChar w:fldCharType="begin"/>
        </w:r>
        <w:r w:rsidR="00D20708">
          <w:rPr>
            <w:noProof/>
            <w:webHidden/>
          </w:rPr>
          <w:instrText xml:space="preserve"> PAGEREF _Toc123162114 \h </w:instrText>
        </w:r>
        <w:r w:rsidR="00D20708">
          <w:rPr>
            <w:noProof/>
            <w:webHidden/>
          </w:rPr>
        </w:r>
        <w:r w:rsidR="00D20708">
          <w:rPr>
            <w:noProof/>
            <w:webHidden/>
          </w:rPr>
          <w:fldChar w:fldCharType="separate"/>
        </w:r>
        <w:r w:rsidR="006562F5">
          <w:rPr>
            <w:noProof/>
            <w:webHidden/>
          </w:rPr>
          <w:t>8</w:t>
        </w:r>
        <w:r w:rsidR="00D20708">
          <w:rPr>
            <w:noProof/>
            <w:webHidden/>
          </w:rPr>
          <w:fldChar w:fldCharType="end"/>
        </w:r>
      </w:hyperlink>
    </w:p>
    <w:p w14:paraId="44F746EE" w14:textId="2A8FBA82" w:rsidR="00D20708" w:rsidRDefault="004D4D2F" w:rsidP="00F374AC">
      <w:pPr>
        <w:pStyle w:val="TableofFigures"/>
        <w:tabs>
          <w:tab w:val="right" w:leader="dot" w:pos="9350"/>
        </w:tabs>
        <w:spacing w:before="0" w:after="120"/>
        <w:rPr>
          <w:rFonts w:eastAsiaTheme="minorEastAsia"/>
          <w:noProof/>
          <w:sz w:val="24"/>
          <w:lang w:eastAsia="en-GB"/>
        </w:rPr>
      </w:pPr>
      <w:hyperlink w:anchor="_Toc123162115" w:history="1">
        <w:r w:rsidR="00D20708" w:rsidRPr="00913CBA">
          <w:rPr>
            <w:rStyle w:val="Hyperlink"/>
            <w:noProof/>
          </w:rPr>
          <w:t>Figura 4: Shkalla e punësimit, 2011-2021</w:t>
        </w:r>
        <w:r w:rsidR="00D20708">
          <w:rPr>
            <w:noProof/>
            <w:webHidden/>
          </w:rPr>
          <w:tab/>
        </w:r>
        <w:r w:rsidR="00D20708">
          <w:rPr>
            <w:noProof/>
            <w:webHidden/>
          </w:rPr>
          <w:fldChar w:fldCharType="begin"/>
        </w:r>
        <w:r w:rsidR="00D20708">
          <w:rPr>
            <w:noProof/>
            <w:webHidden/>
          </w:rPr>
          <w:instrText xml:space="preserve"> PAGEREF _Toc123162115 \h </w:instrText>
        </w:r>
        <w:r w:rsidR="00D20708">
          <w:rPr>
            <w:noProof/>
            <w:webHidden/>
          </w:rPr>
        </w:r>
        <w:r w:rsidR="00D20708">
          <w:rPr>
            <w:noProof/>
            <w:webHidden/>
          </w:rPr>
          <w:fldChar w:fldCharType="separate"/>
        </w:r>
        <w:r w:rsidR="006562F5">
          <w:rPr>
            <w:noProof/>
            <w:webHidden/>
          </w:rPr>
          <w:t>10</w:t>
        </w:r>
        <w:r w:rsidR="00D20708">
          <w:rPr>
            <w:noProof/>
            <w:webHidden/>
          </w:rPr>
          <w:fldChar w:fldCharType="end"/>
        </w:r>
      </w:hyperlink>
    </w:p>
    <w:p w14:paraId="5D68E7A9" w14:textId="0A89C30C" w:rsidR="00D20708" w:rsidRDefault="004D4D2F" w:rsidP="00F374AC">
      <w:pPr>
        <w:pStyle w:val="TableofFigures"/>
        <w:tabs>
          <w:tab w:val="right" w:leader="dot" w:pos="9350"/>
        </w:tabs>
        <w:spacing w:before="0" w:after="120"/>
        <w:rPr>
          <w:rFonts w:eastAsiaTheme="minorEastAsia"/>
          <w:noProof/>
          <w:sz w:val="24"/>
          <w:lang w:eastAsia="en-GB"/>
        </w:rPr>
      </w:pPr>
      <w:hyperlink w:anchor="_Toc123162116" w:history="1">
        <w:r w:rsidR="00D20708" w:rsidRPr="00913CBA">
          <w:rPr>
            <w:rStyle w:val="Hyperlink"/>
            <w:noProof/>
          </w:rPr>
          <w:t>Figura 5: Pjesëmarrja në forcat e punës dhe shkalla e papunësisë në rajon dhe BE, 2019</w:t>
        </w:r>
        <w:r w:rsidR="00D20708">
          <w:rPr>
            <w:noProof/>
            <w:webHidden/>
          </w:rPr>
          <w:tab/>
        </w:r>
        <w:r w:rsidR="00D20708">
          <w:rPr>
            <w:noProof/>
            <w:webHidden/>
          </w:rPr>
          <w:fldChar w:fldCharType="begin"/>
        </w:r>
        <w:r w:rsidR="00D20708">
          <w:rPr>
            <w:noProof/>
            <w:webHidden/>
          </w:rPr>
          <w:instrText xml:space="preserve"> PAGEREF _Toc123162116 \h </w:instrText>
        </w:r>
        <w:r w:rsidR="00D20708">
          <w:rPr>
            <w:noProof/>
            <w:webHidden/>
          </w:rPr>
        </w:r>
        <w:r w:rsidR="00D20708">
          <w:rPr>
            <w:noProof/>
            <w:webHidden/>
          </w:rPr>
          <w:fldChar w:fldCharType="separate"/>
        </w:r>
        <w:r w:rsidR="006562F5">
          <w:rPr>
            <w:noProof/>
            <w:webHidden/>
          </w:rPr>
          <w:t>10</w:t>
        </w:r>
        <w:r w:rsidR="00D20708">
          <w:rPr>
            <w:noProof/>
            <w:webHidden/>
          </w:rPr>
          <w:fldChar w:fldCharType="end"/>
        </w:r>
      </w:hyperlink>
    </w:p>
    <w:p w14:paraId="1C8C1803" w14:textId="104F0BB1" w:rsidR="00D20708" w:rsidRDefault="004D4D2F" w:rsidP="00F374AC">
      <w:pPr>
        <w:pStyle w:val="TableofFigures"/>
        <w:tabs>
          <w:tab w:val="right" w:leader="dot" w:pos="9350"/>
        </w:tabs>
        <w:spacing w:before="0" w:after="120"/>
        <w:rPr>
          <w:rFonts w:eastAsiaTheme="minorEastAsia"/>
          <w:noProof/>
          <w:sz w:val="24"/>
          <w:lang w:eastAsia="en-GB"/>
        </w:rPr>
      </w:pPr>
      <w:hyperlink w:anchor="_Toc123162117" w:history="1">
        <w:r w:rsidR="00D20708" w:rsidRPr="00913CBA">
          <w:rPr>
            <w:rStyle w:val="Hyperlink"/>
            <w:noProof/>
          </w:rPr>
          <w:t>Figura 6: Popullsia e Shqipërisë, 2001-2022</w:t>
        </w:r>
        <w:r w:rsidR="00D20708">
          <w:rPr>
            <w:noProof/>
            <w:webHidden/>
          </w:rPr>
          <w:tab/>
        </w:r>
        <w:r w:rsidR="00D20708">
          <w:rPr>
            <w:noProof/>
            <w:webHidden/>
          </w:rPr>
          <w:fldChar w:fldCharType="begin"/>
        </w:r>
        <w:r w:rsidR="00D20708">
          <w:rPr>
            <w:noProof/>
            <w:webHidden/>
          </w:rPr>
          <w:instrText xml:space="preserve"> PAGEREF _Toc123162117 \h </w:instrText>
        </w:r>
        <w:r w:rsidR="00D20708">
          <w:rPr>
            <w:noProof/>
            <w:webHidden/>
          </w:rPr>
        </w:r>
        <w:r w:rsidR="00D20708">
          <w:rPr>
            <w:noProof/>
            <w:webHidden/>
          </w:rPr>
          <w:fldChar w:fldCharType="separate"/>
        </w:r>
        <w:r w:rsidR="006562F5">
          <w:rPr>
            <w:noProof/>
            <w:webHidden/>
          </w:rPr>
          <w:t>11</w:t>
        </w:r>
        <w:r w:rsidR="00D20708">
          <w:rPr>
            <w:noProof/>
            <w:webHidden/>
          </w:rPr>
          <w:fldChar w:fldCharType="end"/>
        </w:r>
      </w:hyperlink>
    </w:p>
    <w:p w14:paraId="4581E7DB" w14:textId="28B8BFD9" w:rsidR="00D20708" w:rsidRDefault="004D4D2F" w:rsidP="00F374AC">
      <w:pPr>
        <w:pStyle w:val="TableofFigures"/>
        <w:tabs>
          <w:tab w:val="right" w:leader="dot" w:pos="9350"/>
        </w:tabs>
        <w:spacing w:before="0" w:after="120"/>
        <w:rPr>
          <w:rFonts w:eastAsiaTheme="minorEastAsia"/>
          <w:noProof/>
          <w:sz w:val="24"/>
          <w:lang w:eastAsia="en-GB"/>
        </w:rPr>
      </w:pPr>
      <w:hyperlink w:anchor="_Toc123162118" w:history="1">
        <w:r w:rsidR="00D20708" w:rsidRPr="00913CBA">
          <w:rPr>
            <w:rStyle w:val="Hyperlink"/>
            <w:noProof/>
          </w:rPr>
          <w:t>Figura 7: Figura: Llojet e ndryshme të punësimit dhe punësimi informal në sektorin jobujqësor</w:t>
        </w:r>
        <w:r w:rsidR="00D20708">
          <w:rPr>
            <w:noProof/>
            <w:webHidden/>
          </w:rPr>
          <w:tab/>
        </w:r>
        <w:r w:rsidR="00D20708">
          <w:rPr>
            <w:noProof/>
            <w:webHidden/>
          </w:rPr>
          <w:fldChar w:fldCharType="begin"/>
        </w:r>
        <w:r w:rsidR="00D20708">
          <w:rPr>
            <w:noProof/>
            <w:webHidden/>
          </w:rPr>
          <w:instrText xml:space="preserve"> PAGEREF _Toc123162118 \h </w:instrText>
        </w:r>
        <w:r w:rsidR="00D20708">
          <w:rPr>
            <w:noProof/>
            <w:webHidden/>
          </w:rPr>
        </w:r>
        <w:r w:rsidR="00D20708">
          <w:rPr>
            <w:noProof/>
            <w:webHidden/>
          </w:rPr>
          <w:fldChar w:fldCharType="separate"/>
        </w:r>
        <w:r w:rsidR="006562F5">
          <w:rPr>
            <w:noProof/>
            <w:webHidden/>
          </w:rPr>
          <w:t>20</w:t>
        </w:r>
        <w:r w:rsidR="00D20708">
          <w:rPr>
            <w:noProof/>
            <w:webHidden/>
          </w:rPr>
          <w:fldChar w:fldCharType="end"/>
        </w:r>
      </w:hyperlink>
    </w:p>
    <w:p w14:paraId="40A06182" w14:textId="4853F9B5" w:rsidR="00EC4580" w:rsidRDefault="00D20708" w:rsidP="00F374AC">
      <w:pPr>
        <w:pStyle w:val="Heading1"/>
        <w:numPr>
          <w:ilvl w:val="0"/>
          <w:numId w:val="0"/>
        </w:numPr>
        <w:spacing w:before="0" w:after="120"/>
        <w:ind w:left="720"/>
        <w:rPr>
          <w:lang w:val="sq-AL"/>
        </w:rPr>
      </w:pPr>
      <w:r>
        <w:rPr>
          <w:lang w:val="sq-AL"/>
        </w:rPr>
        <w:fldChar w:fldCharType="end"/>
      </w:r>
      <w:r w:rsidR="00EC4580">
        <w:rPr>
          <w:lang w:val="sq-AL"/>
        </w:rPr>
        <w:br w:type="page"/>
      </w:r>
    </w:p>
    <w:p w14:paraId="48D852A6" w14:textId="101EE2F4" w:rsidR="00EC4580" w:rsidRDefault="00EC4580" w:rsidP="002213D5">
      <w:pPr>
        <w:pStyle w:val="Heading1"/>
        <w:numPr>
          <w:ilvl w:val="0"/>
          <w:numId w:val="0"/>
        </w:numPr>
        <w:rPr>
          <w:lang w:val="sq-AL"/>
        </w:rPr>
      </w:pPr>
      <w:bookmarkStart w:id="2" w:name="_Toc123165397"/>
      <w:r>
        <w:rPr>
          <w:lang w:val="sq-AL"/>
        </w:rPr>
        <w:lastRenderedPageBreak/>
        <w:t xml:space="preserve">Lista e </w:t>
      </w:r>
      <w:r w:rsidR="00DD2F69">
        <w:rPr>
          <w:lang w:val="sq-AL"/>
        </w:rPr>
        <w:t>s</w:t>
      </w:r>
      <w:r>
        <w:rPr>
          <w:lang w:val="sq-AL"/>
        </w:rPr>
        <w:t>hkurtimeve</w:t>
      </w:r>
      <w:bookmarkEnd w:id="2"/>
    </w:p>
    <w:p w14:paraId="7EF5DF97" w14:textId="77777777" w:rsidR="00EC4580" w:rsidRDefault="00EC4580">
      <w:pPr>
        <w:spacing w:before="0" w:after="0" w:line="240" w:lineRule="auto"/>
        <w:jc w:val="left"/>
        <w:rPr>
          <w:lang w:val="sq-AL"/>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655"/>
      </w:tblGrid>
      <w:tr w:rsidR="00EC4580" w14:paraId="0BC2BF5D" w14:textId="77777777" w:rsidTr="002213D5">
        <w:tc>
          <w:tcPr>
            <w:tcW w:w="1838" w:type="dxa"/>
          </w:tcPr>
          <w:p w14:paraId="75B7960E" w14:textId="14D7DB37" w:rsidR="00EC4580" w:rsidRDefault="00EC4580">
            <w:pPr>
              <w:spacing w:before="0" w:after="0" w:line="240" w:lineRule="auto"/>
              <w:jc w:val="left"/>
              <w:rPr>
                <w:lang w:val="sq-AL"/>
              </w:rPr>
            </w:pPr>
            <w:r>
              <w:rPr>
                <w:lang w:val="sq-AL"/>
              </w:rPr>
              <w:t>AFP</w:t>
            </w:r>
          </w:p>
        </w:tc>
        <w:tc>
          <w:tcPr>
            <w:tcW w:w="7655" w:type="dxa"/>
          </w:tcPr>
          <w:p w14:paraId="1F04872E" w14:textId="4756AE84" w:rsidR="00EC4580" w:rsidRDefault="00EC4580">
            <w:pPr>
              <w:spacing w:before="0" w:after="0" w:line="240" w:lineRule="auto"/>
              <w:jc w:val="left"/>
              <w:rPr>
                <w:lang w:val="sq-AL"/>
              </w:rPr>
            </w:pPr>
            <w:r>
              <w:rPr>
                <w:lang w:val="sq-AL"/>
              </w:rPr>
              <w:t>Arsim dhe formim profesional</w:t>
            </w:r>
          </w:p>
        </w:tc>
      </w:tr>
      <w:tr w:rsidR="00EC4580" w14:paraId="391DB7C7" w14:textId="77777777" w:rsidTr="002213D5">
        <w:tc>
          <w:tcPr>
            <w:tcW w:w="1838" w:type="dxa"/>
          </w:tcPr>
          <w:p w14:paraId="4934097C" w14:textId="6573EF76" w:rsidR="00EC4580" w:rsidRDefault="00EC4580">
            <w:pPr>
              <w:spacing w:before="0" w:after="0" w:line="240" w:lineRule="auto"/>
              <w:jc w:val="left"/>
              <w:rPr>
                <w:lang w:val="sq-AL"/>
              </w:rPr>
            </w:pPr>
            <w:r>
              <w:rPr>
                <w:lang w:val="sq-AL"/>
              </w:rPr>
              <w:t>AKAFPK</w:t>
            </w:r>
          </w:p>
        </w:tc>
        <w:tc>
          <w:tcPr>
            <w:tcW w:w="7655" w:type="dxa"/>
          </w:tcPr>
          <w:p w14:paraId="6C5CA473" w14:textId="2567735C" w:rsidR="00EC4580" w:rsidRDefault="00EC4580">
            <w:pPr>
              <w:spacing w:before="0" w:after="0" w:line="240" w:lineRule="auto"/>
              <w:jc w:val="left"/>
              <w:rPr>
                <w:lang w:val="sq-AL"/>
              </w:rPr>
            </w:pPr>
            <w:r>
              <w:rPr>
                <w:lang w:val="sq-AL"/>
              </w:rPr>
              <w:t>Agjencia Kombëtare e Arsimit, Formimit Profesional dhe Kualifikimeve</w:t>
            </w:r>
          </w:p>
        </w:tc>
      </w:tr>
      <w:tr w:rsidR="00426319" w14:paraId="28A3B302" w14:textId="77777777" w:rsidTr="002213D5">
        <w:tc>
          <w:tcPr>
            <w:tcW w:w="1838" w:type="dxa"/>
          </w:tcPr>
          <w:p w14:paraId="10BE2BD2" w14:textId="2E17DB56" w:rsidR="00426319" w:rsidRDefault="00426319" w:rsidP="00426319">
            <w:pPr>
              <w:spacing w:before="0" w:after="0" w:line="240" w:lineRule="auto"/>
              <w:jc w:val="left"/>
              <w:rPr>
                <w:lang w:val="sq-AL"/>
              </w:rPr>
            </w:pPr>
            <w:r>
              <w:rPr>
                <w:lang w:val="sq-AL"/>
              </w:rPr>
              <w:t>AKPA</w:t>
            </w:r>
          </w:p>
        </w:tc>
        <w:tc>
          <w:tcPr>
            <w:tcW w:w="7655" w:type="dxa"/>
          </w:tcPr>
          <w:p w14:paraId="6AA3CAB0" w14:textId="64464C01" w:rsidR="00426319" w:rsidRDefault="00426319" w:rsidP="00426319">
            <w:pPr>
              <w:spacing w:before="0" w:after="0" w:line="240" w:lineRule="auto"/>
              <w:jc w:val="left"/>
              <w:rPr>
                <w:lang w:val="sq-AL"/>
              </w:rPr>
            </w:pPr>
            <w:r>
              <w:rPr>
                <w:lang w:val="sq-AL"/>
              </w:rPr>
              <w:t>Agjencia Kombëtare e Punësimit dhe Aftësive</w:t>
            </w:r>
          </w:p>
        </w:tc>
      </w:tr>
      <w:tr w:rsidR="00426319" w14:paraId="44D63202" w14:textId="77777777" w:rsidTr="002213D5">
        <w:tc>
          <w:tcPr>
            <w:tcW w:w="1838" w:type="dxa"/>
          </w:tcPr>
          <w:p w14:paraId="44202BA1" w14:textId="54E08A6E" w:rsidR="00426319" w:rsidRDefault="00426319" w:rsidP="00426319">
            <w:pPr>
              <w:spacing w:before="0" w:after="0" w:line="240" w:lineRule="auto"/>
              <w:jc w:val="left"/>
              <w:rPr>
                <w:lang w:val="sq-AL"/>
              </w:rPr>
            </w:pPr>
            <w:r>
              <w:rPr>
                <w:lang w:val="sq-AL"/>
              </w:rPr>
              <w:t>AKR</w:t>
            </w:r>
          </w:p>
        </w:tc>
        <w:tc>
          <w:tcPr>
            <w:tcW w:w="7655" w:type="dxa"/>
          </w:tcPr>
          <w:p w14:paraId="21368D44" w14:textId="799D521A" w:rsidR="00426319" w:rsidRDefault="00426319" w:rsidP="00426319">
            <w:pPr>
              <w:spacing w:before="0" w:after="0" w:line="240" w:lineRule="auto"/>
              <w:jc w:val="left"/>
              <w:rPr>
                <w:lang w:val="sq-AL"/>
              </w:rPr>
            </w:pPr>
            <w:r>
              <w:rPr>
                <w:lang w:val="sq-AL"/>
              </w:rPr>
              <w:t>Agjencia Kombëtare e Rinisë</w:t>
            </w:r>
          </w:p>
        </w:tc>
      </w:tr>
      <w:tr w:rsidR="00426319" w14:paraId="3EF0D5DE" w14:textId="77777777" w:rsidTr="002213D5">
        <w:tc>
          <w:tcPr>
            <w:tcW w:w="1838" w:type="dxa"/>
          </w:tcPr>
          <w:p w14:paraId="68495B6E" w14:textId="404B8092" w:rsidR="00426319" w:rsidRDefault="00426319" w:rsidP="00426319">
            <w:pPr>
              <w:spacing w:before="0" w:after="0" w:line="240" w:lineRule="auto"/>
              <w:jc w:val="left"/>
              <w:rPr>
                <w:lang w:val="sq-AL"/>
              </w:rPr>
            </w:pPr>
            <w:r>
              <w:rPr>
                <w:lang w:val="sq-AL"/>
              </w:rPr>
              <w:t>APrP</w:t>
            </w:r>
          </w:p>
        </w:tc>
        <w:tc>
          <w:tcPr>
            <w:tcW w:w="7655" w:type="dxa"/>
          </w:tcPr>
          <w:p w14:paraId="61456998" w14:textId="1D0B7C35" w:rsidR="00426319" w:rsidRDefault="00426319" w:rsidP="00426319">
            <w:pPr>
              <w:spacing w:before="0" w:after="0" w:line="240" w:lineRule="auto"/>
              <w:jc w:val="left"/>
              <w:rPr>
                <w:lang w:val="sq-AL"/>
              </w:rPr>
            </w:pPr>
            <w:r>
              <w:rPr>
                <w:lang w:val="sq-AL"/>
              </w:rPr>
              <w:t>Agjenci Private Punësimi</w:t>
            </w:r>
          </w:p>
        </w:tc>
      </w:tr>
      <w:tr w:rsidR="00426319" w14:paraId="3E1C972F" w14:textId="77777777" w:rsidTr="002213D5">
        <w:tc>
          <w:tcPr>
            <w:tcW w:w="1838" w:type="dxa"/>
          </w:tcPr>
          <w:p w14:paraId="45DB4299" w14:textId="031BF3BC" w:rsidR="00426319" w:rsidRDefault="00426319" w:rsidP="00426319">
            <w:pPr>
              <w:spacing w:before="0" w:after="0" w:line="240" w:lineRule="auto"/>
              <w:jc w:val="left"/>
              <w:rPr>
                <w:lang w:val="sq-AL"/>
              </w:rPr>
            </w:pPr>
            <w:r>
              <w:rPr>
                <w:lang w:val="sq-AL"/>
              </w:rPr>
              <w:t>BB</w:t>
            </w:r>
          </w:p>
        </w:tc>
        <w:tc>
          <w:tcPr>
            <w:tcW w:w="7655" w:type="dxa"/>
          </w:tcPr>
          <w:p w14:paraId="0796C552" w14:textId="345D9BEA" w:rsidR="00426319" w:rsidRDefault="00426319" w:rsidP="00426319">
            <w:pPr>
              <w:spacing w:before="0" w:after="0" w:line="240" w:lineRule="auto"/>
              <w:jc w:val="left"/>
              <w:rPr>
                <w:lang w:val="sq-AL"/>
              </w:rPr>
            </w:pPr>
            <w:r>
              <w:rPr>
                <w:lang w:val="sq-AL"/>
              </w:rPr>
              <w:t>Banka Botërore</w:t>
            </w:r>
          </w:p>
        </w:tc>
      </w:tr>
      <w:tr w:rsidR="00426319" w14:paraId="55DFECAD" w14:textId="77777777" w:rsidTr="002213D5">
        <w:tc>
          <w:tcPr>
            <w:tcW w:w="1838" w:type="dxa"/>
          </w:tcPr>
          <w:p w14:paraId="384983D6" w14:textId="7C75236A" w:rsidR="00426319" w:rsidRDefault="00426319" w:rsidP="00426319">
            <w:pPr>
              <w:spacing w:before="0" w:after="0" w:line="240" w:lineRule="auto"/>
              <w:jc w:val="left"/>
              <w:rPr>
                <w:lang w:val="sq-AL"/>
              </w:rPr>
            </w:pPr>
            <w:r>
              <w:rPr>
                <w:lang w:val="sq-AL"/>
              </w:rPr>
              <w:t>BE</w:t>
            </w:r>
          </w:p>
        </w:tc>
        <w:tc>
          <w:tcPr>
            <w:tcW w:w="7655" w:type="dxa"/>
          </w:tcPr>
          <w:p w14:paraId="77536894" w14:textId="0C5549AF" w:rsidR="00426319" w:rsidRDefault="00426319" w:rsidP="00426319">
            <w:pPr>
              <w:spacing w:before="0" w:after="0" w:line="240" w:lineRule="auto"/>
              <w:jc w:val="left"/>
              <w:rPr>
                <w:lang w:val="sq-AL"/>
              </w:rPr>
            </w:pPr>
            <w:r>
              <w:rPr>
                <w:lang w:val="sq-AL"/>
              </w:rPr>
              <w:t>Bashkimi Evropian</w:t>
            </w:r>
          </w:p>
        </w:tc>
      </w:tr>
      <w:tr w:rsidR="00426319" w14:paraId="73E53135" w14:textId="77777777" w:rsidTr="002213D5">
        <w:tc>
          <w:tcPr>
            <w:tcW w:w="1838" w:type="dxa"/>
          </w:tcPr>
          <w:p w14:paraId="265F491E" w14:textId="7C416B72" w:rsidR="00426319" w:rsidRDefault="00426319" w:rsidP="00426319">
            <w:pPr>
              <w:spacing w:before="0" w:after="0" w:line="240" w:lineRule="auto"/>
              <w:jc w:val="left"/>
              <w:rPr>
                <w:lang w:val="sq-AL"/>
              </w:rPr>
            </w:pPr>
            <w:r>
              <w:rPr>
                <w:lang w:val="sq-AL"/>
              </w:rPr>
              <w:t>CEDEFOP</w:t>
            </w:r>
          </w:p>
        </w:tc>
        <w:tc>
          <w:tcPr>
            <w:tcW w:w="7655" w:type="dxa"/>
          </w:tcPr>
          <w:p w14:paraId="3084DB7E" w14:textId="68E4A2E4" w:rsidR="00426319" w:rsidRDefault="00426319" w:rsidP="00426319">
            <w:pPr>
              <w:spacing w:before="0" w:after="0" w:line="240" w:lineRule="auto"/>
              <w:jc w:val="left"/>
              <w:rPr>
                <w:lang w:val="sq-AL"/>
              </w:rPr>
            </w:pPr>
            <w:r>
              <w:rPr>
                <w:lang w:val="sq-AL"/>
              </w:rPr>
              <w:t>Qendra e BE-së për Formim Profesional</w:t>
            </w:r>
          </w:p>
        </w:tc>
      </w:tr>
      <w:tr w:rsidR="00426319" w14:paraId="2C6E5A31" w14:textId="77777777" w:rsidTr="002213D5">
        <w:tc>
          <w:tcPr>
            <w:tcW w:w="1838" w:type="dxa"/>
          </w:tcPr>
          <w:p w14:paraId="0A878CE1" w14:textId="729056D1" w:rsidR="00426319" w:rsidRDefault="00426319" w:rsidP="00426319">
            <w:pPr>
              <w:spacing w:before="0" w:after="0" w:line="240" w:lineRule="auto"/>
              <w:jc w:val="left"/>
              <w:rPr>
                <w:lang w:val="sq-AL"/>
              </w:rPr>
            </w:pPr>
            <w:r>
              <w:rPr>
                <w:lang w:val="sq-AL"/>
              </w:rPr>
              <w:t>DPT</w:t>
            </w:r>
          </w:p>
        </w:tc>
        <w:tc>
          <w:tcPr>
            <w:tcW w:w="7655" w:type="dxa"/>
          </w:tcPr>
          <w:p w14:paraId="0D345A06" w14:textId="1DF9F1E2" w:rsidR="00426319" w:rsidRDefault="00426319" w:rsidP="00426319">
            <w:pPr>
              <w:spacing w:before="0" w:after="0" w:line="240" w:lineRule="auto"/>
              <w:jc w:val="left"/>
              <w:rPr>
                <w:lang w:val="sq-AL"/>
              </w:rPr>
            </w:pPr>
            <w:r>
              <w:rPr>
                <w:lang w:val="sq-AL"/>
              </w:rPr>
              <w:t>Drejtoria e Përgjithshme e Tatimeve</w:t>
            </w:r>
          </w:p>
        </w:tc>
      </w:tr>
      <w:tr w:rsidR="00426319" w14:paraId="2A2C72F5" w14:textId="77777777" w:rsidTr="002213D5">
        <w:tc>
          <w:tcPr>
            <w:tcW w:w="1838" w:type="dxa"/>
          </w:tcPr>
          <w:p w14:paraId="111014A3" w14:textId="701E2A94" w:rsidR="00426319" w:rsidRDefault="00426319" w:rsidP="00426319">
            <w:pPr>
              <w:spacing w:before="0" w:after="0" w:line="240" w:lineRule="auto"/>
              <w:jc w:val="left"/>
              <w:rPr>
                <w:lang w:val="sq-AL"/>
              </w:rPr>
            </w:pPr>
            <w:r>
              <w:rPr>
                <w:lang w:val="sq-AL"/>
              </w:rPr>
              <w:t>EIP</w:t>
            </w:r>
          </w:p>
        </w:tc>
        <w:tc>
          <w:tcPr>
            <w:tcW w:w="7655" w:type="dxa"/>
          </w:tcPr>
          <w:p w14:paraId="30F460A5" w14:textId="50545CB6" w:rsidR="00426319" w:rsidRDefault="00426319" w:rsidP="00426319">
            <w:pPr>
              <w:spacing w:before="0" w:after="0" w:line="240" w:lineRule="auto"/>
              <w:jc w:val="left"/>
              <w:rPr>
                <w:lang w:val="sq-AL"/>
              </w:rPr>
            </w:pPr>
            <w:r>
              <w:rPr>
                <w:lang w:val="sq-AL"/>
              </w:rPr>
              <w:t>Plani Ekonomik i Investimeve për Ballkanin Perëndimor</w:t>
            </w:r>
          </w:p>
        </w:tc>
      </w:tr>
      <w:tr w:rsidR="00426319" w14:paraId="7CD22820" w14:textId="77777777" w:rsidTr="002213D5">
        <w:tc>
          <w:tcPr>
            <w:tcW w:w="1838" w:type="dxa"/>
          </w:tcPr>
          <w:p w14:paraId="0C25FAB5" w14:textId="2363B8B7" w:rsidR="00426319" w:rsidRDefault="00426319" w:rsidP="00426319">
            <w:pPr>
              <w:spacing w:before="0" w:after="0" w:line="240" w:lineRule="auto"/>
              <w:jc w:val="left"/>
              <w:rPr>
                <w:lang w:val="sq-AL"/>
              </w:rPr>
            </w:pPr>
            <w:r>
              <w:rPr>
                <w:lang w:val="sq-AL"/>
              </w:rPr>
              <w:t>ETF</w:t>
            </w:r>
          </w:p>
        </w:tc>
        <w:tc>
          <w:tcPr>
            <w:tcW w:w="7655" w:type="dxa"/>
          </w:tcPr>
          <w:p w14:paraId="280FAFA5" w14:textId="053D4262" w:rsidR="00426319" w:rsidRDefault="00426319" w:rsidP="00426319">
            <w:pPr>
              <w:spacing w:before="0" w:after="0" w:line="240" w:lineRule="auto"/>
              <w:jc w:val="left"/>
              <w:rPr>
                <w:lang w:val="sq-AL"/>
              </w:rPr>
            </w:pPr>
            <w:r>
              <w:rPr>
                <w:lang w:val="sq-AL"/>
              </w:rPr>
              <w:t>Fondacioni Evropian i Trajnimit</w:t>
            </w:r>
          </w:p>
        </w:tc>
      </w:tr>
      <w:tr w:rsidR="00426319" w14:paraId="20CF54DE" w14:textId="77777777" w:rsidTr="002213D5">
        <w:tc>
          <w:tcPr>
            <w:tcW w:w="1838" w:type="dxa"/>
          </w:tcPr>
          <w:p w14:paraId="114FEEE5" w14:textId="1F88FE94" w:rsidR="00426319" w:rsidRDefault="00426319" w:rsidP="00426319">
            <w:pPr>
              <w:spacing w:before="0" w:after="0" w:line="240" w:lineRule="auto"/>
              <w:jc w:val="left"/>
              <w:rPr>
                <w:lang w:val="sq-AL"/>
              </w:rPr>
            </w:pPr>
            <w:r>
              <w:rPr>
                <w:lang w:val="sq-AL"/>
              </w:rPr>
              <w:t>GMIP / IPMG</w:t>
            </w:r>
          </w:p>
        </w:tc>
        <w:tc>
          <w:tcPr>
            <w:tcW w:w="7655" w:type="dxa"/>
          </w:tcPr>
          <w:p w14:paraId="428C70C7" w14:textId="4B113D7B" w:rsidR="00426319" w:rsidRDefault="00426319" w:rsidP="00426319">
            <w:pPr>
              <w:spacing w:before="0" w:after="0" w:line="240" w:lineRule="auto"/>
              <w:jc w:val="left"/>
              <w:rPr>
                <w:lang w:val="sq-AL"/>
              </w:rPr>
            </w:pPr>
            <w:r>
              <w:rPr>
                <w:lang w:val="sq-AL"/>
              </w:rPr>
              <w:t>Grup i Menaxhimit të Integruar të Politikave</w:t>
            </w:r>
          </w:p>
        </w:tc>
      </w:tr>
      <w:tr w:rsidR="00426319" w14:paraId="1ABCBD38" w14:textId="77777777" w:rsidTr="002213D5">
        <w:tc>
          <w:tcPr>
            <w:tcW w:w="1838" w:type="dxa"/>
          </w:tcPr>
          <w:p w14:paraId="2086E49E" w14:textId="7476D867" w:rsidR="00426319" w:rsidRDefault="00426319" w:rsidP="00426319">
            <w:pPr>
              <w:spacing w:before="0" w:after="0" w:line="240" w:lineRule="auto"/>
              <w:jc w:val="left"/>
              <w:rPr>
                <w:lang w:val="sq-AL"/>
              </w:rPr>
            </w:pPr>
            <w:r>
              <w:rPr>
                <w:lang w:val="sq-AL"/>
              </w:rPr>
              <w:t>ILO</w:t>
            </w:r>
          </w:p>
        </w:tc>
        <w:tc>
          <w:tcPr>
            <w:tcW w:w="7655" w:type="dxa"/>
          </w:tcPr>
          <w:p w14:paraId="71FD3A91" w14:textId="6EC6815B" w:rsidR="00426319" w:rsidRDefault="00426319" w:rsidP="00426319">
            <w:pPr>
              <w:spacing w:before="0" w:after="0" w:line="240" w:lineRule="auto"/>
              <w:jc w:val="left"/>
              <w:rPr>
                <w:lang w:val="sq-AL"/>
              </w:rPr>
            </w:pPr>
            <w:r>
              <w:rPr>
                <w:lang w:val="sq-AL"/>
              </w:rPr>
              <w:t>Organizata Ndërkombëtare e Punës</w:t>
            </w:r>
          </w:p>
        </w:tc>
      </w:tr>
      <w:tr w:rsidR="00426319" w14:paraId="6CC02CDB" w14:textId="77777777" w:rsidTr="002213D5">
        <w:tc>
          <w:tcPr>
            <w:tcW w:w="1838" w:type="dxa"/>
          </w:tcPr>
          <w:p w14:paraId="4A808690" w14:textId="43247094" w:rsidR="00426319" w:rsidRDefault="00426319" w:rsidP="00426319">
            <w:pPr>
              <w:spacing w:before="0" w:after="0" w:line="240" w:lineRule="auto"/>
              <w:jc w:val="left"/>
              <w:rPr>
                <w:lang w:val="sq-AL"/>
              </w:rPr>
            </w:pPr>
            <w:r>
              <w:rPr>
                <w:lang w:val="sq-AL"/>
              </w:rPr>
              <w:t>ISHPSHSH</w:t>
            </w:r>
          </w:p>
        </w:tc>
        <w:tc>
          <w:tcPr>
            <w:tcW w:w="7655" w:type="dxa"/>
          </w:tcPr>
          <w:p w14:paraId="3FB70ED1" w14:textId="67FFBE7F" w:rsidR="00426319" w:rsidRDefault="00426319" w:rsidP="00426319">
            <w:pPr>
              <w:spacing w:before="0" w:after="0" w:line="240" w:lineRule="auto"/>
              <w:jc w:val="left"/>
              <w:rPr>
                <w:lang w:val="sq-AL"/>
              </w:rPr>
            </w:pPr>
            <w:r>
              <w:rPr>
                <w:lang w:val="sq-AL"/>
              </w:rPr>
              <w:t>Inspektorati Shtetëror i Punës dhe Shërbimeve Shoqërore</w:t>
            </w:r>
          </w:p>
        </w:tc>
      </w:tr>
      <w:tr w:rsidR="00426319" w14:paraId="709F5D65" w14:textId="77777777" w:rsidTr="002213D5">
        <w:tc>
          <w:tcPr>
            <w:tcW w:w="1838" w:type="dxa"/>
          </w:tcPr>
          <w:p w14:paraId="55B3E097" w14:textId="675EBF20" w:rsidR="00426319" w:rsidRDefault="00426319" w:rsidP="00426319">
            <w:pPr>
              <w:spacing w:before="0" w:after="0" w:line="240" w:lineRule="auto"/>
              <w:jc w:val="left"/>
              <w:rPr>
                <w:lang w:val="sq-AL"/>
              </w:rPr>
            </w:pPr>
            <w:r>
              <w:rPr>
                <w:lang w:val="sq-AL"/>
              </w:rPr>
              <w:t>KShK</w:t>
            </w:r>
          </w:p>
        </w:tc>
        <w:tc>
          <w:tcPr>
            <w:tcW w:w="7655" w:type="dxa"/>
          </w:tcPr>
          <w:p w14:paraId="70BBD320" w14:textId="38D72BC2" w:rsidR="00426319" w:rsidRDefault="00426319" w:rsidP="00426319">
            <w:pPr>
              <w:spacing w:before="0" w:after="0" w:line="240" w:lineRule="auto"/>
              <w:jc w:val="left"/>
              <w:rPr>
                <w:lang w:val="sq-AL"/>
              </w:rPr>
            </w:pPr>
            <w:r>
              <w:rPr>
                <w:lang w:val="sq-AL"/>
              </w:rPr>
              <w:t>Korniza Shqiptare e Kualifikimeve</w:t>
            </w:r>
          </w:p>
        </w:tc>
      </w:tr>
      <w:tr w:rsidR="00426319" w14:paraId="6EC3C982" w14:textId="77777777" w:rsidTr="002213D5">
        <w:tc>
          <w:tcPr>
            <w:tcW w:w="1838" w:type="dxa"/>
          </w:tcPr>
          <w:p w14:paraId="2CCEE5C0" w14:textId="55B8CC33" w:rsidR="00426319" w:rsidRDefault="00426319" w:rsidP="00426319">
            <w:pPr>
              <w:spacing w:before="0" w:after="0" w:line="240" w:lineRule="auto"/>
              <w:jc w:val="left"/>
              <w:rPr>
                <w:lang w:val="sq-AL"/>
              </w:rPr>
            </w:pPr>
            <w:r>
              <w:rPr>
                <w:lang w:val="sq-AL"/>
              </w:rPr>
              <w:t>KEK</w:t>
            </w:r>
          </w:p>
        </w:tc>
        <w:tc>
          <w:tcPr>
            <w:tcW w:w="7655" w:type="dxa"/>
          </w:tcPr>
          <w:p w14:paraId="1850CC8C" w14:textId="26B2122A" w:rsidR="00426319" w:rsidRDefault="00426319" w:rsidP="00426319">
            <w:pPr>
              <w:spacing w:before="0" w:after="0" w:line="240" w:lineRule="auto"/>
              <w:jc w:val="left"/>
              <w:rPr>
                <w:lang w:val="sq-AL"/>
              </w:rPr>
            </w:pPr>
            <w:r>
              <w:rPr>
                <w:lang w:val="sq-AL"/>
              </w:rPr>
              <w:t>Korniza Evropiane e Kualifikimeve</w:t>
            </w:r>
          </w:p>
        </w:tc>
      </w:tr>
      <w:tr w:rsidR="00426319" w14:paraId="23424541" w14:textId="77777777" w:rsidTr="002213D5">
        <w:tc>
          <w:tcPr>
            <w:tcW w:w="1838" w:type="dxa"/>
          </w:tcPr>
          <w:p w14:paraId="19E97AF8" w14:textId="2868099A" w:rsidR="00426319" w:rsidRDefault="00426319" w:rsidP="00426319">
            <w:pPr>
              <w:spacing w:before="0" w:after="0" w:line="240" w:lineRule="auto"/>
              <w:jc w:val="left"/>
              <w:rPr>
                <w:lang w:val="sq-AL"/>
              </w:rPr>
            </w:pPr>
            <w:r>
              <w:rPr>
                <w:lang w:val="sq-AL"/>
              </w:rPr>
              <w:t>LFS</w:t>
            </w:r>
          </w:p>
        </w:tc>
        <w:tc>
          <w:tcPr>
            <w:tcW w:w="7655" w:type="dxa"/>
          </w:tcPr>
          <w:p w14:paraId="2D1F4261" w14:textId="43057C94" w:rsidR="00426319" w:rsidRDefault="00426319" w:rsidP="00426319">
            <w:pPr>
              <w:spacing w:before="0" w:after="0" w:line="240" w:lineRule="auto"/>
              <w:jc w:val="left"/>
              <w:rPr>
                <w:lang w:val="sq-AL"/>
              </w:rPr>
            </w:pPr>
            <w:r>
              <w:rPr>
                <w:lang w:val="sq-AL"/>
              </w:rPr>
              <w:t>Anketa e Forcave të Punës (Labour Force Survey)</w:t>
            </w:r>
          </w:p>
        </w:tc>
      </w:tr>
      <w:tr w:rsidR="00426319" w14:paraId="1EB0CCEC" w14:textId="77777777" w:rsidTr="002213D5">
        <w:tc>
          <w:tcPr>
            <w:tcW w:w="1838" w:type="dxa"/>
          </w:tcPr>
          <w:p w14:paraId="68167856" w14:textId="505D7432" w:rsidR="00426319" w:rsidRDefault="00426319" w:rsidP="00426319">
            <w:pPr>
              <w:spacing w:before="0" w:after="0" w:line="240" w:lineRule="auto"/>
              <w:jc w:val="left"/>
              <w:rPr>
                <w:lang w:val="sq-AL"/>
              </w:rPr>
            </w:pPr>
            <w:r>
              <w:rPr>
                <w:lang w:val="sq-AL"/>
              </w:rPr>
              <w:t>MAS</w:t>
            </w:r>
          </w:p>
        </w:tc>
        <w:tc>
          <w:tcPr>
            <w:tcW w:w="7655" w:type="dxa"/>
          </w:tcPr>
          <w:p w14:paraId="41135BAD" w14:textId="1DA9DFD4" w:rsidR="00426319" w:rsidRDefault="00426319" w:rsidP="00426319">
            <w:pPr>
              <w:spacing w:before="0" w:after="0" w:line="240" w:lineRule="auto"/>
              <w:jc w:val="left"/>
              <w:rPr>
                <w:lang w:val="sq-AL"/>
              </w:rPr>
            </w:pPr>
            <w:r>
              <w:rPr>
                <w:lang w:val="sq-AL"/>
              </w:rPr>
              <w:t>Ministria e Arsimit dhe Sportit</w:t>
            </w:r>
          </w:p>
        </w:tc>
      </w:tr>
      <w:tr w:rsidR="00426319" w14:paraId="64EDE9C1" w14:textId="77777777" w:rsidTr="002213D5">
        <w:tc>
          <w:tcPr>
            <w:tcW w:w="1838" w:type="dxa"/>
          </w:tcPr>
          <w:p w14:paraId="6AE90289" w14:textId="0EDEC095" w:rsidR="00426319" w:rsidRDefault="00426319" w:rsidP="00426319">
            <w:pPr>
              <w:spacing w:before="0" w:after="0" w:line="240" w:lineRule="auto"/>
              <w:jc w:val="left"/>
              <w:rPr>
                <w:lang w:val="sq-AL"/>
              </w:rPr>
            </w:pPr>
            <w:r>
              <w:rPr>
                <w:lang w:val="sq-AL"/>
              </w:rPr>
              <w:t>MFE</w:t>
            </w:r>
          </w:p>
        </w:tc>
        <w:tc>
          <w:tcPr>
            <w:tcW w:w="7655" w:type="dxa"/>
          </w:tcPr>
          <w:p w14:paraId="08133BE8" w14:textId="128ED46C" w:rsidR="00426319" w:rsidRDefault="00426319" w:rsidP="00426319">
            <w:pPr>
              <w:spacing w:before="0" w:after="0" w:line="240" w:lineRule="auto"/>
              <w:jc w:val="left"/>
              <w:rPr>
                <w:lang w:val="sq-AL"/>
              </w:rPr>
            </w:pPr>
            <w:r>
              <w:rPr>
                <w:lang w:val="sq-AL"/>
              </w:rPr>
              <w:t>Ministria e Financave dhe Ekonomisë</w:t>
            </w:r>
          </w:p>
        </w:tc>
      </w:tr>
      <w:tr w:rsidR="00426319" w14:paraId="74C24050" w14:textId="77777777" w:rsidTr="002213D5">
        <w:tc>
          <w:tcPr>
            <w:tcW w:w="1838" w:type="dxa"/>
          </w:tcPr>
          <w:p w14:paraId="7FB241BD" w14:textId="49C8A3A3" w:rsidR="00426319" w:rsidRDefault="00426319" w:rsidP="00426319">
            <w:pPr>
              <w:spacing w:before="0" w:after="0" w:line="240" w:lineRule="auto"/>
              <w:jc w:val="left"/>
              <w:rPr>
                <w:lang w:val="sq-AL"/>
              </w:rPr>
            </w:pPr>
            <w:r>
              <w:rPr>
                <w:lang w:val="sq-AL"/>
              </w:rPr>
              <w:t>MSHR</w:t>
            </w:r>
            <w:r w:rsidR="00D96DD2">
              <w:rPr>
                <w:lang w:val="sq-AL"/>
              </w:rPr>
              <w:t>F</w:t>
            </w:r>
          </w:p>
        </w:tc>
        <w:tc>
          <w:tcPr>
            <w:tcW w:w="7655" w:type="dxa"/>
          </w:tcPr>
          <w:p w14:paraId="7490DEDA" w14:textId="25AE944C" w:rsidR="00426319" w:rsidRDefault="00426319" w:rsidP="00426319">
            <w:pPr>
              <w:spacing w:before="0" w:after="0" w:line="240" w:lineRule="auto"/>
              <w:jc w:val="left"/>
              <w:rPr>
                <w:lang w:val="sq-AL"/>
              </w:rPr>
            </w:pPr>
            <w:r>
              <w:rPr>
                <w:lang w:val="sq-AL"/>
              </w:rPr>
              <w:t xml:space="preserve">Ministri i Shtetit për </w:t>
            </w:r>
            <w:r w:rsidR="00D96DD2">
              <w:rPr>
                <w:lang w:val="sq-AL"/>
              </w:rPr>
              <w:t>Rininë dhe Fëmijë</w:t>
            </w:r>
            <w:r>
              <w:rPr>
                <w:lang w:val="sq-AL"/>
              </w:rPr>
              <w:t>t</w:t>
            </w:r>
          </w:p>
        </w:tc>
      </w:tr>
      <w:tr w:rsidR="00426319" w14:paraId="4AF45E1F" w14:textId="77777777" w:rsidTr="002213D5">
        <w:tc>
          <w:tcPr>
            <w:tcW w:w="1838" w:type="dxa"/>
          </w:tcPr>
          <w:p w14:paraId="5B2A2549" w14:textId="6C818EB1" w:rsidR="00426319" w:rsidRDefault="00426319" w:rsidP="00426319">
            <w:pPr>
              <w:spacing w:before="0" w:after="0" w:line="240" w:lineRule="auto"/>
              <w:jc w:val="left"/>
              <w:rPr>
                <w:lang w:val="sq-AL"/>
              </w:rPr>
            </w:pPr>
            <w:r>
              <w:rPr>
                <w:lang w:val="sq-AL"/>
              </w:rPr>
              <w:t>MSHMS</w:t>
            </w:r>
          </w:p>
        </w:tc>
        <w:tc>
          <w:tcPr>
            <w:tcW w:w="7655" w:type="dxa"/>
          </w:tcPr>
          <w:p w14:paraId="7AE554D5" w14:textId="18A66FEF" w:rsidR="00426319" w:rsidRDefault="00426319" w:rsidP="00426319">
            <w:pPr>
              <w:spacing w:before="0" w:after="0" w:line="240" w:lineRule="auto"/>
              <w:jc w:val="left"/>
              <w:rPr>
                <w:lang w:val="sq-AL"/>
              </w:rPr>
            </w:pPr>
            <w:r>
              <w:rPr>
                <w:lang w:val="sq-AL"/>
              </w:rPr>
              <w:t>Ministria e Shëndetësisë dhe Mbrojtjes Sociale</w:t>
            </w:r>
          </w:p>
        </w:tc>
      </w:tr>
      <w:tr w:rsidR="00426319" w14:paraId="24C53C7D" w14:textId="77777777" w:rsidTr="002213D5">
        <w:tc>
          <w:tcPr>
            <w:tcW w:w="1838" w:type="dxa"/>
          </w:tcPr>
          <w:p w14:paraId="03A8FDF2" w14:textId="22E6D177" w:rsidR="00426319" w:rsidRDefault="00426319" w:rsidP="00426319">
            <w:pPr>
              <w:spacing w:before="0" w:after="0" w:line="240" w:lineRule="auto"/>
              <w:jc w:val="left"/>
              <w:rPr>
                <w:lang w:val="sq-AL"/>
              </w:rPr>
            </w:pPr>
            <w:r>
              <w:rPr>
                <w:lang w:val="sq-AL"/>
              </w:rPr>
              <w:t>NE</w:t>
            </w:r>
          </w:p>
        </w:tc>
        <w:tc>
          <w:tcPr>
            <w:tcW w:w="7655" w:type="dxa"/>
          </w:tcPr>
          <w:p w14:paraId="0522D800" w14:textId="0CEB5239" w:rsidR="00426319" w:rsidRDefault="00426319" w:rsidP="00426319">
            <w:pPr>
              <w:spacing w:before="0" w:after="0" w:line="240" w:lineRule="auto"/>
              <w:jc w:val="left"/>
              <w:rPr>
                <w:lang w:val="sq-AL"/>
              </w:rPr>
            </w:pPr>
            <w:r>
              <w:rPr>
                <w:lang w:val="sq-AL"/>
              </w:rPr>
              <w:t>Ndihma ekonomike</w:t>
            </w:r>
          </w:p>
        </w:tc>
      </w:tr>
      <w:tr w:rsidR="00426319" w14:paraId="179B6DBF" w14:textId="77777777" w:rsidTr="002213D5">
        <w:tc>
          <w:tcPr>
            <w:tcW w:w="1838" w:type="dxa"/>
          </w:tcPr>
          <w:p w14:paraId="5A57A19C" w14:textId="3ABE069C" w:rsidR="00426319" w:rsidRDefault="00426319" w:rsidP="00426319">
            <w:pPr>
              <w:spacing w:before="0" w:after="0" w:line="240" w:lineRule="auto"/>
              <w:jc w:val="left"/>
              <w:rPr>
                <w:lang w:val="sq-AL"/>
              </w:rPr>
            </w:pPr>
            <w:r>
              <w:rPr>
                <w:lang w:val="sq-AL"/>
              </w:rPr>
              <w:t>NEET</w:t>
            </w:r>
          </w:p>
        </w:tc>
        <w:tc>
          <w:tcPr>
            <w:tcW w:w="7655" w:type="dxa"/>
          </w:tcPr>
          <w:p w14:paraId="6EDFB7CF" w14:textId="2B6C5386" w:rsidR="00426319" w:rsidRDefault="00426319" w:rsidP="00426319">
            <w:pPr>
              <w:spacing w:before="0" w:after="0" w:line="240" w:lineRule="auto"/>
              <w:jc w:val="left"/>
              <w:rPr>
                <w:lang w:val="sq-AL"/>
              </w:rPr>
            </w:pPr>
            <w:r>
              <w:rPr>
                <w:lang w:val="sq-AL"/>
              </w:rPr>
              <w:t xml:space="preserve">Të rinj jo në punësim, arsim apo </w:t>
            </w:r>
            <w:r w:rsidR="00255CBD">
              <w:rPr>
                <w:lang w:val="sq-AL"/>
              </w:rPr>
              <w:t>trajnim</w:t>
            </w:r>
          </w:p>
        </w:tc>
      </w:tr>
      <w:tr w:rsidR="00426319" w14:paraId="477D4A8A" w14:textId="77777777" w:rsidTr="002213D5">
        <w:tc>
          <w:tcPr>
            <w:tcW w:w="1838" w:type="dxa"/>
          </w:tcPr>
          <w:p w14:paraId="6E983777" w14:textId="6016DED7" w:rsidR="00426319" w:rsidRDefault="00426319" w:rsidP="00426319">
            <w:pPr>
              <w:spacing w:before="0" w:after="0" w:line="240" w:lineRule="auto"/>
              <w:jc w:val="left"/>
              <w:rPr>
                <w:lang w:val="sq-AL"/>
              </w:rPr>
            </w:pPr>
            <w:r>
              <w:rPr>
                <w:lang w:val="sq-AL"/>
              </w:rPr>
              <w:t>OECD</w:t>
            </w:r>
          </w:p>
        </w:tc>
        <w:tc>
          <w:tcPr>
            <w:tcW w:w="7655" w:type="dxa"/>
          </w:tcPr>
          <w:p w14:paraId="6094CCAF" w14:textId="686FD64A" w:rsidR="00426319" w:rsidRDefault="00426319" w:rsidP="00426319">
            <w:pPr>
              <w:spacing w:before="0" w:after="0" w:line="240" w:lineRule="auto"/>
              <w:jc w:val="left"/>
              <w:rPr>
                <w:lang w:val="sq-AL"/>
              </w:rPr>
            </w:pPr>
            <w:r>
              <w:rPr>
                <w:lang w:val="sq-AL"/>
              </w:rPr>
              <w:t>Organizata për Bashkëpunim Ekonomik dhe Zhvillim</w:t>
            </w:r>
          </w:p>
        </w:tc>
      </w:tr>
      <w:tr w:rsidR="00426319" w14:paraId="7A63B2FE" w14:textId="77777777" w:rsidTr="002213D5">
        <w:tc>
          <w:tcPr>
            <w:tcW w:w="1838" w:type="dxa"/>
          </w:tcPr>
          <w:p w14:paraId="7C3B1FC0" w14:textId="257CBC36" w:rsidR="00426319" w:rsidRDefault="00426319" w:rsidP="00426319">
            <w:pPr>
              <w:spacing w:before="0" w:after="0" w:line="240" w:lineRule="auto"/>
              <w:jc w:val="left"/>
              <w:rPr>
                <w:lang w:val="sq-AL"/>
              </w:rPr>
            </w:pPr>
            <w:r>
              <w:rPr>
                <w:lang w:val="sq-AL"/>
              </w:rPr>
              <w:t>OITP</w:t>
            </w:r>
          </w:p>
        </w:tc>
        <w:tc>
          <w:tcPr>
            <w:tcW w:w="7655" w:type="dxa"/>
          </w:tcPr>
          <w:p w14:paraId="033DF16E" w14:textId="3D4D299A" w:rsidR="00426319" w:rsidRDefault="00426319" w:rsidP="00426319">
            <w:pPr>
              <w:spacing w:before="0" w:after="0" w:line="240" w:lineRule="auto"/>
              <w:jc w:val="left"/>
              <w:rPr>
                <w:lang w:val="sq-AL"/>
              </w:rPr>
            </w:pPr>
            <w:r>
              <w:rPr>
                <w:lang w:val="sq-AL"/>
              </w:rPr>
              <w:t>Observatori i Informacionit të Tregut të Punës</w:t>
            </w:r>
          </w:p>
        </w:tc>
      </w:tr>
      <w:tr w:rsidR="00426319" w14:paraId="5F5AFB13" w14:textId="77777777" w:rsidTr="002213D5">
        <w:tc>
          <w:tcPr>
            <w:tcW w:w="1838" w:type="dxa"/>
          </w:tcPr>
          <w:p w14:paraId="0E4EC7FD" w14:textId="5441C572" w:rsidR="00426319" w:rsidRDefault="00426319" w:rsidP="00426319">
            <w:pPr>
              <w:spacing w:before="0" w:after="0" w:line="240" w:lineRule="auto"/>
              <w:jc w:val="left"/>
              <w:rPr>
                <w:lang w:val="sq-AL"/>
              </w:rPr>
            </w:pPr>
            <w:r>
              <w:rPr>
                <w:lang w:val="sq-AL"/>
              </w:rPr>
              <w:t>OZHQ</w:t>
            </w:r>
          </w:p>
        </w:tc>
        <w:tc>
          <w:tcPr>
            <w:tcW w:w="7655" w:type="dxa"/>
          </w:tcPr>
          <w:p w14:paraId="7F5AF44C" w14:textId="7A4091B5" w:rsidR="00426319" w:rsidRDefault="00426319" w:rsidP="00426319">
            <w:pPr>
              <w:spacing w:before="0" w:after="0" w:line="240" w:lineRule="auto"/>
              <w:jc w:val="left"/>
              <w:rPr>
                <w:lang w:val="sq-AL"/>
              </w:rPr>
            </w:pPr>
            <w:r>
              <w:rPr>
                <w:lang w:val="sq-AL"/>
              </w:rPr>
              <w:t>Objektiv i Zhvillimit të Qëndrueshëm</w:t>
            </w:r>
          </w:p>
        </w:tc>
      </w:tr>
      <w:tr w:rsidR="00426319" w14:paraId="7560EE8E" w14:textId="77777777" w:rsidTr="002213D5">
        <w:tc>
          <w:tcPr>
            <w:tcW w:w="1838" w:type="dxa"/>
          </w:tcPr>
          <w:p w14:paraId="54F463E4" w14:textId="04F23B53" w:rsidR="00426319" w:rsidRDefault="00426319" w:rsidP="00426319">
            <w:pPr>
              <w:spacing w:before="0" w:after="0" w:line="240" w:lineRule="auto"/>
              <w:jc w:val="left"/>
              <w:rPr>
                <w:lang w:val="sq-AL"/>
              </w:rPr>
            </w:pPr>
            <w:r>
              <w:rPr>
                <w:lang w:val="sq-AL"/>
              </w:rPr>
              <w:t>PBB</w:t>
            </w:r>
          </w:p>
        </w:tc>
        <w:tc>
          <w:tcPr>
            <w:tcW w:w="7655" w:type="dxa"/>
          </w:tcPr>
          <w:p w14:paraId="3EA9063C" w14:textId="46442AE0" w:rsidR="00426319" w:rsidRDefault="00426319" w:rsidP="00426319">
            <w:pPr>
              <w:spacing w:before="0" w:after="0" w:line="240" w:lineRule="auto"/>
              <w:jc w:val="left"/>
              <w:rPr>
                <w:lang w:val="sq-AL"/>
              </w:rPr>
            </w:pPr>
            <w:r>
              <w:rPr>
                <w:lang w:val="sq-AL"/>
              </w:rPr>
              <w:t>Prodhimi i Brendshëm Bruto</w:t>
            </w:r>
          </w:p>
        </w:tc>
      </w:tr>
      <w:tr w:rsidR="00426319" w14:paraId="38009730" w14:textId="77777777" w:rsidTr="002213D5">
        <w:tc>
          <w:tcPr>
            <w:tcW w:w="1838" w:type="dxa"/>
          </w:tcPr>
          <w:p w14:paraId="2A728471" w14:textId="402DB83B" w:rsidR="00426319" w:rsidRDefault="00426319" w:rsidP="00426319">
            <w:pPr>
              <w:spacing w:before="0" w:after="0" w:line="240" w:lineRule="auto"/>
              <w:jc w:val="left"/>
              <w:rPr>
                <w:lang w:val="sq-AL"/>
              </w:rPr>
            </w:pPr>
            <w:r>
              <w:rPr>
                <w:lang w:val="sq-AL"/>
              </w:rPr>
              <w:t>PAK</w:t>
            </w:r>
          </w:p>
        </w:tc>
        <w:tc>
          <w:tcPr>
            <w:tcW w:w="7655" w:type="dxa"/>
          </w:tcPr>
          <w:p w14:paraId="064FA1D8" w14:textId="17F4202C" w:rsidR="00426319" w:rsidRDefault="00426319" w:rsidP="00426319">
            <w:pPr>
              <w:spacing w:before="0" w:after="0" w:line="240" w:lineRule="auto"/>
              <w:jc w:val="left"/>
              <w:rPr>
                <w:lang w:val="sq-AL"/>
              </w:rPr>
            </w:pPr>
            <w:r>
              <w:rPr>
                <w:lang w:val="sq-AL"/>
              </w:rPr>
              <w:t>Person me aftësi të kufizuar</w:t>
            </w:r>
          </w:p>
        </w:tc>
      </w:tr>
      <w:tr w:rsidR="00426319" w14:paraId="1CDE7198" w14:textId="77777777" w:rsidTr="002213D5">
        <w:tc>
          <w:tcPr>
            <w:tcW w:w="1838" w:type="dxa"/>
          </w:tcPr>
          <w:p w14:paraId="758BF05D" w14:textId="7ECFA295" w:rsidR="00426319" w:rsidRDefault="00426319" w:rsidP="00426319">
            <w:pPr>
              <w:spacing w:before="0" w:after="0" w:line="240" w:lineRule="auto"/>
              <w:jc w:val="left"/>
              <w:rPr>
                <w:lang w:val="sq-AL"/>
              </w:rPr>
            </w:pPr>
            <w:r>
              <w:rPr>
                <w:lang w:val="sq-AL"/>
              </w:rPr>
              <w:t>PATP</w:t>
            </w:r>
          </w:p>
        </w:tc>
        <w:tc>
          <w:tcPr>
            <w:tcW w:w="7655" w:type="dxa"/>
          </w:tcPr>
          <w:p w14:paraId="149114FA" w14:textId="7E9D19F2" w:rsidR="00426319" w:rsidRDefault="00426319" w:rsidP="00426319">
            <w:pPr>
              <w:spacing w:before="0" w:after="0" w:line="240" w:lineRule="auto"/>
              <w:jc w:val="left"/>
              <w:rPr>
                <w:lang w:val="sq-AL"/>
              </w:rPr>
            </w:pPr>
            <w:r>
              <w:rPr>
                <w:lang w:val="sq-AL"/>
              </w:rPr>
              <w:t>Program Aktiv i Tregut të Punës</w:t>
            </w:r>
          </w:p>
        </w:tc>
      </w:tr>
      <w:tr w:rsidR="00426319" w14:paraId="1406A60D" w14:textId="77777777" w:rsidTr="002213D5">
        <w:tc>
          <w:tcPr>
            <w:tcW w:w="1838" w:type="dxa"/>
          </w:tcPr>
          <w:p w14:paraId="1BCBB716" w14:textId="23563907" w:rsidR="00426319" w:rsidRDefault="00426319" w:rsidP="00426319">
            <w:pPr>
              <w:spacing w:before="0" w:after="0" w:line="240" w:lineRule="auto"/>
              <w:jc w:val="left"/>
              <w:rPr>
                <w:lang w:val="sq-AL"/>
              </w:rPr>
            </w:pPr>
            <w:r>
              <w:rPr>
                <w:lang w:val="sq-AL"/>
              </w:rPr>
              <w:t>PNUD (UNDP)</w:t>
            </w:r>
          </w:p>
        </w:tc>
        <w:tc>
          <w:tcPr>
            <w:tcW w:w="7655" w:type="dxa"/>
          </w:tcPr>
          <w:p w14:paraId="713B8914" w14:textId="45CAED94" w:rsidR="00426319" w:rsidRDefault="00426319" w:rsidP="00426319">
            <w:pPr>
              <w:spacing w:before="0" w:after="0" w:line="240" w:lineRule="auto"/>
              <w:jc w:val="left"/>
              <w:rPr>
                <w:lang w:val="sq-AL"/>
              </w:rPr>
            </w:pPr>
            <w:r>
              <w:rPr>
                <w:lang w:val="sq-AL"/>
              </w:rPr>
              <w:t>Programi i Kombeve të Bashkuara për Zhvillim</w:t>
            </w:r>
          </w:p>
        </w:tc>
      </w:tr>
      <w:tr w:rsidR="00426319" w14:paraId="7938C357" w14:textId="77777777" w:rsidTr="002213D5">
        <w:tc>
          <w:tcPr>
            <w:tcW w:w="1838" w:type="dxa"/>
          </w:tcPr>
          <w:p w14:paraId="36EEA74D" w14:textId="0E3B6201" w:rsidR="00426319" w:rsidRDefault="00426319" w:rsidP="00426319">
            <w:pPr>
              <w:spacing w:before="0" w:after="0" w:line="240" w:lineRule="auto"/>
              <w:jc w:val="left"/>
              <w:rPr>
                <w:lang w:val="sq-AL"/>
              </w:rPr>
            </w:pPr>
            <w:r>
              <w:rPr>
                <w:lang w:val="sq-AL"/>
              </w:rPr>
              <w:t>SSHP</w:t>
            </w:r>
          </w:p>
        </w:tc>
        <w:tc>
          <w:tcPr>
            <w:tcW w:w="7655" w:type="dxa"/>
          </w:tcPr>
          <w:p w14:paraId="7C94F2EF" w14:textId="04ED22D8" w:rsidR="00426319" w:rsidRDefault="00426319" w:rsidP="00426319">
            <w:pPr>
              <w:spacing w:before="0" w:after="0" w:line="240" w:lineRule="auto"/>
              <w:jc w:val="left"/>
              <w:rPr>
                <w:lang w:val="sq-AL"/>
              </w:rPr>
            </w:pPr>
            <w:r>
              <w:rPr>
                <w:lang w:val="sq-AL"/>
              </w:rPr>
              <w:t>Siguria dhe shëndeti në punë</w:t>
            </w:r>
          </w:p>
        </w:tc>
      </w:tr>
      <w:tr w:rsidR="00426319" w14:paraId="1709357D" w14:textId="77777777" w:rsidTr="002213D5">
        <w:tc>
          <w:tcPr>
            <w:tcW w:w="1838" w:type="dxa"/>
          </w:tcPr>
          <w:p w14:paraId="74C822DB" w14:textId="56FBEABC" w:rsidR="00426319" w:rsidRDefault="00426319" w:rsidP="00426319">
            <w:pPr>
              <w:spacing w:before="0" w:after="0" w:line="240" w:lineRule="auto"/>
              <w:jc w:val="left"/>
              <w:rPr>
                <w:lang w:val="sq-AL"/>
              </w:rPr>
            </w:pPr>
            <w:r>
              <w:rPr>
                <w:lang w:val="sq-AL"/>
              </w:rPr>
              <w:t>SKZHIE</w:t>
            </w:r>
          </w:p>
        </w:tc>
        <w:tc>
          <w:tcPr>
            <w:tcW w:w="7655" w:type="dxa"/>
          </w:tcPr>
          <w:p w14:paraId="3CEE24DE" w14:textId="5A7ACD64" w:rsidR="00426319" w:rsidRDefault="00426319" w:rsidP="00426319">
            <w:pPr>
              <w:spacing w:before="0" w:after="0" w:line="240" w:lineRule="auto"/>
              <w:jc w:val="left"/>
              <w:rPr>
                <w:lang w:val="sq-AL"/>
              </w:rPr>
            </w:pPr>
            <w:r>
              <w:rPr>
                <w:lang w:val="sq-AL"/>
              </w:rPr>
              <w:t>Strategjia Kombëtare për Zhvillim dhe Integrim Evropian</w:t>
            </w:r>
          </w:p>
        </w:tc>
      </w:tr>
      <w:tr w:rsidR="00426319" w14:paraId="45F40983" w14:textId="77777777" w:rsidTr="002213D5">
        <w:tc>
          <w:tcPr>
            <w:tcW w:w="1838" w:type="dxa"/>
          </w:tcPr>
          <w:p w14:paraId="5E1CF5D8" w14:textId="1ECA300B" w:rsidR="00426319" w:rsidRDefault="00426319" w:rsidP="00426319">
            <w:pPr>
              <w:spacing w:before="0" w:after="0" w:line="240" w:lineRule="auto"/>
              <w:jc w:val="left"/>
              <w:rPr>
                <w:lang w:val="sq-AL"/>
              </w:rPr>
            </w:pPr>
            <w:r>
              <w:rPr>
                <w:lang w:val="sq-AL"/>
              </w:rPr>
              <w:t>UNICEF</w:t>
            </w:r>
          </w:p>
        </w:tc>
        <w:tc>
          <w:tcPr>
            <w:tcW w:w="7655" w:type="dxa"/>
          </w:tcPr>
          <w:p w14:paraId="1810575B" w14:textId="59960B5B" w:rsidR="00426319" w:rsidRDefault="00426319" w:rsidP="00426319">
            <w:pPr>
              <w:spacing w:before="0" w:after="0" w:line="240" w:lineRule="auto"/>
              <w:jc w:val="left"/>
              <w:rPr>
                <w:lang w:val="sq-AL"/>
              </w:rPr>
            </w:pPr>
            <w:r>
              <w:rPr>
                <w:lang w:val="sq-AL"/>
              </w:rPr>
              <w:t>Fondi i Kombeve të Bashkuara për Fëmijët</w:t>
            </w:r>
          </w:p>
        </w:tc>
      </w:tr>
      <w:tr w:rsidR="00426319" w14:paraId="67F33C29" w14:textId="77777777" w:rsidTr="002213D5">
        <w:tc>
          <w:tcPr>
            <w:tcW w:w="1838" w:type="dxa"/>
          </w:tcPr>
          <w:p w14:paraId="3E1DBD0F" w14:textId="490AD16B" w:rsidR="00426319" w:rsidRDefault="00426319" w:rsidP="00426319">
            <w:pPr>
              <w:spacing w:before="0" w:after="0" w:line="240" w:lineRule="auto"/>
              <w:jc w:val="left"/>
              <w:rPr>
                <w:lang w:val="sq-AL"/>
              </w:rPr>
            </w:pPr>
            <w:r>
              <w:rPr>
                <w:lang w:val="sq-AL"/>
              </w:rPr>
              <w:t>VKM</w:t>
            </w:r>
          </w:p>
        </w:tc>
        <w:tc>
          <w:tcPr>
            <w:tcW w:w="7655" w:type="dxa"/>
          </w:tcPr>
          <w:p w14:paraId="15EAB375" w14:textId="52B2BA5A" w:rsidR="00426319" w:rsidRDefault="00426319" w:rsidP="00426319">
            <w:pPr>
              <w:spacing w:before="0" w:after="0" w:line="240" w:lineRule="auto"/>
              <w:jc w:val="left"/>
              <w:rPr>
                <w:lang w:val="sq-AL"/>
              </w:rPr>
            </w:pPr>
            <w:r>
              <w:rPr>
                <w:lang w:val="sq-AL"/>
              </w:rPr>
              <w:t>Vendim i Këshillit të Ministrave</w:t>
            </w:r>
          </w:p>
        </w:tc>
      </w:tr>
      <w:tr w:rsidR="00426319" w14:paraId="37022034" w14:textId="77777777" w:rsidTr="002213D5">
        <w:tc>
          <w:tcPr>
            <w:tcW w:w="1838" w:type="dxa"/>
          </w:tcPr>
          <w:p w14:paraId="7957D49F" w14:textId="6A2DE393" w:rsidR="00426319" w:rsidRDefault="00426319" w:rsidP="00426319">
            <w:pPr>
              <w:spacing w:before="0" w:after="0" w:line="240" w:lineRule="auto"/>
              <w:jc w:val="left"/>
              <w:rPr>
                <w:lang w:val="sq-AL"/>
              </w:rPr>
            </w:pPr>
            <w:r>
              <w:rPr>
                <w:lang w:val="sq-AL"/>
              </w:rPr>
              <w:t>ZP</w:t>
            </w:r>
          </w:p>
        </w:tc>
        <w:tc>
          <w:tcPr>
            <w:tcW w:w="7655" w:type="dxa"/>
          </w:tcPr>
          <w:p w14:paraId="3984CEE6" w14:textId="2AB87395" w:rsidR="00426319" w:rsidRDefault="00426319" w:rsidP="00426319">
            <w:pPr>
              <w:spacing w:before="0" w:after="0" w:line="240" w:lineRule="auto"/>
              <w:jc w:val="left"/>
              <w:rPr>
                <w:lang w:val="sq-AL"/>
              </w:rPr>
            </w:pPr>
            <w:r>
              <w:rPr>
                <w:lang w:val="sq-AL"/>
              </w:rPr>
              <w:t>Zyra e punës</w:t>
            </w:r>
          </w:p>
        </w:tc>
      </w:tr>
      <w:tr w:rsidR="00426319" w14:paraId="0F9FD51C" w14:textId="77777777" w:rsidTr="002213D5">
        <w:tc>
          <w:tcPr>
            <w:tcW w:w="1838" w:type="dxa"/>
          </w:tcPr>
          <w:p w14:paraId="679A2BC7" w14:textId="77777777" w:rsidR="00426319" w:rsidRDefault="00426319" w:rsidP="00426319">
            <w:pPr>
              <w:spacing w:before="0" w:after="0" w:line="240" w:lineRule="auto"/>
              <w:jc w:val="left"/>
              <w:rPr>
                <w:lang w:val="sq-AL"/>
              </w:rPr>
            </w:pPr>
          </w:p>
        </w:tc>
        <w:tc>
          <w:tcPr>
            <w:tcW w:w="7655" w:type="dxa"/>
          </w:tcPr>
          <w:p w14:paraId="208E56AC" w14:textId="77777777" w:rsidR="00426319" w:rsidRDefault="00426319" w:rsidP="00426319">
            <w:pPr>
              <w:spacing w:before="0" w:after="0" w:line="240" w:lineRule="auto"/>
              <w:jc w:val="left"/>
              <w:rPr>
                <w:lang w:val="sq-AL"/>
              </w:rPr>
            </w:pPr>
          </w:p>
        </w:tc>
      </w:tr>
      <w:tr w:rsidR="00426319" w14:paraId="16BBE249" w14:textId="77777777" w:rsidTr="002213D5">
        <w:tc>
          <w:tcPr>
            <w:tcW w:w="1838" w:type="dxa"/>
          </w:tcPr>
          <w:p w14:paraId="01BF57BC" w14:textId="77777777" w:rsidR="00426319" w:rsidRDefault="00426319" w:rsidP="00426319">
            <w:pPr>
              <w:spacing w:before="0" w:after="0" w:line="240" w:lineRule="auto"/>
              <w:jc w:val="left"/>
              <w:rPr>
                <w:lang w:val="sq-AL"/>
              </w:rPr>
            </w:pPr>
          </w:p>
        </w:tc>
        <w:tc>
          <w:tcPr>
            <w:tcW w:w="7655" w:type="dxa"/>
          </w:tcPr>
          <w:p w14:paraId="2495827E" w14:textId="77777777" w:rsidR="00426319" w:rsidRDefault="00426319" w:rsidP="00426319">
            <w:pPr>
              <w:spacing w:before="0" w:after="0" w:line="240" w:lineRule="auto"/>
              <w:jc w:val="left"/>
              <w:rPr>
                <w:lang w:val="sq-AL"/>
              </w:rPr>
            </w:pPr>
          </w:p>
        </w:tc>
      </w:tr>
      <w:tr w:rsidR="00426319" w14:paraId="57AAD7C9" w14:textId="77777777" w:rsidTr="002213D5">
        <w:tc>
          <w:tcPr>
            <w:tcW w:w="1838" w:type="dxa"/>
          </w:tcPr>
          <w:p w14:paraId="40E4D214" w14:textId="77777777" w:rsidR="00426319" w:rsidRDefault="00426319" w:rsidP="00426319">
            <w:pPr>
              <w:spacing w:before="0" w:after="0" w:line="240" w:lineRule="auto"/>
              <w:jc w:val="left"/>
              <w:rPr>
                <w:lang w:val="sq-AL"/>
              </w:rPr>
            </w:pPr>
          </w:p>
        </w:tc>
        <w:tc>
          <w:tcPr>
            <w:tcW w:w="7655" w:type="dxa"/>
          </w:tcPr>
          <w:p w14:paraId="255C0EA7" w14:textId="77777777" w:rsidR="00426319" w:rsidRDefault="00426319" w:rsidP="00426319">
            <w:pPr>
              <w:spacing w:before="0" w:after="0" w:line="240" w:lineRule="auto"/>
              <w:jc w:val="left"/>
              <w:rPr>
                <w:lang w:val="sq-AL"/>
              </w:rPr>
            </w:pPr>
          </w:p>
        </w:tc>
      </w:tr>
      <w:tr w:rsidR="00426319" w14:paraId="1A072902" w14:textId="77777777" w:rsidTr="002213D5">
        <w:tc>
          <w:tcPr>
            <w:tcW w:w="1838" w:type="dxa"/>
          </w:tcPr>
          <w:p w14:paraId="50251FEC" w14:textId="77777777" w:rsidR="00426319" w:rsidRDefault="00426319" w:rsidP="00426319">
            <w:pPr>
              <w:spacing w:before="0" w:after="0" w:line="240" w:lineRule="auto"/>
              <w:jc w:val="left"/>
              <w:rPr>
                <w:lang w:val="sq-AL"/>
              </w:rPr>
            </w:pPr>
          </w:p>
        </w:tc>
        <w:tc>
          <w:tcPr>
            <w:tcW w:w="7655" w:type="dxa"/>
          </w:tcPr>
          <w:p w14:paraId="3B467BC6" w14:textId="77777777" w:rsidR="00426319" w:rsidRDefault="00426319" w:rsidP="00426319">
            <w:pPr>
              <w:spacing w:before="0" w:after="0" w:line="240" w:lineRule="auto"/>
              <w:jc w:val="left"/>
              <w:rPr>
                <w:lang w:val="sq-AL"/>
              </w:rPr>
            </w:pPr>
          </w:p>
        </w:tc>
      </w:tr>
    </w:tbl>
    <w:p w14:paraId="143A5490" w14:textId="10BEB36C" w:rsidR="00EC4580" w:rsidRDefault="00EC4580">
      <w:pPr>
        <w:spacing w:before="0" w:after="0" w:line="240" w:lineRule="auto"/>
        <w:jc w:val="left"/>
        <w:rPr>
          <w:rFonts w:asciiTheme="majorHAnsi" w:eastAsiaTheme="majorEastAsia" w:hAnsiTheme="majorHAnsi" w:cstheme="majorBidi"/>
          <w:color w:val="2F5496" w:themeColor="accent1" w:themeShade="BF"/>
          <w:sz w:val="28"/>
          <w:szCs w:val="32"/>
          <w:lang w:val="sq-AL"/>
        </w:rPr>
      </w:pPr>
      <w:r>
        <w:rPr>
          <w:lang w:val="sq-AL"/>
        </w:rPr>
        <w:br w:type="page"/>
      </w:r>
    </w:p>
    <w:p w14:paraId="677704CB" w14:textId="77690D90" w:rsidR="00746F32" w:rsidRPr="00E35625" w:rsidRDefault="00F05E64" w:rsidP="00E14B65">
      <w:pPr>
        <w:pStyle w:val="Heading1"/>
        <w:rPr>
          <w:lang w:val="sq-AL"/>
        </w:rPr>
      </w:pPr>
      <w:bookmarkStart w:id="3" w:name="_Toc123165398"/>
      <w:r w:rsidRPr="00E35625">
        <w:rPr>
          <w:lang w:val="sq-AL"/>
        </w:rPr>
        <w:lastRenderedPageBreak/>
        <w:t>Kuadri strategjik</w:t>
      </w:r>
      <w:bookmarkEnd w:id="3"/>
    </w:p>
    <w:p w14:paraId="339BAA8E" w14:textId="77777777" w:rsidR="00FE008B" w:rsidRPr="00E35625" w:rsidRDefault="00FE008B" w:rsidP="00E14B65">
      <w:pPr>
        <w:pStyle w:val="Heading2"/>
        <w:numPr>
          <w:ilvl w:val="1"/>
          <w:numId w:val="26"/>
        </w:numPr>
        <w:rPr>
          <w:lang w:val="sq-AL"/>
        </w:rPr>
      </w:pPr>
      <w:bookmarkStart w:id="4" w:name="_Toc123165399"/>
      <w:r w:rsidRPr="00E35625">
        <w:rPr>
          <w:lang w:val="sq-AL"/>
        </w:rPr>
        <w:t>Konteksti ekonomik dhe i tregut të punës</w:t>
      </w:r>
      <w:bookmarkEnd w:id="4"/>
    </w:p>
    <w:p w14:paraId="75EAE080" w14:textId="2615A98F" w:rsidR="00FE008B" w:rsidRPr="00E35625" w:rsidRDefault="00FE008B" w:rsidP="00E14B65">
      <w:pPr>
        <w:rPr>
          <w:lang w:val="sq-AL"/>
        </w:rPr>
      </w:pPr>
      <w:r w:rsidRPr="00E35625">
        <w:rPr>
          <w:b/>
          <w:bCs/>
          <w:lang w:val="sq-AL"/>
        </w:rPr>
        <w:t>Rritja ekonomike dhe e punësimit në vitet e fundit mbështetet gjerësisht në zhvillimin e sektorit privat.</w:t>
      </w:r>
      <w:r w:rsidRPr="00E35625">
        <w:rPr>
          <w:lang w:val="sq-AL"/>
        </w:rPr>
        <w:t xml:space="preserve"> Të dhënat tregojnë se gjatë dekadës së fundit 2012-2021 numri i ndërmarrjeve aktive në vend, përfshirë fermerët, është rritur me 74 </w:t>
      </w:r>
      <w:r w:rsidR="004A16A4">
        <w:rPr>
          <w:lang w:val="sq-AL"/>
        </w:rPr>
        <w:t xml:space="preserve"> përqind</w:t>
      </w:r>
      <w:r w:rsidRPr="00E35625">
        <w:rPr>
          <w:lang w:val="sq-AL"/>
        </w:rPr>
        <w:t xml:space="preserve"> duke arritur në 181,549 në fund të vitit 2021 (INSTAT, Regjistrat e Biznesit, 2022). Për të njëjtën periudhë numri i ndërmarrjeve të mesme (10-49 punëtorë) është rritur me 76 </w:t>
      </w:r>
      <w:r w:rsidR="004A16A4">
        <w:rPr>
          <w:lang w:val="sq-AL"/>
        </w:rPr>
        <w:t xml:space="preserve"> përqind</w:t>
      </w:r>
      <w:r w:rsidRPr="00E35625">
        <w:rPr>
          <w:lang w:val="sq-AL"/>
        </w:rPr>
        <w:t xml:space="preserve"> duke arritur në 6,862, ndërkohë që numri i ndërmarrjeve të mëdha, të cilat punësojnë mbi 50 persona, është mbidyfishuar duke arritur në 1,959 të tilla në fund të vitit 202</w:t>
      </w:r>
      <w:r w:rsidR="0061550F" w:rsidRPr="00E35625">
        <w:rPr>
          <w:lang w:val="sq-AL"/>
        </w:rPr>
        <w:t>1</w:t>
      </w:r>
      <w:r w:rsidRPr="00E35625">
        <w:rPr>
          <w:lang w:val="sq-AL"/>
        </w:rPr>
        <w:t xml:space="preserve">, krahasuar me 956 ndërmarrje të mëdha aktive në vitin 2012. Të dhënat administrative të tregut të punës tregojnë se zhvillimi i sektorit privat, shoqëruar me formalizimin e tregut, është pasqyruar edhe në tregun e punës, në të cilin numri i kontribuesve në pagesën e sigurimeve shoqërore, ku sektori privat përbën rreth 74 </w:t>
      </w:r>
      <w:r w:rsidR="004A16A4">
        <w:rPr>
          <w:lang w:val="sq-AL"/>
        </w:rPr>
        <w:t xml:space="preserve"> përqind</w:t>
      </w:r>
      <w:r w:rsidRPr="00E35625">
        <w:rPr>
          <w:lang w:val="sq-AL"/>
        </w:rPr>
        <w:t xml:space="preserve"> të tij, është rritur mesatarisht me 5.6 </w:t>
      </w:r>
      <w:r w:rsidR="004A16A4">
        <w:rPr>
          <w:lang w:val="sq-AL"/>
        </w:rPr>
        <w:t xml:space="preserve"> përqind</w:t>
      </w:r>
      <w:r w:rsidRPr="00E35625">
        <w:rPr>
          <w:lang w:val="sq-AL"/>
        </w:rPr>
        <w:t xml:space="preserve"> në vit gjatë viteve të fundit, duke arritur në mbi 703 mijë kontribues në vitin 2021, krahasuar me 482 mijë të tillë në vitin 2014.</w:t>
      </w:r>
    </w:p>
    <w:p w14:paraId="611881FB" w14:textId="11F22C52" w:rsidR="00B749B7" w:rsidRDefault="00B749B7" w:rsidP="00B749B7">
      <w:pPr>
        <w:pStyle w:val="Caption"/>
        <w:keepNext/>
        <w:jc w:val="center"/>
      </w:pPr>
      <w:bookmarkStart w:id="5" w:name="_Toc123162112"/>
      <w:r>
        <w:t xml:space="preserve">Figura </w:t>
      </w:r>
      <w:r w:rsidR="004D4D2F">
        <w:fldChar w:fldCharType="begin"/>
      </w:r>
      <w:r w:rsidR="004D4D2F">
        <w:instrText xml:space="preserve"> SEQ Figura \* ARABIC </w:instrText>
      </w:r>
      <w:r w:rsidR="004D4D2F">
        <w:fldChar w:fldCharType="separate"/>
      </w:r>
      <w:r w:rsidR="00342919">
        <w:rPr>
          <w:noProof/>
        </w:rPr>
        <w:t>1</w:t>
      </w:r>
      <w:r w:rsidR="004D4D2F">
        <w:rPr>
          <w:noProof/>
        </w:rPr>
        <w:fldChar w:fldCharType="end"/>
      </w:r>
      <w:r>
        <w:t xml:space="preserve">: </w:t>
      </w:r>
      <w:r w:rsidRPr="0029227D">
        <w:t>Të punësuar kontribues dhe ndërmarrjet aktive 2014-2021</w:t>
      </w:r>
      <w:bookmarkEnd w:id="5"/>
    </w:p>
    <w:p w14:paraId="39CE09D7" w14:textId="77777777" w:rsidR="006D736C" w:rsidRDefault="00FE008B" w:rsidP="00B749B7">
      <w:pPr>
        <w:keepNext/>
        <w:jc w:val="center"/>
      </w:pPr>
      <w:r w:rsidRPr="00E35625">
        <w:rPr>
          <w:noProof/>
        </w:rPr>
        <w:drawing>
          <wp:inline distT="0" distB="0" distL="0" distR="0" wp14:anchorId="5765CD10" wp14:editId="3489D183">
            <wp:extent cx="4596130" cy="2767330"/>
            <wp:effectExtent l="0" t="0" r="13970" b="139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AA7CB1" w14:textId="447A4961" w:rsidR="00FE008B" w:rsidRPr="001261FD" w:rsidRDefault="00FE008B" w:rsidP="0061550F">
      <w:pPr>
        <w:jc w:val="center"/>
        <w:rPr>
          <w:sz w:val="18"/>
          <w:szCs w:val="18"/>
          <w:lang w:val="sq-AL"/>
        </w:rPr>
      </w:pPr>
      <w:r w:rsidRPr="001261FD">
        <w:rPr>
          <w:sz w:val="18"/>
          <w:szCs w:val="18"/>
          <w:lang w:val="sq-AL"/>
        </w:rPr>
        <w:t>Burimi: INSTAT: Databaza Statistikore - Tregu i punës dhe Regjistrat e biznesit</w:t>
      </w:r>
    </w:p>
    <w:p w14:paraId="39710165" w14:textId="77777777" w:rsidR="00B749B7" w:rsidRDefault="00B749B7" w:rsidP="00E14B65">
      <w:pPr>
        <w:rPr>
          <w:b/>
          <w:lang w:val="sq-AL"/>
        </w:rPr>
      </w:pPr>
    </w:p>
    <w:p w14:paraId="2E7E7030" w14:textId="2C4C0517" w:rsidR="00FE008B" w:rsidRPr="00E35625" w:rsidRDefault="00FE008B" w:rsidP="00E14B65">
      <w:pPr>
        <w:rPr>
          <w:lang w:val="sq-AL"/>
        </w:rPr>
      </w:pPr>
      <w:r w:rsidRPr="00E35625">
        <w:rPr>
          <w:b/>
          <w:lang w:val="sq-AL"/>
        </w:rPr>
        <w:t xml:space="preserve">Vlerësimet e fundit tregojnë se rritja ekonomike e Shqipërisë gjatë vitit 2021 ka arritur në nivelin 8.7 </w:t>
      </w:r>
      <w:r w:rsidR="004A16A4">
        <w:rPr>
          <w:b/>
          <w:lang w:val="sq-AL"/>
        </w:rPr>
        <w:t xml:space="preserve"> përqind</w:t>
      </w:r>
      <w:r w:rsidRPr="00E35625">
        <w:rPr>
          <w:lang w:val="sq-AL"/>
        </w:rPr>
        <w:t xml:space="preserve">, duke e tejkaluar ngadalësimin e ekonomisë gjatë periudhës së pandemisë si pasojë e efekteve ekonomike dhe sociale, që ajo solli për të gjitha vendet e botës. Pritshmëritë e zhvillimit ekonomik të vendit, bazuar në ecurinë e sektorit privat si pjesa thelbësore e ekonomisë së vendit, shoqëruar me prirjet e eksporteve, investimeve publike në infrastrukturë dhe mbështetjen e biznesit, </w:t>
      </w:r>
      <w:r w:rsidR="0061550F" w:rsidRPr="00E35625">
        <w:rPr>
          <w:lang w:val="sq-AL"/>
        </w:rPr>
        <w:t>parashikojnë</w:t>
      </w:r>
      <w:r w:rsidRPr="00E35625">
        <w:rPr>
          <w:lang w:val="sq-AL"/>
        </w:rPr>
        <w:t xml:space="preserve">  një rritje të qëndrueshme në rreth 4 </w:t>
      </w:r>
      <w:r w:rsidR="004A16A4">
        <w:rPr>
          <w:lang w:val="sq-AL"/>
        </w:rPr>
        <w:t xml:space="preserve"> përqind</w:t>
      </w:r>
      <w:r w:rsidRPr="00E35625">
        <w:rPr>
          <w:lang w:val="sq-AL"/>
        </w:rPr>
        <w:t xml:space="preserve"> mbi bazë vjetore, që do të vijojë gjatë periudhës 2022-2024. Një rritje e tillë mbështetet dhe nga pritshmëritë e rritjes ekonomike (2.7 </w:t>
      </w:r>
      <w:r w:rsidR="004A16A4">
        <w:rPr>
          <w:lang w:val="sq-AL"/>
        </w:rPr>
        <w:t xml:space="preserve"> përqind</w:t>
      </w:r>
      <w:r w:rsidRPr="00E35625">
        <w:rPr>
          <w:lang w:val="sq-AL"/>
        </w:rPr>
        <w:t xml:space="preserve"> gjatë 2022) në zonën e Bashkimit E</w:t>
      </w:r>
      <w:r w:rsidR="00776AEA">
        <w:rPr>
          <w:lang w:val="sq-AL"/>
        </w:rPr>
        <w:t>v</w:t>
      </w:r>
      <w:r w:rsidRPr="00E35625">
        <w:rPr>
          <w:lang w:val="sq-AL"/>
        </w:rPr>
        <w:t>ropian, i cili krahas faktorëve të tjerë të rëndësishëm, është gjithashtu partneri kryesor tregtar i Shqipërisë, me rreth 2/3 e tregtisë së vendit dhe destinacion i rreth 80</w:t>
      </w:r>
      <w:r w:rsidR="004A16A4">
        <w:rPr>
          <w:lang w:val="sq-AL"/>
        </w:rPr>
        <w:t xml:space="preserve"> përqind</w:t>
      </w:r>
      <w:r w:rsidRPr="00E35625">
        <w:rPr>
          <w:lang w:val="sq-AL"/>
        </w:rPr>
        <w:t xml:space="preserve"> të eksporteve shqiptare.</w:t>
      </w:r>
    </w:p>
    <w:p w14:paraId="52A45F3C" w14:textId="4DC2FFDE" w:rsidR="00FE008B" w:rsidRPr="00E35625" w:rsidRDefault="00FE008B" w:rsidP="00E14B65">
      <w:pPr>
        <w:rPr>
          <w:lang w:val="sq-AL"/>
        </w:rPr>
      </w:pPr>
      <w:r w:rsidRPr="00E35625">
        <w:rPr>
          <w:lang w:val="sq-AL"/>
        </w:rPr>
        <w:lastRenderedPageBreak/>
        <w:t xml:space="preserve">Treguesit e punësimit gjatë viteve të fundit në Shqipëri dëshmojnë për një ulje të shkallës së papunësisë nga 17.5 </w:t>
      </w:r>
      <w:r w:rsidR="004A16A4">
        <w:rPr>
          <w:lang w:val="sq-AL"/>
        </w:rPr>
        <w:t xml:space="preserve"> përqind</w:t>
      </w:r>
      <w:r w:rsidRPr="00E35625">
        <w:rPr>
          <w:lang w:val="sq-AL"/>
        </w:rPr>
        <w:t xml:space="preserve"> gjatë vitit 2014 në 11.5 </w:t>
      </w:r>
      <w:r w:rsidR="004A16A4">
        <w:rPr>
          <w:lang w:val="sq-AL"/>
        </w:rPr>
        <w:t xml:space="preserve"> përqind</w:t>
      </w:r>
      <w:r w:rsidRPr="00E35625">
        <w:rPr>
          <w:lang w:val="sq-AL"/>
        </w:rPr>
        <w:t>, ose në të njëjtin nivel përpara nisjes së pandemisë, gjatë vitit 2021. Ulja e papunësisë në këtë periudhë vjen si pasojë e krijimit të vendeve të reja të punës, zhvillimit të sektorit privat dhe masave aktive për reduktimin e ekonomisë informale në vend.</w:t>
      </w:r>
    </w:p>
    <w:p w14:paraId="06E66342" w14:textId="02458ADF" w:rsidR="00FE008B" w:rsidRPr="00E35625" w:rsidRDefault="00FE008B" w:rsidP="00E14B65">
      <w:pPr>
        <w:rPr>
          <w:lang w:val="sq-AL"/>
        </w:rPr>
      </w:pPr>
      <w:r w:rsidRPr="00E35625">
        <w:rPr>
          <w:lang w:val="sq-AL"/>
        </w:rPr>
        <w:t xml:space="preserve">Bujqësia është sektori që angazhon në punë pjesën më të madhe të shqiptarëve, me rreth 33.8 </w:t>
      </w:r>
      <w:r w:rsidR="004A16A4">
        <w:rPr>
          <w:lang w:val="sq-AL"/>
        </w:rPr>
        <w:t xml:space="preserve"> përqind</w:t>
      </w:r>
      <w:r w:rsidRPr="00E35625">
        <w:rPr>
          <w:lang w:val="sq-AL"/>
        </w:rPr>
        <w:t xml:space="preserve"> të të punësuarve gjatë vitit 2021 </w:t>
      </w:r>
      <w:r w:rsidRPr="00E35625">
        <w:rPr>
          <w:bCs/>
          <w:lang w:val="sq-AL"/>
        </w:rPr>
        <w:t>(INSTAT)</w:t>
      </w:r>
      <w:r w:rsidRPr="00E35625">
        <w:rPr>
          <w:lang w:val="sq-AL"/>
        </w:rPr>
        <w:t xml:space="preserve">. Veçmas bujqësisë, sektorët që punësojnë më shumë punonjës në vend janë tregtia me pakicë (13.2 </w:t>
      </w:r>
      <w:r w:rsidR="004A16A4">
        <w:rPr>
          <w:lang w:val="sq-AL"/>
        </w:rPr>
        <w:t xml:space="preserve"> përqind</w:t>
      </w:r>
      <w:r w:rsidRPr="00E35625">
        <w:rPr>
          <w:lang w:val="sq-AL"/>
        </w:rPr>
        <w:t xml:space="preserve">), shërbimet e ndryshme (11 </w:t>
      </w:r>
      <w:r w:rsidR="004A16A4">
        <w:rPr>
          <w:lang w:val="sq-AL"/>
        </w:rPr>
        <w:t xml:space="preserve"> përqind</w:t>
      </w:r>
      <w:r w:rsidRPr="00E35625">
        <w:rPr>
          <w:lang w:val="sq-AL"/>
        </w:rPr>
        <w:t xml:space="preserve">), ndërtimi (10.1 </w:t>
      </w:r>
      <w:r w:rsidR="004A16A4">
        <w:rPr>
          <w:lang w:val="sq-AL"/>
        </w:rPr>
        <w:t xml:space="preserve"> përqind</w:t>
      </w:r>
      <w:r w:rsidRPr="00E35625">
        <w:rPr>
          <w:lang w:val="sq-AL"/>
        </w:rPr>
        <w:t xml:space="preserve">), tregtia me shumicë (9.8 </w:t>
      </w:r>
      <w:r w:rsidR="004A16A4">
        <w:rPr>
          <w:lang w:val="sq-AL"/>
        </w:rPr>
        <w:t xml:space="preserve"> përqind</w:t>
      </w:r>
      <w:r w:rsidRPr="00E35625">
        <w:rPr>
          <w:lang w:val="sq-AL"/>
        </w:rPr>
        <w:t xml:space="preserve">), shërbimi ushqimor (8.4 </w:t>
      </w:r>
      <w:r w:rsidR="004A16A4">
        <w:rPr>
          <w:lang w:val="sq-AL"/>
        </w:rPr>
        <w:t xml:space="preserve"> përqind</w:t>
      </w:r>
      <w:r w:rsidRPr="00E35625">
        <w:rPr>
          <w:lang w:val="sq-AL"/>
        </w:rPr>
        <w:t xml:space="preserve">), tekstile dhe veshje (5.5 </w:t>
      </w:r>
      <w:r w:rsidR="004A16A4">
        <w:rPr>
          <w:lang w:val="sq-AL"/>
        </w:rPr>
        <w:t xml:space="preserve"> përqind</w:t>
      </w:r>
      <w:r w:rsidRPr="00E35625">
        <w:rPr>
          <w:lang w:val="sq-AL"/>
        </w:rPr>
        <w:t xml:space="preserve">), industria e këpucëve (4.1 </w:t>
      </w:r>
      <w:r w:rsidR="004A16A4">
        <w:rPr>
          <w:lang w:val="sq-AL"/>
        </w:rPr>
        <w:t xml:space="preserve"> përqind</w:t>
      </w:r>
      <w:r w:rsidRPr="00E35625">
        <w:rPr>
          <w:lang w:val="sq-AL"/>
        </w:rPr>
        <w:t>) etj., ndërkohë që punësimi në sektorët e tjerë të ekonomisë është në nivele më të ulëta. Ecuria e punësimit e viteve të fundit dëshmon se sektorët që kanë pasur rritjen relative më të lartë në vend</w:t>
      </w:r>
      <w:r w:rsidR="004E35E7" w:rsidRPr="00E35625">
        <w:rPr>
          <w:lang w:val="sq-AL"/>
        </w:rPr>
        <w:t>,</w:t>
      </w:r>
      <w:r w:rsidRPr="00E35625">
        <w:rPr>
          <w:lang w:val="sq-AL"/>
        </w:rPr>
        <w:t xml:space="preserve"> janë shërbimet e informacionit, </w:t>
      </w:r>
      <w:r w:rsidR="00E35625">
        <w:rPr>
          <w:lang w:val="sq-AL"/>
        </w:rPr>
        <w:t>industri</w:t>
      </w:r>
      <w:r w:rsidRPr="00E35625">
        <w:rPr>
          <w:lang w:val="sq-AL"/>
        </w:rPr>
        <w:t xml:space="preserve"> të tjera përpunuese, shëndetësia, hoteleri-turizmi, programimi, tregtimi dhe riparimi i automjeteve</w:t>
      </w:r>
      <w:r w:rsidR="004E35E7" w:rsidRPr="00E35625">
        <w:rPr>
          <w:lang w:val="sq-AL"/>
        </w:rPr>
        <w:t xml:space="preserve"> dhe</w:t>
      </w:r>
      <w:r w:rsidRPr="00E35625">
        <w:rPr>
          <w:lang w:val="sq-AL"/>
        </w:rPr>
        <w:t xml:space="preserve"> shërbime të tjera. </w:t>
      </w:r>
    </w:p>
    <w:p w14:paraId="4F7A8203" w14:textId="03163BA9" w:rsidR="00FE008B" w:rsidRPr="00E35625" w:rsidRDefault="00FE008B" w:rsidP="00E14B65">
      <w:pPr>
        <w:rPr>
          <w:lang w:val="sq-AL"/>
        </w:rPr>
      </w:pPr>
      <w:r w:rsidRPr="00E35625">
        <w:rPr>
          <w:b/>
          <w:lang w:val="sq-AL"/>
        </w:rPr>
        <w:t>Gjatë dekadës së fundit rritja e punësimit në Shqipëri ka rezultuar më e lartë se përmirësimi i produktivitetit në punë</w:t>
      </w:r>
      <w:r w:rsidRPr="00E35625">
        <w:rPr>
          <w:lang w:val="sq-AL"/>
        </w:rPr>
        <w:t xml:space="preserve"> (Rritja e punësimit 74.7 </w:t>
      </w:r>
      <w:r w:rsidR="004A16A4">
        <w:rPr>
          <w:lang w:val="sq-AL"/>
        </w:rPr>
        <w:t xml:space="preserve"> përqind</w:t>
      </w:r>
      <w:r w:rsidRPr="00E35625">
        <w:rPr>
          <w:lang w:val="sq-AL"/>
        </w:rPr>
        <w:t xml:space="preserve">, rritja e vlerës së shtuar 68.8 </w:t>
      </w:r>
      <w:r w:rsidR="004A16A4">
        <w:rPr>
          <w:lang w:val="sq-AL"/>
        </w:rPr>
        <w:t xml:space="preserve"> përqind</w:t>
      </w:r>
      <w:r w:rsidRPr="00E35625">
        <w:rPr>
          <w:lang w:val="sq-AL"/>
        </w:rPr>
        <w:t>, 2012-2021. INSTAT). Produktiviteti i ekonomisë shqiptare, si faktor përcaktues i konkur</w:t>
      </w:r>
      <w:r w:rsidR="004E35E7" w:rsidRPr="00E35625">
        <w:rPr>
          <w:lang w:val="sq-AL"/>
        </w:rPr>
        <w:t>r</w:t>
      </w:r>
      <w:r w:rsidRPr="00E35625">
        <w:rPr>
          <w:lang w:val="sq-AL"/>
        </w:rPr>
        <w:t xml:space="preserve">ueshmërisë dhe nivelit të mirëqenies së qytetarëve, mbetet relativisht i ulët krahasuar </w:t>
      </w:r>
      <w:r w:rsidR="00E35625">
        <w:rPr>
          <w:lang w:val="sq-AL"/>
        </w:rPr>
        <w:t>me</w:t>
      </w:r>
      <w:r w:rsidRPr="00E35625">
        <w:rPr>
          <w:lang w:val="sq-AL"/>
        </w:rPr>
        <w:t xml:space="preserve"> Bashkimi</w:t>
      </w:r>
      <w:r w:rsidR="00E35625">
        <w:rPr>
          <w:lang w:val="sq-AL"/>
        </w:rPr>
        <w:t>n</w:t>
      </w:r>
      <w:r w:rsidRPr="00E35625">
        <w:rPr>
          <w:lang w:val="sq-AL"/>
        </w:rPr>
        <w:t xml:space="preserve"> Europian. Të dhënat (</w:t>
      </w:r>
      <w:r w:rsidR="00E35625">
        <w:rPr>
          <w:lang w:val="sq-AL"/>
        </w:rPr>
        <w:t>W</w:t>
      </w:r>
      <w:r w:rsidRPr="00E35625">
        <w:rPr>
          <w:lang w:val="sq-AL"/>
        </w:rPr>
        <w:t xml:space="preserve">orld Development Indicators database, 2022) tregojnë se gjatë dekadës së fundit, niveli mesatar i produktivitetit të ekonomisë shqiptare, i matur në USD konstant PPP si kontribut në PBB i çdo personi të punësuar, në vitin 2012 </w:t>
      </w:r>
      <w:r w:rsidR="004E35E7" w:rsidRPr="00E35625">
        <w:rPr>
          <w:lang w:val="sq-AL"/>
        </w:rPr>
        <w:t xml:space="preserve">ishte </w:t>
      </w:r>
      <w:r w:rsidRPr="00E35625">
        <w:rPr>
          <w:lang w:val="sq-AL"/>
        </w:rPr>
        <w:t>sa 31.2</w:t>
      </w:r>
      <w:r w:rsidR="004A16A4">
        <w:rPr>
          <w:lang w:val="sq-AL"/>
        </w:rPr>
        <w:t xml:space="preserve"> përqind</w:t>
      </w:r>
      <w:r w:rsidRPr="00E35625">
        <w:rPr>
          <w:lang w:val="sq-AL"/>
        </w:rPr>
        <w:t xml:space="preserve"> e mesatares së Bashkimit E</w:t>
      </w:r>
      <w:r w:rsidR="00EA27C3">
        <w:rPr>
          <w:lang w:val="sq-AL"/>
        </w:rPr>
        <w:t>v</w:t>
      </w:r>
      <w:r w:rsidRPr="00E35625">
        <w:rPr>
          <w:lang w:val="sq-AL"/>
        </w:rPr>
        <w:t xml:space="preserve">ropian dhe arriti në 34.7 </w:t>
      </w:r>
      <w:r w:rsidR="004A16A4">
        <w:rPr>
          <w:lang w:val="sq-AL"/>
        </w:rPr>
        <w:t xml:space="preserve"> përqind</w:t>
      </w:r>
      <w:r w:rsidRPr="00E35625">
        <w:rPr>
          <w:lang w:val="sq-AL"/>
        </w:rPr>
        <w:t xml:space="preserve"> në vitin 2021. </w:t>
      </w:r>
    </w:p>
    <w:p w14:paraId="29DA9F48" w14:textId="46E097E0" w:rsidR="00FE008B" w:rsidRPr="00E35625" w:rsidRDefault="00FE008B" w:rsidP="00E14B65">
      <w:pPr>
        <w:rPr>
          <w:lang w:val="sq-AL"/>
        </w:rPr>
      </w:pPr>
      <w:r w:rsidRPr="00E35625">
        <w:rPr>
          <w:lang w:val="sq-AL"/>
        </w:rPr>
        <w:t xml:space="preserve">Aktivitetet me vlerë të lartë të shtuar që kontribuojnë për rreth 1/3 e punësimit (përjashtuar bujqësinë dhe administratën) kanë patur rritjen më të lartë të punësimit gjatë dekadës së fundit. Përpos rritjes së produktivitetit në nivel kombëtar është me vlerë të </w:t>
      </w:r>
      <w:r w:rsidR="00E35625">
        <w:rPr>
          <w:lang w:val="sq-AL"/>
        </w:rPr>
        <w:t>mbahet</w:t>
      </w:r>
      <w:r w:rsidRPr="00E35625">
        <w:rPr>
          <w:lang w:val="sq-AL"/>
        </w:rPr>
        <w:t xml:space="preserve"> parasysh ndryshimi i konsiderueshëm që ekziston në nivelin e produktivitetit sipas sektorëve të ndryshëm të veprimtarisë ekonomike. Analiza e të dhënave na tregon se gjatë dekadës së fundit 2011 – 2020, sektorët jobujqësorë me rritjen më të lartë të produktivitetit në Shqipëri janë ata të shëndetësisë (që angazhon 2.4 </w:t>
      </w:r>
      <w:r w:rsidR="004A16A4">
        <w:rPr>
          <w:lang w:val="sq-AL"/>
        </w:rPr>
        <w:t xml:space="preserve"> përqind</w:t>
      </w:r>
      <w:r w:rsidRPr="00E35625">
        <w:rPr>
          <w:lang w:val="sq-AL"/>
        </w:rPr>
        <w:t xml:space="preserve"> të punësimit në vend), shërbimeve të ndryshme (9 </w:t>
      </w:r>
      <w:r w:rsidR="004A16A4">
        <w:rPr>
          <w:lang w:val="sq-AL"/>
        </w:rPr>
        <w:t xml:space="preserve"> përqind</w:t>
      </w:r>
      <w:r w:rsidRPr="00E35625">
        <w:rPr>
          <w:lang w:val="sq-AL"/>
        </w:rPr>
        <w:t xml:space="preserve"> të punësimit në vend), publikimet dhe soft</w:t>
      </w:r>
      <w:r w:rsidR="002F5E2C">
        <w:rPr>
          <w:lang w:val="sq-AL"/>
        </w:rPr>
        <w:t>w</w:t>
      </w:r>
      <w:r w:rsidRPr="00E35625">
        <w:rPr>
          <w:lang w:val="sq-AL"/>
        </w:rPr>
        <w:t xml:space="preserve">are (0.5 </w:t>
      </w:r>
      <w:r w:rsidR="004A16A4">
        <w:rPr>
          <w:lang w:val="sq-AL"/>
        </w:rPr>
        <w:t xml:space="preserve"> përqind</w:t>
      </w:r>
      <w:r w:rsidRPr="00E35625">
        <w:rPr>
          <w:lang w:val="sq-AL"/>
        </w:rPr>
        <w:t xml:space="preserve"> të punësimit), shërbimet profesionale (7.3 </w:t>
      </w:r>
      <w:r w:rsidR="004A16A4">
        <w:rPr>
          <w:lang w:val="sq-AL"/>
        </w:rPr>
        <w:t xml:space="preserve"> përqind</w:t>
      </w:r>
      <w:r w:rsidRPr="00E35625">
        <w:rPr>
          <w:lang w:val="sq-AL"/>
        </w:rPr>
        <w:t xml:space="preserve"> të punësimit), energjia dhe gazi (6.2 </w:t>
      </w:r>
      <w:r w:rsidR="004A16A4">
        <w:rPr>
          <w:lang w:val="sq-AL"/>
        </w:rPr>
        <w:t xml:space="preserve"> përqind</w:t>
      </w:r>
      <w:r w:rsidRPr="00E35625">
        <w:rPr>
          <w:lang w:val="sq-AL"/>
        </w:rPr>
        <w:t xml:space="preserve"> të punësimit) etj., sektorë për të cilët niveli i produktivitetit është rritur mbi dy herë krahasuar me dhjetë vite më parë. Janë këta sektorë ekonomikë që përbëjnë njëkohësisht drejtimet më të rëndësishme, ku cilësia e punës dhe mirëqenia e qytetarëve të përfshirë në këto aktivitete, është në përmirësim të dukshëm krahasuar me aktivitetet e tjera në vend. Ndaj fuqizimi i mëtejshëm i sektorëve të tillë dhe të tjerëve potencialë, përmes politikave mbështetëse për zgjerimin e punësimit që shoqërojnë diversifikimin e mëtejshëm dhe orientimin e ekonomisë drejt aktiviteteve produktive, krijon mundësi të mëtejshme për të përmirësuar konkurueshmërinë e ekonomisë dhe kontribuar në mënyrë të qenësishme në rritjen e mirëqenies së qytetarëve.</w:t>
      </w:r>
    </w:p>
    <w:p w14:paraId="431D601A" w14:textId="77777777" w:rsidR="00FE008B" w:rsidRPr="00E35625" w:rsidRDefault="00FE008B" w:rsidP="00E14B65">
      <w:pPr>
        <w:rPr>
          <w:lang w:val="sq-AL"/>
        </w:rPr>
      </w:pPr>
    </w:p>
    <w:p w14:paraId="37BC3978" w14:textId="1311DBFF" w:rsidR="00B749B7" w:rsidRDefault="00B749B7" w:rsidP="00B749B7">
      <w:pPr>
        <w:pStyle w:val="Caption"/>
        <w:keepNext/>
        <w:spacing w:before="0" w:after="0"/>
        <w:jc w:val="center"/>
      </w:pPr>
      <w:bookmarkStart w:id="6" w:name="_Toc123162113"/>
      <w:r>
        <w:lastRenderedPageBreak/>
        <w:t xml:space="preserve">Figura </w:t>
      </w:r>
      <w:r w:rsidR="004D4D2F">
        <w:fldChar w:fldCharType="begin"/>
      </w:r>
      <w:r w:rsidR="004D4D2F">
        <w:instrText xml:space="preserve"> SEQ Figura \* ARABIC </w:instrText>
      </w:r>
      <w:r w:rsidR="004D4D2F">
        <w:fldChar w:fldCharType="separate"/>
      </w:r>
      <w:r w:rsidR="00342919">
        <w:rPr>
          <w:noProof/>
        </w:rPr>
        <w:t>2</w:t>
      </w:r>
      <w:r w:rsidR="004D4D2F">
        <w:rPr>
          <w:noProof/>
        </w:rPr>
        <w:fldChar w:fldCharType="end"/>
      </w:r>
      <w:r>
        <w:t xml:space="preserve">: </w:t>
      </w:r>
      <w:r w:rsidRPr="00F82632">
        <w:t>Rritja në punësim dhe produktivitet sipas sektorëve, 2011-2021</w:t>
      </w:r>
      <w:bookmarkEnd w:id="6"/>
    </w:p>
    <w:p w14:paraId="58FCA235" w14:textId="3F3C6522" w:rsidR="00FE008B" w:rsidRPr="00E35625" w:rsidRDefault="00FE008B" w:rsidP="00B749B7">
      <w:pPr>
        <w:spacing w:before="0" w:after="0"/>
        <w:jc w:val="center"/>
        <w:rPr>
          <w:lang w:val="sq-AL"/>
        </w:rPr>
      </w:pPr>
      <w:r w:rsidRPr="00E35625">
        <w:rPr>
          <w:noProof/>
        </w:rPr>
        <w:drawing>
          <wp:inline distT="0" distB="0" distL="0" distR="0" wp14:anchorId="7778D3FF" wp14:editId="243C4A03">
            <wp:extent cx="5689600" cy="3711575"/>
            <wp:effectExtent l="0" t="0" r="1270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F7A3ED" w14:textId="53A803D9" w:rsidR="00FE008B" w:rsidRPr="00B749B7" w:rsidRDefault="00FE008B" w:rsidP="00B749B7">
      <w:pPr>
        <w:pStyle w:val="Caption"/>
        <w:spacing w:before="0" w:after="0"/>
        <w:ind w:left="142"/>
        <w:jc w:val="left"/>
        <w:rPr>
          <w:i w:val="0"/>
          <w:iCs w:val="0"/>
          <w:lang w:val="sq-AL"/>
        </w:rPr>
      </w:pPr>
      <w:r w:rsidRPr="00B749B7">
        <w:rPr>
          <w:i w:val="0"/>
          <w:iCs w:val="0"/>
          <w:lang w:val="sq-AL"/>
        </w:rPr>
        <w:t>Madhësia e çdo sfere është proporcionale me punësimin në sektorin përkatës gjatë 2021. Këtu nuk përfshihet sektori i bujqësisë.</w:t>
      </w:r>
      <w:r w:rsidR="00B749B7">
        <w:rPr>
          <w:i w:val="0"/>
          <w:iCs w:val="0"/>
          <w:lang w:val="sq-AL"/>
        </w:rPr>
        <w:t xml:space="preserve"> </w:t>
      </w:r>
      <w:r w:rsidRPr="00B749B7">
        <w:rPr>
          <w:i w:val="0"/>
          <w:iCs w:val="0"/>
          <w:lang w:val="sq-AL"/>
        </w:rPr>
        <w:t>Burimi: INSTAT</w:t>
      </w:r>
    </w:p>
    <w:p w14:paraId="255897F0" w14:textId="686EA3C3" w:rsidR="00FE008B" w:rsidRPr="00E35625" w:rsidRDefault="00FE008B" w:rsidP="00E14B65">
      <w:pPr>
        <w:rPr>
          <w:lang w:val="sq-AL"/>
        </w:rPr>
      </w:pPr>
      <w:r w:rsidRPr="00E35625">
        <w:rPr>
          <w:lang w:val="sq-AL"/>
        </w:rPr>
        <w:t>Niveli relativisht i ulët i produktivitetit në punë, sidomos në sektorin e bujqësisë, pasqyrohet në nivelin e pagave në Shqipëri. Ndër shqetësimet kryesore të raportuara nga bizneset është mungesa e punonjësve të kualifikuar dhe raporti i pabalancuar midis pagesës dhe produktivitetit në punë</w:t>
      </w:r>
      <w:r w:rsidRPr="00E35625">
        <w:rPr>
          <w:rStyle w:val="FootnoteReference"/>
          <w:rFonts w:ascii="Calibri" w:hAnsi="Calibri" w:cs="Calibri"/>
          <w:lang w:val="sq-AL"/>
        </w:rPr>
        <w:footnoteReference w:id="1"/>
      </w:r>
      <w:r w:rsidRPr="00E35625">
        <w:rPr>
          <w:lang w:val="sq-AL"/>
        </w:rPr>
        <w:t xml:space="preserve">. Presioni i mungesës së fuqisë punëtore të kualifikuar </w:t>
      </w:r>
      <w:r w:rsidR="00642117">
        <w:rPr>
          <w:lang w:val="sq-AL"/>
        </w:rPr>
        <w:t>do të ndikojë në rritjen</w:t>
      </w:r>
      <w:r w:rsidR="00D162EA">
        <w:rPr>
          <w:lang w:val="sq-AL"/>
        </w:rPr>
        <w:t xml:space="preserve"> </w:t>
      </w:r>
      <w:r w:rsidR="00642117">
        <w:rPr>
          <w:lang w:val="sq-AL"/>
        </w:rPr>
        <w:t>e</w:t>
      </w:r>
      <w:r w:rsidRPr="00E35625">
        <w:rPr>
          <w:lang w:val="sq-AL"/>
        </w:rPr>
        <w:t xml:space="preserve"> nivel</w:t>
      </w:r>
      <w:r w:rsidR="00642117">
        <w:rPr>
          <w:lang w:val="sq-AL"/>
        </w:rPr>
        <w:t>i</w:t>
      </w:r>
      <w:r w:rsidRPr="00E35625">
        <w:rPr>
          <w:lang w:val="sq-AL"/>
        </w:rPr>
        <w:t xml:space="preserve">t </w:t>
      </w:r>
      <w:r w:rsidR="00642117">
        <w:rPr>
          <w:lang w:val="sq-AL"/>
        </w:rPr>
        <w:t>të</w:t>
      </w:r>
      <w:r w:rsidRPr="00E35625">
        <w:rPr>
          <w:lang w:val="sq-AL"/>
        </w:rPr>
        <w:t xml:space="preserve"> pagave, duke i kthyer në më tërheqëse shumë pozicione pune në treg, por që bizneset vendase të jenë të afta të konkur</w:t>
      </w:r>
      <w:r w:rsidR="003B2767" w:rsidRPr="00E35625">
        <w:rPr>
          <w:lang w:val="sq-AL"/>
        </w:rPr>
        <w:t>r</w:t>
      </w:r>
      <w:r w:rsidRPr="00E35625">
        <w:rPr>
          <w:lang w:val="sq-AL"/>
        </w:rPr>
        <w:t>ojnë brenda vendit apo rajonit të hapur, është e nevojshme që ky proces të përparojë së bashku me përmirësimet e domosdoshme të produktivitetit në punë.</w:t>
      </w:r>
    </w:p>
    <w:p w14:paraId="52C987AF" w14:textId="3766D9A1" w:rsidR="00FE008B" w:rsidRPr="00E35625" w:rsidRDefault="00FE008B" w:rsidP="00E14B65">
      <w:pPr>
        <w:rPr>
          <w:lang w:val="sq-AL"/>
        </w:rPr>
      </w:pPr>
      <w:r w:rsidRPr="00E35625">
        <w:rPr>
          <w:lang w:val="sq-AL"/>
        </w:rPr>
        <w:t xml:space="preserve">Përmirësimi i aftësive për punë dhe inovacioni është një nga tri shtyllat për fuqizimin e konkurueshmërisë së ekonomisë shqiptare, sipas programit të qeverisë, së bashku me përmirësimin e klimës së biznesit dhe investimeve, dhe funksionimin e një mbrojtjeje efektive sociale. Qeveria ka identifikuar sektorët e turizmit, teknologjisë së informacionit, energjisë dhe bujqësisë si parësorë për zhvillimin e vendit. Për këtë arsye, së bashku me sektorët e përmendur më sipër, që mundësojnë punësim më të </w:t>
      </w:r>
      <w:r w:rsidR="002F5E2C">
        <w:rPr>
          <w:lang w:val="sq-AL"/>
        </w:rPr>
        <w:t>lart</w:t>
      </w:r>
      <w:r w:rsidRPr="00E35625">
        <w:rPr>
          <w:lang w:val="sq-AL"/>
        </w:rPr>
        <w:t xml:space="preserve">ë për shqiptarët dhe ku niveli i produktivitetit krijon premisa për rritje të nivelit të mirëqenies së qytetarëve përmes investimeve dhe zhvillimit të sektorit privat, është e nevojshme që të aftësimi i të rinjve dhe të rejave si dhe atyre të angazhuar në punë t’u paraprijë kërkesave që këta sektorë do të kenë për tregun e punës gjatë dekadës së ardhshme, në përputhje me stadin e zhvillimit të </w:t>
      </w:r>
      <w:r w:rsidRPr="00E35625">
        <w:rPr>
          <w:lang w:val="sq-AL"/>
        </w:rPr>
        <w:lastRenderedPageBreak/>
        <w:t>tyre. Pa dyshim, rol të rëndësishëm në këtë drejtim do të kenë strategjitë, politikat dhe buxhetet e sektorëve specifikë por gërshetimi i tyre me kërkesat për tregun e punës janë më se të nevojshme (p.sh. sektori i turizmit po rritet me miliona turistë në pak vite, krahas investimeve në infrastrukturë apo hoteleri, sa fuqi punëtore dhe me cilat aftësi specifike do të duhen deri në vitin 2030).</w:t>
      </w:r>
    </w:p>
    <w:p w14:paraId="186738F1" w14:textId="77777777" w:rsidR="00FE008B" w:rsidRPr="00E35625" w:rsidRDefault="00FE008B" w:rsidP="00E14B65">
      <w:pPr>
        <w:rPr>
          <w:lang w:val="sq-AL"/>
        </w:rPr>
      </w:pPr>
      <w:r w:rsidRPr="00E35625">
        <w:rPr>
          <w:lang w:val="sq-AL"/>
        </w:rPr>
        <w:t>Me gjithë progresin e arritur në uljen e papunësisë, tregu i punës përballet me sfida të rëndësishme të cilat do të vijojnë të kërkojnë vëmendjen e politikave mbështetëse dhe orientuese në të ardhmen:</w:t>
      </w:r>
    </w:p>
    <w:p w14:paraId="4B002C66" w14:textId="0544CE34" w:rsidR="00FE008B" w:rsidRDefault="00FE008B" w:rsidP="00E14B65">
      <w:pPr>
        <w:rPr>
          <w:lang w:val="sq-AL"/>
        </w:rPr>
      </w:pPr>
      <w:r w:rsidRPr="00E35625">
        <w:rPr>
          <w:b/>
          <w:lang w:val="sq-AL"/>
        </w:rPr>
        <w:t xml:space="preserve">Niveli i papunësisë tek të rinjtë është në nivel </w:t>
      </w:r>
      <w:r w:rsidR="005D78B3" w:rsidRPr="00E35625">
        <w:rPr>
          <w:b/>
          <w:lang w:val="sq-AL"/>
        </w:rPr>
        <w:t xml:space="preserve">relativisht </w:t>
      </w:r>
      <w:r w:rsidRPr="00E35625">
        <w:rPr>
          <w:b/>
          <w:lang w:val="sq-AL"/>
        </w:rPr>
        <w:t>të lartë</w:t>
      </w:r>
      <w:r w:rsidRPr="00E35625">
        <w:rPr>
          <w:lang w:val="sq-AL"/>
        </w:rPr>
        <w:t xml:space="preserve"> (2</w:t>
      </w:r>
      <w:r w:rsidR="00886E03" w:rsidRPr="00E35625">
        <w:rPr>
          <w:lang w:val="sq-AL"/>
        </w:rPr>
        <w:t>7</w:t>
      </w:r>
      <w:r w:rsidRPr="00E35625">
        <w:rPr>
          <w:lang w:val="sq-AL"/>
        </w:rPr>
        <w:t xml:space="preserve">.1 </w:t>
      </w:r>
      <w:r w:rsidR="004A16A4">
        <w:rPr>
          <w:lang w:val="sq-AL"/>
        </w:rPr>
        <w:t xml:space="preserve"> përqind</w:t>
      </w:r>
      <w:r w:rsidRPr="00E35625">
        <w:rPr>
          <w:lang w:val="sq-AL"/>
        </w:rPr>
        <w:t xml:space="preserve"> në vitin 2021), duke treguar se të rinjtë ne një masë të konsiderueshme </w:t>
      </w:r>
      <w:r w:rsidR="00886E03" w:rsidRPr="00E35625">
        <w:rPr>
          <w:lang w:val="sq-AL"/>
        </w:rPr>
        <w:t>e kan</w:t>
      </w:r>
      <w:r w:rsidR="00E35625" w:rsidRPr="00E35625">
        <w:rPr>
          <w:lang w:val="sq-AL"/>
        </w:rPr>
        <w:t>ë</w:t>
      </w:r>
      <w:r w:rsidR="00886E03" w:rsidRPr="00E35625">
        <w:rPr>
          <w:lang w:val="sq-AL"/>
        </w:rPr>
        <w:t xml:space="preserve"> t</w:t>
      </w:r>
      <w:r w:rsidR="00E35625" w:rsidRPr="00E35625">
        <w:rPr>
          <w:lang w:val="sq-AL"/>
        </w:rPr>
        <w:t>ë</w:t>
      </w:r>
      <w:r w:rsidR="00886E03" w:rsidRPr="00E35625">
        <w:rPr>
          <w:lang w:val="sq-AL"/>
        </w:rPr>
        <w:t xml:space="preserve"> v</w:t>
      </w:r>
      <w:r w:rsidR="00E35625" w:rsidRPr="00E35625">
        <w:rPr>
          <w:lang w:val="sq-AL"/>
        </w:rPr>
        <w:t>ë</w:t>
      </w:r>
      <w:r w:rsidR="00886E03" w:rsidRPr="00E35625">
        <w:rPr>
          <w:lang w:val="sq-AL"/>
        </w:rPr>
        <w:t>shtir</w:t>
      </w:r>
      <w:r w:rsidR="00E35625" w:rsidRPr="00E35625">
        <w:rPr>
          <w:lang w:val="sq-AL"/>
        </w:rPr>
        <w:t>ë</w:t>
      </w:r>
      <w:r w:rsidRPr="00E35625">
        <w:rPr>
          <w:lang w:val="sq-AL"/>
        </w:rPr>
        <w:t xml:space="preserve"> të gjejnë në treg punë që </w:t>
      </w:r>
      <w:r w:rsidR="00886E03" w:rsidRPr="00E35625">
        <w:rPr>
          <w:lang w:val="sq-AL"/>
        </w:rPr>
        <w:t>I</w:t>
      </w:r>
      <w:r w:rsidRPr="00E35625">
        <w:rPr>
          <w:lang w:val="sq-AL"/>
        </w:rPr>
        <w:t xml:space="preserve"> përgjigjet pritshmërive të tyre</w:t>
      </w:r>
      <w:r w:rsidR="00886E03" w:rsidRPr="00E35625">
        <w:rPr>
          <w:lang w:val="sq-AL"/>
        </w:rPr>
        <w:t>,</w:t>
      </w:r>
      <w:r w:rsidRPr="00E35625">
        <w:rPr>
          <w:lang w:val="sq-AL"/>
        </w:rPr>
        <w:t xml:space="preserve"> duke mbetur të papërfshirë në aktivitetin ekonomik të vendit dhe të varur ndaj mbështetjes sociale që </w:t>
      </w:r>
      <w:r w:rsidR="00886E03" w:rsidRPr="00E35625">
        <w:rPr>
          <w:lang w:val="sq-AL"/>
        </w:rPr>
        <w:t>i</w:t>
      </w:r>
      <w:r w:rsidRPr="00E35625">
        <w:rPr>
          <w:lang w:val="sq-AL"/>
        </w:rPr>
        <w:t xml:space="preserve">u jepet nga familja, shteti, të afërmit e tyre në emigracion apo të punësuar në vend. Po kështu e lartë mbetet dhe pjesa e të rinjve jo në punësim dhe as duke ndjekur shkollën, e cila përbënte 26.1 </w:t>
      </w:r>
      <w:r w:rsidR="004A16A4">
        <w:rPr>
          <w:lang w:val="sq-AL"/>
        </w:rPr>
        <w:t xml:space="preserve"> përqind</w:t>
      </w:r>
      <w:r w:rsidRPr="00E35625">
        <w:rPr>
          <w:lang w:val="sq-AL"/>
        </w:rPr>
        <w:t xml:space="preserve"> të të rinjve 15-29 vje</w:t>
      </w:r>
      <w:r w:rsidR="003B2767" w:rsidRPr="00E35625">
        <w:rPr>
          <w:lang w:val="sq-AL"/>
        </w:rPr>
        <w:t>ç</w:t>
      </w:r>
      <w:r w:rsidRPr="00E35625">
        <w:rPr>
          <w:lang w:val="sq-AL"/>
        </w:rPr>
        <w:t xml:space="preserve"> gjatë vitit 2021, me</w:t>
      </w:r>
      <w:r w:rsidR="003B2767" w:rsidRPr="00E35625">
        <w:rPr>
          <w:lang w:val="sq-AL"/>
        </w:rPr>
        <w:t xml:space="preserve"> </w:t>
      </w:r>
      <w:r w:rsidRPr="00E35625">
        <w:rPr>
          <w:lang w:val="sq-AL"/>
        </w:rPr>
        <w:t xml:space="preserve">gjithë përmirësimin gradual të këtij treguesi, nga 34.5 </w:t>
      </w:r>
      <w:r w:rsidR="004A16A4">
        <w:rPr>
          <w:lang w:val="sq-AL"/>
        </w:rPr>
        <w:t xml:space="preserve"> përqind</w:t>
      </w:r>
      <w:r w:rsidRPr="00E35625">
        <w:rPr>
          <w:lang w:val="sq-AL"/>
        </w:rPr>
        <w:t xml:space="preserve"> që ishte në vitin 2014.  </w:t>
      </w:r>
      <w:r w:rsidR="003B2767" w:rsidRPr="00E35625">
        <w:rPr>
          <w:lang w:val="sq-AL"/>
        </w:rPr>
        <w:t>Përve</w:t>
      </w:r>
      <w:r w:rsidRPr="00E35625">
        <w:rPr>
          <w:lang w:val="sq-AL"/>
        </w:rPr>
        <w:t xml:space="preserve">ç </w:t>
      </w:r>
      <w:r w:rsidR="00886E03" w:rsidRPr="00E35625">
        <w:rPr>
          <w:lang w:val="sq-AL"/>
        </w:rPr>
        <w:t>mosp</w:t>
      </w:r>
      <w:r w:rsidR="00E35625" w:rsidRPr="00E35625">
        <w:rPr>
          <w:lang w:val="sq-AL"/>
        </w:rPr>
        <w:t>ë</w:t>
      </w:r>
      <w:r w:rsidR="00886E03" w:rsidRPr="00E35625">
        <w:rPr>
          <w:lang w:val="sq-AL"/>
        </w:rPr>
        <w:t xml:space="preserve">rputhjes </w:t>
      </w:r>
      <w:r w:rsidR="00642117">
        <w:rPr>
          <w:lang w:val="sq-AL"/>
        </w:rPr>
        <w:t xml:space="preserve">mes formimit dhe </w:t>
      </w:r>
      <w:r w:rsidRPr="00E35625">
        <w:rPr>
          <w:lang w:val="sq-AL"/>
        </w:rPr>
        <w:t xml:space="preserve">vendeve të punës, shumë faktorë të rëndësishëm ekonomikë e socialë ndikojnë në </w:t>
      </w:r>
      <w:r w:rsidR="00886E03" w:rsidRPr="00E35625">
        <w:rPr>
          <w:lang w:val="sq-AL"/>
        </w:rPr>
        <w:t>mospjes</w:t>
      </w:r>
      <w:r w:rsidR="006D736C">
        <w:rPr>
          <w:lang w:val="sq-AL"/>
        </w:rPr>
        <w:t>ë</w:t>
      </w:r>
      <w:r w:rsidR="00886E03" w:rsidRPr="00E35625">
        <w:rPr>
          <w:lang w:val="sq-AL"/>
        </w:rPr>
        <w:t xml:space="preserve">marrjen </w:t>
      </w:r>
      <w:r w:rsidRPr="00E35625">
        <w:rPr>
          <w:lang w:val="sq-AL"/>
        </w:rPr>
        <w:t>e të rinjve n</w:t>
      </w:r>
      <w:r w:rsidR="00E35625" w:rsidRPr="00E35625">
        <w:rPr>
          <w:lang w:val="sq-AL"/>
        </w:rPr>
        <w:t>ë</w:t>
      </w:r>
      <w:r w:rsidRPr="00E35625">
        <w:rPr>
          <w:lang w:val="sq-AL"/>
        </w:rPr>
        <w:t xml:space="preserve"> tregu</w:t>
      </w:r>
      <w:r w:rsidR="00886E03" w:rsidRPr="00E35625">
        <w:rPr>
          <w:lang w:val="sq-AL"/>
        </w:rPr>
        <w:t>n e</w:t>
      </w:r>
      <w:r w:rsidRPr="00E35625">
        <w:rPr>
          <w:lang w:val="sq-AL"/>
        </w:rPr>
        <w:t xml:space="preserve"> punës: kushtet e duhura për punë të denjë, formimi i duhur, mungesa e përvojës, aksesi në tregun e punës</w:t>
      </w:r>
      <w:r w:rsidR="00642117">
        <w:rPr>
          <w:lang w:val="sq-AL"/>
        </w:rPr>
        <w:t>, kujdesi në familje</w:t>
      </w:r>
      <w:r w:rsidR="00886E03" w:rsidRPr="00E35625">
        <w:rPr>
          <w:lang w:val="sq-AL"/>
        </w:rPr>
        <w:t xml:space="preserve"> apo dhe faktor</w:t>
      </w:r>
      <w:r w:rsidR="00E35625" w:rsidRPr="00E35625">
        <w:rPr>
          <w:lang w:val="sq-AL"/>
        </w:rPr>
        <w:t>ë</w:t>
      </w:r>
      <w:r w:rsidR="00886E03" w:rsidRPr="00E35625">
        <w:rPr>
          <w:lang w:val="sq-AL"/>
        </w:rPr>
        <w:t xml:space="preserve"> t</w:t>
      </w:r>
      <w:r w:rsidR="00E35625" w:rsidRPr="00E35625">
        <w:rPr>
          <w:lang w:val="sq-AL"/>
        </w:rPr>
        <w:t>ë</w:t>
      </w:r>
      <w:r w:rsidR="00886E03" w:rsidRPr="00E35625">
        <w:rPr>
          <w:lang w:val="sq-AL"/>
        </w:rPr>
        <w:t xml:space="preserve"> tjer</w:t>
      </w:r>
      <w:r w:rsidR="00E35625" w:rsidRPr="00E35625">
        <w:rPr>
          <w:lang w:val="sq-AL"/>
        </w:rPr>
        <w:t>ë</w:t>
      </w:r>
      <w:r w:rsidR="00886E03" w:rsidRPr="00E35625">
        <w:rPr>
          <w:lang w:val="sq-AL"/>
        </w:rPr>
        <w:t xml:space="preserve">. </w:t>
      </w:r>
    </w:p>
    <w:p w14:paraId="3BA74815" w14:textId="77777777" w:rsidR="00B749B7" w:rsidRPr="00E35625" w:rsidRDefault="00B749B7" w:rsidP="00E14B65">
      <w:pPr>
        <w:rPr>
          <w:lang w:val="sq-AL"/>
        </w:rPr>
      </w:pPr>
    </w:p>
    <w:p w14:paraId="49E7A832" w14:textId="7BDC1710" w:rsidR="00B749B7" w:rsidRDefault="00B749B7" w:rsidP="009116BF">
      <w:pPr>
        <w:pStyle w:val="Caption"/>
        <w:keepNext/>
        <w:jc w:val="center"/>
      </w:pPr>
      <w:bookmarkStart w:id="7" w:name="_Toc123162114"/>
      <w:r>
        <w:t xml:space="preserve">Figura </w:t>
      </w:r>
      <w:r w:rsidR="004D4D2F">
        <w:fldChar w:fldCharType="begin"/>
      </w:r>
      <w:r w:rsidR="004D4D2F">
        <w:instrText xml:space="preserve"> SEQ Figura \* ARABIC </w:instrText>
      </w:r>
      <w:r w:rsidR="004D4D2F">
        <w:fldChar w:fldCharType="separate"/>
      </w:r>
      <w:r w:rsidR="00342919">
        <w:rPr>
          <w:noProof/>
        </w:rPr>
        <w:t>3</w:t>
      </w:r>
      <w:r w:rsidR="004D4D2F">
        <w:rPr>
          <w:noProof/>
        </w:rPr>
        <w:fldChar w:fldCharType="end"/>
      </w:r>
      <w:r>
        <w:t>: Shkalla e papunësisë, 2014-2021</w:t>
      </w:r>
      <w:bookmarkEnd w:id="7"/>
    </w:p>
    <w:p w14:paraId="60B41D65" w14:textId="65746A0A" w:rsidR="00FE008B" w:rsidRPr="00E35625" w:rsidRDefault="00FE008B" w:rsidP="0061550F">
      <w:pPr>
        <w:jc w:val="center"/>
        <w:rPr>
          <w:lang w:val="sq-AL"/>
        </w:rPr>
      </w:pPr>
      <w:r w:rsidRPr="00E35625">
        <w:rPr>
          <w:noProof/>
        </w:rPr>
        <w:drawing>
          <wp:inline distT="0" distB="0" distL="0" distR="0" wp14:anchorId="7169E122" wp14:editId="64F350EC">
            <wp:extent cx="4596130" cy="2199640"/>
            <wp:effectExtent l="0" t="0" r="13970"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D88B72" w14:textId="59D18B49" w:rsidR="00FE008B" w:rsidRDefault="00642117" w:rsidP="00E14B65">
      <w:pPr>
        <w:rPr>
          <w:lang w:val="sq-AL"/>
        </w:rPr>
      </w:pPr>
      <w:r>
        <w:rPr>
          <w:lang w:val="sq-AL"/>
        </w:rPr>
        <w:t>Sipas statistikave zyrtare, n</w:t>
      </w:r>
      <w:r w:rsidR="00FE008B" w:rsidRPr="00E35625">
        <w:rPr>
          <w:lang w:val="sq-AL"/>
        </w:rPr>
        <w:t xml:space="preserve">iveli i papunësisë është më i theksuar tek personat me arsimim më të ulët, gratë, banorët në zonat rurale dhe qytete të vogla dhe ndër shtresat e tjera vulnerabël të popullsisë duke ndikuar në një masë edhe më të madhe në nivelin e varfërisë së tyre. Në mënyrë të dukshme, vajzat dhe gratë rezultojnë në një pozitë më të pafavorshme se meshkujt në të gjithë treguesit e punësimit në vend. </w:t>
      </w:r>
    </w:p>
    <w:p w14:paraId="56D948FC" w14:textId="77777777" w:rsidR="00117AD4" w:rsidRPr="00E35625" w:rsidRDefault="00117AD4" w:rsidP="00E14B65">
      <w:pPr>
        <w:rPr>
          <w:lang w:val="sq-AL"/>
        </w:rPr>
      </w:pPr>
    </w:p>
    <w:p w14:paraId="36390749" w14:textId="576C9ADD" w:rsidR="00642117" w:rsidRDefault="00642117" w:rsidP="007C4861">
      <w:pPr>
        <w:pStyle w:val="Caption"/>
        <w:keepNext/>
        <w:jc w:val="center"/>
      </w:pPr>
      <w:bookmarkStart w:id="8" w:name="_Toc123166700"/>
      <w:r>
        <w:t xml:space="preserve">Tabela </w:t>
      </w:r>
      <w:r w:rsidR="004D4D2F">
        <w:fldChar w:fldCharType="begin"/>
      </w:r>
      <w:r w:rsidR="004D4D2F">
        <w:instrText xml:space="preserve"> SEQ Tabela \* ARABIC </w:instrText>
      </w:r>
      <w:r w:rsidR="004D4D2F">
        <w:fldChar w:fldCharType="separate"/>
      </w:r>
      <w:r w:rsidR="00342919">
        <w:rPr>
          <w:noProof/>
        </w:rPr>
        <w:t>1</w:t>
      </w:r>
      <w:r w:rsidR="004D4D2F">
        <w:rPr>
          <w:noProof/>
        </w:rPr>
        <w:fldChar w:fldCharType="end"/>
      </w:r>
      <w:r>
        <w:t>: Të dhëna kryesore mbi tregun e punës, 2021. Anketa e Forcave të Punës, INSTAT, 2021</w:t>
      </w:r>
      <w:bookmarkEnd w:id="8"/>
    </w:p>
    <w:tbl>
      <w:tblPr>
        <w:tblW w:w="0" w:type="auto"/>
        <w:tblLook w:val="04A0" w:firstRow="1" w:lastRow="0" w:firstColumn="1" w:lastColumn="0" w:noHBand="0" w:noVBand="1"/>
      </w:tblPr>
      <w:tblGrid>
        <w:gridCol w:w="3049"/>
        <w:gridCol w:w="775"/>
        <w:gridCol w:w="712"/>
        <w:gridCol w:w="709"/>
        <w:gridCol w:w="709"/>
        <w:gridCol w:w="754"/>
        <w:gridCol w:w="663"/>
        <w:gridCol w:w="663"/>
        <w:gridCol w:w="663"/>
        <w:gridCol w:w="663"/>
      </w:tblGrid>
      <w:tr w:rsidR="003B2767" w:rsidRPr="00E35625" w14:paraId="5522738C" w14:textId="77777777" w:rsidTr="003B2767">
        <w:trPr>
          <w:trHeight w:val="285"/>
        </w:trPr>
        <w:tc>
          <w:tcPr>
            <w:tcW w:w="3049" w:type="dxa"/>
            <w:tcBorders>
              <w:top w:val="nil"/>
              <w:left w:val="nil"/>
              <w:bottom w:val="single" w:sz="12" w:space="0" w:color="FFFFFF"/>
              <w:right w:val="single" w:sz="4" w:space="0" w:color="FFFFFF"/>
            </w:tcBorders>
            <w:shd w:val="clear" w:color="auto" w:fill="F79646"/>
            <w:noWrap/>
            <w:vAlign w:val="bottom"/>
            <w:hideMark/>
          </w:tcPr>
          <w:p w14:paraId="266A99DD" w14:textId="77777777" w:rsidR="00FE008B" w:rsidRPr="00E35625" w:rsidRDefault="00FE008B" w:rsidP="00E14B65">
            <w:pPr>
              <w:rPr>
                <w:lang w:val="sq-AL"/>
              </w:rPr>
            </w:pPr>
            <w:r w:rsidRPr="00E35625">
              <w:rPr>
                <w:lang w:val="sq-AL"/>
              </w:rPr>
              <w:t>Treguesi</w:t>
            </w:r>
          </w:p>
        </w:tc>
        <w:tc>
          <w:tcPr>
            <w:tcW w:w="775" w:type="dxa"/>
            <w:tcBorders>
              <w:top w:val="nil"/>
              <w:left w:val="single" w:sz="4" w:space="0" w:color="FFFFFF"/>
              <w:bottom w:val="single" w:sz="12" w:space="0" w:color="FFFFFF"/>
              <w:right w:val="single" w:sz="4" w:space="0" w:color="FFFFFF"/>
            </w:tcBorders>
            <w:shd w:val="clear" w:color="auto" w:fill="F79646"/>
            <w:noWrap/>
            <w:vAlign w:val="bottom"/>
            <w:hideMark/>
          </w:tcPr>
          <w:p w14:paraId="629D7A17" w14:textId="77777777" w:rsidR="00FE008B" w:rsidRPr="00E35625" w:rsidRDefault="00FE008B" w:rsidP="00E14B65">
            <w:pPr>
              <w:rPr>
                <w:lang w:val="sq-AL"/>
              </w:rPr>
            </w:pPr>
          </w:p>
        </w:tc>
        <w:tc>
          <w:tcPr>
            <w:tcW w:w="712" w:type="dxa"/>
            <w:tcBorders>
              <w:top w:val="nil"/>
              <w:left w:val="single" w:sz="4" w:space="0" w:color="FFFFFF"/>
              <w:bottom w:val="single" w:sz="12" w:space="0" w:color="FFFFFF"/>
              <w:right w:val="single" w:sz="4" w:space="0" w:color="FFFFFF"/>
            </w:tcBorders>
            <w:shd w:val="clear" w:color="auto" w:fill="F79646"/>
            <w:noWrap/>
            <w:vAlign w:val="bottom"/>
            <w:hideMark/>
          </w:tcPr>
          <w:p w14:paraId="4E61B725" w14:textId="77777777" w:rsidR="00FE008B" w:rsidRPr="00E35625" w:rsidRDefault="00FE008B" w:rsidP="00E14B65">
            <w:pPr>
              <w:rPr>
                <w:lang w:val="sq-AL"/>
              </w:rPr>
            </w:pPr>
            <w:r w:rsidRPr="00E35625">
              <w:rPr>
                <w:lang w:val="sq-AL"/>
              </w:rPr>
              <w:t>2014</w:t>
            </w:r>
          </w:p>
        </w:tc>
        <w:tc>
          <w:tcPr>
            <w:tcW w:w="709" w:type="dxa"/>
            <w:tcBorders>
              <w:top w:val="nil"/>
              <w:left w:val="single" w:sz="4" w:space="0" w:color="FFFFFF"/>
              <w:bottom w:val="single" w:sz="12" w:space="0" w:color="FFFFFF"/>
              <w:right w:val="single" w:sz="4" w:space="0" w:color="FFFFFF"/>
            </w:tcBorders>
            <w:shd w:val="clear" w:color="auto" w:fill="F79646"/>
            <w:noWrap/>
            <w:vAlign w:val="bottom"/>
            <w:hideMark/>
          </w:tcPr>
          <w:p w14:paraId="15BBEAC6" w14:textId="77777777" w:rsidR="00FE008B" w:rsidRPr="00E35625" w:rsidRDefault="00FE008B" w:rsidP="00E14B65">
            <w:pPr>
              <w:rPr>
                <w:lang w:val="sq-AL"/>
              </w:rPr>
            </w:pPr>
            <w:r w:rsidRPr="00E35625">
              <w:rPr>
                <w:lang w:val="sq-AL"/>
              </w:rPr>
              <w:t>2015</w:t>
            </w:r>
          </w:p>
        </w:tc>
        <w:tc>
          <w:tcPr>
            <w:tcW w:w="709" w:type="dxa"/>
            <w:tcBorders>
              <w:top w:val="nil"/>
              <w:left w:val="single" w:sz="4" w:space="0" w:color="FFFFFF"/>
              <w:bottom w:val="single" w:sz="12" w:space="0" w:color="FFFFFF"/>
              <w:right w:val="single" w:sz="4" w:space="0" w:color="FFFFFF"/>
            </w:tcBorders>
            <w:shd w:val="clear" w:color="auto" w:fill="F79646"/>
            <w:noWrap/>
            <w:vAlign w:val="bottom"/>
            <w:hideMark/>
          </w:tcPr>
          <w:p w14:paraId="652A69B8" w14:textId="77777777" w:rsidR="00FE008B" w:rsidRPr="00E35625" w:rsidRDefault="00FE008B" w:rsidP="00E14B65">
            <w:pPr>
              <w:rPr>
                <w:lang w:val="sq-AL"/>
              </w:rPr>
            </w:pPr>
            <w:r w:rsidRPr="00E35625">
              <w:rPr>
                <w:lang w:val="sq-AL"/>
              </w:rPr>
              <w:t>2016</w:t>
            </w:r>
          </w:p>
        </w:tc>
        <w:tc>
          <w:tcPr>
            <w:tcW w:w="754" w:type="dxa"/>
            <w:tcBorders>
              <w:top w:val="nil"/>
              <w:left w:val="single" w:sz="4" w:space="0" w:color="FFFFFF"/>
              <w:bottom w:val="single" w:sz="12" w:space="0" w:color="FFFFFF"/>
              <w:right w:val="single" w:sz="4" w:space="0" w:color="FFFFFF"/>
            </w:tcBorders>
            <w:shd w:val="clear" w:color="auto" w:fill="F79646"/>
            <w:noWrap/>
            <w:vAlign w:val="bottom"/>
            <w:hideMark/>
          </w:tcPr>
          <w:p w14:paraId="2726B61A" w14:textId="77777777" w:rsidR="00FE008B" w:rsidRPr="00E35625" w:rsidRDefault="00FE008B" w:rsidP="00E14B65">
            <w:pPr>
              <w:rPr>
                <w:lang w:val="sq-AL"/>
              </w:rPr>
            </w:pPr>
            <w:r w:rsidRPr="00E35625">
              <w:rPr>
                <w:lang w:val="sq-AL"/>
              </w:rPr>
              <w:t>2017</w:t>
            </w:r>
          </w:p>
        </w:tc>
        <w:tc>
          <w:tcPr>
            <w:tcW w:w="0" w:type="auto"/>
            <w:tcBorders>
              <w:top w:val="nil"/>
              <w:left w:val="single" w:sz="4" w:space="0" w:color="FFFFFF"/>
              <w:bottom w:val="single" w:sz="12" w:space="0" w:color="FFFFFF"/>
              <w:right w:val="single" w:sz="4" w:space="0" w:color="FFFFFF"/>
            </w:tcBorders>
            <w:shd w:val="clear" w:color="auto" w:fill="F79646"/>
            <w:noWrap/>
            <w:vAlign w:val="bottom"/>
            <w:hideMark/>
          </w:tcPr>
          <w:p w14:paraId="1324B966" w14:textId="77777777" w:rsidR="00FE008B" w:rsidRPr="00E35625" w:rsidRDefault="00FE008B" w:rsidP="00E14B65">
            <w:pPr>
              <w:rPr>
                <w:lang w:val="sq-AL"/>
              </w:rPr>
            </w:pPr>
            <w:r w:rsidRPr="00E35625">
              <w:rPr>
                <w:lang w:val="sq-AL"/>
              </w:rPr>
              <w:t>2018</w:t>
            </w:r>
          </w:p>
        </w:tc>
        <w:tc>
          <w:tcPr>
            <w:tcW w:w="0" w:type="auto"/>
            <w:tcBorders>
              <w:top w:val="nil"/>
              <w:left w:val="single" w:sz="4" w:space="0" w:color="FFFFFF"/>
              <w:bottom w:val="single" w:sz="12" w:space="0" w:color="FFFFFF"/>
              <w:right w:val="single" w:sz="4" w:space="0" w:color="FFFFFF"/>
            </w:tcBorders>
            <w:shd w:val="clear" w:color="auto" w:fill="F79646"/>
            <w:noWrap/>
            <w:vAlign w:val="bottom"/>
            <w:hideMark/>
          </w:tcPr>
          <w:p w14:paraId="02E92924" w14:textId="77777777" w:rsidR="00FE008B" w:rsidRPr="00E35625" w:rsidRDefault="00FE008B" w:rsidP="00E14B65">
            <w:pPr>
              <w:rPr>
                <w:lang w:val="sq-AL"/>
              </w:rPr>
            </w:pPr>
            <w:r w:rsidRPr="00E35625">
              <w:rPr>
                <w:lang w:val="sq-AL"/>
              </w:rPr>
              <w:t>2019</w:t>
            </w:r>
          </w:p>
        </w:tc>
        <w:tc>
          <w:tcPr>
            <w:tcW w:w="0" w:type="auto"/>
            <w:tcBorders>
              <w:top w:val="nil"/>
              <w:left w:val="single" w:sz="4" w:space="0" w:color="FFFFFF"/>
              <w:bottom w:val="single" w:sz="12" w:space="0" w:color="FFFFFF"/>
              <w:right w:val="single" w:sz="4" w:space="0" w:color="FFFFFF"/>
            </w:tcBorders>
            <w:shd w:val="clear" w:color="auto" w:fill="F79646"/>
            <w:noWrap/>
            <w:vAlign w:val="bottom"/>
            <w:hideMark/>
          </w:tcPr>
          <w:p w14:paraId="45DC0E90" w14:textId="77777777" w:rsidR="00FE008B" w:rsidRPr="00E35625" w:rsidRDefault="00FE008B" w:rsidP="00E14B65">
            <w:pPr>
              <w:rPr>
                <w:lang w:val="sq-AL"/>
              </w:rPr>
            </w:pPr>
            <w:r w:rsidRPr="00E35625">
              <w:rPr>
                <w:lang w:val="sq-AL"/>
              </w:rPr>
              <w:t>2020</w:t>
            </w:r>
          </w:p>
        </w:tc>
        <w:tc>
          <w:tcPr>
            <w:tcW w:w="0" w:type="auto"/>
            <w:tcBorders>
              <w:top w:val="nil"/>
              <w:left w:val="single" w:sz="4" w:space="0" w:color="FFFFFF"/>
              <w:bottom w:val="single" w:sz="12" w:space="0" w:color="FFFFFF"/>
              <w:right w:val="nil"/>
            </w:tcBorders>
            <w:shd w:val="clear" w:color="auto" w:fill="F79646"/>
            <w:noWrap/>
            <w:vAlign w:val="bottom"/>
            <w:hideMark/>
          </w:tcPr>
          <w:p w14:paraId="262784E8" w14:textId="77777777" w:rsidR="00FE008B" w:rsidRPr="00E35625" w:rsidRDefault="00FE008B" w:rsidP="00E14B65">
            <w:pPr>
              <w:rPr>
                <w:lang w:val="sq-AL"/>
              </w:rPr>
            </w:pPr>
            <w:r w:rsidRPr="00E35625">
              <w:rPr>
                <w:lang w:val="sq-AL"/>
              </w:rPr>
              <w:t>2021</w:t>
            </w:r>
          </w:p>
        </w:tc>
      </w:tr>
      <w:tr w:rsidR="003B2767" w:rsidRPr="00E35625" w14:paraId="279EB563"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CD5B4"/>
            <w:noWrap/>
            <w:vAlign w:val="bottom"/>
            <w:hideMark/>
          </w:tcPr>
          <w:p w14:paraId="25B7B5B3" w14:textId="77777777" w:rsidR="00FE008B" w:rsidRPr="00E35625" w:rsidRDefault="00FE008B" w:rsidP="00E14B65">
            <w:pPr>
              <w:rPr>
                <w:lang w:val="sq-AL"/>
              </w:rPr>
            </w:pPr>
            <w:r w:rsidRPr="00E35625">
              <w:rPr>
                <w:lang w:val="sq-AL"/>
              </w:rPr>
              <w:t xml:space="preserve">Shkalla e pjesëmarrjes në </w:t>
            </w:r>
            <w:r w:rsidRPr="00E35625">
              <w:rPr>
                <w:lang w:val="sq-AL"/>
              </w:rPr>
              <w:lastRenderedPageBreak/>
              <w:t>forcat e punës</w:t>
            </w:r>
          </w:p>
        </w:tc>
        <w:tc>
          <w:tcPr>
            <w:tcW w:w="775"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13C266D3" w14:textId="77777777" w:rsidR="00FE008B" w:rsidRPr="00E35625" w:rsidRDefault="00FE008B" w:rsidP="00E14B65">
            <w:pPr>
              <w:rPr>
                <w:lang w:val="sq-AL"/>
              </w:rPr>
            </w:pPr>
            <w:r w:rsidRPr="00E35625">
              <w:rPr>
                <w:lang w:val="sq-AL"/>
              </w:rPr>
              <w:lastRenderedPageBreak/>
              <w:t>Burra</w:t>
            </w:r>
          </w:p>
        </w:tc>
        <w:tc>
          <w:tcPr>
            <w:tcW w:w="712"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3EF7B7B" w14:textId="77777777" w:rsidR="00FE008B" w:rsidRPr="00E35625" w:rsidRDefault="00FE008B" w:rsidP="00E14B65">
            <w:pPr>
              <w:rPr>
                <w:lang w:val="sq-AL"/>
              </w:rPr>
            </w:pPr>
            <w:r w:rsidRPr="00E35625">
              <w:rPr>
                <w:lang w:val="sq-AL"/>
              </w:rPr>
              <w:t>63.5</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3560D475" w14:textId="77777777" w:rsidR="00FE008B" w:rsidRPr="00E35625" w:rsidRDefault="00FE008B" w:rsidP="00E14B65">
            <w:pPr>
              <w:rPr>
                <w:lang w:val="sq-AL"/>
              </w:rPr>
            </w:pPr>
            <w:r w:rsidRPr="00E35625">
              <w:rPr>
                <w:lang w:val="sq-AL"/>
              </w:rPr>
              <w:t>64.3</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5EC35DE0" w14:textId="77777777" w:rsidR="00FE008B" w:rsidRPr="00E35625" w:rsidRDefault="00FE008B" w:rsidP="00E14B65">
            <w:pPr>
              <w:rPr>
                <w:lang w:val="sq-AL"/>
              </w:rPr>
            </w:pPr>
            <w:r w:rsidRPr="00E35625">
              <w:rPr>
                <w:lang w:val="sq-AL"/>
              </w:rPr>
              <w:t>65.0</w:t>
            </w:r>
          </w:p>
        </w:tc>
        <w:tc>
          <w:tcPr>
            <w:tcW w:w="754"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7F53E42" w14:textId="77777777" w:rsidR="00FE008B" w:rsidRPr="00E35625" w:rsidRDefault="00FE008B" w:rsidP="00E14B65">
            <w:pPr>
              <w:rPr>
                <w:lang w:val="sq-AL"/>
              </w:rPr>
            </w:pPr>
            <w:r w:rsidRPr="00E35625">
              <w:rPr>
                <w:lang w:val="sq-AL"/>
              </w:rPr>
              <w:t>66.8</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66622252" w14:textId="77777777" w:rsidR="00FE008B" w:rsidRPr="00E35625" w:rsidRDefault="00FE008B" w:rsidP="00E14B65">
            <w:pPr>
              <w:rPr>
                <w:lang w:val="sq-AL"/>
              </w:rPr>
            </w:pPr>
            <w:r w:rsidRPr="00E35625">
              <w:rPr>
                <w:lang w:val="sq-AL"/>
              </w:rPr>
              <w:t>67.6</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5DCB9468" w14:textId="77777777" w:rsidR="00FE008B" w:rsidRPr="00E35625" w:rsidRDefault="00FE008B" w:rsidP="00E14B65">
            <w:pPr>
              <w:rPr>
                <w:lang w:val="sq-AL"/>
              </w:rPr>
            </w:pPr>
            <w:r w:rsidRPr="00E35625">
              <w:rPr>
                <w:lang w:val="sq-AL"/>
              </w:rPr>
              <w:t>68.0</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660933D8" w14:textId="77777777" w:rsidR="00FE008B" w:rsidRPr="00E35625" w:rsidRDefault="00FE008B" w:rsidP="00E14B65">
            <w:pPr>
              <w:rPr>
                <w:lang w:val="sq-AL"/>
              </w:rPr>
            </w:pPr>
            <w:r w:rsidRPr="00E35625">
              <w:rPr>
                <w:lang w:val="sq-AL"/>
              </w:rPr>
              <w:t>66.9</w:t>
            </w:r>
          </w:p>
        </w:tc>
        <w:tc>
          <w:tcPr>
            <w:tcW w:w="0" w:type="auto"/>
            <w:tcBorders>
              <w:top w:val="single" w:sz="4" w:space="0" w:color="FFFFFF"/>
              <w:left w:val="single" w:sz="4" w:space="0" w:color="FFFFFF"/>
              <w:bottom w:val="single" w:sz="4" w:space="0" w:color="FFFFFF"/>
              <w:right w:val="nil"/>
            </w:tcBorders>
            <w:shd w:val="clear" w:color="auto" w:fill="FCD5B4"/>
            <w:noWrap/>
            <w:vAlign w:val="bottom"/>
            <w:hideMark/>
          </w:tcPr>
          <w:p w14:paraId="0A16CC0D" w14:textId="77777777" w:rsidR="00FE008B" w:rsidRPr="00E35625" w:rsidRDefault="00FE008B" w:rsidP="00E14B65">
            <w:pPr>
              <w:rPr>
                <w:lang w:val="sq-AL"/>
              </w:rPr>
            </w:pPr>
            <w:r w:rsidRPr="00E35625">
              <w:rPr>
                <w:lang w:val="sq-AL"/>
              </w:rPr>
              <w:t>67.2</w:t>
            </w:r>
          </w:p>
        </w:tc>
      </w:tr>
      <w:tr w:rsidR="003B2767" w:rsidRPr="00E35625" w14:paraId="67296C78"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DE9D9"/>
            <w:noWrap/>
            <w:vAlign w:val="bottom"/>
            <w:hideMark/>
          </w:tcPr>
          <w:p w14:paraId="0EA16651" w14:textId="77777777" w:rsidR="00FE008B" w:rsidRPr="00E35625" w:rsidRDefault="00FE008B" w:rsidP="00E14B65">
            <w:pPr>
              <w:rPr>
                <w:lang w:val="sq-AL"/>
              </w:rPr>
            </w:pPr>
          </w:p>
        </w:tc>
        <w:tc>
          <w:tcPr>
            <w:tcW w:w="775"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0DEF29D" w14:textId="77777777" w:rsidR="00FE008B" w:rsidRPr="00E35625" w:rsidRDefault="00FE008B" w:rsidP="00E14B65">
            <w:pPr>
              <w:rPr>
                <w:lang w:val="sq-AL"/>
              </w:rPr>
            </w:pPr>
            <w:r w:rsidRPr="00E35625">
              <w:rPr>
                <w:lang w:val="sq-AL"/>
              </w:rPr>
              <w:t>Gra</w:t>
            </w:r>
          </w:p>
        </w:tc>
        <w:tc>
          <w:tcPr>
            <w:tcW w:w="712"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40E4BEC" w14:textId="77777777" w:rsidR="00FE008B" w:rsidRPr="00E35625" w:rsidRDefault="00FE008B" w:rsidP="00E14B65">
            <w:pPr>
              <w:rPr>
                <w:lang w:val="sq-AL"/>
              </w:rPr>
            </w:pPr>
            <w:r w:rsidRPr="00E35625">
              <w:rPr>
                <w:lang w:val="sq-AL"/>
              </w:rPr>
              <w:t>44.4</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1383833D" w14:textId="77777777" w:rsidR="00FE008B" w:rsidRPr="00E35625" w:rsidRDefault="00FE008B" w:rsidP="00E14B65">
            <w:pPr>
              <w:rPr>
                <w:lang w:val="sq-AL"/>
              </w:rPr>
            </w:pPr>
            <w:r w:rsidRPr="00E35625">
              <w:rPr>
                <w:lang w:val="sq-AL"/>
              </w:rPr>
              <w:t>47.2</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74E8138" w14:textId="77777777" w:rsidR="00FE008B" w:rsidRPr="00E35625" w:rsidRDefault="00FE008B" w:rsidP="00E14B65">
            <w:pPr>
              <w:rPr>
                <w:lang w:val="sq-AL"/>
              </w:rPr>
            </w:pPr>
            <w:r w:rsidRPr="00E35625">
              <w:rPr>
                <w:lang w:val="sq-AL"/>
              </w:rPr>
              <w:t>49.9</w:t>
            </w:r>
          </w:p>
        </w:tc>
        <w:tc>
          <w:tcPr>
            <w:tcW w:w="754"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59C014D0" w14:textId="77777777" w:rsidR="00FE008B" w:rsidRPr="00E35625" w:rsidRDefault="00FE008B" w:rsidP="00E14B65">
            <w:pPr>
              <w:rPr>
                <w:lang w:val="sq-AL"/>
              </w:rPr>
            </w:pPr>
            <w:r w:rsidRPr="00E35625">
              <w:rPr>
                <w:lang w:val="sq-AL"/>
              </w:rPr>
              <w:t>49.8</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8EB56BD" w14:textId="77777777" w:rsidR="00FE008B" w:rsidRPr="00E35625" w:rsidRDefault="00FE008B" w:rsidP="00E14B65">
            <w:pPr>
              <w:rPr>
                <w:lang w:val="sq-AL"/>
              </w:rPr>
            </w:pPr>
            <w:r w:rsidRPr="00E35625">
              <w:rPr>
                <w:lang w:val="sq-AL"/>
              </w:rPr>
              <w:t>51.4</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76B6F12" w14:textId="77777777" w:rsidR="00FE008B" w:rsidRPr="00E35625" w:rsidRDefault="00FE008B" w:rsidP="00E14B65">
            <w:pPr>
              <w:rPr>
                <w:lang w:val="sq-AL"/>
              </w:rPr>
            </w:pPr>
            <w:r w:rsidRPr="00E35625">
              <w:rPr>
                <w:lang w:val="sq-AL"/>
              </w:rPr>
              <w:t>53.0</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2F90DA49" w14:textId="77777777" w:rsidR="00FE008B" w:rsidRPr="00E35625" w:rsidRDefault="00FE008B" w:rsidP="00E14B65">
            <w:pPr>
              <w:rPr>
                <w:lang w:val="sq-AL"/>
              </w:rPr>
            </w:pPr>
            <w:r w:rsidRPr="00E35625">
              <w:rPr>
                <w:lang w:val="sq-AL"/>
              </w:rPr>
              <w:t>52.3</w:t>
            </w:r>
          </w:p>
        </w:tc>
        <w:tc>
          <w:tcPr>
            <w:tcW w:w="0" w:type="auto"/>
            <w:tcBorders>
              <w:top w:val="single" w:sz="4" w:space="0" w:color="FFFFFF"/>
              <w:left w:val="single" w:sz="4" w:space="0" w:color="FFFFFF"/>
              <w:bottom w:val="single" w:sz="4" w:space="0" w:color="FFFFFF"/>
              <w:right w:val="nil"/>
            </w:tcBorders>
            <w:shd w:val="clear" w:color="auto" w:fill="FDE9D9"/>
            <w:noWrap/>
            <w:vAlign w:val="bottom"/>
            <w:hideMark/>
          </w:tcPr>
          <w:p w14:paraId="6312E6B4" w14:textId="77777777" w:rsidR="00FE008B" w:rsidRPr="00E35625" w:rsidRDefault="00FE008B" w:rsidP="00E14B65">
            <w:pPr>
              <w:rPr>
                <w:lang w:val="sq-AL"/>
              </w:rPr>
            </w:pPr>
            <w:r w:rsidRPr="00E35625">
              <w:rPr>
                <w:lang w:val="sq-AL"/>
              </w:rPr>
              <w:t>52.6</w:t>
            </w:r>
          </w:p>
        </w:tc>
      </w:tr>
      <w:tr w:rsidR="003B2767" w:rsidRPr="00E35625" w14:paraId="6B72B777"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CD5B4"/>
            <w:noWrap/>
            <w:vAlign w:val="bottom"/>
            <w:hideMark/>
          </w:tcPr>
          <w:p w14:paraId="3B3312B5" w14:textId="77777777" w:rsidR="00FE008B" w:rsidRPr="00E35625" w:rsidRDefault="00FE008B" w:rsidP="00E14B65">
            <w:pPr>
              <w:rPr>
                <w:lang w:val="sq-AL"/>
              </w:rPr>
            </w:pPr>
            <w:r w:rsidRPr="00E35625">
              <w:rPr>
                <w:lang w:val="sq-AL"/>
              </w:rPr>
              <w:t>Shkalla e punësimit</w:t>
            </w:r>
          </w:p>
        </w:tc>
        <w:tc>
          <w:tcPr>
            <w:tcW w:w="775"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31617ECC" w14:textId="77777777" w:rsidR="00FE008B" w:rsidRPr="00E35625" w:rsidRDefault="00FE008B" w:rsidP="00E14B65">
            <w:pPr>
              <w:rPr>
                <w:lang w:val="sq-AL"/>
              </w:rPr>
            </w:pPr>
            <w:r w:rsidRPr="00E35625">
              <w:rPr>
                <w:lang w:val="sq-AL"/>
              </w:rPr>
              <w:t>Burra</w:t>
            </w:r>
          </w:p>
        </w:tc>
        <w:tc>
          <w:tcPr>
            <w:tcW w:w="712"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44A382C" w14:textId="77777777" w:rsidR="00FE008B" w:rsidRPr="00E35625" w:rsidRDefault="00FE008B" w:rsidP="00E14B65">
            <w:pPr>
              <w:rPr>
                <w:lang w:val="sq-AL"/>
              </w:rPr>
            </w:pPr>
            <w:r w:rsidRPr="00E35625">
              <w:rPr>
                <w:lang w:val="sq-AL"/>
              </w:rPr>
              <w:t>51.4</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E599E37" w14:textId="77777777" w:rsidR="00FE008B" w:rsidRPr="00E35625" w:rsidRDefault="00FE008B" w:rsidP="00E14B65">
            <w:pPr>
              <w:rPr>
                <w:lang w:val="sq-AL"/>
              </w:rPr>
            </w:pPr>
            <w:r w:rsidRPr="00E35625">
              <w:rPr>
                <w:lang w:val="sq-AL"/>
              </w:rPr>
              <w:t>53.3</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3F178098" w14:textId="77777777" w:rsidR="00FE008B" w:rsidRPr="00E35625" w:rsidRDefault="00FE008B" w:rsidP="00E14B65">
            <w:pPr>
              <w:rPr>
                <w:lang w:val="sq-AL"/>
              </w:rPr>
            </w:pPr>
            <w:r w:rsidRPr="00E35625">
              <w:rPr>
                <w:lang w:val="sq-AL"/>
              </w:rPr>
              <w:t>54.7</w:t>
            </w:r>
          </w:p>
        </w:tc>
        <w:tc>
          <w:tcPr>
            <w:tcW w:w="754"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3AD0E2E" w14:textId="77777777" w:rsidR="00FE008B" w:rsidRPr="00E35625" w:rsidRDefault="00FE008B" w:rsidP="00E14B65">
            <w:pPr>
              <w:rPr>
                <w:lang w:val="sq-AL"/>
              </w:rPr>
            </w:pPr>
            <w:r w:rsidRPr="00E35625">
              <w:rPr>
                <w:lang w:val="sq-AL"/>
              </w:rPr>
              <w:t>57.1</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105AEB7" w14:textId="77777777" w:rsidR="00FE008B" w:rsidRPr="00E35625" w:rsidRDefault="00FE008B" w:rsidP="00E14B65">
            <w:pPr>
              <w:rPr>
                <w:lang w:val="sq-AL"/>
              </w:rPr>
            </w:pPr>
            <w:r w:rsidRPr="00E35625">
              <w:rPr>
                <w:lang w:val="sq-AL"/>
              </w:rPr>
              <w:t>59.0</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720C5834" w14:textId="77777777" w:rsidR="00FE008B" w:rsidRPr="00E35625" w:rsidRDefault="00FE008B" w:rsidP="00E14B65">
            <w:pPr>
              <w:rPr>
                <w:lang w:val="sq-AL"/>
              </w:rPr>
            </w:pPr>
            <w:r w:rsidRPr="00E35625">
              <w:rPr>
                <w:lang w:val="sq-AL"/>
              </w:rPr>
              <w:t>60.1</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5EA0A5CB" w14:textId="77777777" w:rsidR="00FE008B" w:rsidRPr="00E35625" w:rsidRDefault="00FE008B" w:rsidP="00E14B65">
            <w:pPr>
              <w:rPr>
                <w:lang w:val="sq-AL"/>
              </w:rPr>
            </w:pPr>
            <w:r w:rsidRPr="00E35625">
              <w:rPr>
                <w:lang w:val="sq-AL"/>
              </w:rPr>
              <w:t>59.2</w:t>
            </w:r>
          </w:p>
        </w:tc>
        <w:tc>
          <w:tcPr>
            <w:tcW w:w="0" w:type="auto"/>
            <w:tcBorders>
              <w:top w:val="single" w:sz="4" w:space="0" w:color="FFFFFF"/>
              <w:left w:val="single" w:sz="4" w:space="0" w:color="FFFFFF"/>
              <w:bottom w:val="single" w:sz="4" w:space="0" w:color="FFFFFF"/>
              <w:right w:val="nil"/>
            </w:tcBorders>
            <w:shd w:val="clear" w:color="auto" w:fill="FCD5B4"/>
            <w:noWrap/>
            <w:vAlign w:val="bottom"/>
            <w:hideMark/>
          </w:tcPr>
          <w:p w14:paraId="540553F5" w14:textId="77777777" w:rsidR="00FE008B" w:rsidRPr="00E35625" w:rsidRDefault="00FE008B" w:rsidP="00E14B65">
            <w:pPr>
              <w:rPr>
                <w:lang w:val="sq-AL"/>
              </w:rPr>
            </w:pPr>
            <w:r w:rsidRPr="00E35625">
              <w:rPr>
                <w:lang w:val="sq-AL"/>
              </w:rPr>
              <w:t>59.5</w:t>
            </w:r>
          </w:p>
        </w:tc>
      </w:tr>
      <w:tr w:rsidR="003B2767" w:rsidRPr="00E35625" w14:paraId="2E5C40A4"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DE9D9"/>
            <w:noWrap/>
            <w:vAlign w:val="bottom"/>
            <w:hideMark/>
          </w:tcPr>
          <w:p w14:paraId="2AF54BCA" w14:textId="77777777" w:rsidR="00FE008B" w:rsidRPr="00E35625" w:rsidRDefault="00FE008B" w:rsidP="00E14B65">
            <w:pPr>
              <w:rPr>
                <w:lang w:val="sq-AL"/>
              </w:rPr>
            </w:pPr>
          </w:p>
        </w:tc>
        <w:tc>
          <w:tcPr>
            <w:tcW w:w="775"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1F694C17" w14:textId="77777777" w:rsidR="00FE008B" w:rsidRPr="00E35625" w:rsidRDefault="00FE008B" w:rsidP="00E14B65">
            <w:pPr>
              <w:rPr>
                <w:lang w:val="sq-AL"/>
              </w:rPr>
            </w:pPr>
            <w:r w:rsidRPr="00E35625">
              <w:rPr>
                <w:lang w:val="sq-AL"/>
              </w:rPr>
              <w:t>Gra</w:t>
            </w:r>
          </w:p>
        </w:tc>
        <w:tc>
          <w:tcPr>
            <w:tcW w:w="712"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2598E1AD" w14:textId="77777777" w:rsidR="00FE008B" w:rsidRPr="00E35625" w:rsidRDefault="00FE008B" w:rsidP="00E14B65">
            <w:pPr>
              <w:rPr>
                <w:lang w:val="sq-AL"/>
              </w:rPr>
            </w:pPr>
            <w:r w:rsidRPr="00E35625">
              <w:rPr>
                <w:lang w:val="sq-AL"/>
              </w:rPr>
              <w:t>37.6</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75168316" w14:textId="77777777" w:rsidR="00FE008B" w:rsidRPr="00E35625" w:rsidRDefault="00FE008B" w:rsidP="00E14B65">
            <w:pPr>
              <w:rPr>
                <w:lang w:val="sq-AL"/>
              </w:rPr>
            </w:pPr>
            <w:r w:rsidRPr="00E35625">
              <w:rPr>
                <w:lang w:val="sq-AL"/>
              </w:rPr>
              <w:t>39.2</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7BAFC9A4" w14:textId="77777777" w:rsidR="00FE008B" w:rsidRPr="00E35625" w:rsidRDefault="00FE008B" w:rsidP="00E14B65">
            <w:pPr>
              <w:rPr>
                <w:lang w:val="sq-AL"/>
              </w:rPr>
            </w:pPr>
            <w:r w:rsidRPr="00E35625">
              <w:rPr>
                <w:lang w:val="sq-AL"/>
              </w:rPr>
              <w:t>42.8</w:t>
            </w:r>
          </w:p>
        </w:tc>
        <w:tc>
          <w:tcPr>
            <w:tcW w:w="754"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21D79317" w14:textId="77777777" w:rsidR="00FE008B" w:rsidRPr="00E35625" w:rsidRDefault="00FE008B" w:rsidP="00E14B65">
            <w:pPr>
              <w:rPr>
                <w:lang w:val="sq-AL"/>
              </w:rPr>
            </w:pPr>
            <w:r w:rsidRPr="00E35625">
              <w:rPr>
                <w:lang w:val="sq-AL"/>
              </w:rPr>
              <w:t>43.5</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6328C3B" w14:textId="77777777" w:rsidR="00FE008B" w:rsidRPr="00E35625" w:rsidRDefault="00FE008B" w:rsidP="00E14B65">
            <w:pPr>
              <w:rPr>
                <w:lang w:val="sq-AL"/>
              </w:rPr>
            </w:pPr>
            <w:r w:rsidRPr="00E35625">
              <w:rPr>
                <w:lang w:val="sq-AL"/>
              </w:rPr>
              <w:t>45.3</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C3A9A16" w14:textId="77777777" w:rsidR="00FE008B" w:rsidRPr="00E35625" w:rsidRDefault="00FE008B" w:rsidP="00E14B65">
            <w:pPr>
              <w:rPr>
                <w:lang w:val="sq-AL"/>
              </w:rPr>
            </w:pPr>
            <w:r w:rsidRPr="00E35625">
              <w:rPr>
                <w:lang w:val="sq-AL"/>
              </w:rPr>
              <w:t>46.9</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2F3611FD" w14:textId="77777777" w:rsidR="00FE008B" w:rsidRPr="00E35625" w:rsidRDefault="00FE008B" w:rsidP="00E14B65">
            <w:pPr>
              <w:rPr>
                <w:lang w:val="sq-AL"/>
              </w:rPr>
            </w:pPr>
            <w:r w:rsidRPr="00E35625">
              <w:rPr>
                <w:lang w:val="sq-AL"/>
              </w:rPr>
              <w:t>46.1</w:t>
            </w:r>
          </w:p>
        </w:tc>
        <w:tc>
          <w:tcPr>
            <w:tcW w:w="0" w:type="auto"/>
            <w:tcBorders>
              <w:top w:val="single" w:sz="4" w:space="0" w:color="FFFFFF"/>
              <w:left w:val="single" w:sz="4" w:space="0" w:color="FFFFFF"/>
              <w:bottom w:val="single" w:sz="4" w:space="0" w:color="FFFFFF"/>
              <w:right w:val="nil"/>
            </w:tcBorders>
            <w:shd w:val="clear" w:color="auto" w:fill="FDE9D9"/>
            <w:noWrap/>
            <w:vAlign w:val="bottom"/>
            <w:hideMark/>
          </w:tcPr>
          <w:p w14:paraId="485CE223" w14:textId="77777777" w:rsidR="00FE008B" w:rsidRPr="00E35625" w:rsidRDefault="00FE008B" w:rsidP="00E14B65">
            <w:pPr>
              <w:rPr>
                <w:lang w:val="sq-AL"/>
              </w:rPr>
            </w:pPr>
            <w:r w:rsidRPr="00E35625">
              <w:rPr>
                <w:lang w:val="sq-AL"/>
              </w:rPr>
              <w:t>46.4</w:t>
            </w:r>
          </w:p>
        </w:tc>
      </w:tr>
      <w:tr w:rsidR="003B2767" w:rsidRPr="00E35625" w14:paraId="34D88386"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CD5B4"/>
            <w:noWrap/>
            <w:vAlign w:val="bottom"/>
            <w:hideMark/>
          </w:tcPr>
          <w:p w14:paraId="2428AAF2" w14:textId="77777777" w:rsidR="00FE008B" w:rsidRPr="00E35625" w:rsidRDefault="00FE008B" w:rsidP="00E14B65">
            <w:pPr>
              <w:rPr>
                <w:lang w:val="sq-AL"/>
              </w:rPr>
            </w:pPr>
            <w:r w:rsidRPr="00E35625">
              <w:rPr>
                <w:lang w:val="sq-AL"/>
              </w:rPr>
              <w:t>Shkalla e papunësisë</w:t>
            </w:r>
          </w:p>
        </w:tc>
        <w:tc>
          <w:tcPr>
            <w:tcW w:w="775"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4732D7D0" w14:textId="77777777" w:rsidR="00FE008B" w:rsidRPr="00E35625" w:rsidRDefault="00FE008B" w:rsidP="00E14B65">
            <w:pPr>
              <w:rPr>
                <w:lang w:val="sq-AL"/>
              </w:rPr>
            </w:pPr>
            <w:r w:rsidRPr="00E35625">
              <w:rPr>
                <w:lang w:val="sq-AL"/>
              </w:rPr>
              <w:t>Burra</w:t>
            </w:r>
          </w:p>
        </w:tc>
        <w:tc>
          <w:tcPr>
            <w:tcW w:w="712"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48E0E7F" w14:textId="77777777" w:rsidR="00FE008B" w:rsidRPr="00E35625" w:rsidRDefault="00FE008B" w:rsidP="00E14B65">
            <w:pPr>
              <w:rPr>
                <w:lang w:val="sq-AL"/>
              </w:rPr>
            </w:pPr>
            <w:r w:rsidRPr="00E35625">
              <w:rPr>
                <w:lang w:val="sq-AL"/>
              </w:rPr>
              <w:t>19.2</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58CEDFFF" w14:textId="77777777" w:rsidR="00FE008B" w:rsidRPr="00E35625" w:rsidRDefault="00FE008B" w:rsidP="00E14B65">
            <w:pPr>
              <w:rPr>
                <w:lang w:val="sq-AL"/>
              </w:rPr>
            </w:pPr>
            <w:r w:rsidRPr="00E35625">
              <w:rPr>
                <w:lang w:val="sq-AL"/>
              </w:rPr>
              <w:t>17.1</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13742CE1" w14:textId="77777777" w:rsidR="00FE008B" w:rsidRPr="00E35625" w:rsidRDefault="00FE008B" w:rsidP="00E14B65">
            <w:pPr>
              <w:rPr>
                <w:lang w:val="sq-AL"/>
              </w:rPr>
            </w:pPr>
            <w:r w:rsidRPr="00E35625">
              <w:rPr>
                <w:lang w:val="sq-AL"/>
              </w:rPr>
              <w:t>15.9</w:t>
            </w:r>
          </w:p>
        </w:tc>
        <w:tc>
          <w:tcPr>
            <w:tcW w:w="754"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6AEA7526" w14:textId="77777777" w:rsidR="00FE008B" w:rsidRPr="00E35625" w:rsidRDefault="00FE008B" w:rsidP="00E14B65">
            <w:pPr>
              <w:rPr>
                <w:lang w:val="sq-AL"/>
              </w:rPr>
            </w:pPr>
            <w:r w:rsidRPr="00E35625">
              <w:rPr>
                <w:lang w:val="sq-AL"/>
              </w:rPr>
              <w:t>14.6</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3F9D2299" w14:textId="77777777" w:rsidR="00FE008B" w:rsidRPr="00E35625" w:rsidRDefault="00FE008B" w:rsidP="00E14B65">
            <w:pPr>
              <w:rPr>
                <w:lang w:val="sq-AL"/>
              </w:rPr>
            </w:pPr>
            <w:r w:rsidRPr="00E35625">
              <w:rPr>
                <w:lang w:val="sq-AL"/>
              </w:rPr>
              <w:t>12.7</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A4521B9" w14:textId="77777777" w:rsidR="00FE008B" w:rsidRPr="00E35625" w:rsidRDefault="00FE008B" w:rsidP="00E14B65">
            <w:pPr>
              <w:rPr>
                <w:lang w:val="sq-AL"/>
              </w:rPr>
            </w:pPr>
            <w:r w:rsidRPr="00E35625">
              <w:rPr>
                <w:lang w:val="sq-AL"/>
              </w:rPr>
              <w:t>11.6</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192B7D64" w14:textId="77777777" w:rsidR="00FE008B" w:rsidRPr="00E35625" w:rsidRDefault="00FE008B" w:rsidP="00E14B65">
            <w:pPr>
              <w:rPr>
                <w:lang w:val="sq-AL"/>
              </w:rPr>
            </w:pPr>
            <w:r w:rsidRPr="00E35625">
              <w:rPr>
                <w:lang w:val="sq-AL"/>
              </w:rPr>
              <w:t>11.5</w:t>
            </w:r>
          </w:p>
        </w:tc>
        <w:tc>
          <w:tcPr>
            <w:tcW w:w="0" w:type="auto"/>
            <w:tcBorders>
              <w:top w:val="single" w:sz="4" w:space="0" w:color="FFFFFF"/>
              <w:left w:val="single" w:sz="4" w:space="0" w:color="FFFFFF"/>
              <w:bottom w:val="single" w:sz="4" w:space="0" w:color="FFFFFF"/>
              <w:right w:val="nil"/>
            </w:tcBorders>
            <w:shd w:val="clear" w:color="auto" w:fill="FCD5B4"/>
            <w:noWrap/>
            <w:vAlign w:val="bottom"/>
            <w:hideMark/>
          </w:tcPr>
          <w:p w14:paraId="34762E3C" w14:textId="77777777" w:rsidR="00FE008B" w:rsidRPr="00E35625" w:rsidRDefault="00FE008B" w:rsidP="00E14B65">
            <w:pPr>
              <w:rPr>
                <w:lang w:val="sq-AL"/>
              </w:rPr>
            </w:pPr>
            <w:r w:rsidRPr="00E35625">
              <w:rPr>
                <w:lang w:val="sq-AL"/>
              </w:rPr>
              <w:t>11.3</w:t>
            </w:r>
          </w:p>
        </w:tc>
      </w:tr>
      <w:tr w:rsidR="003B2767" w:rsidRPr="00E35625" w14:paraId="51A85EAC"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DE9D9"/>
            <w:noWrap/>
            <w:vAlign w:val="bottom"/>
            <w:hideMark/>
          </w:tcPr>
          <w:p w14:paraId="713A6958" w14:textId="77777777" w:rsidR="00FE008B" w:rsidRPr="00E35625" w:rsidRDefault="00FE008B" w:rsidP="00E14B65">
            <w:pPr>
              <w:rPr>
                <w:lang w:val="sq-AL"/>
              </w:rPr>
            </w:pPr>
          </w:p>
        </w:tc>
        <w:tc>
          <w:tcPr>
            <w:tcW w:w="775"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8E8419D" w14:textId="77777777" w:rsidR="00FE008B" w:rsidRPr="00E35625" w:rsidRDefault="00FE008B" w:rsidP="00E14B65">
            <w:pPr>
              <w:rPr>
                <w:lang w:val="sq-AL"/>
              </w:rPr>
            </w:pPr>
            <w:r w:rsidRPr="00E35625">
              <w:rPr>
                <w:lang w:val="sq-AL"/>
              </w:rPr>
              <w:t>Gra</w:t>
            </w:r>
          </w:p>
        </w:tc>
        <w:tc>
          <w:tcPr>
            <w:tcW w:w="712"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12A0C90" w14:textId="77777777" w:rsidR="00FE008B" w:rsidRPr="00E35625" w:rsidRDefault="00FE008B" w:rsidP="00E14B65">
            <w:pPr>
              <w:rPr>
                <w:lang w:val="sq-AL"/>
              </w:rPr>
            </w:pPr>
            <w:r w:rsidRPr="00E35625">
              <w:rPr>
                <w:lang w:val="sq-AL"/>
              </w:rPr>
              <w:t>15.2</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530B2B3" w14:textId="77777777" w:rsidR="00FE008B" w:rsidRPr="00E35625" w:rsidRDefault="00FE008B" w:rsidP="00E14B65">
            <w:pPr>
              <w:rPr>
                <w:lang w:val="sq-AL"/>
              </w:rPr>
            </w:pPr>
            <w:r w:rsidRPr="00E35625">
              <w:rPr>
                <w:lang w:val="sq-AL"/>
              </w:rPr>
              <w:t>17.1</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28445452" w14:textId="77777777" w:rsidR="00FE008B" w:rsidRPr="00E35625" w:rsidRDefault="00FE008B" w:rsidP="00E14B65">
            <w:pPr>
              <w:rPr>
                <w:lang w:val="sq-AL"/>
              </w:rPr>
            </w:pPr>
            <w:r w:rsidRPr="00E35625">
              <w:rPr>
                <w:lang w:val="sq-AL"/>
              </w:rPr>
              <w:t>14.4</w:t>
            </w:r>
          </w:p>
        </w:tc>
        <w:tc>
          <w:tcPr>
            <w:tcW w:w="754"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06398B7" w14:textId="77777777" w:rsidR="00FE008B" w:rsidRPr="00E35625" w:rsidRDefault="00FE008B" w:rsidP="00E14B65">
            <w:pPr>
              <w:rPr>
                <w:lang w:val="sq-AL"/>
              </w:rPr>
            </w:pPr>
            <w:r w:rsidRPr="00E35625">
              <w:rPr>
                <w:lang w:val="sq-AL"/>
              </w:rPr>
              <w:t>12.6</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7E696E5" w14:textId="77777777" w:rsidR="00FE008B" w:rsidRPr="00E35625" w:rsidRDefault="00FE008B" w:rsidP="00E14B65">
            <w:pPr>
              <w:rPr>
                <w:lang w:val="sq-AL"/>
              </w:rPr>
            </w:pPr>
            <w:r w:rsidRPr="00E35625">
              <w:rPr>
                <w:lang w:val="sq-AL"/>
              </w:rPr>
              <w:t>11.9</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1437B70C" w14:textId="77777777" w:rsidR="00FE008B" w:rsidRPr="00E35625" w:rsidRDefault="00FE008B" w:rsidP="00E14B65">
            <w:pPr>
              <w:rPr>
                <w:lang w:val="sq-AL"/>
              </w:rPr>
            </w:pPr>
            <w:r w:rsidRPr="00E35625">
              <w:rPr>
                <w:lang w:val="sq-AL"/>
              </w:rPr>
              <w:t>11.4</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875F165" w14:textId="77777777" w:rsidR="00FE008B" w:rsidRPr="00E35625" w:rsidRDefault="00FE008B" w:rsidP="00E14B65">
            <w:pPr>
              <w:rPr>
                <w:lang w:val="sq-AL"/>
              </w:rPr>
            </w:pPr>
            <w:r w:rsidRPr="00E35625">
              <w:rPr>
                <w:lang w:val="sq-AL"/>
              </w:rPr>
              <w:t>11.9</w:t>
            </w:r>
          </w:p>
        </w:tc>
        <w:tc>
          <w:tcPr>
            <w:tcW w:w="0" w:type="auto"/>
            <w:tcBorders>
              <w:top w:val="single" w:sz="4" w:space="0" w:color="FFFFFF"/>
              <w:left w:val="single" w:sz="4" w:space="0" w:color="FFFFFF"/>
              <w:bottom w:val="single" w:sz="4" w:space="0" w:color="FFFFFF"/>
              <w:right w:val="nil"/>
            </w:tcBorders>
            <w:shd w:val="clear" w:color="auto" w:fill="FDE9D9"/>
            <w:noWrap/>
            <w:vAlign w:val="bottom"/>
            <w:hideMark/>
          </w:tcPr>
          <w:p w14:paraId="1FBA85B6" w14:textId="77777777" w:rsidR="00FE008B" w:rsidRPr="00E35625" w:rsidRDefault="00FE008B" w:rsidP="00E14B65">
            <w:pPr>
              <w:rPr>
                <w:lang w:val="sq-AL"/>
              </w:rPr>
            </w:pPr>
            <w:r w:rsidRPr="00E35625">
              <w:rPr>
                <w:lang w:val="sq-AL"/>
              </w:rPr>
              <w:t>11.8</w:t>
            </w:r>
          </w:p>
        </w:tc>
      </w:tr>
      <w:tr w:rsidR="003B2767" w:rsidRPr="00E35625" w14:paraId="66664480"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CD5B4"/>
            <w:noWrap/>
            <w:vAlign w:val="bottom"/>
            <w:hideMark/>
          </w:tcPr>
          <w:p w14:paraId="4344D83B" w14:textId="42F1DAEB" w:rsidR="00FE008B" w:rsidRPr="00E35625" w:rsidRDefault="007C4861" w:rsidP="00E14B65">
            <w:pPr>
              <w:rPr>
                <w:lang w:val="sq-AL"/>
              </w:rPr>
            </w:pPr>
            <w:r>
              <w:rPr>
                <w:lang w:val="sq-AL"/>
              </w:rPr>
              <w:t>P</w:t>
            </w:r>
            <w:r w:rsidR="002D06AB">
              <w:rPr>
                <w:lang w:val="sq-AL"/>
              </w:rPr>
              <w:t>ërqind</w:t>
            </w:r>
            <w:r w:rsidR="00FE008B" w:rsidRPr="00E35625">
              <w:rPr>
                <w:lang w:val="sq-AL"/>
              </w:rPr>
              <w:t xml:space="preserve">ja e të papunëve afatgjatë </w:t>
            </w:r>
          </w:p>
        </w:tc>
        <w:tc>
          <w:tcPr>
            <w:tcW w:w="775"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432830EA" w14:textId="77777777" w:rsidR="00FE008B" w:rsidRPr="00E35625" w:rsidRDefault="00FE008B" w:rsidP="00E14B65">
            <w:pPr>
              <w:rPr>
                <w:lang w:val="sq-AL"/>
              </w:rPr>
            </w:pPr>
            <w:r w:rsidRPr="00E35625">
              <w:rPr>
                <w:lang w:val="sq-AL"/>
              </w:rPr>
              <w:t>Burra</w:t>
            </w:r>
          </w:p>
        </w:tc>
        <w:tc>
          <w:tcPr>
            <w:tcW w:w="712"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77E966E8" w14:textId="77777777" w:rsidR="00FE008B" w:rsidRPr="00E35625" w:rsidRDefault="00FE008B" w:rsidP="00E14B65">
            <w:pPr>
              <w:rPr>
                <w:lang w:val="sq-AL"/>
              </w:rPr>
            </w:pPr>
            <w:r w:rsidRPr="00E35625">
              <w:rPr>
                <w:lang w:val="sq-AL"/>
              </w:rPr>
              <w:t>61.0</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501DD3AF" w14:textId="77777777" w:rsidR="00FE008B" w:rsidRPr="00E35625" w:rsidRDefault="00FE008B" w:rsidP="00E14B65">
            <w:pPr>
              <w:rPr>
                <w:lang w:val="sq-AL"/>
              </w:rPr>
            </w:pPr>
            <w:r w:rsidRPr="00E35625">
              <w:rPr>
                <w:lang w:val="sq-AL"/>
              </w:rPr>
              <w:t>65.8</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34EAEBA" w14:textId="77777777" w:rsidR="00FE008B" w:rsidRPr="00E35625" w:rsidRDefault="00FE008B" w:rsidP="00E14B65">
            <w:pPr>
              <w:rPr>
                <w:lang w:val="sq-AL"/>
              </w:rPr>
            </w:pPr>
            <w:r w:rsidRPr="00E35625">
              <w:rPr>
                <w:lang w:val="sq-AL"/>
              </w:rPr>
              <w:t>64.9</w:t>
            </w:r>
          </w:p>
        </w:tc>
        <w:tc>
          <w:tcPr>
            <w:tcW w:w="754"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1C91DA5B" w14:textId="77777777" w:rsidR="00FE008B" w:rsidRPr="00E35625" w:rsidRDefault="00FE008B" w:rsidP="00E14B65">
            <w:pPr>
              <w:rPr>
                <w:lang w:val="sq-AL"/>
              </w:rPr>
            </w:pPr>
            <w:r w:rsidRPr="00E35625">
              <w:rPr>
                <w:lang w:val="sq-AL"/>
              </w:rPr>
              <w:t>63.3</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272A529" w14:textId="77777777" w:rsidR="00FE008B" w:rsidRPr="00E35625" w:rsidRDefault="00FE008B" w:rsidP="00E14B65">
            <w:pPr>
              <w:rPr>
                <w:lang w:val="sq-AL"/>
              </w:rPr>
            </w:pPr>
            <w:r w:rsidRPr="00E35625">
              <w:rPr>
                <w:lang w:val="sq-AL"/>
              </w:rPr>
              <w:t>65.6</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336D00A" w14:textId="77777777" w:rsidR="00FE008B" w:rsidRPr="00E35625" w:rsidRDefault="00FE008B" w:rsidP="00E14B65">
            <w:pPr>
              <w:rPr>
                <w:lang w:val="sq-AL"/>
              </w:rPr>
            </w:pPr>
            <w:r w:rsidRPr="00E35625">
              <w:rPr>
                <w:lang w:val="sq-AL"/>
              </w:rPr>
              <w:t>63.1</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8D7E7AD" w14:textId="77777777" w:rsidR="00FE008B" w:rsidRPr="00E35625" w:rsidRDefault="00FE008B" w:rsidP="00E14B65">
            <w:pPr>
              <w:rPr>
                <w:lang w:val="sq-AL"/>
              </w:rPr>
            </w:pPr>
            <w:r w:rsidRPr="00E35625">
              <w:rPr>
                <w:lang w:val="sq-AL"/>
              </w:rPr>
              <w:t>59.7</w:t>
            </w:r>
          </w:p>
        </w:tc>
        <w:tc>
          <w:tcPr>
            <w:tcW w:w="0" w:type="auto"/>
            <w:tcBorders>
              <w:top w:val="single" w:sz="4" w:space="0" w:color="FFFFFF"/>
              <w:left w:val="single" w:sz="4" w:space="0" w:color="FFFFFF"/>
              <w:bottom w:val="single" w:sz="4" w:space="0" w:color="FFFFFF"/>
              <w:right w:val="nil"/>
            </w:tcBorders>
            <w:shd w:val="clear" w:color="auto" w:fill="FCD5B4"/>
            <w:noWrap/>
            <w:vAlign w:val="bottom"/>
            <w:hideMark/>
          </w:tcPr>
          <w:p w14:paraId="5DDF9BBB" w14:textId="77777777" w:rsidR="00FE008B" w:rsidRPr="00E35625" w:rsidRDefault="00FE008B" w:rsidP="00E14B65">
            <w:pPr>
              <w:rPr>
                <w:lang w:val="sq-AL"/>
              </w:rPr>
            </w:pPr>
            <w:r w:rsidRPr="00E35625">
              <w:rPr>
                <w:lang w:val="sq-AL"/>
              </w:rPr>
              <w:t>60.5</w:t>
            </w:r>
          </w:p>
        </w:tc>
      </w:tr>
      <w:tr w:rsidR="003B2767" w:rsidRPr="00E35625" w14:paraId="10603F8F"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DE9D9"/>
            <w:noWrap/>
            <w:vAlign w:val="bottom"/>
            <w:hideMark/>
          </w:tcPr>
          <w:p w14:paraId="7C5ECE18" w14:textId="77777777" w:rsidR="00FE008B" w:rsidRPr="00E35625" w:rsidRDefault="00FE008B" w:rsidP="00E14B65">
            <w:pPr>
              <w:rPr>
                <w:lang w:val="sq-AL"/>
              </w:rPr>
            </w:pPr>
          </w:p>
        </w:tc>
        <w:tc>
          <w:tcPr>
            <w:tcW w:w="775"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5C1568A0" w14:textId="77777777" w:rsidR="00FE008B" w:rsidRPr="00E35625" w:rsidRDefault="00FE008B" w:rsidP="00E14B65">
            <w:pPr>
              <w:rPr>
                <w:lang w:val="sq-AL"/>
              </w:rPr>
            </w:pPr>
            <w:r w:rsidRPr="00E35625">
              <w:rPr>
                <w:lang w:val="sq-AL"/>
              </w:rPr>
              <w:t>Gra</w:t>
            </w:r>
          </w:p>
        </w:tc>
        <w:tc>
          <w:tcPr>
            <w:tcW w:w="712"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C5BB058" w14:textId="77777777" w:rsidR="00FE008B" w:rsidRPr="00E35625" w:rsidRDefault="00FE008B" w:rsidP="00E14B65">
            <w:pPr>
              <w:rPr>
                <w:lang w:val="sq-AL"/>
              </w:rPr>
            </w:pPr>
            <w:r w:rsidRPr="00E35625">
              <w:rPr>
                <w:lang w:val="sq-AL"/>
              </w:rPr>
              <w:t>70.1</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2489013A" w14:textId="77777777" w:rsidR="00FE008B" w:rsidRPr="00E35625" w:rsidRDefault="00FE008B" w:rsidP="00E14B65">
            <w:pPr>
              <w:rPr>
                <w:lang w:val="sq-AL"/>
              </w:rPr>
            </w:pPr>
            <w:r w:rsidRPr="00E35625">
              <w:rPr>
                <w:lang w:val="sq-AL"/>
              </w:rPr>
              <w:t>66.2</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700DF12" w14:textId="77777777" w:rsidR="00FE008B" w:rsidRPr="00E35625" w:rsidRDefault="00FE008B" w:rsidP="00E14B65">
            <w:pPr>
              <w:rPr>
                <w:lang w:val="sq-AL"/>
              </w:rPr>
            </w:pPr>
            <w:r w:rsidRPr="00E35625">
              <w:rPr>
                <w:lang w:val="sq-AL"/>
              </w:rPr>
              <w:t>68.2</w:t>
            </w:r>
          </w:p>
        </w:tc>
        <w:tc>
          <w:tcPr>
            <w:tcW w:w="754"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77A7694" w14:textId="77777777" w:rsidR="00FE008B" w:rsidRPr="00E35625" w:rsidRDefault="00FE008B" w:rsidP="00E14B65">
            <w:pPr>
              <w:rPr>
                <w:lang w:val="sq-AL"/>
              </w:rPr>
            </w:pPr>
            <w:r w:rsidRPr="00E35625">
              <w:rPr>
                <w:lang w:val="sq-AL"/>
              </w:rPr>
              <w:t>67.1</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7023D8B7" w14:textId="77777777" w:rsidR="00FE008B" w:rsidRPr="00E35625" w:rsidRDefault="00FE008B" w:rsidP="00E14B65">
            <w:pPr>
              <w:rPr>
                <w:lang w:val="sq-AL"/>
              </w:rPr>
            </w:pPr>
            <w:r w:rsidRPr="00E35625">
              <w:rPr>
                <w:lang w:val="sq-AL"/>
              </w:rPr>
              <w:t>69.8</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2A3DD33A" w14:textId="77777777" w:rsidR="00FE008B" w:rsidRPr="00E35625" w:rsidRDefault="00FE008B" w:rsidP="00E14B65">
            <w:pPr>
              <w:rPr>
                <w:lang w:val="sq-AL"/>
              </w:rPr>
            </w:pPr>
            <w:r w:rsidRPr="00E35625">
              <w:rPr>
                <w:lang w:val="sq-AL"/>
              </w:rPr>
              <w:t>63.7</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20DD1D88" w14:textId="77777777" w:rsidR="00FE008B" w:rsidRPr="00E35625" w:rsidRDefault="00FE008B" w:rsidP="00E14B65">
            <w:pPr>
              <w:rPr>
                <w:lang w:val="sq-AL"/>
              </w:rPr>
            </w:pPr>
            <w:r w:rsidRPr="00E35625">
              <w:rPr>
                <w:lang w:val="sq-AL"/>
              </w:rPr>
              <w:t>59.1</w:t>
            </w:r>
          </w:p>
        </w:tc>
        <w:tc>
          <w:tcPr>
            <w:tcW w:w="0" w:type="auto"/>
            <w:tcBorders>
              <w:top w:val="single" w:sz="4" w:space="0" w:color="FFFFFF"/>
              <w:left w:val="single" w:sz="4" w:space="0" w:color="FFFFFF"/>
              <w:bottom w:val="single" w:sz="4" w:space="0" w:color="FFFFFF"/>
              <w:right w:val="nil"/>
            </w:tcBorders>
            <w:shd w:val="clear" w:color="auto" w:fill="FDE9D9"/>
            <w:noWrap/>
            <w:vAlign w:val="bottom"/>
            <w:hideMark/>
          </w:tcPr>
          <w:p w14:paraId="5DC2AC7E" w14:textId="77777777" w:rsidR="00FE008B" w:rsidRPr="00E35625" w:rsidRDefault="00FE008B" w:rsidP="00E14B65">
            <w:pPr>
              <w:rPr>
                <w:lang w:val="sq-AL"/>
              </w:rPr>
            </w:pPr>
            <w:r w:rsidRPr="00E35625">
              <w:rPr>
                <w:lang w:val="sq-AL"/>
              </w:rPr>
              <w:t>65.5</w:t>
            </w:r>
          </w:p>
        </w:tc>
      </w:tr>
      <w:tr w:rsidR="003B2767" w:rsidRPr="00E35625" w14:paraId="40242939"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CD5B4"/>
            <w:noWrap/>
            <w:vAlign w:val="bottom"/>
            <w:hideMark/>
          </w:tcPr>
          <w:p w14:paraId="577305FF" w14:textId="77777777" w:rsidR="00FE008B" w:rsidRPr="00E35625" w:rsidRDefault="00FE008B" w:rsidP="00E14B65">
            <w:pPr>
              <w:rPr>
                <w:lang w:val="sq-AL"/>
              </w:rPr>
            </w:pPr>
            <w:r w:rsidRPr="00E35625">
              <w:rPr>
                <w:lang w:val="sq-AL"/>
              </w:rPr>
              <w:t xml:space="preserve">Shkalla e papunësisë afatgjatë </w:t>
            </w:r>
          </w:p>
        </w:tc>
        <w:tc>
          <w:tcPr>
            <w:tcW w:w="775"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72B9F88D" w14:textId="77777777" w:rsidR="00FE008B" w:rsidRPr="00E35625" w:rsidRDefault="00FE008B" w:rsidP="00E14B65">
            <w:pPr>
              <w:rPr>
                <w:lang w:val="sq-AL"/>
              </w:rPr>
            </w:pPr>
            <w:r w:rsidRPr="00E35625">
              <w:rPr>
                <w:lang w:val="sq-AL"/>
              </w:rPr>
              <w:t>Burra</w:t>
            </w:r>
          </w:p>
        </w:tc>
        <w:tc>
          <w:tcPr>
            <w:tcW w:w="712"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63812F28" w14:textId="77777777" w:rsidR="00FE008B" w:rsidRPr="00E35625" w:rsidRDefault="00FE008B" w:rsidP="00E14B65">
            <w:pPr>
              <w:rPr>
                <w:lang w:val="sq-AL"/>
              </w:rPr>
            </w:pPr>
            <w:r w:rsidRPr="00E35625">
              <w:rPr>
                <w:lang w:val="sq-AL"/>
              </w:rPr>
              <w:t>11.7</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6DFB0E22" w14:textId="77777777" w:rsidR="00FE008B" w:rsidRPr="00E35625" w:rsidRDefault="00FE008B" w:rsidP="00E14B65">
            <w:pPr>
              <w:rPr>
                <w:lang w:val="sq-AL"/>
              </w:rPr>
            </w:pPr>
            <w:r w:rsidRPr="00E35625">
              <w:rPr>
                <w:lang w:val="sq-AL"/>
              </w:rPr>
              <w:t>11.2</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535A312D" w14:textId="77777777" w:rsidR="00FE008B" w:rsidRPr="00E35625" w:rsidRDefault="00FE008B" w:rsidP="00E14B65">
            <w:pPr>
              <w:rPr>
                <w:lang w:val="sq-AL"/>
              </w:rPr>
            </w:pPr>
            <w:r w:rsidRPr="00E35625">
              <w:rPr>
                <w:lang w:val="sq-AL"/>
              </w:rPr>
              <w:t>10.3</w:t>
            </w:r>
          </w:p>
        </w:tc>
        <w:tc>
          <w:tcPr>
            <w:tcW w:w="754"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461D6AE2" w14:textId="77777777" w:rsidR="00FE008B" w:rsidRPr="00E35625" w:rsidRDefault="00FE008B" w:rsidP="00E14B65">
            <w:pPr>
              <w:rPr>
                <w:lang w:val="sq-AL"/>
              </w:rPr>
            </w:pPr>
            <w:r w:rsidRPr="00E35625">
              <w:rPr>
                <w:lang w:val="sq-AL"/>
              </w:rPr>
              <w:t>9.2</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719A2A47" w14:textId="77777777" w:rsidR="00FE008B" w:rsidRPr="00E35625" w:rsidRDefault="00FE008B" w:rsidP="00E14B65">
            <w:pPr>
              <w:rPr>
                <w:lang w:val="sq-AL"/>
              </w:rPr>
            </w:pPr>
            <w:r w:rsidRPr="00E35625">
              <w:rPr>
                <w:lang w:val="sq-AL"/>
              </w:rPr>
              <w:t>8.3</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4254DF40" w14:textId="77777777" w:rsidR="00FE008B" w:rsidRPr="00E35625" w:rsidRDefault="00FE008B" w:rsidP="00E14B65">
            <w:pPr>
              <w:rPr>
                <w:lang w:val="sq-AL"/>
              </w:rPr>
            </w:pPr>
            <w:r w:rsidRPr="00E35625">
              <w:rPr>
                <w:lang w:val="sq-AL"/>
              </w:rPr>
              <w:t>7.3</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4D058506" w14:textId="77777777" w:rsidR="00FE008B" w:rsidRPr="00E35625" w:rsidRDefault="00FE008B" w:rsidP="00E14B65">
            <w:pPr>
              <w:rPr>
                <w:lang w:val="sq-AL"/>
              </w:rPr>
            </w:pPr>
            <w:r w:rsidRPr="00E35625">
              <w:rPr>
                <w:lang w:val="sq-AL"/>
              </w:rPr>
              <w:t>6.9</w:t>
            </w:r>
          </w:p>
        </w:tc>
        <w:tc>
          <w:tcPr>
            <w:tcW w:w="0" w:type="auto"/>
            <w:tcBorders>
              <w:top w:val="single" w:sz="4" w:space="0" w:color="FFFFFF"/>
              <w:left w:val="single" w:sz="4" w:space="0" w:color="FFFFFF"/>
              <w:bottom w:val="single" w:sz="4" w:space="0" w:color="FFFFFF"/>
              <w:right w:val="nil"/>
            </w:tcBorders>
            <w:shd w:val="clear" w:color="auto" w:fill="FCD5B4"/>
            <w:noWrap/>
            <w:vAlign w:val="bottom"/>
            <w:hideMark/>
          </w:tcPr>
          <w:p w14:paraId="67CD0ACC" w14:textId="77777777" w:rsidR="00FE008B" w:rsidRPr="00E35625" w:rsidRDefault="00FE008B" w:rsidP="00E14B65">
            <w:pPr>
              <w:rPr>
                <w:lang w:val="sq-AL"/>
              </w:rPr>
            </w:pPr>
            <w:r w:rsidRPr="00E35625">
              <w:rPr>
                <w:lang w:val="sq-AL"/>
              </w:rPr>
              <w:t>6.9</w:t>
            </w:r>
          </w:p>
        </w:tc>
      </w:tr>
      <w:tr w:rsidR="003B2767" w:rsidRPr="00E35625" w14:paraId="51A7D5C5"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DE9D9"/>
            <w:noWrap/>
            <w:vAlign w:val="bottom"/>
            <w:hideMark/>
          </w:tcPr>
          <w:p w14:paraId="464E45E0" w14:textId="77777777" w:rsidR="00FE008B" w:rsidRPr="00E35625" w:rsidRDefault="00FE008B" w:rsidP="00E14B65">
            <w:pPr>
              <w:rPr>
                <w:lang w:val="sq-AL"/>
              </w:rPr>
            </w:pPr>
          </w:p>
        </w:tc>
        <w:tc>
          <w:tcPr>
            <w:tcW w:w="775"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43DB77DE" w14:textId="77777777" w:rsidR="00FE008B" w:rsidRPr="00E35625" w:rsidRDefault="00FE008B" w:rsidP="00E14B65">
            <w:pPr>
              <w:rPr>
                <w:lang w:val="sq-AL"/>
              </w:rPr>
            </w:pPr>
            <w:r w:rsidRPr="00E35625">
              <w:rPr>
                <w:lang w:val="sq-AL"/>
              </w:rPr>
              <w:t>Gra</w:t>
            </w:r>
          </w:p>
        </w:tc>
        <w:tc>
          <w:tcPr>
            <w:tcW w:w="712"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55926327" w14:textId="77777777" w:rsidR="00FE008B" w:rsidRPr="00E35625" w:rsidRDefault="00FE008B" w:rsidP="00E14B65">
            <w:pPr>
              <w:rPr>
                <w:lang w:val="sq-AL"/>
              </w:rPr>
            </w:pPr>
            <w:r w:rsidRPr="00E35625">
              <w:rPr>
                <w:lang w:val="sq-AL"/>
              </w:rPr>
              <w:t>10.7</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BF2B166" w14:textId="77777777" w:rsidR="00FE008B" w:rsidRPr="00E35625" w:rsidRDefault="00FE008B" w:rsidP="00E14B65">
            <w:pPr>
              <w:rPr>
                <w:lang w:val="sq-AL"/>
              </w:rPr>
            </w:pPr>
            <w:r w:rsidRPr="00E35625">
              <w:rPr>
                <w:lang w:val="sq-AL"/>
              </w:rPr>
              <w:t>11.3</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588C74EA" w14:textId="77777777" w:rsidR="00FE008B" w:rsidRPr="00E35625" w:rsidRDefault="00FE008B" w:rsidP="00E14B65">
            <w:pPr>
              <w:rPr>
                <w:lang w:val="sq-AL"/>
              </w:rPr>
            </w:pPr>
            <w:r w:rsidRPr="00E35625">
              <w:rPr>
                <w:lang w:val="sq-AL"/>
              </w:rPr>
              <w:t>9.8</w:t>
            </w:r>
          </w:p>
        </w:tc>
        <w:tc>
          <w:tcPr>
            <w:tcW w:w="754"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1F6E0D5A" w14:textId="77777777" w:rsidR="00FE008B" w:rsidRPr="00E35625" w:rsidRDefault="00FE008B" w:rsidP="00E14B65">
            <w:pPr>
              <w:rPr>
                <w:lang w:val="sq-AL"/>
              </w:rPr>
            </w:pPr>
            <w:r w:rsidRPr="00E35625">
              <w:rPr>
                <w:lang w:val="sq-AL"/>
              </w:rPr>
              <w:t>8.4</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5C02EF17" w14:textId="77777777" w:rsidR="00FE008B" w:rsidRPr="00E35625" w:rsidRDefault="00FE008B" w:rsidP="00E14B65">
            <w:pPr>
              <w:rPr>
                <w:lang w:val="sq-AL"/>
              </w:rPr>
            </w:pPr>
            <w:r w:rsidRPr="00E35625">
              <w:rPr>
                <w:lang w:val="sq-AL"/>
              </w:rPr>
              <w:t>8.3</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779B2470" w14:textId="77777777" w:rsidR="00FE008B" w:rsidRPr="00E35625" w:rsidRDefault="00FE008B" w:rsidP="00E14B65">
            <w:pPr>
              <w:rPr>
                <w:lang w:val="sq-AL"/>
              </w:rPr>
            </w:pPr>
            <w:r w:rsidRPr="00E35625">
              <w:rPr>
                <w:lang w:val="sq-AL"/>
              </w:rPr>
              <w:t>7.3</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15D1C9C9" w14:textId="77777777" w:rsidR="00FE008B" w:rsidRPr="00E35625" w:rsidRDefault="00FE008B" w:rsidP="00E14B65">
            <w:pPr>
              <w:rPr>
                <w:lang w:val="sq-AL"/>
              </w:rPr>
            </w:pPr>
            <w:r w:rsidRPr="00E35625">
              <w:rPr>
                <w:lang w:val="sq-AL"/>
              </w:rPr>
              <w:t>7.1</w:t>
            </w:r>
          </w:p>
        </w:tc>
        <w:tc>
          <w:tcPr>
            <w:tcW w:w="0" w:type="auto"/>
            <w:tcBorders>
              <w:top w:val="single" w:sz="4" w:space="0" w:color="FFFFFF"/>
              <w:left w:val="single" w:sz="4" w:space="0" w:color="FFFFFF"/>
              <w:bottom w:val="single" w:sz="4" w:space="0" w:color="FFFFFF"/>
              <w:right w:val="nil"/>
            </w:tcBorders>
            <w:shd w:val="clear" w:color="auto" w:fill="FDE9D9"/>
            <w:noWrap/>
            <w:vAlign w:val="bottom"/>
            <w:hideMark/>
          </w:tcPr>
          <w:p w14:paraId="2C36E97B" w14:textId="77777777" w:rsidR="00FE008B" w:rsidRPr="00E35625" w:rsidRDefault="00FE008B" w:rsidP="00E14B65">
            <w:pPr>
              <w:rPr>
                <w:lang w:val="sq-AL"/>
              </w:rPr>
            </w:pPr>
            <w:r w:rsidRPr="00E35625">
              <w:rPr>
                <w:lang w:val="sq-AL"/>
              </w:rPr>
              <w:t>7.7</w:t>
            </w:r>
          </w:p>
        </w:tc>
      </w:tr>
      <w:tr w:rsidR="003B2767" w:rsidRPr="00E35625" w14:paraId="5157C825"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CD5B4"/>
            <w:noWrap/>
            <w:vAlign w:val="bottom"/>
            <w:hideMark/>
          </w:tcPr>
          <w:p w14:paraId="2EC0C859" w14:textId="77777777" w:rsidR="00FE008B" w:rsidRPr="00E35625" w:rsidRDefault="00FE008B" w:rsidP="00E14B65">
            <w:pPr>
              <w:rPr>
                <w:lang w:val="sq-AL"/>
              </w:rPr>
            </w:pPr>
            <w:r w:rsidRPr="00E35625">
              <w:rPr>
                <w:lang w:val="sq-AL"/>
              </w:rPr>
              <w:t>Shkalla e inaktivitetit</w:t>
            </w:r>
          </w:p>
        </w:tc>
        <w:tc>
          <w:tcPr>
            <w:tcW w:w="775"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34D2D9BF" w14:textId="77777777" w:rsidR="00FE008B" w:rsidRPr="00E35625" w:rsidRDefault="00FE008B" w:rsidP="00E14B65">
            <w:pPr>
              <w:rPr>
                <w:lang w:val="sq-AL"/>
              </w:rPr>
            </w:pPr>
            <w:r w:rsidRPr="00E35625">
              <w:rPr>
                <w:lang w:val="sq-AL"/>
              </w:rPr>
              <w:t>Burra</w:t>
            </w:r>
          </w:p>
        </w:tc>
        <w:tc>
          <w:tcPr>
            <w:tcW w:w="712"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17F83EF1" w14:textId="77777777" w:rsidR="00FE008B" w:rsidRPr="00E35625" w:rsidRDefault="00FE008B" w:rsidP="00E14B65">
            <w:pPr>
              <w:rPr>
                <w:lang w:val="sq-AL"/>
              </w:rPr>
            </w:pPr>
            <w:r w:rsidRPr="00E35625">
              <w:rPr>
                <w:lang w:val="sq-AL"/>
              </w:rPr>
              <w:t>36.5</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9937320" w14:textId="77777777" w:rsidR="00FE008B" w:rsidRPr="00E35625" w:rsidRDefault="00FE008B" w:rsidP="00E14B65">
            <w:pPr>
              <w:rPr>
                <w:lang w:val="sq-AL"/>
              </w:rPr>
            </w:pPr>
            <w:r w:rsidRPr="00E35625">
              <w:rPr>
                <w:lang w:val="sq-AL"/>
              </w:rPr>
              <w:t>35.7</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18B468B8" w14:textId="77777777" w:rsidR="00FE008B" w:rsidRPr="00E35625" w:rsidRDefault="00FE008B" w:rsidP="00E14B65">
            <w:pPr>
              <w:rPr>
                <w:lang w:val="sq-AL"/>
              </w:rPr>
            </w:pPr>
            <w:r w:rsidRPr="00E35625">
              <w:rPr>
                <w:lang w:val="sq-AL"/>
              </w:rPr>
              <w:t>35.0</w:t>
            </w:r>
          </w:p>
        </w:tc>
        <w:tc>
          <w:tcPr>
            <w:tcW w:w="754"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5C22295E" w14:textId="77777777" w:rsidR="00FE008B" w:rsidRPr="00E35625" w:rsidRDefault="00FE008B" w:rsidP="00E14B65">
            <w:pPr>
              <w:rPr>
                <w:lang w:val="sq-AL"/>
              </w:rPr>
            </w:pPr>
            <w:r w:rsidRPr="00E35625">
              <w:rPr>
                <w:lang w:val="sq-AL"/>
              </w:rPr>
              <w:t>33.2</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599E2C7" w14:textId="77777777" w:rsidR="00FE008B" w:rsidRPr="00E35625" w:rsidRDefault="00FE008B" w:rsidP="00E14B65">
            <w:pPr>
              <w:rPr>
                <w:lang w:val="sq-AL"/>
              </w:rPr>
            </w:pPr>
            <w:r w:rsidRPr="00E35625">
              <w:rPr>
                <w:lang w:val="sq-AL"/>
              </w:rPr>
              <w:t>32.4</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1B9DA7CA" w14:textId="77777777" w:rsidR="00FE008B" w:rsidRPr="00E35625" w:rsidRDefault="00FE008B" w:rsidP="00E14B65">
            <w:pPr>
              <w:rPr>
                <w:lang w:val="sq-AL"/>
              </w:rPr>
            </w:pPr>
            <w:r w:rsidRPr="00E35625">
              <w:rPr>
                <w:lang w:val="sq-AL"/>
              </w:rPr>
              <w:t>32.0</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A3AAC67" w14:textId="77777777" w:rsidR="00FE008B" w:rsidRPr="00E35625" w:rsidRDefault="00FE008B" w:rsidP="00E14B65">
            <w:pPr>
              <w:rPr>
                <w:lang w:val="sq-AL"/>
              </w:rPr>
            </w:pPr>
            <w:r w:rsidRPr="00E35625">
              <w:rPr>
                <w:lang w:val="sq-AL"/>
              </w:rPr>
              <w:t>33.1</w:t>
            </w:r>
          </w:p>
        </w:tc>
        <w:tc>
          <w:tcPr>
            <w:tcW w:w="0" w:type="auto"/>
            <w:tcBorders>
              <w:top w:val="single" w:sz="4" w:space="0" w:color="FFFFFF"/>
              <w:left w:val="single" w:sz="4" w:space="0" w:color="FFFFFF"/>
              <w:bottom w:val="single" w:sz="4" w:space="0" w:color="FFFFFF"/>
              <w:right w:val="nil"/>
            </w:tcBorders>
            <w:shd w:val="clear" w:color="auto" w:fill="FCD5B4"/>
            <w:noWrap/>
            <w:vAlign w:val="bottom"/>
            <w:hideMark/>
          </w:tcPr>
          <w:p w14:paraId="07F4B1DB" w14:textId="77777777" w:rsidR="00FE008B" w:rsidRPr="00E35625" w:rsidRDefault="00FE008B" w:rsidP="00E14B65">
            <w:pPr>
              <w:rPr>
                <w:lang w:val="sq-AL"/>
              </w:rPr>
            </w:pPr>
            <w:r w:rsidRPr="00E35625">
              <w:rPr>
                <w:lang w:val="sq-AL"/>
              </w:rPr>
              <w:t>32.8</w:t>
            </w:r>
          </w:p>
        </w:tc>
      </w:tr>
      <w:tr w:rsidR="003B2767" w:rsidRPr="00E35625" w14:paraId="06A55BC7"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DE9D9"/>
            <w:noWrap/>
            <w:vAlign w:val="bottom"/>
            <w:hideMark/>
          </w:tcPr>
          <w:p w14:paraId="2FA60604" w14:textId="77777777" w:rsidR="00FE008B" w:rsidRPr="00E35625" w:rsidRDefault="00FE008B" w:rsidP="00E14B65">
            <w:pPr>
              <w:rPr>
                <w:lang w:val="sq-AL"/>
              </w:rPr>
            </w:pPr>
          </w:p>
        </w:tc>
        <w:tc>
          <w:tcPr>
            <w:tcW w:w="775"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0F418160" w14:textId="77777777" w:rsidR="00FE008B" w:rsidRPr="00E35625" w:rsidRDefault="00FE008B" w:rsidP="00E14B65">
            <w:pPr>
              <w:rPr>
                <w:lang w:val="sq-AL"/>
              </w:rPr>
            </w:pPr>
            <w:r w:rsidRPr="00E35625">
              <w:rPr>
                <w:lang w:val="sq-AL"/>
              </w:rPr>
              <w:t>Gra</w:t>
            </w:r>
          </w:p>
        </w:tc>
        <w:tc>
          <w:tcPr>
            <w:tcW w:w="712"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5F0D0302" w14:textId="77777777" w:rsidR="00FE008B" w:rsidRPr="00E35625" w:rsidRDefault="00FE008B" w:rsidP="00E14B65">
            <w:pPr>
              <w:rPr>
                <w:lang w:val="sq-AL"/>
              </w:rPr>
            </w:pPr>
            <w:r w:rsidRPr="00E35625">
              <w:rPr>
                <w:lang w:val="sq-AL"/>
              </w:rPr>
              <w:t>55.6</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11395A57" w14:textId="77777777" w:rsidR="00FE008B" w:rsidRPr="00E35625" w:rsidRDefault="00FE008B" w:rsidP="00E14B65">
            <w:pPr>
              <w:rPr>
                <w:lang w:val="sq-AL"/>
              </w:rPr>
            </w:pPr>
            <w:r w:rsidRPr="00E35625">
              <w:rPr>
                <w:lang w:val="sq-AL"/>
              </w:rPr>
              <w:t>52.8</w:t>
            </w:r>
          </w:p>
        </w:tc>
        <w:tc>
          <w:tcPr>
            <w:tcW w:w="709"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04B83AF" w14:textId="77777777" w:rsidR="00FE008B" w:rsidRPr="00E35625" w:rsidRDefault="00FE008B" w:rsidP="00E14B65">
            <w:pPr>
              <w:rPr>
                <w:lang w:val="sq-AL"/>
              </w:rPr>
            </w:pPr>
            <w:r w:rsidRPr="00E35625">
              <w:rPr>
                <w:lang w:val="sq-AL"/>
              </w:rPr>
              <w:t>50.1</w:t>
            </w:r>
          </w:p>
        </w:tc>
        <w:tc>
          <w:tcPr>
            <w:tcW w:w="754" w:type="dxa"/>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4C07C6BC" w14:textId="77777777" w:rsidR="00FE008B" w:rsidRPr="00E35625" w:rsidRDefault="00FE008B" w:rsidP="00E14B65">
            <w:pPr>
              <w:rPr>
                <w:lang w:val="sq-AL"/>
              </w:rPr>
            </w:pPr>
            <w:r w:rsidRPr="00E35625">
              <w:rPr>
                <w:lang w:val="sq-AL"/>
              </w:rPr>
              <w:t>50.2</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6160054B" w14:textId="77777777" w:rsidR="00FE008B" w:rsidRPr="00E35625" w:rsidRDefault="00FE008B" w:rsidP="00E14B65">
            <w:pPr>
              <w:rPr>
                <w:lang w:val="sq-AL"/>
              </w:rPr>
            </w:pPr>
            <w:r w:rsidRPr="00E35625">
              <w:rPr>
                <w:lang w:val="sq-AL"/>
              </w:rPr>
              <w:t>48.6</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3BB7F6C6" w14:textId="77777777" w:rsidR="00FE008B" w:rsidRPr="00E35625" w:rsidRDefault="00FE008B" w:rsidP="00E14B65">
            <w:pPr>
              <w:rPr>
                <w:lang w:val="sq-AL"/>
              </w:rPr>
            </w:pPr>
            <w:r w:rsidRPr="00E35625">
              <w:rPr>
                <w:lang w:val="sq-AL"/>
              </w:rPr>
              <w:t>47.0</w:t>
            </w:r>
          </w:p>
        </w:tc>
        <w:tc>
          <w:tcPr>
            <w:tcW w:w="0" w:type="auto"/>
            <w:tcBorders>
              <w:top w:val="single" w:sz="4" w:space="0" w:color="FFFFFF"/>
              <w:left w:val="single" w:sz="4" w:space="0" w:color="FFFFFF"/>
              <w:bottom w:val="single" w:sz="4" w:space="0" w:color="FFFFFF"/>
              <w:right w:val="single" w:sz="4" w:space="0" w:color="FFFFFF"/>
            </w:tcBorders>
            <w:shd w:val="clear" w:color="auto" w:fill="FDE9D9"/>
            <w:noWrap/>
            <w:vAlign w:val="bottom"/>
            <w:hideMark/>
          </w:tcPr>
          <w:p w14:paraId="1B82CC52" w14:textId="77777777" w:rsidR="00FE008B" w:rsidRPr="00E35625" w:rsidRDefault="00FE008B" w:rsidP="00E14B65">
            <w:pPr>
              <w:rPr>
                <w:lang w:val="sq-AL"/>
              </w:rPr>
            </w:pPr>
            <w:r w:rsidRPr="00E35625">
              <w:rPr>
                <w:lang w:val="sq-AL"/>
              </w:rPr>
              <w:t>47.7</w:t>
            </w:r>
          </w:p>
        </w:tc>
        <w:tc>
          <w:tcPr>
            <w:tcW w:w="0" w:type="auto"/>
            <w:tcBorders>
              <w:top w:val="single" w:sz="4" w:space="0" w:color="FFFFFF"/>
              <w:left w:val="single" w:sz="4" w:space="0" w:color="FFFFFF"/>
              <w:bottom w:val="single" w:sz="4" w:space="0" w:color="FFFFFF"/>
              <w:right w:val="nil"/>
            </w:tcBorders>
            <w:shd w:val="clear" w:color="auto" w:fill="FDE9D9"/>
            <w:noWrap/>
            <w:vAlign w:val="bottom"/>
            <w:hideMark/>
          </w:tcPr>
          <w:p w14:paraId="03E516B9" w14:textId="77777777" w:rsidR="00FE008B" w:rsidRPr="00E35625" w:rsidRDefault="00FE008B" w:rsidP="00E14B65">
            <w:pPr>
              <w:rPr>
                <w:lang w:val="sq-AL"/>
              </w:rPr>
            </w:pPr>
            <w:r w:rsidRPr="00E35625">
              <w:rPr>
                <w:lang w:val="sq-AL"/>
              </w:rPr>
              <w:t>47.4</w:t>
            </w:r>
          </w:p>
        </w:tc>
      </w:tr>
      <w:tr w:rsidR="003B2767" w:rsidRPr="00E35625" w14:paraId="566B6C52" w14:textId="77777777" w:rsidTr="003B2767">
        <w:trPr>
          <w:trHeight w:val="285"/>
        </w:trPr>
        <w:tc>
          <w:tcPr>
            <w:tcW w:w="3049" w:type="dxa"/>
            <w:tcBorders>
              <w:top w:val="single" w:sz="4" w:space="0" w:color="FFFFFF"/>
              <w:left w:val="nil"/>
              <w:bottom w:val="single" w:sz="4" w:space="0" w:color="FFFFFF"/>
              <w:right w:val="single" w:sz="4" w:space="0" w:color="FFFFFF"/>
            </w:tcBorders>
            <w:shd w:val="clear" w:color="auto" w:fill="FCD5B4"/>
            <w:noWrap/>
            <w:vAlign w:val="bottom"/>
            <w:hideMark/>
          </w:tcPr>
          <w:p w14:paraId="10BE86FC" w14:textId="77777777" w:rsidR="00FE008B" w:rsidRPr="00E35625" w:rsidRDefault="00FE008B" w:rsidP="00E14B65">
            <w:pPr>
              <w:rPr>
                <w:lang w:val="sq-AL"/>
              </w:rPr>
            </w:pPr>
            <w:r w:rsidRPr="00E35625">
              <w:rPr>
                <w:lang w:val="sq-AL"/>
              </w:rPr>
              <w:t>NEET</w:t>
            </w:r>
          </w:p>
        </w:tc>
        <w:tc>
          <w:tcPr>
            <w:tcW w:w="775"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784D3308" w14:textId="77777777" w:rsidR="00FE008B" w:rsidRPr="00E35625" w:rsidRDefault="00FE008B" w:rsidP="00E14B65">
            <w:pPr>
              <w:rPr>
                <w:lang w:val="sq-AL"/>
              </w:rPr>
            </w:pPr>
            <w:r w:rsidRPr="00E35625">
              <w:rPr>
                <w:lang w:val="sq-AL"/>
              </w:rPr>
              <w:t>Burra</w:t>
            </w:r>
          </w:p>
        </w:tc>
        <w:tc>
          <w:tcPr>
            <w:tcW w:w="712"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44ABB0AB" w14:textId="77777777" w:rsidR="00FE008B" w:rsidRPr="00E35625" w:rsidRDefault="00FE008B" w:rsidP="00E14B65">
            <w:pPr>
              <w:rPr>
                <w:lang w:val="sq-AL"/>
              </w:rPr>
            </w:pPr>
            <w:r w:rsidRPr="00E35625">
              <w:rPr>
                <w:lang w:val="sq-AL"/>
              </w:rPr>
              <w:t>31.8</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9A56638" w14:textId="77777777" w:rsidR="00FE008B" w:rsidRPr="00E35625" w:rsidRDefault="00FE008B" w:rsidP="00E14B65">
            <w:pPr>
              <w:rPr>
                <w:lang w:val="sq-AL"/>
              </w:rPr>
            </w:pPr>
            <w:r w:rsidRPr="00E35625">
              <w:rPr>
                <w:lang w:val="sq-AL"/>
              </w:rPr>
              <w:t>29.4</w:t>
            </w:r>
          </w:p>
        </w:tc>
        <w:tc>
          <w:tcPr>
            <w:tcW w:w="709"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294F1A82" w14:textId="77777777" w:rsidR="00FE008B" w:rsidRPr="00E35625" w:rsidRDefault="00FE008B" w:rsidP="00E14B65">
            <w:pPr>
              <w:rPr>
                <w:lang w:val="sq-AL"/>
              </w:rPr>
            </w:pPr>
            <w:r w:rsidRPr="00E35625">
              <w:rPr>
                <w:lang w:val="sq-AL"/>
              </w:rPr>
              <w:t>27.5</w:t>
            </w:r>
          </w:p>
        </w:tc>
        <w:tc>
          <w:tcPr>
            <w:tcW w:w="754" w:type="dxa"/>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5AB8AE7D" w14:textId="77777777" w:rsidR="00FE008B" w:rsidRPr="00E35625" w:rsidRDefault="00FE008B" w:rsidP="00E14B65">
            <w:pPr>
              <w:rPr>
                <w:lang w:val="sq-AL"/>
              </w:rPr>
            </w:pPr>
            <w:r w:rsidRPr="00E35625">
              <w:rPr>
                <w:lang w:val="sq-AL"/>
              </w:rPr>
              <w:t>25.6</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7A0AD343" w14:textId="77777777" w:rsidR="00FE008B" w:rsidRPr="00E35625" w:rsidRDefault="00FE008B" w:rsidP="00E14B65">
            <w:pPr>
              <w:rPr>
                <w:lang w:val="sq-AL"/>
              </w:rPr>
            </w:pPr>
            <w:r w:rsidRPr="00E35625">
              <w:rPr>
                <w:lang w:val="sq-AL"/>
              </w:rPr>
              <w:t>24.7</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0C57BA16" w14:textId="77777777" w:rsidR="00FE008B" w:rsidRPr="00E35625" w:rsidRDefault="00FE008B" w:rsidP="00E14B65">
            <w:pPr>
              <w:rPr>
                <w:lang w:val="sq-AL"/>
              </w:rPr>
            </w:pPr>
            <w:r w:rsidRPr="00E35625">
              <w:rPr>
                <w:lang w:val="sq-AL"/>
              </w:rPr>
              <w:t>24.3</w:t>
            </w:r>
          </w:p>
        </w:tc>
        <w:tc>
          <w:tcPr>
            <w:tcW w:w="0" w:type="auto"/>
            <w:tcBorders>
              <w:top w:val="single" w:sz="4" w:space="0" w:color="FFFFFF"/>
              <w:left w:val="single" w:sz="4" w:space="0" w:color="FFFFFF"/>
              <w:bottom w:val="single" w:sz="4" w:space="0" w:color="FFFFFF"/>
              <w:right w:val="single" w:sz="4" w:space="0" w:color="FFFFFF"/>
            </w:tcBorders>
            <w:shd w:val="clear" w:color="auto" w:fill="FCD5B4"/>
            <w:noWrap/>
            <w:vAlign w:val="bottom"/>
            <w:hideMark/>
          </w:tcPr>
          <w:p w14:paraId="1C8AA481" w14:textId="77777777" w:rsidR="00FE008B" w:rsidRPr="00E35625" w:rsidRDefault="00FE008B" w:rsidP="00E14B65">
            <w:pPr>
              <w:rPr>
                <w:lang w:val="sq-AL"/>
              </w:rPr>
            </w:pPr>
            <w:r w:rsidRPr="00E35625">
              <w:rPr>
                <w:lang w:val="sq-AL"/>
              </w:rPr>
              <w:t>25.8</w:t>
            </w:r>
          </w:p>
        </w:tc>
        <w:tc>
          <w:tcPr>
            <w:tcW w:w="0" w:type="auto"/>
            <w:tcBorders>
              <w:top w:val="single" w:sz="4" w:space="0" w:color="FFFFFF"/>
              <w:left w:val="single" w:sz="4" w:space="0" w:color="FFFFFF"/>
              <w:bottom w:val="single" w:sz="4" w:space="0" w:color="FFFFFF"/>
              <w:right w:val="nil"/>
            </w:tcBorders>
            <w:shd w:val="clear" w:color="auto" w:fill="FCD5B4"/>
            <w:noWrap/>
            <w:vAlign w:val="bottom"/>
            <w:hideMark/>
          </w:tcPr>
          <w:p w14:paraId="0DD5996C" w14:textId="77777777" w:rsidR="00FE008B" w:rsidRPr="00E35625" w:rsidRDefault="00FE008B" w:rsidP="00E14B65">
            <w:pPr>
              <w:rPr>
                <w:lang w:val="sq-AL"/>
              </w:rPr>
            </w:pPr>
            <w:r w:rsidRPr="00E35625">
              <w:rPr>
                <w:lang w:val="sq-AL"/>
              </w:rPr>
              <w:t>23.2</w:t>
            </w:r>
          </w:p>
        </w:tc>
      </w:tr>
      <w:tr w:rsidR="003B2767" w:rsidRPr="00E35625" w14:paraId="3FD48D27" w14:textId="77777777" w:rsidTr="003B2767">
        <w:trPr>
          <w:trHeight w:val="285"/>
        </w:trPr>
        <w:tc>
          <w:tcPr>
            <w:tcW w:w="3049" w:type="dxa"/>
            <w:tcBorders>
              <w:top w:val="single" w:sz="4" w:space="0" w:color="FFFFFF"/>
              <w:left w:val="nil"/>
              <w:bottom w:val="nil"/>
              <w:right w:val="single" w:sz="4" w:space="0" w:color="FFFFFF"/>
            </w:tcBorders>
            <w:shd w:val="clear" w:color="auto" w:fill="FDE9D9"/>
            <w:noWrap/>
            <w:vAlign w:val="bottom"/>
            <w:hideMark/>
          </w:tcPr>
          <w:p w14:paraId="72276672" w14:textId="77777777" w:rsidR="00FE008B" w:rsidRPr="00E35625" w:rsidRDefault="00FE008B" w:rsidP="00E14B65">
            <w:pPr>
              <w:rPr>
                <w:lang w:val="sq-AL"/>
              </w:rPr>
            </w:pPr>
          </w:p>
        </w:tc>
        <w:tc>
          <w:tcPr>
            <w:tcW w:w="775" w:type="dxa"/>
            <w:tcBorders>
              <w:top w:val="single" w:sz="4" w:space="0" w:color="FFFFFF"/>
              <w:left w:val="single" w:sz="4" w:space="0" w:color="FFFFFF"/>
              <w:bottom w:val="nil"/>
              <w:right w:val="single" w:sz="4" w:space="0" w:color="FFFFFF"/>
            </w:tcBorders>
            <w:shd w:val="clear" w:color="auto" w:fill="FDE9D9"/>
            <w:noWrap/>
            <w:vAlign w:val="bottom"/>
            <w:hideMark/>
          </w:tcPr>
          <w:p w14:paraId="6C920964" w14:textId="77777777" w:rsidR="00FE008B" w:rsidRPr="00E35625" w:rsidRDefault="00FE008B" w:rsidP="00E14B65">
            <w:pPr>
              <w:rPr>
                <w:lang w:val="sq-AL"/>
              </w:rPr>
            </w:pPr>
            <w:r w:rsidRPr="00E35625">
              <w:rPr>
                <w:lang w:val="sq-AL"/>
              </w:rPr>
              <w:t>Gra</w:t>
            </w:r>
          </w:p>
        </w:tc>
        <w:tc>
          <w:tcPr>
            <w:tcW w:w="712" w:type="dxa"/>
            <w:tcBorders>
              <w:top w:val="single" w:sz="4" w:space="0" w:color="FFFFFF"/>
              <w:left w:val="single" w:sz="4" w:space="0" w:color="FFFFFF"/>
              <w:bottom w:val="nil"/>
              <w:right w:val="single" w:sz="4" w:space="0" w:color="FFFFFF"/>
            </w:tcBorders>
            <w:shd w:val="clear" w:color="auto" w:fill="FDE9D9"/>
            <w:noWrap/>
            <w:vAlign w:val="bottom"/>
            <w:hideMark/>
          </w:tcPr>
          <w:p w14:paraId="397F2369" w14:textId="77777777" w:rsidR="00FE008B" w:rsidRPr="00E35625" w:rsidRDefault="00FE008B" w:rsidP="00E14B65">
            <w:pPr>
              <w:rPr>
                <w:lang w:val="sq-AL"/>
              </w:rPr>
            </w:pPr>
            <w:r w:rsidRPr="00E35625">
              <w:rPr>
                <w:lang w:val="sq-AL"/>
              </w:rPr>
              <w:t>37.3</w:t>
            </w:r>
          </w:p>
        </w:tc>
        <w:tc>
          <w:tcPr>
            <w:tcW w:w="709" w:type="dxa"/>
            <w:tcBorders>
              <w:top w:val="single" w:sz="4" w:space="0" w:color="FFFFFF"/>
              <w:left w:val="single" w:sz="4" w:space="0" w:color="FFFFFF"/>
              <w:bottom w:val="nil"/>
              <w:right w:val="single" w:sz="4" w:space="0" w:color="FFFFFF"/>
            </w:tcBorders>
            <w:shd w:val="clear" w:color="auto" w:fill="FDE9D9"/>
            <w:noWrap/>
            <w:vAlign w:val="bottom"/>
            <w:hideMark/>
          </w:tcPr>
          <w:p w14:paraId="5D7E4424" w14:textId="77777777" w:rsidR="00FE008B" w:rsidRPr="00E35625" w:rsidRDefault="00FE008B" w:rsidP="00E14B65">
            <w:pPr>
              <w:rPr>
                <w:lang w:val="sq-AL"/>
              </w:rPr>
            </w:pPr>
            <w:r w:rsidRPr="00E35625">
              <w:rPr>
                <w:lang w:val="sq-AL"/>
              </w:rPr>
              <w:t>36.6</w:t>
            </w:r>
          </w:p>
        </w:tc>
        <w:tc>
          <w:tcPr>
            <w:tcW w:w="709" w:type="dxa"/>
            <w:tcBorders>
              <w:top w:val="single" w:sz="4" w:space="0" w:color="FFFFFF"/>
              <w:left w:val="single" w:sz="4" w:space="0" w:color="FFFFFF"/>
              <w:bottom w:val="nil"/>
              <w:right w:val="single" w:sz="4" w:space="0" w:color="FFFFFF"/>
            </w:tcBorders>
            <w:shd w:val="clear" w:color="auto" w:fill="FDE9D9"/>
            <w:noWrap/>
            <w:vAlign w:val="bottom"/>
            <w:hideMark/>
          </w:tcPr>
          <w:p w14:paraId="5009007A" w14:textId="77777777" w:rsidR="00FE008B" w:rsidRPr="00E35625" w:rsidRDefault="00FE008B" w:rsidP="00E14B65">
            <w:pPr>
              <w:rPr>
                <w:lang w:val="sq-AL"/>
              </w:rPr>
            </w:pPr>
            <w:r w:rsidRPr="00E35625">
              <w:rPr>
                <w:lang w:val="sq-AL"/>
              </w:rPr>
              <w:t>32.9</w:t>
            </w:r>
          </w:p>
        </w:tc>
        <w:tc>
          <w:tcPr>
            <w:tcW w:w="754" w:type="dxa"/>
            <w:tcBorders>
              <w:top w:val="single" w:sz="4" w:space="0" w:color="FFFFFF"/>
              <w:left w:val="single" w:sz="4" w:space="0" w:color="FFFFFF"/>
              <w:bottom w:val="nil"/>
              <w:right w:val="single" w:sz="4" w:space="0" w:color="FFFFFF"/>
            </w:tcBorders>
            <w:shd w:val="clear" w:color="auto" w:fill="FDE9D9"/>
            <w:noWrap/>
            <w:vAlign w:val="bottom"/>
            <w:hideMark/>
          </w:tcPr>
          <w:p w14:paraId="04643BA4" w14:textId="77777777" w:rsidR="00FE008B" w:rsidRPr="00E35625" w:rsidRDefault="00FE008B" w:rsidP="00E14B65">
            <w:pPr>
              <w:rPr>
                <w:lang w:val="sq-AL"/>
              </w:rPr>
            </w:pPr>
            <w:r w:rsidRPr="00E35625">
              <w:rPr>
                <w:lang w:val="sq-AL"/>
              </w:rPr>
              <w:t>34.4</w:t>
            </w:r>
          </w:p>
        </w:tc>
        <w:tc>
          <w:tcPr>
            <w:tcW w:w="0" w:type="auto"/>
            <w:tcBorders>
              <w:top w:val="single" w:sz="4" w:space="0" w:color="FFFFFF"/>
              <w:left w:val="single" w:sz="4" w:space="0" w:color="FFFFFF"/>
              <w:bottom w:val="nil"/>
              <w:right w:val="single" w:sz="4" w:space="0" w:color="FFFFFF"/>
            </w:tcBorders>
            <w:shd w:val="clear" w:color="auto" w:fill="FDE9D9"/>
            <w:noWrap/>
            <w:vAlign w:val="bottom"/>
            <w:hideMark/>
          </w:tcPr>
          <w:p w14:paraId="1450A499" w14:textId="77777777" w:rsidR="00FE008B" w:rsidRPr="00E35625" w:rsidRDefault="00FE008B" w:rsidP="00E14B65">
            <w:pPr>
              <w:rPr>
                <w:lang w:val="sq-AL"/>
              </w:rPr>
            </w:pPr>
            <w:r w:rsidRPr="00E35625">
              <w:rPr>
                <w:lang w:val="sq-AL"/>
              </w:rPr>
              <w:t>32.7</w:t>
            </w:r>
          </w:p>
        </w:tc>
        <w:tc>
          <w:tcPr>
            <w:tcW w:w="0" w:type="auto"/>
            <w:tcBorders>
              <w:top w:val="single" w:sz="4" w:space="0" w:color="FFFFFF"/>
              <w:left w:val="single" w:sz="4" w:space="0" w:color="FFFFFF"/>
              <w:bottom w:val="nil"/>
              <w:right w:val="single" w:sz="4" w:space="0" w:color="FFFFFF"/>
            </w:tcBorders>
            <w:shd w:val="clear" w:color="auto" w:fill="FDE9D9"/>
            <w:noWrap/>
            <w:vAlign w:val="bottom"/>
            <w:hideMark/>
          </w:tcPr>
          <w:p w14:paraId="74C746E3" w14:textId="77777777" w:rsidR="00FE008B" w:rsidRPr="00E35625" w:rsidRDefault="00FE008B" w:rsidP="00E14B65">
            <w:pPr>
              <w:rPr>
                <w:lang w:val="sq-AL"/>
              </w:rPr>
            </w:pPr>
            <w:r w:rsidRPr="00E35625">
              <w:rPr>
                <w:lang w:val="sq-AL"/>
              </w:rPr>
              <w:t>28.9</w:t>
            </w:r>
          </w:p>
        </w:tc>
        <w:tc>
          <w:tcPr>
            <w:tcW w:w="0" w:type="auto"/>
            <w:tcBorders>
              <w:top w:val="single" w:sz="4" w:space="0" w:color="FFFFFF"/>
              <w:left w:val="single" w:sz="4" w:space="0" w:color="FFFFFF"/>
              <w:bottom w:val="nil"/>
              <w:right w:val="single" w:sz="4" w:space="0" w:color="FFFFFF"/>
            </w:tcBorders>
            <w:shd w:val="clear" w:color="auto" w:fill="FDE9D9"/>
            <w:noWrap/>
            <w:vAlign w:val="bottom"/>
            <w:hideMark/>
          </w:tcPr>
          <w:p w14:paraId="1BF77358" w14:textId="77777777" w:rsidR="00FE008B" w:rsidRPr="00E35625" w:rsidRDefault="00FE008B" w:rsidP="00E14B65">
            <w:pPr>
              <w:rPr>
                <w:lang w:val="sq-AL"/>
              </w:rPr>
            </w:pPr>
            <w:r w:rsidRPr="00E35625">
              <w:rPr>
                <w:lang w:val="sq-AL"/>
              </w:rPr>
              <w:t>30.0</w:t>
            </w:r>
          </w:p>
        </w:tc>
        <w:tc>
          <w:tcPr>
            <w:tcW w:w="0" w:type="auto"/>
            <w:tcBorders>
              <w:top w:val="single" w:sz="4" w:space="0" w:color="FFFFFF"/>
              <w:left w:val="single" w:sz="4" w:space="0" w:color="FFFFFF"/>
              <w:bottom w:val="nil"/>
              <w:right w:val="nil"/>
            </w:tcBorders>
            <w:shd w:val="clear" w:color="auto" w:fill="FDE9D9"/>
            <w:noWrap/>
            <w:vAlign w:val="bottom"/>
            <w:hideMark/>
          </w:tcPr>
          <w:p w14:paraId="7F10BAA0" w14:textId="77777777" w:rsidR="00FE008B" w:rsidRPr="00E35625" w:rsidRDefault="00FE008B" w:rsidP="00E14B65">
            <w:pPr>
              <w:rPr>
                <w:lang w:val="sq-AL"/>
              </w:rPr>
            </w:pPr>
            <w:r w:rsidRPr="00E35625">
              <w:rPr>
                <w:lang w:val="sq-AL"/>
              </w:rPr>
              <w:t>29.1</w:t>
            </w:r>
          </w:p>
        </w:tc>
      </w:tr>
    </w:tbl>
    <w:p w14:paraId="5837E2EA" w14:textId="5957DB89" w:rsidR="00FE008B" w:rsidRPr="00E35625" w:rsidRDefault="0061550F" w:rsidP="00E14B65">
      <w:pPr>
        <w:rPr>
          <w:lang w:val="sq-AL"/>
        </w:rPr>
      </w:pPr>
      <w:r w:rsidRPr="00E35625">
        <w:rPr>
          <w:lang w:val="sq-AL"/>
        </w:rPr>
        <w:t xml:space="preserve">Pavarësisht përpjekjeve të </w:t>
      </w:r>
      <w:r w:rsidR="00FE008B" w:rsidRPr="00E35625">
        <w:rPr>
          <w:lang w:val="sq-AL"/>
        </w:rPr>
        <w:t xml:space="preserve">viteve të fundit </w:t>
      </w:r>
      <w:r w:rsidRPr="00E35625">
        <w:rPr>
          <w:lang w:val="sq-AL"/>
        </w:rPr>
        <w:t>për</w:t>
      </w:r>
      <w:r w:rsidR="00FE008B" w:rsidRPr="00E35625">
        <w:rPr>
          <w:lang w:val="sq-AL"/>
        </w:rPr>
        <w:t xml:space="preserve"> aktivizimi</w:t>
      </w:r>
      <w:r w:rsidRPr="00E35625">
        <w:rPr>
          <w:lang w:val="sq-AL"/>
        </w:rPr>
        <w:t>n</w:t>
      </w:r>
      <w:r w:rsidR="00FE008B" w:rsidRPr="00E35625">
        <w:rPr>
          <w:lang w:val="sq-AL"/>
        </w:rPr>
        <w:t xml:space="preserve"> e grave, ende mbetet </w:t>
      </w:r>
      <w:r w:rsidR="00F936CC" w:rsidRPr="00E35625">
        <w:rPr>
          <w:lang w:val="sq-AL"/>
        </w:rPr>
        <w:t xml:space="preserve">shumë </w:t>
      </w:r>
      <w:r w:rsidR="00FE008B" w:rsidRPr="00E35625">
        <w:rPr>
          <w:lang w:val="sq-AL"/>
        </w:rPr>
        <w:t>për t</w:t>
      </w:r>
      <w:r w:rsidR="00F936CC" w:rsidRPr="00E35625">
        <w:rPr>
          <w:lang w:val="sq-AL"/>
        </w:rPr>
        <w:t>’u</w:t>
      </w:r>
      <w:r w:rsidR="00FE008B" w:rsidRPr="00E35625">
        <w:rPr>
          <w:lang w:val="sq-AL"/>
        </w:rPr>
        <w:t xml:space="preserve"> bërë drejt barazisë gjinore në punësim. Meqenëse punësimi është i lidhur ngushtë edhe me faktorë të tjerë të rëndësishëm si</w:t>
      </w:r>
      <w:r w:rsidR="00F43AFB">
        <w:rPr>
          <w:lang w:val="sq-AL"/>
        </w:rPr>
        <w:t>:</w:t>
      </w:r>
      <w:r w:rsidR="00FE008B" w:rsidRPr="00E35625">
        <w:rPr>
          <w:lang w:val="sq-AL"/>
        </w:rPr>
        <w:t xml:space="preserve"> hendeku gjinor, puna e papaguar, kontributi në familje</w:t>
      </w:r>
      <w:r w:rsidR="00F43AFB">
        <w:rPr>
          <w:lang w:val="sq-AL"/>
        </w:rPr>
        <w:t>,</w:t>
      </w:r>
      <w:r w:rsidR="00FE008B" w:rsidRPr="00E35625">
        <w:rPr>
          <w:lang w:val="sq-AL"/>
        </w:rPr>
        <w:t xml:space="preserve"> </w:t>
      </w:r>
      <w:r w:rsidR="00F43AFB">
        <w:rPr>
          <w:lang w:val="sq-AL"/>
        </w:rPr>
        <w:t>balancimi i jetës personale me atë profesionale, ofrimi i shërbimeve të përkujdesit nga gratë për fëmijët, të moshuarit apo familjarë në nevojë, kushtet për punësim të denjë</w:t>
      </w:r>
      <w:r w:rsidR="00910FC7">
        <w:rPr>
          <w:lang w:val="sq-AL"/>
        </w:rPr>
        <w:t xml:space="preserve">, </w:t>
      </w:r>
      <w:r w:rsidR="00F43AFB">
        <w:rPr>
          <w:lang w:val="sq-AL"/>
        </w:rPr>
        <w:t>mbrojtja nga ngacmimi seksual në vendin e punës</w:t>
      </w:r>
      <w:r w:rsidR="00910FC7">
        <w:rPr>
          <w:lang w:val="sq-AL"/>
        </w:rPr>
        <w:t>, etj.</w:t>
      </w:r>
      <w:r w:rsidR="00F43AFB">
        <w:rPr>
          <w:lang w:val="sq-AL"/>
        </w:rPr>
        <w:t xml:space="preserve">, </w:t>
      </w:r>
      <w:r w:rsidR="00F43AFB" w:rsidRPr="008451AE">
        <w:rPr>
          <w:lang w:val="sq-AL"/>
        </w:rPr>
        <w:t>është e nevojshme që kjo problematikë të vazhdojë të adresohet në të ardhmen.</w:t>
      </w:r>
    </w:p>
    <w:p w14:paraId="73090B5D" w14:textId="3164FF97" w:rsidR="00FE008B" w:rsidRDefault="00FE008B" w:rsidP="00E14B65">
      <w:pPr>
        <w:rPr>
          <w:lang w:val="sq-AL"/>
        </w:rPr>
      </w:pPr>
      <w:r w:rsidRPr="00E35625">
        <w:rPr>
          <w:b/>
          <w:lang w:val="sq-AL"/>
        </w:rPr>
        <w:t>Shkalla e punësimit në Shqipëri</w:t>
      </w:r>
      <w:r w:rsidR="00AC1699" w:rsidRPr="00E35625">
        <w:rPr>
          <w:b/>
          <w:lang w:val="sq-AL"/>
        </w:rPr>
        <w:t xml:space="preserve"> </w:t>
      </w:r>
      <w:r w:rsidR="00E35625" w:rsidRPr="00E35625">
        <w:rPr>
          <w:b/>
          <w:lang w:val="sq-AL"/>
        </w:rPr>
        <w:t>ë</w:t>
      </w:r>
      <w:r w:rsidR="00AC1699" w:rsidRPr="00E35625">
        <w:rPr>
          <w:b/>
          <w:lang w:val="sq-AL"/>
        </w:rPr>
        <w:t>sht</w:t>
      </w:r>
      <w:r w:rsidR="00E35625" w:rsidRPr="00E35625">
        <w:rPr>
          <w:b/>
          <w:lang w:val="sq-AL"/>
        </w:rPr>
        <w:t>ë</w:t>
      </w:r>
      <w:r w:rsidR="00AC1699" w:rsidRPr="00E35625">
        <w:rPr>
          <w:b/>
          <w:lang w:val="sq-AL"/>
        </w:rPr>
        <w:t xml:space="preserve"> n</w:t>
      </w:r>
      <w:r w:rsidR="00E35625" w:rsidRPr="00E35625">
        <w:rPr>
          <w:b/>
          <w:lang w:val="sq-AL"/>
        </w:rPr>
        <w:t>ë</w:t>
      </w:r>
      <w:r w:rsidR="00AC1699" w:rsidRPr="00E35625">
        <w:rPr>
          <w:b/>
          <w:lang w:val="sq-AL"/>
        </w:rPr>
        <w:t xml:space="preserve"> p</w:t>
      </w:r>
      <w:r w:rsidR="00E35625" w:rsidRPr="00E35625">
        <w:rPr>
          <w:b/>
          <w:lang w:val="sq-AL"/>
        </w:rPr>
        <w:t>ë</w:t>
      </w:r>
      <w:r w:rsidR="00AC1699" w:rsidRPr="00E35625">
        <w:rPr>
          <w:b/>
          <w:lang w:val="sq-AL"/>
        </w:rPr>
        <w:t>rmir</w:t>
      </w:r>
      <w:r w:rsidR="00E35625" w:rsidRPr="00E35625">
        <w:rPr>
          <w:b/>
          <w:lang w:val="sq-AL"/>
        </w:rPr>
        <w:t>ë</w:t>
      </w:r>
      <w:r w:rsidR="00AC1699" w:rsidRPr="00E35625">
        <w:rPr>
          <w:b/>
          <w:lang w:val="sq-AL"/>
        </w:rPr>
        <w:t>sim, por duhen adresuar problematikat n</w:t>
      </w:r>
      <w:r w:rsidR="00E35625" w:rsidRPr="00E35625">
        <w:rPr>
          <w:b/>
          <w:lang w:val="sq-AL"/>
        </w:rPr>
        <w:t>ë</w:t>
      </w:r>
      <w:r w:rsidR="00AC1699" w:rsidRPr="00E35625">
        <w:rPr>
          <w:b/>
          <w:lang w:val="sq-AL"/>
        </w:rPr>
        <w:t xml:space="preserve"> grupet e c</w:t>
      </w:r>
      <w:r w:rsidR="00C73D12">
        <w:rPr>
          <w:b/>
          <w:lang w:val="sq-AL"/>
        </w:rPr>
        <w:t>e</w:t>
      </w:r>
      <w:r w:rsidR="00AC1699" w:rsidRPr="00E35625">
        <w:rPr>
          <w:b/>
          <w:lang w:val="sq-AL"/>
        </w:rPr>
        <w:t>nueshme</w:t>
      </w:r>
      <w:r w:rsidRPr="00E35625">
        <w:rPr>
          <w:lang w:val="sq-AL"/>
        </w:rPr>
        <w:t xml:space="preserve">. Gjatë vitit 2021, shkalla e punësimit në vend arriti në 60.9 </w:t>
      </w:r>
      <w:r w:rsidR="004A16A4">
        <w:rPr>
          <w:lang w:val="sq-AL"/>
        </w:rPr>
        <w:t xml:space="preserve"> përqind</w:t>
      </w:r>
      <w:r w:rsidRPr="00E35625">
        <w:rPr>
          <w:lang w:val="sq-AL"/>
        </w:rPr>
        <w:t xml:space="preserve">, paksa nën nivelin e periudhës para pandemisë (61.2 </w:t>
      </w:r>
      <w:r w:rsidR="004A16A4">
        <w:rPr>
          <w:lang w:val="sq-AL"/>
        </w:rPr>
        <w:t xml:space="preserve"> përqind</w:t>
      </w:r>
      <w:r w:rsidRPr="00E35625">
        <w:rPr>
          <w:lang w:val="sq-AL"/>
        </w:rPr>
        <w:t>). Por ky tregues është më i ulët se në vendet e Bashkimit E</w:t>
      </w:r>
      <w:r w:rsidR="00EA27C3">
        <w:rPr>
          <w:lang w:val="sq-AL"/>
        </w:rPr>
        <w:t>v</w:t>
      </w:r>
      <w:r w:rsidRPr="00E35625">
        <w:rPr>
          <w:lang w:val="sq-AL"/>
        </w:rPr>
        <w:t xml:space="preserve">ropian (69 </w:t>
      </w:r>
      <w:r w:rsidR="004A16A4">
        <w:rPr>
          <w:lang w:val="sq-AL"/>
        </w:rPr>
        <w:t xml:space="preserve"> përqind</w:t>
      </w:r>
      <w:r w:rsidRPr="00E35625">
        <w:rPr>
          <w:lang w:val="sq-AL"/>
        </w:rPr>
        <w:t xml:space="preserve"> gjatë 2021)</w:t>
      </w:r>
      <w:r w:rsidR="0061550F" w:rsidRPr="00E35625">
        <w:rPr>
          <w:lang w:val="sq-AL"/>
        </w:rPr>
        <w:t>.</w:t>
      </w:r>
      <w:r w:rsidRPr="00E35625">
        <w:rPr>
          <w:lang w:val="sq-AL"/>
        </w:rPr>
        <w:t xml:space="preserve"> </w:t>
      </w:r>
      <w:r w:rsidR="0061550F" w:rsidRPr="00E35625">
        <w:rPr>
          <w:lang w:val="sq-AL"/>
        </w:rPr>
        <w:t xml:space="preserve">Ky tregues </w:t>
      </w:r>
      <w:r w:rsidRPr="00E35625">
        <w:rPr>
          <w:lang w:val="sq-AL"/>
        </w:rPr>
        <w:t xml:space="preserve">rezulton më i ulët për gratë në </w:t>
      </w:r>
      <w:r w:rsidR="0061550F" w:rsidRPr="00E35625">
        <w:rPr>
          <w:lang w:val="sq-AL"/>
        </w:rPr>
        <w:t xml:space="preserve">Shqipëri </w:t>
      </w:r>
      <w:r w:rsidRPr="00E35625">
        <w:rPr>
          <w:lang w:val="sq-AL"/>
        </w:rPr>
        <w:t xml:space="preserve">(53.8 </w:t>
      </w:r>
      <w:r w:rsidR="004A16A4">
        <w:rPr>
          <w:lang w:val="sq-AL"/>
        </w:rPr>
        <w:t xml:space="preserve"> përqind</w:t>
      </w:r>
      <w:r w:rsidRPr="00E35625">
        <w:rPr>
          <w:lang w:val="sq-AL"/>
        </w:rPr>
        <w:t xml:space="preserve"> në 2021) dhe shumë më i ulët për të rinjtë (15-24 vjeç), tek të cilët shkalla e punësimit në 2021 ishte vetëm 26.4 </w:t>
      </w:r>
      <w:r w:rsidR="004A16A4">
        <w:rPr>
          <w:lang w:val="sq-AL"/>
        </w:rPr>
        <w:t xml:space="preserve"> përqind</w:t>
      </w:r>
      <w:r w:rsidRPr="00E35625">
        <w:rPr>
          <w:lang w:val="sq-AL"/>
        </w:rPr>
        <w:t xml:space="preserve"> ose, e thënë ndryshe, vetëm 1 ndër 4 të rinj është i punësuar në vend. Për shkak të problematikës komplekse ekonomike dhe sociale në vend dhe përcaktimit të statusit të papunë, </w:t>
      </w:r>
      <w:r w:rsidR="00F936CC" w:rsidRPr="00E35625">
        <w:rPr>
          <w:lang w:val="sq-AL"/>
        </w:rPr>
        <w:t xml:space="preserve">në mjaft raste, </w:t>
      </w:r>
      <w:r w:rsidRPr="00E35625">
        <w:rPr>
          <w:lang w:val="sq-AL"/>
        </w:rPr>
        <w:t>shkalla e punësimit pasqyron më mirë situatën në tregun e punës, krahasuar me treguesit e tjerë, si shkalla e papunësisë.</w:t>
      </w:r>
      <w:r w:rsidR="00886E03" w:rsidRPr="00E35625">
        <w:rPr>
          <w:lang w:val="sq-AL"/>
        </w:rPr>
        <w:t xml:space="preserve"> </w:t>
      </w:r>
    </w:p>
    <w:p w14:paraId="7A0A0E2C" w14:textId="3934D5C6" w:rsidR="00117AD4" w:rsidRDefault="00117AD4" w:rsidP="00E14B65">
      <w:pPr>
        <w:rPr>
          <w:lang w:val="sq-AL"/>
        </w:rPr>
      </w:pPr>
    </w:p>
    <w:p w14:paraId="3AF9D4B6" w14:textId="77777777" w:rsidR="00117AD4" w:rsidRPr="00E35625" w:rsidRDefault="00117AD4" w:rsidP="00E14B65">
      <w:pPr>
        <w:rPr>
          <w:lang w:val="sq-AL"/>
        </w:rPr>
      </w:pPr>
    </w:p>
    <w:p w14:paraId="015DEA61" w14:textId="56110A2A" w:rsidR="00117AD4" w:rsidRDefault="00117AD4" w:rsidP="001261FD">
      <w:pPr>
        <w:pStyle w:val="Caption"/>
        <w:keepNext/>
        <w:jc w:val="center"/>
      </w:pPr>
      <w:bookmarkStart w:id="9" w:name="_Toc123162115"/>
      <w:r>
        <w:lastRenderedPageBreak/>
        <w:t xml:space="preserve">Figura </w:t>
      </w:r>
      <w:r w:rsidR="004D4D2F">
        <w:fldChar w:fldCharType="begin"/>
      </w:r>
      <w:r w:rsidR="004D4D2F">
        <w:instrText xml:space="preserve"> SEQ Figura \* ARABIC </w:instrText>
      </w:r>
      <w:r w:rsidR="004D4D2F">
        <w:fldChar w:fldCharType="separate"/>
      </w:r>
      <w:r w:rsidR="00342919">
        <w:rPr>
          <w:noProof/>
        </w:rPr>
        <w:t>4</w:t>
      </w:r>
      <w:r w:rsidR="004D4D2F">
        <w:rPr>
          <w:noProof/>
        </w:rPr>
        <w:fldChar w:fldCharType="end"/>
      </w:r>
      <w:r>
        <w:t>: Shkalla e punësimit, 2011-2021</w:t>
      </w:r>
      <w:bookmarkEnd w:id="9"/>
    </w:p>
    <w:p w14:paraId="3D05DF41" w14:textId="3D53C4BE" w:rsidR="00FE008B" w:rsidRDefault="00FE008B" w:rsidP="0061550F">
      <w:pPr>
        <w:jc w:val="center"/>
        <w:rPr>
          <w:lang w:val="sq-AL"/>
        </w:rPr>
      </w:pPr>
      <w:r w:rsidRPr="00E35625">
        <w:rPr>
          <w:noProof/>
        </w:rPr>
        <w:drawing>
          <wp:inline distT="0" distB="0" distL="0" distR="0" wp14:anchorId="05EECD2A" wp14:editId="7AA11AFC">
            <wp:extent cx="4596130" cy="2372360"/>
            <wp:effectExtent l="0" t="0" r="1397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AF758E" w14:textId="08754EA6" w:rsidR="00117AD4" w:rsidRPr="001261FD" w:rsidRDefault="00117AD4" w:rsidP="0061550F">
      <w:pPr>
        <w:jc w:val="center"/>
        <w:rPr>
          <w:i/>
          <w:iCs/>
          <w:sz w:val="18"/>
          <w:szCs w:val="18"/>
          <w:lang w:val="sq-AL"/>
        </w:rPr>
      </w:pPr>
      <w:r w:rsidRPr="001261FD">
        <w:rPr>
          <w:i/>
          <w:iCs/>
          <w:sz w:val="18"/>
          <w:szCs w:val="18"/>
          <w:lang w:val="sq-AL"/>
        </w:rPr>
        <w:t>Burimi: INSTAT</w:t>
      </w:r>
    </w:p>
    <w:p w14:paraId="25528CD1" w14:textId="6197EF3E" w:rsidR="00FE008B" w:rsidRDefault="00FE008B" w:rsidP="00E14B65">
      <w:pPr>
        <w:rPr>
          <w:lang w:val="sq-AL"/>
        </w:rPr>
      </w:pPr>
      <w:r w:rsidRPr="00E35625">
        <w:rPr>
          <w:lang w:val="sq-AL"/>
        </w:rPr>
        <w:t>Problematikat në tregun e punës nuk janë veçori e zhvillimeve në Shqipëri</w:t>
      </w:r>
      <w:r w:rsidR="00F936CC" w:rsidRPr="00E35625">
        <w:rPr>
          <w:lang w:val="sq-AL"/>
        </w:rPr>
        <w:t xml:space="preserve">, </w:t>
      </w:r>
      <w:r w:rsidRPr="00E35625">
        <w:rPr>
          <w:lang w:val="sq-AL"/>
        </w:rPr>
        <w:t>por</w:t>
      </w:r>
      <w:r w:rsidR="00F936CC" w:rsidRPr="00E35625">
        <w:rPr>
          <w:lang w:val="sq-AL"/>
        </w:rPr>
        <w:t>,</w:t>
      </w:r>
      <w:r w:rsidRPr="00E35625">
        <w:rPr>
          <w:lang w:val="sq-AL"/>
        </w:rPr>
        <w:t xml:space="preserve"> në mënyrë të ngjashme</w:t>
      </w:r>
      <w:r w:rsidR="00F936CC" w:rsidRPr="00E35625">
        <w:rPr>
          <w:lang w:val="sq-AL"/>
        </w:rPr>
        <w:t>,</w:t>
      </w:r>
      <w:r w:rsidRPr="00E35625">
        <w:rPr>
          <w:lang w:val="sq-AL"/>
        </w:rPr>
        <w:t xml:space="preserve"> të gjitha vendet e rajonit përballen me sfida të njëjta. Të dhënat më të fundit të disponueshme në treguesit e zhvillimit të Bankës Botërore që i përkasin vitit 2019, tregojnë se Shqipëria ka nivelin më të lartë në rajon</w:t>
      </w:r>
      <w:r w:rsidR="00F936CC" w:rsidRPr="00E35625">
        <w:rPr>
          <w:lang w:val="sq-AL"/>
        </w:rPr>
        <w:t>, për</w:t>
      </w:r>
      <w:r w:rsidRPr="00E35625">
        <w:rPr>
          <w:lang w:val="sq-AL"/>
        </w:rPr>
        <w:t xml:space="preserve"> sa i përket pjesëmarrjes në forcat e punës</w:t>
      </w:r>
      <w:r w:rsidR="00886E03" w:rsidRPr="00E35625">
        <w:rPr>
          <w:lang w:val="sq-AL"/>
        </w:rPr>
        <w:t xml:space="preserve">. </w:t>
      </w:r>
    </w:p>
    <w:p w14:paraId="1CC206F3" w14:textId="77777777" w:rsidR="009116BF" w:rsidRPr="00E35625" w:rsidRDefault="009116BF" w:rsidP="00E14B65">
      <w:pPr>
        <w:rPr>
          <w:lang w:val="sq-AL"/>
        </w:rPr>
      </w:pPr>
    </w:p>
    <w:p w14:paraId="3036C7F0" w14:textId="54040D2C" w:rsidR="009116BF" w:rsidRDefault="009116BF" w:rsidP="001261FD">
      <w:pPr>
        <w:pStyle w:val="Caption"/>
        <w:keepNext/>
        <w:jc w:val="center"/>
      </w:pPr>
      <w:bookmarkStart w:id="10" w:name="_Toc123162116"/>
      <w:r>
        <w:t xml:space="preserve">Figura </w:t>
      </w:r>
      <w:r w:rsidR="004D4D2F">
        <w:fldChar w:fldCharType="begin"/>
      </w:r>
      <w:r w:rsidR="004D4D2F">
        <w:instrText xml:space="preserve"> SEQ Figura \* ARABIC </w:instrText>
      </w:r>
      <w:r w:rsidR="004D4D2F">
        <w:fldChar w:fldCharType="separate"/>
      </w:r>
      <w:r w:rsidR="00342919">
        <w:rPr>
          <w:noProof/>
        </w:rPr>
        <w:t>5</w:t>
      </w:r>
      <w:r w:rsidR="004D4D2F">
        <w:rPr>
          <w:noProof/>
        </w:rPr>
        <w:fldChar w:fldCharType="end"/>
      </w:r>
      <w:r>
        <w:t>: Pjesëmarrja në forcat e punës dhe shkalla e papunësisë në rajon dhe BE, 2019</w:t>
      </w:r>
      <w:bookmarkEnd w:id="10"/>
    </w:p>
    <w:p w14:paraId="6AF0FD59" w14:textId="08182749" w:rsidR="00FE008B" w:rsidRPr="00E35625" w:rsidRDefault="00FE008B" w:rsidP="0061550F">
      <w:pPr>
        <w:jc w:val="center"/>
        <w:rPr>
          <w:lang w:val="sq-AL"/>
        </w:rPr>
      </w:pPr>
      <w:r w:rsidRPr="00E35625">
        <w:rPr>
          <w:noProof/>
        </w:rPr>
        <w:drawing>
          <wp:inline distT="0" distB="0" distL="0" distR="0" wp14:anchorId="354188D1" wp14:editId="5EB95C56">
            <wp:extent cx="5641975" cy="1793240"/>
            <wp:effectExtent l="0" t="0" r="9525" b="101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FF284D" w14:textId="77777777" w:rsidR="00086027" w:rsidRDefault="00FE008B" w:rsidP="00086027">
      <w:pPr>
        <w:pStyle w:val="Caption"/>
        <w:spacing w:before="0" w:after="0"/>
        <w:jc w:val="center"/>
        <w:rPr>
          <w:lang w:val="sq-AL"/>
        </w:rPr>
      </w:pPr>
      <w:r w:rsidRPr="00E35625">
        <w:rPr>
          <w:lang w:val="sq-AL"/>
        </w:rPr>
        <w:t>Të dhënat nga Databaza Statistikore e Bankës Botërore, treguesit e zhvillimit:</w:t>
      </w:r>
    </w:p>
    <w:p w14:paraId="3A342DDA" w14:textId="220EED68" w:rsidR="00FE008B" w:rsidRPr="00E35625" w:rsidRDefault="00FE008B" w:rsidP="00086027">
      <w:pPr>
        <w:pStyle w:val="Caption"/>
        <w:spacing w:before="0" w:after="0"/>
        <w:jc w:val="center"/>
        <w:rPr>
          <w:lang w:val="sq-AL"/>
        </w:rPr>
      </w:pPr>
      <w:r w:rsidRPr="00E35625">
        <w:rPr>
          <w:lang w:val="sq-AL"/>
        </w:rPr>
        <w:t xml:space="preserve"> https://databank.</w:t>
      </w:r>
      <w:r w:rsidR="007109DE">
        <w:rPr>
          <w:lang w:val="sq-AL"/>
        </w:rPr>
        <w:t>w</w:t>
      </w:r>
      <w:r w:rsidR="00A61BD9" w:rsidRPr="00E35625">
        <w:rPr>
          <w:lang w:val="sq-AL"/>
        </w:rPr>
        <w:t>orld</w:t>
      </w:r>
      <w:r w:rsidRPr="00E35625">
        <w:rPr>
          <w:lang w:val="sq-AL"/>
        </w:rPr>
        <w:t>bank.org/source/</w:t>
      </w:r>
      <w:r w:rsidR="007109DE">
        <w:rPr>
          <w:lang w:val="sq-AL"/>
        </w:rPr>
        <w:t>w</w:t>
      </w:r>
      <w:r w:rsidR="00A61BD9" w:rsidRPr="00E35625">
        <w:rPr>
          <w:lang w:val="sq-AL"/>
        </w:rPr>
        <w:t>orld</w:t>
      </w:r>
      <w:r w:rsidRPr="00E35625">
        <w:rPr>
          <w:lang w:val="sq-AL"/>
        </w:rPr>
        <w:t>-development-indicators#</w:t>
      </w:r>
      <w:r w:rsidR="00086027">
        <w:rPr>
          <w:lang w:val="sq-AL"/>
        </w:rPr>
        <w:t xml:space="preserve"> </w:t>
      </w:r>
    </w:p>
    <w:p w14:paraId="7ECFDB09" w14:textId="555595EA" w:rsidR="00FE008B" w:rsidRPr="00E35625" w:rsidRDefault="00FE008B" w:rsidP="00E14B65">
      <w:pPr>
        <w:rPr>
          <w:lang w:val="sq-AL"/>
        </w:rPr>
      </w:pPr>
      <w:r w:rsidRPr="00E35625">
        <w:rPr>
          <w:lang w:val="sq-AL"/>
        </w:rPr>
        <w:t>Informaliteti në aktivitetet ekonomike, ndonëse është reduktuar ndjeshëm gjatë viteve të fundit, përbën një problem kompleks për tregun e punës në vend. Sektori i bujqësisë dhe aktivitetet në zonat rurale përbëjnë kategorinë kryesore ku informaliteti është ende i pranishëm, me gjithë incentivat e përdorura me sukses për formalizimin e fermerëve në treg. Të dhënat e INSTAT-it tregojnë se gjatë vitit 2021, një çerek milion</w:t>
      </w:r>
      <w:r w:rsidR="00E35625" w:rsidRPr="00E35625">
        <w:rPr>
          <w:lang w:val="sq-AL"/>
        </w:rPr>
        <w:t>ë</w:t>
      </w:r>
      <w:r w:rsidRPr="00E35625">
        <w:rPr>
          <w:lang w:val="sq-AL"/>
        </w:rPr>
        <w:t xml:space="preserve"> të punësuarish, ose 1 në çdo 5 persona të punësuar në Shqipëri, punon pa pagesë në biznesin e familjes dhe ky tregues është edhe më i lartë për </w:t>
      </w:r>
      <w:r w:rsidR="00910FC7">
        <w:rPr>
          <w:lang w:val="sq-AL"/>
        </w:rPr>
        <w:t>gratë dhe të rejat</w:t>
      </w:r>
      <w:r w:rsidRPr="00E35625">
        <w:rPr>
          <w:lang w:val="sq-AL"/>
        </w:rPr>
        <w:t xml:space="preserve">, se sa për </w:t>
      </w:r>
      <w:r w:rsidR="00910FC7">
        <w:rPr>
          <w:lang w:val="sq-AL"/>
        </w:rPr>
        <w:t>burrat dhe të rinjtë</w:t>
      </w:r>
      <w:r w:rsidRPr="00E35625">
        <w:rPr>
          <w:lang w:val="sq-AL"/>
        </w:rPr>
        <w:t>. Në mjaft raste, informaliteti në punësim shkaktohet jo vetëm nga mungesa e kulturës për pagimin e detyrimeve apo e incentivave për pagesën e këtyre detyrimeve</w:t>
      </w:r>
      <w:r w:rsidR="002F5E2C">
        <w:rPr>
          <w:lang w:val="sq-AL"/>
        </w:rPr>
        <w:t xml:space="preserve">, </w:t>
      </w:r>
      <w:r w:rsidRPr="00E35625">
        <w:rPr>
          <w:lang w:val="sq-AL"/>
        </w:rPr>
        <w:t xml:space="preserve">por edhe për të shmangur </w:t>
      </w:r>
      <w:r w:rsidR="00AC1699" w:rsidRPr="00E35625">
        <w:rPr>
          <w:lang w:val="sq-AL"/>
        </w:rPr>
        <w:t>deklarimet</w:t>
      </w:r>
      <w:r w:rsidRPr="00E35625">
        <w:rPr>
          <w:lang w:val="sq-AL"/>
        </w:rPr>
        <w:t xml:space="preserve"> </w:t>
      </w:r>
      <w:r w:rsidRPr="00E35625">
        <w:rPr>
          <w:lang w:val="sq-AL"/>
        </w:rPr>
        <w:lastRenderedPageBreak/>
        <w:t>apo daljen nga skemat e mbrojtjes sociale, veçanërisht në rastet e punësimit sezonal, sikurse është punësimi në turizëm në zonat bregdetare dhe ato rurale.</w:t>
      </w:r>
    </w:p>
    <w:p w14:paraId="0712D61E" w14:textId="223A9ADD" w:rsidR="00FE008B" w:rsidRPr="00E35625" w:rsidRDefault="00FE008B" w:rsidP="00E14B65">
      <w:pPr>
        <w:rPr>
          <w:lang w:val="sq-AL"/>
        </w:rPr>
      </w:pPr>
      <w:r w:rsidRPr="00E35625">
        <w:rPr>
          <w:b/>
          <w:lang w:val="sq-AL"/>
        </w:rPr>
        <w:t xml:space="preserve">Zhvillimi ekonomik i vendit </w:t>
      </w:r>
      <w:r w:rsidR="00AC1699" w:rsidRPr="00E35625">
        <w:rPr>
          <w:b/>
          <w:lang w:val="sq-AL"/>
        </w:rPr>
        <w:t>preket nga</w:t>
      </w:r>
      <w:r w:rsidRPr="00E35625">
        <w:rPr>
          <w:b/>
          <w:lang w:val="sq-AL"/>
        </w:rPr>
        <w:t xml:space="preserve"> ri</w:t>
      </w:r>
      <w:r w:rsidR="00AC1699" w:rsidRPr="00E35625">
        <w:rPr>
          <w:b/>
          <w:lang w:val="sq-AL"/>
        </w:rPr>
        <w:t>s</w:t>
      </w:r>
      <w:r w:rsidRPr="00E35625">
        <w:rPr>
          <w:b/>
          <w:lang w:val="sq-AL"/>
        </w:rPr>
        <w:t xml:space="preserve">qe dhe sfida me pasoja të mundshme dhe të drejtpërdrejta për ekonominë shqiptare. </w:t>
      </w:r>
      <w:r w:rsidR="004C3C19" w:rsidRPr="00E35625">
        <w:rPr>
          <w:lang w:val="sq-AL"/>
        </w:rPr>
        <w:t>P</w:t>
      </w:r>
      <w:r w:rsidRPr="00E35625">
        <w:rPr>
          <w:lang w:val="sq-AL"/>
        </w:rPr>
        <w:t xml:space="preserve">rocesi i rimëkëmbjes ende vazhdon dhe përmirësimi i rëndësishëm i profilit të Shqipërisë me hapjen e negociatave për anëtarësim në Bashkimin </w:t>
      </w:r>
      <w:r w:rsidR="00910FC7" w:rsidRPr="00E35625">
        <w:rPr>
          <w:lang w:val="sq-AL"/>
        </w:rPr>
        <w:t>E</w:t>
      </w:r>
      <w:r w:rsidR="00910FC7">
        <w:rPr>
          <w:lang w:val="sq-AL"/>
        </w:rPr>
        <w:t>v</w:t>
      </w:r>
      <w:r w:rsidR="00910FC7" w:rsidRPr="00E35625">
        <w:rPr>
          <w:lang w:val="sq-AL"/>
        </w:rPr>
        <w:t>ropian</w:t>
      </w:r>
      <w:r w:rsidRPr="00E35625">
        <w:rPr>
          <w:lang w:val="sq-AL"/>
        </w:rPr>
        <w:t>,</w:t>
      </w:r>
      <w:r w:rsidR="004C3C19" w:rsidRPr="00E35625">
        <w:rPr>
          <w:lang w:val="sq-AL"/>
        </w:rPr>
        <w:t xml:space="preserve"> si dhe</w:t>
      </w:r>
      <w:r w:rsidRPr="00E35625">
        <w:rPr>
          <w:lang w:val="sq-AL"/>
        </w:rPr>
        <w:t xml:space="preserve"> faktorë të tjerë, kryesisht të jashtëm, mund të ndikojnë në ecurinë e ekonomisë. Krahas bashkëjetesës së pashmangshme me Covid-19, ekonomia e Shqipërisë është e ekspozuar ndaj rreziqeve të ndërlidhura të jashtme, ndër të cilat më të rëndësishmet aktualisht përfshijnë luftën në Ukrainë, valën e inflacionit që ka përfshirë të gjitha vendet e botës, krizën energjitike dhe koston e lartë të produkteve energjitike, sigurinë ushqimore, si dhe prirjen e uljes së investimeve të huaja direkte në kushtet e pasigurisë që mbizotëron në tregjet globale. Hapja e plotë e Shqipërisë ndaj ekonomisë globale dhe varësia e lartë nga ecuria e saj, veçanërisht nga vendet e Bashkimit Europian, krahas përfitimeve, nxjerr në pah dhe cenueshmërinë e saj nga problemet dhe rreziqet, të cilat lehtësisht transmetohen në të gjithë zinxhirin e aktivitetit ekonomik në vend.</w:t>
      </w:r>
    </w:p>
    <w:p w14:paraId="78ACFB76" w14:textId="6FCB74BB" w:rsidR="00FE008B" w:rsidRDefault="00FE008B" w:rsidP="00E14B65">
      <w:pPr>
        <w:rPr>
          <w:lang w:val="sq-AL"/>
        </w:rPr>
      </w:pPr>
      <w:r w:rsidRPr="00E35625">
        <w:rPr>
          <w:b/>
          <w:lang w:val="sq-AL"/>
        </w:rPr>
        <w:t>Popullsia e Shqipërisë ka përjetuar tkurrje dhe plakje të konsiderueshme gjatë viteve të fundit</w:t>
      </w:r>
      <w:r w:rsidRPr="00E35625">
        <w:rPr>
          <w:lang w:val="sq-AL"/>
        </w:rPr>
        <w:t>. Sipas të dhënave demografike të publikuara nga INSTAT, popullsia e Shqipërisë vazhdon në rënie nga viti në vit për çdo vit gjatë dy dekadave të fundit, përjashtuar vitin 2017 dhe ndërkohë mosha mediane e popullsisë është rritur nga mosha 33.2 vite në vitin 2012, në moshën 38.2 vite në vitin 2022. Projeksionet e popullsisë, sipas skenarit të mesëm të ndërtuar nga INSTAT-i, tregojnë se deri në vitin 2030 popullsia totale e Shqipërisë do të pakësohet edhe me rreth 86 mijë vetë, në vijim të rënies prej mbi 104 mijë vetë gjatë dekadës së fundit 2012-2021.</w:t>
      </w:r>
    </w:p>
    <w:p w14:paraId="6B4A2AF5" w14:textId="77777777" w:rsidR="009116BF" w:rsidRPr="00E35625" w:rsidRDefault="009116BF" w:rsidP="00E14B65">
      <w:pPr>
        <w:rPr>
          <w:lang w:val="sq-AL"/>
        </w:rPr>
      </w:pPr>
    </w:p>
    <w:p w14:paraId="0A766B91" w14:textId="4F727D39" w:rsidR="009116BF" w:rsidRDefault="009116BF" w:rsidP="001261FD">
      <w:pPr>
        <w:pStyle w:val="Caption"/>
        <w:keepNext/>
        <w:jc w:val="center"/>
      </w:pPr>
      <w:bookmarkStart w:id="11" w:name="_Toc123162117"/>
      <w:r>
        <w:t xml:space="preserve">Figura </w:t>
      </w:r>
      <w:r w:rsidR="004D4D2F">
        <w:fldChar w:fldCharType="begin"/>
      </w:r>
      <w:r w:rsidR="004D4D2F">
        <w:instrText xml:space="preserve"> SEQ Figur</w:instrText>
      </w:r>
      <w:r w:rsidR="004D4D2F">
        <w:instrText xml:space="preserve">a \* ARABIC </w:instrText>
      </w:r>
      <w:r w:rsidR="004D4D2F">
        <w:fldChar w:fldCharType="separate"/>
      </w:r>
      <w:r w:rsidR="00342919">
        <w:rPr>
          <w:noProof/>
        </w:rPr>
        <w:t>6</w:t>
      </w:r>
      <w:r w:rsidR="004D4D2F">
        <w:rPr>
          <w:noProof/>
        </w:rPr>
        <w:fldChar w:fldCharType="end"/>
      </w:r>
      <w:r>
        <w:t>: Popullsia e Shqipërisë, 2001-2022</w:t>
      </w:r>
      <w:bookmarkEnd w:id="11"/>
    </w:p>
    <w:p w14:paraId="1F37D169" w14:textId="1A61B6EA" w:rsidR="00FE008B" w:rsidRPr="00E35625" w:rsidRDefault="00FE008B" w:rsidP="00716706">
      <w:pPr>
        <w:jc w:val="center"/>
        <w:rPr>
          <w:lang w:val="sq-AL"/>
        </w:rPr>
      </w:pPr>
      <w:r w:rsidRPr="00E35625">
        <w:rPr>
          <w:noProof/>
        </w:rPr>
        <w:drawing>
          <wp:inline distT="0" distB="0" distL="0" distR="0" wp14:anchorId="2E2A9B7C" wp14:editId="2B0282D4">
            <wp:extent cx="4596130" cy="1882775"/>
            <wp:effectExtent l="0" t="0" r="1397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696038" w14:textId="77777777" w:rsidR="00FE008B" w:rsidRPr="00E35625" w:rsidRDefault="00FE008B" w:rsidP="00716706">
      <w:pPr>
        <w:pStyle w:val="Caption"/>
        <w:jc w:val="center"/>
        <w:rPr>
          <w:lang w:val="sq-AL"/>
        </w:rPr>
      </w:pPr>
      <w:r w:rsidRPr="00E35625">
        <w:rPr>
          <w:lang w:val="sq-AL"/>
        </w:rPr>
        <w:t>Burimi: INSTAT</w:t>
      </w:r>
    </w:p>
    <w:p w14:paraId="549D0B3A" w14:textId="05FA9252" w:rsidR="00FE008B" w:rsidRPr="00E35625" w:rsidRDefault="00122AF1" w:rsidP="00E14B65">
      <w:pPr>
        <w:rPr>
          <w:lang w:val="sq-AL"/>
        </w:rPr>
      </w:pPr>
      <w:r w:rsidRPr="00E35625">
        <w:rPr>
          <w:b/>
          <w:lang w:val="sq-AL"/>
        </w:rPr>
        <w:t>Plakja e popullsis</w:t>
      </w:r>
      <w:r w:rsidR="00E35625" w:rsidRPr="00E35625">
        <w:rPr>
          <w:b/>
          <w:lang w:val="sq-AL"/>
        </w:rPr>
        <w:t>ë</w:t>
      </w:r>
      <w:r w:rsidRPr="00E35625">
        <w:rPr>
          <w:b/>
          <w:lang w:val="sq-AL"/>
        </w:rPr>
        <w:t xml:space="preserve"> dhe l</w:t>
      </w:r>
      <w:r w:rsidR="00E35625" w:rsidRPr="00E35625">
        <w:rPr>
          <w:b/>
          <w:lang w:val="sq-AL"/>
        </w:rPr>
        <w:t>ë</w:t>
      </w:r>
      <w:r w:rsidRPr="00E35625">
        <w:rPr>
          <w:b/>
          <w:lang w:val="sq-AL"/>
        </w:rPr>
        <w:t>vizjet migratore kan</w:t>
      </w:r>
      <w:r w:rsidR="00E35625" w:rsidRPr="00E35625">
        <w:rPr>
          <w:b/>
          <w:lang w:val="sq-AL"/>
        </w:rPr>
        <w:t>ë</w:t>
      </w:r>
      <w:r w:rsidR="00FE008B" w:rsidRPr="00E35625">
        <w:rPr>
          <w:b/>
          <w:lang w:val="sq-AL"/>
        </w:rPr>
        <w:t xml:space="preserve"> </w:t>
      </w:r>
      <w:r w:rsidR="00AE771B">
        <w:rPr>
          <w:b/>
          <w:lang w:val="sq-AL"/>
        </w:rPr>
        <w:t>zvog</w:t>
      </w:r>
      <w:r w:rsidR="00F43AFB">
        <w:rPr>
          <w:b/>
          <w:lang w:val="sq-AL"/>
        </w:rPr>
        <w:t>ë</w:t>
      </w:r>
      <w:r w:rsidR="00AE771B">
        <w:rPr>
          <w:b/>
          <w:lang w:val="sq-AL"/>
        </w:rPr>
        <w:t>l</w:t>
      </w:r>
      <w:r w:rsidR="00F43AFB">
        <w:rPr>
          <w:b/>
          <w:lang w:val="sq-AL"/>
        </w:rPr>
        <w:t>uar</w:t>
      </w:r>
      <w:r w:rsidR="00AE771B">
        <w:rPr>
          <w:b/>
          <w:lang w:val="sq-AL"/>
        </w:rPr>
        <w:t xml:space="preserve"> rritjen e</w:t>
      </w:r>
      <w:r w:rsidR="00FE008B" w:rsidRPr="00E35625">
        <w:rPr>
          <w:b/>
          <w:lang w:val="sq-AL"/>
        </w:rPr>
        <w:t xml:space="preserve"> fuqisë punëtore në vend.</w:t>
      </w:r>
      <w:r w:rsidR="00FE008B" w:rsidRPr="00E35625">
        <w:rPr>
          <w:lang w:val="sq-AL"/>
        </w:rPr>
        <w:t xml:space="preserve"> Zvogëlimi i popullsisë shqiptare gjatë viteve të fundit lidhet me rënien në vazhdimësi në vite të lindjeve të reja shoqëruar me </w:t>
      </w:r>
      <w:r w:rsidR="00AE771B" w:rsidRPr="00AE771B">
        <w:rPr>
          <w:lang w:val="sq-AL"/>
        </w:rPr>
        <w:t xml:space="preserve">lëvizjet migratore </w:t>
      </w:r>
      <w:r w:rsidR="00AE771B">
        <w:rPr>
          <w:lang w:val="sq-AL"/>
        </w:rPr>
        <w:t xml:space="preserve">sjell </w:t>
      </w:r>
      <w:r w:rsidR="00FE008B" w:rsidRPr="00E35625">
        <w:rPr>
          <w:lang w:val="sq-AL"/>
        </w:rPr>
        <w:t xml:space="preserve">një bilanc negativ të shtesës natyrore të popullsisë. </w:t>
      </w:r>
      <w:r w:rsidR="000F5AAF" w:rsidRPr="00E35625">
        <w:rPr>
          <w:lang w:val="sq-AL"/>
        </w:rPr>
        <w:t xml:space="preserve">Ky proces </w:t>
      </w:r>
      <w:r w:rsidR="00E35625" w:rsidRPr="00E35625">
        <w:rPr>
          <w:lang w:val="sq-AL"/>
        </w:rPr>
        <w:t>ë</w:t>
      </w:r>
      <w:r w:rsidR="000F5AAF" w:rsidRPr="00E35625">
        <w:rPr>
          <w:lang w:val="sq-AL"/>
        </w:rPr>
        <w:t>sht</w:t>
      </w:r>
      <w:r w:rsidR="00E35625" w:rsidRPr="00E35625">
        <w:rPr>
          <w:lang w:val="sq-AL"/>
        </w:rPr>
        <w:t>ë</w:t>
      </w:r>
      <w:r w:rsidR="000F5AAF" w:rsidRPr="00E35625">
        <w:rPr>
          <w:lang w:val="sq-AL"/>
        </w:rPr>
        <w:t xml:space="preserve"> shoq</w:t>
      </w:r>
      <w:r w:rsidR="00E35625" w:rsidRPr="00E35625">
        <w:rPr>
          <w:lang w:val="sq-AL"/>
        </w:rPr>
        <w:t>ë</w:t>
      </w:r>
      <w:r w:rsidR="000F5AAF" w:rsidRPr="00E35625">
        <w:rPr>
          <w:lang w:val="sq-AL"/>
        </w:rPr>
        <w:t>ruar dhe me hapjen</w:t>
      </w:r>
      <w:r w:rsidR="00FE008B" w:rsidRPr="00E35625">
        <w:rPr>
          <w:lang w:val="sq-AL"/>
        </w:rPr>
        <w:t xml:space="preserve"> e plotë </w:t>
      </w:r>
      <w:r w:rsidR="000F5AAF" w:rsidRPr="00E35625">
        <w:rPr>
          <w:lang w:val="sq-AL"/>
        </w:rPr>
        <w:t>t</w:t>
      </w:r>
      <w:r w:rsidR="00E35625" w:rsidRPr="00E35625">
        <w:rPr>
          <w:lang w:val="sq-AL"/>
        </w:rPr>
        <w:t>ë</w:t>
      </w:r>
      <w:r w:rsidR="00FE008B" w:rsidRPr="00E35625">
        <w:rPr>
          <w:lang w:val="sq-AL"/>
        </w:rPr>
        <w:t xml:space="preserve"> Shqipërisë ndaj botës, lëvizj</w:t>
      </w:r>
      <w:r w:rsidR="000F5AAF" w:rsidRPr="00E35625">
        <w:rPr>
          <w:lang w:val="sq-AL"/>
        </w:rPr>
        <w:t xml:space="preserve">en </w:t>
      </w:r>
      <w:r w:rsidR="00FE008B" w:rsidRPr="00E35625">
        <w:rPr>
          <w:lang w:val="sq-AL"/>
        </w:rPr>
        <w:t xml:space="preserve">e lirë </w:t>
      </w:r>
      <w:r w:rsidR="000F5AAF" w:rsidRPr="00E35625">
        <w:rPr>
          <w:lang w:val="sq-AL"/>
        </w:rPr>
        <w:t>t</w:t>
      </w:r>
      <w:r w:rsidR="00E35625" w:rsidRPr="00E35625">
        <w:rPr>
          <w:lang w:val="sq-AL"/>
        </w:rPr>
        <w:t>ë</w:t>
      </w:r>
      <w:r w:rsidR="00FE008B" w:rsidRPr="00E35625">
        <w:rPr>
          <w:lang w:val="sq-AL"/>
        </w:rPr>
        <w:t xml:space="preserve"> shqiptarëve kryesisht në vendet e Bashkimit Europian, shoqëruar me emigrimin e paligjshëm drejt vendeve ku ende ka pengesa hyrjeje apo qëndrimi</w:t>
      </w:r>
      <w:r w:rsidR="000F5AAF" w:rsidRPr="00E35625">
        <w:rPr>
          <w:lang w:val="sq-AL"/>
        </w:rPr>
        <w:t>.</w:t>
      </w:r>
      <w:r w:rsidR="00FE008B" w:rsidRPr="00E35625">
        <w:rPr>
          <w:lang w:val="sq-AL"/>
        </w:rPr>
        <w:t xml:space="preserve"> </w:t>
      </w:r>
    </w:p>
    <w:p w14:paraId="38F44C70" w14:textId="3386CA1F" w:rsidR="00FE008B" w:rsidRPr="00E35625" w:rsidRDefault="00FE008B" w:rsidP="00E14B65">
      <w:pPr>
        <w:rPr>
          <w:lang w:val="sq-AL"/>
        </w:rPr>
      </w:pPr>
      <w:r w:rsidRPr="00E35625">
        <w:rPr>
          <w:lang w:val="sq-AL"/>
        </w:rPr>
        <w:lastRenderedPageBreak/>
        <w:t>Kategoritë e personave që zgjedhin të emigrojnë jashtë vendit kanë ndryshuar në vite duke krijuar mungesë në tregun e punës për aftësi specifike të cilat janë edhe më të kërkuara në tregjet e huaja. Ndryshe nga dy dekadat e para të tranzicionit</w:t>
      </w:r>
      <w:r w:rsidR="00F936CC" w:rsidRPr="00E35625">
        <w:rPr>
          <w:lang w:val="sq-AL"/>
        </w:rPr>
        <w:t>,</w:t>
      </w:r>
      <w:r w:rsidRPr="00E35625">
        <w:rPr>
          <w:lang w:val="sq-AL"/>
        </w:rPr>
        <w:t xml:space="preserve"> lëvizja e lirë gjatë dekadës së fundit si dhe kërkesa për fuqi punëtore të kualifikuar nga tregjet e punës në vendet e Bashkimit Europian, </w:t>
      </w:r>
      <w:r w:rsidR="00AE771B">
        <w:rPr>
          <w:lang w:val="sq-AL"/>
        </w:rPr>
        <w:t>po</w:t>
      </w:r>
      <w:r w:rsidRPr="00E35625">
        <w:rPr>
          <w:lang w:val="sq-AL"/>
        </w:rPr>
        <w:t xml:space="preserve"> </w:t>
      </w:r>
      <w:r w:rsidR="00AE771B">
        <w:rPr>
          <w:lang w:val="sq-AL"/>
        </w:rPr>
        <w:t>ndryshon</w:t>
      </w:r>
      <w:r w:rsidRPr="00E35625">
        <w:rPr>
          <w:lang w:val="sq-AL"/>
        </w:rPr>
        <w:t xml:space="preserve"> natyrën e </w:t>
      </w:r>
      <w:r w:rsidR="00511380" w:rsidRPr="00E35625">
        <w:rPr>
          <w:lang w:val="sq-AL"/>
        </w:rPr>
        <w:t>tendencave migratore</w:t>
      </w:r>
      <w:r w:rsidRPr="00E35625">
        <w:rPr>
          <w:lang w:val="sq-AL"/>
        </w:rPr>
        <w:t>.</w:t>
      </w:r>
    </w:p>
    <w:p w14:paraId="0F254739" w14:textId="32E7C838" w:rsidR="00FE008B" w:rsidRPr="00E35625" w:rsidRDefault="00FE008B" w:rsidP="00E14B65">
      <w:pPr>
        <w:rPr>
          <w:lang w:val="sq-AL"/>
        </w:rPr>
      </w:pPr>
      <w:r w:rsidRPr="00E35625">
        <w:rPr>
          <w:b/>
          <w:lang w:val="sq-AL"/>
        </w:rPr>
        <w:t>Migrimi nga zonat rurale dhe qytetet më të vogla drejt zonave kryesore urbane,</w:t>
      </w:r>
      <w:r w:rsidRPr="00E35625">
        <w:rPr>
          <w:lang w:val="sq-AL"/>
        </w:rPr>
        <w:t xml:space="preserve"> krahas emigrimit të popullsisë, është një fenomen </w:t>
      </w:r>
      <w:r w:rsidR="006E09F0" w:rsidRPr="00E35625">
        <w:rPr>
          <w:lang w:val="sq-AL"/>
        </w:rPr>
        <w:t>prezent</w:t>
      </w:r>
      <w:r w:rsidRPr="00E35625">
        <w:rPr>
          <w:lang w:val="sq-AL"/>
        </w:rPr>
        <w:t xml:space="preserve"> aktualisht në Shqipëri, si pasojë e urbanizimit dhe mundësive më të mira për strehim dhe punësim që ofrohen në qytetet e mëdha të vendit. Sipas të dhënave të INSTAT-it, rreth 39 mijë persona në vit kanë lëvizur mesatarisht brenda vendit gjatë periudhës 2014-2020. Të dhënat tregojnë se shkalla e papunësisë nuk është uniforme në të gjithë vendin, por dëshmon për realitete të ndryshme nga qyteti në qytet. Qarqet me papunësi më të lartë në vend përfshijnë Lezhën (22.6 </w:t>
      </w:r>
      <w:r w:rsidR="004A16A4">
        <w:rPr>
          <w:lang w:val="sq-AL"/>
        </w:rPr>
        <w:t xml:space="preserve"> përqind</w:t>
      </w:r>
      <w:r w:rsidRPr="00E35625">
        <w:rPr>
          <w:lang w:val="sq-AL"/>
        </w:rPr>
        <w:t xml:space="preserve"> në 2021) dhe Vlorën (19.5 </w:t>
      </w:r>
      <w:r w:rsidR="004A16A4">
        <w:rPr>
          <w:lang w:val="sq-AL"/>
        </w:rPr>
        <w:t xml:space="preserve"> përqind</w:t>
      </w:r>
      <w:r w:rsidRPr="00E35625">
        <w:rPr>
          <w:lang w:val="sq-AL"/>
        </w:rPr>
        <w:t xml:space="preserve"> në 2021)</w:t>
      </w:r>
      <w:r w:rsidR="00F936CC" w:rsidRPr="00E35625">
        <w:rPr>
          <w:lang w:val="sq-AL"/>
        </w:rPr>
        <w:t xml:space="preserve">, </w:t>
      </w:r>
      <w:r w:rsidRPr="00E35625">
        <w:rPr>
          <w:lang w:val="sq-AL"/>
        </w:rPr>
        <w:t xml:space="preserve">ndërsa shkalla më e ulët e papunësisë rezulton në Kukës (4 </w:t>
      </w:r>
      <w:r w:rsidR="004A16A4">
        <w:rPr>
          <w:lang w:val="sq-AL"/>
        </w:rPr>
        <w:t xml:space="preserve"> përqind</w:t>
      </w:r>
      <w:r w:rsidRPr="00E35625">
        <w:rPr>
          <w:lang w:val="sq-AL"/>
        </w:rPr>
        <w:t>) dhe Gjirokastër (4.7</w:t>
      </w:r>
      <w:r w:rsidR="004A16A4">
        <w:rPr>
          <w:lang w:val="sq-AL"/>
        </w:rPr>
        <w:t xml:space="preserve"> përqind</w:t>
      </w:r>
      <w:r w:rsidRPr="00E35625">
        <w:rPr>
          <w:lang w:val="sq-AL"/>
        </w:rPr>
        <w:t>). Po kështu, niveli i papunësisë rezulton edhe më shqetësues për të papunët afatgjatë, të cilët në 2021 përbënin mbi 60</w:t>
      </w:r>
      <w:r w:rsidR="004A16A4">
        <w:rPr>
          <w:lang w:val="sq-AL"/>
        </w:rPr>
        <w:t xml:space="preserve"> përqind</w:t>
      </w:r>
      <w:r w:rsidRPr="00E35625">
        <w:rPr>
          <w:lang w:val="sq-AL"/>
        </w:rPr>
        <w:t xml:space="preserve"> të të papunëve në vend, duke dëshmuar problematikën që ekziston për daljen nga ngërçi i papunësisë dhe riaktivizimin apo riintegrimin në tregun e punës.</w:t>
      </w:r>
    </w:p>
    <w:p w14:paraId="7ED50DD6" w14:textId="6244170A" w:rsidR="00FE008B" w:rsidRDefault="00FE008B" w:rsidP="00E14B65">
      <w:pPr>
        <w:rPr>
          <w:lang w:val="sq-AL"/>
        </w:rPr>
      </w:pPr>
      <w:r w:rsidRPr="00E35625">
        <w:rPr>
          <w:b/>
          <w:lang w:val="sq-AL"/>
        </w:rPr>
        <w:t xml:space="preserve">Përvoja e pandemisë Covid-19 i ka ndihmuar bizneset në vend të adoptohen për promovimin e formave të reja të punës, </w:t>
      </w:r>
      <w:r w:rsidRPr="00E35625">
        <w:rPr>
          <w:lang w:val="sq-AL"/>
        </w:rPr>
        <w:t>mbështetjen e punësimit intensiv afatshkurtër, fleksibilitetin në punë, zgjidhjeve digjitale dhe vënien më në pah të profesioneve të reja. Krahas forcimit të konkurueshmërisë së sektorit privat në trajtimin e këtyre çështjeve, është po aq e nevojshme që dhe legjislacioni në fushën e punës të pasqyrojë edhe më mirë nevojat në këtë drejtim.</w:t>
      </w:r>
    </w:p>
    <w:p w14:paraId="6934B512" w14:textId="77777777" w:rsidR="00C73D12" w:rsidRPr="00E35625" w:rsidRDefault="00C73D12" w:rsidP="00E14B65">
      <w:pPr>
        <w:rPr>
          <w:b/>
          <w:lang w:val="sq-AL"/>
        </w:rPr>
      </w:pPr>
    </w:p>
    <w:p w14:paraId="1B83BE9C" w14:textId="4D1FED32" w:rsidR="004B58FA" w:rsidRPr="00E35625" w:rsidRDefault="00AF6068" w:rsidP="00E14B65">
      <w:pPr>
        <w:pStyle w:val="Heading2"/>
        <w:numPr>
          <w:ilvl w:val="1"/>
          <w:numId w:val="3"/>
        </w:numPr>
        <w:rPr>
          <w:lang w:val="sq-AL"/>
        </w:rPr>
      </w:pPr>
      <w:bookmarkStart w:id="12" w:name="_Toc123165400"/>
      <w:r w:rsidRPr="00E35625">
        <w:rPr>
          <w:lang w:val="sq-AL"/>
        </w:rPr>
        <w:t xml:space="preserve">Konteksti </w:t>
      </w:r>
      <w:r w:rsidR="0035431E" w:rsidRPr="00E35625">
        <w:rPr>
          <w:lang w:val="sq-AL"/>
        </w:rPr>
        <w:t>strategjik 2030</w:t>
      </w:r>
      <w:r w:rsidRPr="00E35625">
        <w:rPr>
          <w:lang w:val="sq-AL"/>
        </w:rPr>
        <w:t xml:space="preserve"> dhe objektivat e zhvillimit t</w:t>
      </w:r>
      <w:r w:rsidR="00F55289" w:rsidRPr="00E35625">
        <w:rPr>
          <w:lang w:val="sq-AL"/>
        </w:rPr>
        <w:t>ë</w:t>
      </w:r>
      <w:r w:rsidRPr="00E35625">
        <w:rPr>
          <w:lang w:val="sq-AL"/>
        </w:rPr>
        <w:t xml:space="preserve"> q</w:t>
      </w:r>
      <w:r w:rsidR="00F55289" w:rsidRPr="00E35625">
        <w:rPr>
          <w:lang w:val="sq-AL"/>
        </w:rPr>
        <w:t>ë</w:t>
      </w:r>
      <w:r w:rsidRPr="00E35625">
        <w:rPr>
          <w:lang w:val="sq-AL"/>
        </w:rPr>
        <w:t>ndruesh</w:t>
      </w:r>
      <w:r w:rsidR="00ED1FEA" w:rsidRPr="00E35625">
        <w:rPr>
          <w:lang w:val="sq-AL"/>
        </w:rPr>
        <w:t>ëm</w:t>
      </w:r>
      <w:bookmarkEnd w:id="12"/>
    </w:p>
    <w:p w14:paraId="7519465E" w14:textId="1A9FCBD1" w:rsidR="004B58FA" w:rsidRPr="00E35625" w:rsidRDefault="004B58FA" w:rsidP="00E14B65">
      <w:pPr>
        <w:rPr>
          <w:b/>
          <w:bCs/>
          <w:lang w:val="sq-AL"/>
        </w:rPr>
      </w:pPr>
      <w:r w:rsidRPr="00E35625">
        <w:rPr>
          <w:b/>
          <w:lang w:val="sq-AL"/>
        </w:rPr>
        <w:t>Strategjia Kombëtare e Punësimit dhe Aftësive 2023-2030 është pjesë e rëndësishme e kuadrit afatgjatë strategjik të Shqipërisë</w:t>
      </w:r>
      <w:r w:rsidRPr="00E35625">
        <w:rPr>
          <w:lang w:val="sq-AL"/>
        </w:rPr>
        <w:t xml:space="preserve"> të përcaktuar nga Strategjia Kombëtare për Zhvillim dhe Integrim E</w:t>
      </w:r>
      <w:r w:rsidR="00EA27C3">
        <w:rPr>
          <w:lang w:val="sq-AL"/>
        </w:rPr>
        <w:t>v</w:t>
      </w:r>
      <w:r w:rsidRPr="00E35625">
        <w:rPr>
          <w:lang w:val="sq-AL"/>
        </w:rPr>
        <w:t xml:space="preserve">ropian 2030 (SKZHIE 2030) që jep drejtimet dhe përcakton përparësitë e zhvillimit të qëndrueshëm ekonomik e shoqëror të vendit në rrugën e integrimit të tij në Bashkimin Europian, përfshirë edhe ndërlidhjen me Objektivat e Zhvillimit të Qëndrueshëm në funksion të arritjes së synimeve të Agjendës 2030 duke përcaktuar vizionin </w:t>
      </w:r>
      <w:r w:rsidRPr="00E35625">
        <w:rPr>
          <w:b/>
          <w:bCs/>
          <w:lang w:val="sq-AL"/>
        </w:rPr>
        <w:t>për zhvillimin e demokracisë, zhvillimin shoqëror dhe ekonomik të vendit gjatë periudhës 2021-2030</w:t>
      </w:r>
      <w:r w:rsidRPr="00E35625">
        <w:rPr>
          <w:lang w:val="sq-AL"/>
        </w:rPr>
        <w:t xml:space="preserve">. Rritja e qëndrueshme e punësimit dhe zhvillimi i aftësive trajtohen në </w:t>
      </w:r>
      <w:r w:rsidRPr="00E35625">
        <w:rPr>
          <w:b/>
          <w:bCs/>
          <w:lang w:val="sq-AL"/>
        </w:rPr>
        <w:t xml:space="preserve">shtyllën e tretë të SKZHIE 2030, Kohezioni Social, e cila ka në thelb të vëmendjes zhvillimin e burimeve njerëzore si kapitalin më të çmuar në vend. </w:t>
      </w:r>
    </w:p>
    <w:p w14:paraId="65AD7E34" w14:textId="2734B415" w:rsidR="004B58FA" w:rsidRPr="00E35625" w:rsidRDefault="004B58FA" w:rsidP="00E14B65">
      <w:pPr>
        <w:rPr>
          <w:lang w:val="sq-AL"/>
        </w:rPr>
      </w:pPr>
      <w:r w:rsidRPr="00E35625">
        <w:rPr>
          <w:b/>
          <w:lang w:val="sq-AL"/>
        </w:rPr>
        <w:t>Zbatimi i Strategjisë Kombëtare të Punësimit dhe Aftësive 2023-2030 lidhet po aq ngushtë me përparësitë e zhvillimit të vendit</w:t>
      </w:r>
      <w:r w:rsidRPr="00E35625">
        <w:rPr>
          <w:lang w:val="sq-AL"/>
        </w:rPr>
        <w:t xml:space="preserve"> të përcaktuara në SKZHIE 2030 e të përfshira në shtyllën e dytë të saj, “Agjenda për Zhvillim të Qëndrueshëm Ekonomik, Ndërlidhjen dhe Rritjen e Gjelbër”. Konektiviteti, Agjenda e Gjelbër për Vendet e Ballkanit Perëndimor, si pjesë e Planit Ekonomik dhe të Investimeve të Bashkimit E</w:t>
      </w:r>
      <w:r w:rsidR="00EA27C3">
        <w:rPr>
          <w:lang w:val="sq-AL"/>
        </w:rPr>
        <w:t>v</w:t>
      </w:r>
      <w:r w:rsidRPr="00E35625">
        <w:rPr>
          <w:lang w:val="sq-AL"/>
        </w:rPr>
        <w:t xml:space="preserve">ropian për këto vende, përfshirë Shqipërinë, janë në qendër të shtyllës së dytë të SKZHIE 2030. Së bashku me prioritetet afatgjata të identifikuara për vendin në SKZHIE 2030 – turizmi, energjia, bujqësia dhe digjitalizimi, ato përbëjnë njëkohësisht edhe drejtimin më të qartë për orientimin e kërkesës dhe përgatitjes së ofertës në tregun shqiptar të punës për periudhën deri në vitin 2030. Sfidat kryesore të Shqipërisë 2030, të identifikuara në SKZHIE 2030 me </w:t>
      </w:r>
      <w:r w:rsidRPr="00E35625">
        <w:rPr>
          <w:b/>
          <w:bCs/>
          <w:lang w:val="sq-AL"/>
        </w:rPr>
        <w:t xml:space="preserve">nevojën e tranzicionit të gjelbër, </w:t>
      </w:r>
      <w:r w:rsidRPr="00E35625">
        <w:rPr>
          <w:b/>
          <w:bCs/>
          <w:lang w:val="sq-AL"/>
        </w:rPr>
        <w:lastRenderedPageBreak/>
        <w:t>transformimit digjital, zhvillimeve demografike, dhe domosdoshmërinë e rritjes së produktivitetit</w:t>
      </w:r>
      <w:r w:rsidRPr="00E35625">
        <w:rPr>
          <w:lang w:val="sq-AL"/>
        </w:rPr>
        <w:t xml:space="preserve"> drejt një ekonomie më konkurruese në tregun e hapur të rajonit dhe më gjerë, pasqyrohen në qasjen që sjell ndaj punësimit dhe zhvillimit të aftësive kjo strategji.</w:t>
      </w:r>
    </w:p>
    <w:p w14:paraId="21562DD9" w14:textId="1B3DF1F8" w:rsidR="0061550F" w:rsidRPr="00E35625" w:rsidRDefault="0061550F" w:rsidP="00E14B65">
      <w:pPr>
        <w:rPr>
          <w:lang w:val="sq-AL"/>
        </w:rPr>
      </w:pPr>
      <w:r w:rsidRPr="00E35625">
        <w:rPr>
          <w:lang w:val="sq-AL"/>
        </w:rPr>
        <w:t xml:space="preserve">Gjithashtu, </w:t>
      </w:r>
      <w:r w:rsidRPr="00E35625">
        <w:rPr>
          <w:b/>
          <w:bCs/>
          <w:lang w:val="sq-AL"/>
        </w:rPr>
        <w:t>Paketa Kombëtare e Projekteve Strategjike e aprovuar nga Komiteti i Planifikimit Strategjik/ Këshilli Kombëtar i Investimeve</w:t>
      </w:r>
      <w:r w:rsidRPr="00E35625">
        <w:rPr>
          <w:lang w:val="sq-AL"/>
        </w:rPr>
        <w:t xml:space="preserve"> përbëhet nga 198 projekte me vlerë indikative prej 16.3 miliardë euro investimesh si pjesë e zbatimit të Planit Ekonomik të Investimeve (EIP) për vendet e Ballkanit Perëndimor, që do të sjellin shtysë të rëndësishme në krijimin e vendeve të reja të punës. Paketa synon të nxisë rimëkëmbjen afatgjatë ekonomike të rajonit si dhe integrimin ekonomik rajonal, duke mbështetur zbatimin e reformave të kërkuara për të ecur përpara në rrugën e BE-së dhe për ta sjellë rajonin më afër tregut unik të BE-së, dhe garantuar rritje të qëndrueshme ekonomike dhe krijimin e vendeve të punës në shtetet e Ballkanit Perëndimor. Veprat kryesore, për të cilat është miratuar financimi, përfshijnë autostradat pjesë e Korridorit Adriatiko-Jonian, tunelin e Llogarasë, bypass-in e Tiranës, HEC-in e Skavicës, aeroportin e Vlorës, zhvillimin e rrjetit hekurudhor, rrjetit </w:t>
      </w:r>
      <w:r w:rsidRPr="00E35625">
        <w:rPr>
          <w:i/>
          <w:iCs/>
          <w:lang w:val="sq-AL"/>
        </w:rPr>
        <w:t>broadband</w:t>
      </w:r>
      <w:r w:rsidRPr="00E35625">
        <w:rPr>
          <w:lang w:val="sq-AL"/>
        </w:rPr>
        <w:t xml:space="preserve">, impiantet fotovoltaike etj. </w:t>
      </w:r>
    </w:p>
    <w:p w14:paraId="3CC1B1B2" w14:textId="4F55614B" w:rsidR="004969C5" w:rsidRPr="00E35625" w:rsidRDefault="004B58FA" w:rsidP="00E14B65">
      <w:pPr>
        <w:rPr>
          <w:lang w:val="sq-AL"/>
        </w:rPr>
      </w:pPr>
      <w:r w:rsidRPr="00E35625">
        <w:rPr>
          <w:lang w:val="sq-AL"/>
        </w:rPr>
        <w:t>Arritja e objektivave të Strategjisë Kombëtare të Punësimit dhe Aftësive 2023-2030 është e ndërvarur me zbatimin e strategjive të tjera të rëndësishme sektoriale të vendit</w:t>
      </w:r>
      <w:r w:rsidR="004D4ACA" w:rsidRPr="00E35625">
        <w:rPr>
          <w:lang w:val="sq-AL"/>
        </w:rPr>
        <w:t xml:space="preserve">, </w:t>
      </w:r>
      <w:r w:rsidRPr="00E35625">
        <w:rPr>
          <w:lang w:val="sq-AL"/>
        </w:rPr>
        <w:t>sikurse dhe realizimi i këtyre objektivave është në funksion të progresit në të gjitha fushat e tjera të politikave sektoriale. Ndër planet strategjike më të rëndësishme të përfshira në këtë proces nën kornizën e SKZHIE 2030 përfshihen</w:t>
      </w:r>
      <w:r w:rsidR="004969C5" w:rsidRPr="00E35625">
        <w:rPr>
          <w:lang w:val="sq-AL"/>
        </w:rPr>
        <w:t>:</w:t>
      </w:r>
      <w:r w:rsidRPr="00E35625">
        <w:rPr>
          <w:lang w:val="sq-AL"/>
        </w:rPr>
        <w:t xml:space="preserve"> </w:t>
      </w:r>
    </w:p>
    <w:p w14:paraId="1AEDEC41" w14:textId="05E8B852" w:rsidR="004969C5" w:rsidRPr="00E35625" w:rsidRDefault="004B58FA" w:rsidP="00E14B65">
      <w:pPr>
        <w:pStyle w:val="ListParagraph"/>
        <w:numPr>
          <w:ilvl w:val="0"/>
          <w:numId w:val="30"/>
        </w:numPr>
        <w:rPr>
          <w:lang w:val="sq-AL"/>
        </w:rPr>
      </w:pPr>
      <w:r w:rsidRPr="00E35625">
        <w:rPr>
          <w:lang w:val="sq-AL"/>
        </w:rPr>
        <w:t xml:space="preserve">“Strategjia </w:t>
      </w:r>
      <w:r w:rsidR="006815D8">
        <w:rPr>
          <w:lang w:val="sq-AL"/>
        </w:rPr>
        <w:t>K</w:t>
      </w:r>
      <w:r w:rsidR="006815D8" w:rsidRPr="00E35625">
        <w:rPr>
          <w:lang w:val="sq-AL"/>
        </w:rPr>
        <w:t xml:space="preserve">ombëtare </w:t>
      </w:r>
      <w:r w:rsidRPr="00E35625">
        <w:rPr>
          <w:lang w:val="sq-AL"/>
        </w:rPr>
        <w:t xml:space="preserve">e </w:t>
      </w:r>
      <w:r w:rsidR="006815D8">
        <w:rPr>
          <w:lang w:val="sq-AL"/>
        </w:rPr>
        <w:t>A</w:t>
      </w:r>
      <w:r w:rsidR="006815D8" w:rsidRPr="00E35625">
        <w:rPr>
          <w:lang w:val="sq-AL"/>
        </w:rPr>
        <w:t xml:space="preserve">rsimit </w:t>
      </w:r>
      <w:r w:rsidRPr="00E35625">
        <w:rPr>
          <w:lang w:val="sq-AL"/>
        </w:rPr>
        <w:t>2021-2026”</w:t>
      </w:r>
    </w:p>
    <w:p w14:paraId="27AE5587" w14:textId="147708CA" w:rsidR="004969C5" w:rsidRPr="00E35625" w:rsidRDefault="004B58FA" w:rsidP="00E14B65">
      <w:pPr>
        <w:pStyle w:val="ListParagraph"/>
        <w:numPr>
          <w:ilvl w:val="0"/>
          <w:numId w:val="30"/>
        </w:numPr>
        <w:rPr>
          <w:lang w:val="sq-AL"/>
        </w:rPr>
      </w:pPr>
      <w:r w:rsidRPr="00E35625">
        <w:rPr>
          <w:lang w:val="sq-AL"/>
        </w:rPr>
        <w:t>“Strategjia për zhvillimin e biznesit dhe investimeve 2021-2027 dhe plani i saj i veprimit”</w:t>
      </w:r>
    </w:p>
    <w:p w14:paraId="256840D0" w14:textId="75C2FD78" w:rsidR="004969C5" w:rsidRPr="00E35625" w:rsidRDefault="004B58FA" w:rsidP="00E14B65">
      <w:pPr>
        <w:pStyle w:val="ListParagraph"/>
        <w:numPr>
          <w:ilvl w:val="0"/>
          <w:numId w:val="30"/>
        </w:numPr>
        <w:rPr>
          <w:lang w:val="sq-AL"/>
        </w:rPr>
      </w:pPr>
      <w:r w:rsidRPr="00E35625">
        <w:rPr>
          <w:lang w:val="sq-AL"/>
        </w:rPr>
        <w:t xml:space="preserve">“Strategjia </w:t>
      </w:r>
      <w:r w:rsidR="00910FC7">
        <w:rPr>
          <w:lang w:val="sq-AL"/>
        </w:rPr>
        <w:t>Kombëtare për Barazin</w:t>
      </w:r>
      <w:r w:rsidRPr="00E35625">
        <w:rPr>
          <w:lang w:val="sq-AL"/>
        </w:rPr>
        <w:t xml:space="preserve">ë </w:t>
      </w:r>
      <w:r w:rsidR="00910FC7">
        <w:rPr>
          <w:lang w:val="sq-AL"/>
        </w:rPr>
        <w:t>G</w:t>
      </w:r>
      <w:r w:rsidR="00910FC7" w:rsidRPr="00E35625">
        <w:rPr>
          <w:lang w:val="sq-AL"/>
        </w:rPr>
        <w:t xml:space="preserve">jinore </w:t>
      </w:r>
      <w:r w:rsidRPr="00E35625">
        <w:rPr>
          <w:lang w:val="sq-AL"/>
        </w:rPr>
        <w:t>2021-2030”</w:t>
      </w:r>
    </w:p>
    <w:p w14:paraId="4D00C99A" w14:textId="62ED9306" w:rsidR="004969C5" w:rsidRPr="00E35625" w:rsidRDefault="004969C5" w:rsidP="00E14B65">
      <w:pPr>
        <w:pStyle w:val="ListParagraph"/>
        <w:numPr>
          <w:ilvl w:val="0"/>
          <w:numId w:val="30"/>
        </w:numPr>
        <w:rPr>
          <w:lang w:val="sq-AL"/>
        </w:rPr>
      </w:pPr>
      <w:r w:rsidRPr="00E35625">
        <w:rPr>
          <w:lang w:val="sq-AL"/>
        </w:rPr>
        <w:t>“</w:t>
      </w:r>
      <w:r w:rsidR="004D4ACA" w:rsidRPr="00E35625">
        <w:rPr>
          <w:lang w:val="sq-AL"/>
        </w:rPr>
        <w:t xml:space="preserve">Strategjia </w:t>
      </w:r>
      <w:r w:rsidR="00910FC7">
        <w:rPr>
          <w:lang w:val="sq-AL"/>
        </w:rPr>
        <w:t>K</w:t>
      </w:r>
      <w:r w:rsidR="00910FC7" w:rsidRPr="00E35625">
        <w:rPr>
          <w:lang w:val="sq-AL"/>
        </w:rPr>
        <w:t xml:space="preserve">ombëtare </w:t>
      </w:r>
      <w:r w:rsidR="004D4ACA" w:rsidRPr="00E35625">
        <w:rPr>
          <w:lang w:val="sq-AL"/>
        </w:rPr>
        <w:t xml:space="preserve">e </w:t>
      </w:r>
      <w:r w:rsidR="00910FC7">
        <w:rPr>
          <w:lang w:val="sq-AL"/>
        </w:rPr>
        <w:t>R</w:t>
      </w:r>
      <w:r w:rsidR="004D4ACA" w:rsidRPr="00E35625">
        <w:rPr>
          <w:lang w:val="sq-AL"/>
        </w:rPr>
        <w:t>inisë 2022-2029</w:t>
      </w:r>
      <w:r w:rsidRPr="00E35625">
        <w:rPr>
          <w:lang w:val="sq-AL"/>
        </w:rPr>
        <w:t>”</w:t>
      </w:r>
    </w:p>
    <w:p w14:paraId="14F8BFE0" w14:textId="7B305D47" w:rsidR="004969C5" w:rsidRPr="00E35625" w:rsidRDefault="004B58FA" w:rsidP="00E14B65">
      <w:pPr>
        <w:pStyle w:val="ListParagraph"/>
        <w:numPr>
          <w:ilvl w:val="0"/>
          <w:numId w:val="30"/>
        </w:numPr>
        <w:rPr>
          <w:lang w:val="sq-AL"/>
        </w:rPr>
      </w:pPr>
      <w:r w:rsidRPr="00E35625">
        <w:rPr>
          <w:lang w:val="sq-AL"/>
        </w:rPr>
        <w:t xml:space="preserve">“Strategjia e Bujqësisë, Zhvillimit Rural dhe Peshkimit 2021-2027” </w:t>
      </w:r>
    </w:p>
    <w:p w14:paraId="767C26D4" w14:textId="15A352CF" w:rsidR="004969C5" w:rsidRPr="00E35625" w:rsidRDefault="004B58FA" w:rsidP="00E14B65">
      <w:pPr>
        <w:pStyle w:val="ListParagraph"/>
        <w:numPr>
          <w:ilvl w:val="0"/>
          <w:numId w:val="30"/>
        </w:numPr>
        <w:rPr>
          <w:lang w:val="sq-AL"/>
        </w:rPr>
      </w:pPr>
      <w:r w:rsidRPr="00E35625">
        <w:rPr>
          <w:lang w:val="sq-AL"/>
        </w:rPr>
        <w:t xml:space="preserve">“Strategjia Ndërsektoriale </w:t>
      </w:r>
      <w:r w:rsidR="00910FC7">
        <w:rPr>
          <w:lang w:val="sq-AL"/>
        </w:rPr>
        <w:t>“</w:t>
      </w:r>
      <w:r w:rsidRPr="00E35625">
        <w:rPr>
          <w:lang w:val="sq-AL"/>
        </w:rPr>
        <w:t>Axhenda Dixhitale e Shqipërisë 2022–2026”</w:t>
      </w:r>
    </w:p>
    <w:p w14:paraId="37E63940" w14:textId="29E2A2C2" w:rsidR="004969C5" w:rsidRPr="00E35625" w:rsidRDefault="004B58FA" w:rsidP="00E14B65">
      <w:pPr>
        <w:pStyle w:val="ListParagraph"/>
        <w:numPr>
          <w:ilvl w:val="0"/>
          <w:numId w:val="30"/>
        </w:numPr>
        <w:rPr>
          <w:lang w:val="sq-AL"/>
        </w:rPr>
      </w:pPr>
      <w:r w:rsidRPr="00E35625">
        <w:rPr>
          <w:lang w:val="sq-AL"/>
        </w:rPr>
        <w:t>“Kuadri makroekonomik dhe fiskal”</w:t>
      </w:r>
    </w:p>
    <w:p w14:paraId="3BE0F2F8" w14:textId="036F4933" w:rsidR="004969C5" w:rsidRDefault="004B58FA" w:rsidP="00E14B65">
      <w:pPr>
        <w:pStyle w:val="ListParagraph"/>
        <w:numPr>
          <w:ilvl w:val="0"/>
          <w:numId w:val="30"/>
        </w:numPr>
        <w:rPr>
          <w:lang w:val="sq-AL"/>
        </w:rPr>
      </w:pPr>
      <w:r w:rsidRPr="00E35625">
        <w:rPr>
          <w:lang w:val="sq-AL"/>
        </w:rPr>
        <w:t xml:space="preserve">“Plani </w:t>
      </w:r>
      <w:r w:rsidR="00910FC7">
        <w:rPr>
          <w:lang w:val="sq-AL"/>
        </w:rPr>
        <w:t>K</w:t>
      </w:r>
      <w:r w:rsidR="00910FC7" w:rsidRPr="00E35625">
        <w:rPr>
          <w:lang w:val="sq-AL"/>
        </w:rPr>
        <w:t xml:space="preserve">ombëtar </w:t>
      </w:r>
      <w:r w:rsidRPr="00E35625">
        <w:rPr>
          <w:lang w:val="sq-AL"/>
        </w:rPr>
        <w:t xml:space="preserve">i </w:t>
      </w:r>
      <w:r w:rsidR="00910FC7">
        <w:rPr>
          <w:lang w:val="sq-AL"/>
        </w:rPr>
        <w:t>V</w:t>
      </w:r>
      <w:r w:rsidR="00910FC7" w:rsidRPr="00E35625">
        <w:rPr>
          <w:lang w:val="sq-AL"/>
        </w:rPr>
        <w:t xml:space="preserve">eprimit </w:t>
      </w:r>
      <w:r w:rsidRPr="00E35625">
        <w:rPr>
          <w:lang w:val="sq-AL"/>
        </w:rPr>
        <w:t xml:space="preserve">për </w:t>
      </w:r>
      <w:r w:rsidR="00910FC7">
        <w:rPr>
          <w:lang w:val="sq-AL"/>
        </w:rPr>
        <w:t>P</w:t>
      </w:r>
      <w:r w:rsidR="00910FC7" w:rsidRPr="00E35625">
        <w:rPr>
          <w:lang w:val="sq-AL"/>
        </w:rPr>
        <w:t xml:space="preserve">ersonat </w:t>
      </w:r>
      <w:r w:rsidRPr="00E35625">
        <w:rPr>
          <w:lang w:val="sq-AL"/>
        </w:rPr>
        <w:t xml:space="preserve">me </w:t>
      </w:r>
      <w:r w:rsidR="00910FC7">
        <w:rPr>
          <w:lang w:val="sq-AL"/>
        </w:rPr>
        <w:t>A</w:t>
      </w:r>
      <w:r w:rsidR="00910FC7" w:rsidRPr="00E35625">
        <w:rPr>
          <w:lang w:val="sq-AL"/>
        </w:rPr>
        <w:t xml:space="preserve">ftësi </w:t>
      </w:r>
      <w:r w:rsidRPr="00E35625">
        <w:rPr>
          <w:lang w:val="sq-AL"/>
        </w:rPr>
        <w:t xml:space="preserve">të </w:t>
      </w:r>
      <w:r w:rsidR="00910FC7">
        <w:rPr>
          <w:lang w:val="sq-AL"/>
        </w:rPr>
        <w:t>K</w:t>
      </w:r>
      <w:r w:rsidR="00910FC7" w:rsidRPr="00E35625">
        <w:rPr>
          <w:lang w:val="sq-AL"/>
        </w:rPr>
        <w:t>ufizuara</w:t>
      </w:r>
      <w:r w:rsidRPr="00E35625">
        <w:rPr>
          <w:lang w:val="sq-AL"/>
        </w:rPr>
        <w:t>, 2021-2025”</w:t>
      </w:r>
    </w:p>
    <w:p w14:paraId="342E8E8F" w14:textId="548D8F14" w:rsidR="00910FC7" w:rsidRDefault="00910FC7" w:rsidP="00E14B65">
      <w:pPr>
        <w:pStyle w:val="ListParagraph"/>
        <w:numPr>
          <w:ilvl w:val="0"/>
          <w:numId w:val="30"/>
        </w:numPr>
        <w:rPr>
          <w:lang w:val="sq-AL"/>
        </w:rPr>
      </w:pPr>
      <w:r>
        <w:rPr>
          <w:lang w:val="sq-AL"/>
        </w:rPr>
        <w:t>“Plani Kombëtar i Veprimit për Barazi, Përfshirje dhe Pjesëmarrjen e Romëve dhe Egjiptianëve 2021-2025</w:t>
      </w:r>
    </w:p>
    <w:p w14:paraId="55B6D266" w14:textId="64236030" w:rsidR="00910FC7" w:rsidRPr="00E35625" w:rsidRDefault="00910FC7" w:rsidP="00E14B65">
      <w:pPr>
        <w:pStyle w:val="ListParagraph"/>
        <w:numPr>
          <w:ilvl w:val="0"/>
          <w:numId w:val="30"/>
        </w:numPr>
        <w:rPr>
          <w:lang w:val="sq-AL"/>
        </w:rPr>
      </w:pPr>
      <w:r>
        <w:rPr>
          <w:lang w:val="sq-AL"/>
        </w:rPr>
        <w:t>“Plani Kombëtar i Veprimit mbi Moshimin 2020-2024”</w:t>
      </w:r>
    </w:p>
    <w:p w14:paraId="0AB1770C" w14:textId="73E61841" w:rsidR="004969C5" w:rsidRPr="00E35625" w:rsidRDefault="004B58FA" w:rsidP="00E14B65">
      <w:pPr>
        <w:pStyle w:val="ListParagraph"/>
        <w:numPr>
          <w:ilvl w:val="0"/>
          <w:numId w:val="30"/>
        </w:numPr>
        <w:rPr>
          <w:lang w:val="sq-AL"/>
        </w:rPr>
      </w:pPr>
      <w:r w:rsidRPr="00E35625">
        <w:rPr>
          <w:lang w:val="sq-AL"/>
        </w:rPr>
        <w:t>“Dokumenti i politikave të reformës së vlerësimit të aftësisë së kufizuar në sistemin e mbrojtjes sociale dhe plani i veprimit 2019-2024 për zbatimin e tij”</w:t>
      </w:r>
    </w:p>
    <w:p w14:paraId="48BBDE14" w14:textId="435669CD" w:rsidR="004969C5" w:rsidRPr="00E35625" w:rsidRDefault="004B58FA" w:rsidP="00E14B65">
      <w:pPr>
        <w:pStyle w:val="ListParagraph"/>
        <w:numPr>
          <w:ilvl w:val="0"/>
          <w:numId w:val="30"/>
        </w:numPr>
        <w:rPr>
          <w:lang w:val="sq-AL"/>
        </w:rPr>
      </w:pPr>
      <w:r w:rsidRPr="00E35625">
        <w:rPr>
          <w:lang w:val="sq-AL"/>
        </w:rPr>
        <w:t xml:space="preserve">“Strategjia </w:t>
      </w:r>
      <w:r w:rsidR="00910FC7">
        <w:rPr>
          <w:lang w:val="sq-AL"/>
        </w:rPr>
        <w:t>K</w:t>
      </w:r>
      <w:r w:rsidR="00910FC7" w:rsidRPr="00E35625">
        <w:rPr>
          <w:lang w:val="sq-AL"/>
        </w:rPr>
        <w:t xml:space="preserve">ombëtare </w:t>
      </w:r>
      <w:r w:rsidRPr="00E35625">
        <w:rPr>
          <w:lang w:val="sq-AL"/>
        </w:rPr>
        <w:t xml:space="preserve">për </w:t>
      </w:r>
      <w:r w:rsidR="00910FC7">
        <w:rPr>
          <w:lang w:val="sq-AL"/>
        </w:rPr>
        <w:t>Z</w:t>
      </w:r>
      <w:r w:rsidR="00910FC7" w:rsidRPr="00E35625">
        <w:rPr>
          <w:lang w:val="sq-AL"/>
        </w:rPr>
        <w:t xml:space="preserve">hvillimin </w:t>
      </w:r>
      <w:r w:rsidRPr="00E35625">
        <w:rPr>
          <w:lang w:val="sq-AL"/>
        </w:rPr>
        <w:t xml:space="preserve">e </w:t>
      </w:r>
      <w:r w:rsidR="00910FC7">
        <w:rPr>
          <w:lang w:val="sq-AL"/>
        </w:rPr>
        <w:t>Q</w:t>
      </w:r>
      <w:r w:rsidR="00910FC7" w:rsidRPr="00E35625">
        <w:rPr>
          <w:lang w:val="sq-AL"/>
        </w:rPr>
        <w:t xml:space="preserve">ëndrueshëm </w:t>
      </w:r>
      <w:r w:rsidRPr="00E35625">
        <w:rPr>
          <w:lang w:val="sq-AL"/>
        </w:rPr>
        <w:t xml:space="preserve">të </w:t>
      </w:r>
      <w:r w:rsidR="00910FC7">
        <w:rPr>
          <w:lang w:val="sq-AL"/>
        </w:rPr>
        <w:t>T</w:t>
      </w:r>
      <w:r w:rsidR="00910FC7" w:rsidRPr="00E35625">
        <w:rPr>
          <w:lang w:val="sq-AL"/>
        </w:rPr>
        <w:t xml:space="preserve">urizmit </w:t>
      </w:r>
      <w:r w:rsidRPr="00E35625">
        <w:rPr>
          <w:lang w:val="sq-AL"/>
        </w:rPr>
        <w:t xml:space="preserve">2019-2023 dhe </w:t>
      </w:r>
      <w:r w:rsidR="004D4ACA" w:rsidRPr="00E35625">
        <w:rPr>
          <w:lang w:val="sq-AL"/>
        </w:rPr>
        <w:t>p</w:t>
      </w:r>
      <w:r w:rsidRPr="00E35625">
        <w:rPr>
          <w:lang w:val="sq-AL"/>
        </w:rPr>
        <w:t xml:space="preserve">lani i </w:t>
      </w:r>
      <w:r w:rsidR="004D4ACA" w:rsidRPr="00E35625">
        <w:rPr>
          <w:lang w:val="sq-AL"/>
        </w:rPr>
        <w:t>v</w:t>
      </w:r>
      <w:r w:rsidRPr="00E35625">
        <w:rPr>
          <w:lang w:val="sq-AL"/>
        </w:rPr>
        <w:t>eprimit”</w:t>
      </w:r>
    </w:p>
    <w:p w14:paraId="3B811432" w14:textId="6006944B" w:rsidR="004969C5" w:rsidRPr="00E35625" w:rsidRDefault="004B58FA" w:rsidP="00E14B65">
      <w:pPr>
        <w:pStyle w:val="ListParagraph"/>
        <w:numPr>
          <w:ilvl w:val="0"/>
          <w:numId w:val="30"/>
        </w:numPr>
        <w:rPr>
          <w:lang w:val="sq-AL"/>
        </w:rPr>
      </w:pPr>
      <w:r w:rsidRPr="00E35625">
        <w:rPr>
          <w:lang w:val="sq-AL"/>
        </w:rPr>
        <w:t xml:space="preserve">“Strategjia </w:t>
      </w:r>
      <w:r w:rsidR="00910FC7">
        <w:rPr>
          <w:lang w:val="sq-AL"/>
        </w:rPr>
        <w:t>K</w:t>
      </w:r>
      <w:r w:rsidR="00910FC7" w:rsidRPr="00E35625">
        <w:rPr>
          <w:lang w:val="sq-AL"/>
        </w:rPr>
        <w:t xml:space="preserve">ombëtare </w:t>
      </w:r>
      <w:r w:rsidRPr="00E35625">
        <w:rPr>
          <w:lang w:val="sq-AL"/>
        </w:rPr>
        <w:t xml:space="preserve">për </w:t>
      </w:r>
      <w:r w:rsidR="00910FC7">
        <w:rPr>
          <w:lang w:val="sq-AL"/>
        </w:rPr>
        <w:t>D</w:t>
      </w:r>
      <w:r w:rsidR="00910FC7" w:rsidRPr="00E35625">
        <w:rPr>
          <w:lang w:val="sq-AL"/>
        </w:rPr>
        <w:t xml:space="preserve">iasporën </w:t>
      </w:r>
      <w:r w:rsidRPr="00E35625">
        <w:rPr>
          <w:lang w:val="sq-AL"/>
        </w:rPr>
        <w:t>2021-2025”</w:t>
      </w:r>
    </w:p>
    <w:p w14:paraId="6F6802A6" w14:textId="32890E16" w:rsidR="004969C5" w:rsidRPr="00E35625" w:rsidRDefault="004969C5" w:rsidP="00E14B65">
      <w:pPr>
        <w:pStyle w:val="ListParagraph"/>
        <w:numPr>
          <w:ilvl w:val="0"/>
          <w:numId w:val="30"/>
        </w:numPr>
        <w:rPr>
          <w:lang w:val="sq-AL"/>
        </w:rPr>
      </w:pPr>
      <w:r w:rsidRPr="00E35625">
        <w:rPr>
          <w:lang w:val="sq-AL"/>
        </w:rPr>
        <w:t>“</w:t>
      </w:r>
      <w:r w:rsidR="004D4ACA" w:rsidRPr="00E35625">
        <w:rPr>
          <w:lang w:val="sq-AL"/>
        </w:rPr>
        <w:t xml:space="preserve">Strategjia </w:t>
      </w:r>
      <w:r w:rsidR="00910FC7">
        <w:rPr>
          <w:lang w:val="sq-AL"/>
        </w:rPr>
        <w:t>K</w:t>
      </w:r>
      <w:r w:rsidR="00910FC7" w:rsidRPr="00E35625">
        <w:rPr>
          <w:lang w:val="sq-AL"/>
        </w:rPr>
        <w:t xml:space="preserve">ombëtare </w:t>
      </w:r>
      <w:r w:rsidR="004D4ACA" w:rsidRPr="00E35625">
        <w:rPr>
          <w:lang w:val="sq-AL"/>
        </w:rPr>
        <w:t xml:space="preserve">për </w:t>
      </w:r>
      <w:r w:rsidR="00910FC7">
        <w:rPr>
          <w:lang w:val="sq-AL"/>
        </w:rPr>
        <w:t>M</w:t>
      </w:r>
      <w:r w:rsidR="00910FC7" w:rsidRPr="00E35625">
        <w:rPr>
          <w:lang w:val="sq-AL"/>
        </w:rPr>
        <w:t xml:space="preserve">igracionin </w:t>
      </w:r>
      <w:r w:rsidR="004D4ACA" w:rsidRPr="00E35625">
        <w:rPr>
          <w:lang w:val="sq-AL"/>
        </w:rPr>
        <w:t>2019-2022”</w:t>
      </w:r>
    </w:p>
    <w:p w14:paraId="30DE23A0" w14:textId="7AEBF4CA" w:rsidR="004969C5" w:rsidRPr="00E35625" w:rsidRDefault="004969C5" w:rsidP="00E14B65">
      <w:pPr>
        <w:pStyle w:val="ListParagraph"/>
        <w:numPr>
          <w:ilvl w:val="0"/>
          <w:numId w:val="30"/>
        </w:numPr>
        <w:rPr>
          <w:lang w:val="sq-AL"/>
        </w:rPr>
      </w:pPr>
      <w:r w:rsidRPr="00E35625">
        <w:rPr>
          <w:lang w:val="sq-AL"/>
        </w:rPr>
        <w:t>Strategjia Kombëtare e Energjisë 2018-2030, Plani Kombëtar i Energjisë dhe Klimës 2021-2030</w:t>
      </w:r>
    </w:p>
    <w:p w14:paraId="6E8296BE" w14:textId="4EEE426D" w:rsidR="00235F7A" w:rsidRPr="00E35625" w:rsidRDefault="004969C5" w:rsidP="00E14B65">
      <w:pPr>
        <w:pStyle w:val="ListParagraph"/>
        <w:numPr>
          <w:ilvl w:val="0"/>
          <w:numId w:val="30"/>
        </w:numPr>
        <w:rPr>
          <w:lang w:val="sq-AL"/>
        </w:rPr>
      </w:pPr>
      <w:r w:rsidRPr="00E35625">
        <w:rPr>
          <w:lang w:val="sq-AL"/>
        </w:rPr>
        <w:t xml:space="preserve">“Strategjia e </w:t>
      </w:r>
      <w:r w:rsidR="00910FC7" w:rsidRPr="00E35625">
        <w:rPr>
          <w:lang w:val="sq-AL"/>
        </w:rPr>
        <w:t>E</w:t>
      </w:r>
      <w:r w:rsidR="00910FC7">
        <w:rPr>
          <w:lang w:val="sq-AL"/>
        </w:rPr>
        <w:t>v</w:t>
      </w:r>
      <w:r w:rsidR="00910FC7" w:rsidRPr="00E35625">
        <w:rPr>
          <w:lang w:val="sq-AL"/>
        </w:rPr>
        <w:t xml:space="preserve">ropës </w:t>
      </w:r>
      <w:r w:rsidRPr="00E35625">
        <w:rPr>
          <w:lang w:val="sq-AL"/>
        </w:rPr>
        <w:t>juglindore</w:t>
      </w:r>
      <w:r w:rsidR="00235F7A" w:rsidRPr="00E35625">
        <w:rPr>
          <w:lang w:val="sq-AL"/>
        </w:rPr>
        <w:t>”</w:t>
      </w:r>
    </w:p>
    <w:p w14:paraId="6CBD80D7" w14:textId="662D2E7D" w:rsidR="008745A3" w:rsidRPr="00E35625" w:rsidRDefault="00235F7A" w:rsidP="00E14B65">
      <w:pPr>
        <w:pStyle w:val="ListParagraph"/>
        <w:numPr>
          <w:ilvl w:val="0"/>
          <w:numId w:val="30"/>
        </w:numPr>
        <w:rPr>
          <w:lang w:val="sq-AL"/>
        </w:rPr>
      </w:pPr>
      <w:r w:rsidRPr="00E35625">
        <w:rPr>
          <w:lang w:val="sq-AL"/>
        </w:rPr>
        <w:t xml:space="preserve">Rezoluta e Këshillit të Europës mbi Agjendën </w:t>
      </w:r>
      <w:r w:rsidR="00910FC7" w:rsidRPr="00E35625">
        <w:rPr>
          <w:lang w:val="sq-AL"/>
        </w:rPr>
        <w:t>E</w:t>
      </w:r>
      <w:r w:rsidR="00910FC7">
        <w:rPr>
          <w:lang w:val="sq-AL"/>
        </w:rPr>
        <w:t>v</w:t>
      </w:r>
      <w:r w:rsidR="00910FC7" w:rsidRPr="00E35625">
        <w:rPr>
          <w:lang w:val="sq-AL"/>
        </w:rPr>
        <w:t xml:space="preserve">ropiane </w:t>
      </w:r>
      <w:r w:rsidRPr="00E35625">
        <w:rPr>
          <w:lang w:val="sq-AL"/>
        </w:rPr>
        <w:t>për të Nxënit e të Rriturve 2021-203</w:t>
      </w:r>
      <w:r w:rsidR="008745A3" w:rsidRPr="00E35625">
        <w:rPr>
          <w:lang w:val="sq-AL"/>
        </w:rPr>
        <w:t>0</w:t>
      </w:r>
    </w:p>
    <w:p w14:paraId="3D04A820" w14:textId="4C2487BC" w:rsidR="008745A3" w:rsidRPr="00E35625" w:rsidRDefault="008745A3" w:rsidP="004D4ACA">
      <w:pPr>
        <w:ind w:firstLine="360"/>
        <w:rPr>
          <w:lang w:val="sq-AL"/>
        </w:rPr>
      </w:pPr>
      <w:r w:rsidRPr="00E35625">
        <w:rPr>
          <w:lang w:val="sq-AL"/>
        </w:rPr>
        <w:t>si dhe dokumenta të tjerë që aktualisht janë në fazë përgatitjeje apo miratimi si</w:t>
      </w:r>
      <w:r w:rsidR="004D4ACA" w:rsidRPr="00E35625">
        <w:rPr>
          <w:lang w:val="sq-AL"/>
        </w:rPr>
        <w:t>:</w:t>
      </w:r>
    </w:p>
    <w:p w14:paraId="76B29C61" w14:textId="42B1E602" w:rsidR="008745A3" w:rsidRPr="00E35625" w:rsidRDefault="008745A3" w:rsidP="00E14B65">
      <w:pPr>
        <w:pStyle w:val="ListParagraph"/>
        <w:numPr>
          <w:ilvl w:val="0"/>
          <w:numId w:val="30"/>
        </w:numPr>
        <w:rPr>
          <w:lang w:val="sq-AL"/>
        </w:rPr>
      </w:pPr>
      <w:r w:rsidRPr="00E35625">
        <w:rPr>
          <w:lang w:val="sq-AL"/>
        </w:rPr>
        <w:t>“Strategjia e Specializimit Inteligjent”</w:t>
      </w:r>
    </w:p>
    <w:p w14:paraId="3D261D64" w14:textId="319B89C1" w:rsidR="008745A3" w:rsidRPr="00E35625" w:rsidRDefault="008745A3" w:rsidP="00E14B65">
      <w:pPr>
        <w:pStyle w:val="ListParagraph"/>
        <w:numPr>
          <w:ilvl w:val="0"/>
          <w:numId w:val="30"/>
        </w:numPr>
        <w:rPr>
          <w:lang w:val="sq-AL"/>
        </w:rPr>
      </w:pPr>
      <w:r w:rsidRPr="00E35625">
        <w:rPr>
          <w:lang w:val="sq-AL"/>
        </w:rPr>
        <w:t>“ Strategjia për ekonominë e kaltër”</w:t>
      </w:r>
    </w:p>
    <w:p w14:paraId="7A424B62" w14:textId="77777777" w:rsidR="008745A3" w:rsidRPr="00E35625" w:rsidRDefault="008745A3" w:rsidP="00E14B65">
      <w:pPr>
        <w:pStyle w:val="ListParagraph"/>
        <w:numPr>
          <w:ilvl w:val="0"/>
          <w:numId w:val="30"/>
        </w:numPr>
        <w:rPr>
          <w:lang w:val="sq-AL"/>
        </w:rPr>
      </w:pPr>
      <w:r w:rsidRPr="00E35625">
        <w:rPr>
          <w:lang w:val="sq-AL"/>
        </w:rPr>
        <w:lastRenderedPageBreak/>
        <w:t>“Strategjia kombëtare për mbrojtjen sociale” etj.</w:t>
      </w:r>
    </w:p>
    <w:p w14:paraId="0D36F948" w14:textId="19E42EA2" w:rsidR="008745A3" w:rsidRPr="00E35625" w:rsidRDefault="008745A3" w:rsidP="00E14B65">
      <w:pPr>
        <w:rPr>
          <w:lang w:val="sq-AL"/>
        </w:rPr>
        <w:sectPr w:rsidR="008745A3" w:rsidRPr="00E35625" w:rsidSect="006815D8">
          <w:headerReference w:type="even" r:id="rId15"/>
          <w:footerReference w:type="even" r:id="rId16"/>
          <w:footerReference w:type="default" r:id="rId17"/>
          <w:headerReference w:type="first" r:id="rId18"/>
          <w:type w:val="continuous"/>
          <w:pgSz w:w="12240" w:h="15840"/>
          <w:pgMar w:top="1272" w:right="1440" w:bottom="1440" w:left="1440" w:header="720" w:footer="720" w:gutter="0"/>
          <w:cols w:space="720"/>
          <w:docGrid w:linePitch="360"/>
        </w:sectPr>
      </w:pPr>
      <w:r w:rsidRPr="00E35625">
        <w:rPr>
          <w:lang w:val="sq-AL"/>
        </w:rPr>
        <w:t>Vizioni dhe objektivat e Strategjisë Kombëtare të Punësimit dhe Aftësive 2023-2030 janë pjesë e rëndësishme e angazhimit të Shqipërisë për zbatimin e Agjendës 2030 dhe i shërbejnë arritjes së Objektivave të Zhvillimit të Qëndrueshëm në vend. Objektivat dhe masat e strategjisë lidhen në mënyrë të drejtpërdrejtë me OZHQ 8 “</w:t>
      </w:r>
      <w:r w:rsidRPr="00E35625">
        <w:rPr>
          <w:i/>
          <w:lang w:val="sq-AL"/>
        </w:rPr>
        <w:t>Promovimi i rritjes ekonomike të qëndrueshme, gjithëpërfshirëse e të qëndrueshme, punësim i plotë e produktiv dhe punë e denjë për të gjithë</w:t>
      </w:r>
      <w:r w:rsidRPr="00E35625">
        <w:rPr>
          <w:lang w:val="sq-AL"/>
        </w:rPr>
        <w:t>” dhe ve</w:t>
      </w:r>
      <w:r w:rsidR="004D4ACA" w:rsidRPr="00E35625">
        <w:rPr>
          <w:lang w:val="sq-AL"/>
        </w:rPr>
        <w:t>ç</w:t>
      </w:r>
      <w:r w:rsidRPr="00E35625">
        <w:rPr>
          <w:lang w:val="sq-AL"/>
        </w:rPr>
        <w:t>anërisht në përmbushjen e synimeve specifike të OZHQ 8 si: 8.5 (punësimi i denjë), 8.3 (produktiviteti), 8.2 (inovacioni), 8.6 (punësimi i të rinjve) dhe 8.8 (të drejtat në punë). Por njëkohësisht, zbatimi strategjisë lidhet natyrshëm dhe me arritjen e objektivave të tjerë të rëndësishëm për Shqipërinë në kuadër të Agjendës 2030 si OZHQ 1 (varfëria), OZHQ 2 (ushqimi), OZHQ 4 (arsimi), OZHQ 5 (barazia gjinore), OZHQ 9 (industria, inovacioni dhe infrastruktura) dhe OZHQ 10 (zvog</w:t>
      </w:r>
      <w:r w:rsidR="004D4ACA" w:rsidRPr="00E35625">
        <w:rPr>
          <w:lang w:val="sq-AL"/>
        </w:rPr>
        <w:t>ë</w:t>
      </w:r>
      <w:r w:rsidRPr="00E35625">
        <w:rPr>
          <w:lang w:val="sq-AL"/>
        </w:rPr>
        <w:t>limi i pabarazisë).</w:t>
      </w:r>
    </w:p>
    <w:p w14:paraId="23E2A82E" w14:textId="00A61AE4" w:rsidR="004969C5" w:rsidRPr="00E35625" w:rsidRDefault="004969C5" w:rsidP="00E14B65">
      <w:pPr>
        <w:rPr>
          <w:lang w:val="sq-AL"/>
        </w:rPr>
      </w:pPr>
    </w:p>
    <w:p w14:paraId="4C3B5719" w14:textId="1B8DA43E" w:rsidR="002E5360" w:rsidRPr="00E35625" w:rsidRDefault="00942922" w:rsidP="00E14B65">
      <w:pPr>
        <w:pStyle w:val="Heading1"/>
        <w:rPr>
          <w:lang w:val="sq-AL"/>
        </w:rPr>
      </w:pPr>
      <w:bookmarkStart w:id="13" w:name="_Toc123165401"/>
      <w:r w:rsidRPr="00E35625">
        <w:rPr>
          <w:lang w:val="sq-AL"/>
        </w:rPr>
        <w:t xml:space="preserve">Sfidat kryesore </w:t>
      </w:r>
      <w:r w:rsidR="00F71AB8" w:rsidRPr="00E35625">
        <w:rPr>
          <w:lang w:val="sq-AL"/>
        </w:rPr>
        <w:t xml:space="preserve">të sektorit </w:t>
      </w:r>
      <w:r w:rsidR="007B3957" w:rsidRPr="00E35625">
        <w:rPr>
          <w:lang w:val="sq-AL"/>
        </w:rPr>
        <w:t xml:space="preserve">dhe institucionale </w:t>
      </w:r>
      <w:r w:rsidRPr="00E35625">
        <w:rPr>
          <w:lang w:val="sq-AL"/>
        </w:rPr>
        <w:t xml:space="preserve">për zhvillimin e vendit </w:t>
      </w:r>
      <w:r w:rsidR="002E5360" w:rsidRPr="00E35625">
        <w:rPr>
          <w:lang w:val="sq-AL"/>
        </w:rPr>
        <w:t>p</w:t>
      </w:r>
      <w:r w:rsidRPr="00E35625">
        <w:rPr>
          <w:lang w:val="sq-AL"/>
        </w:rPr>
        <w:t>ë</w:t>
      </w:r>
      <w:r w:rsidR="002E5360" w:rsidRPr="00E35625">
        <w:rPr>
          <w:lang w:val="sq-AL"/>
        </w:rPr>
        <w:t>r</w:t>
      </w:r>
      <w:r w:rsidRPr="00E35625">
        <w:rPr>
          <w:lang w:val="sq-AL"/>
        </w:rPr>
        <w:t xml:space="preserve"> të ardhmen</w:t>
      </w:r>
      <w:r w:rsidR="00085291" w:rsidRPr="00E35625">
        <w:rPr>
          <w:lang w:val="sq-AL"/>
        </w:rPr>
        <w:t xml:space="preserve"> </w:t>
      </w:r>
      <w:r w:rsidR="00F32E40" w:rsidRPr="00E35625">
        <w:rPr>
          <w:lang w:val="sq-AL"/>
        </w:rPr>
        <w:t>dhe procesin</w:t>
      </w:r>
      <w:r w:rsidR="00085291" w:rsidRPr="00E35625">
        <w:rPr>
          <w:lang w:val="sq-AL"/>
        </w:rPr>
        <w:t xml:space="preserve"> </w:t>
      </w:r>
      <w:r w:rsidR="00F32E40" w:rsidRPr="00E35625">
        <w:rPr>
          <w:lang w:val="sq-AL"/>
        </w:rPr>
        <w:t>e</w:t>
      </w:r>
      <w:r w:rsidR="00085291" w:rsidRPr="00E35625">
        <w:rPr>
          <w:lang w:val="sq-AL"/>
        </w:rPr>
        <w:t xml:space="preserve"> anëtarësimit në BE</w:t>
      </w:r>
      <w:bookmarkEnd w:id="13"/>
      <w:r w:rsidRPr="00E35625">
        <w:rPr>
          <w:lang w:val="sq-AL"/>
        </w:rPr>
        <w:t xml:space="preserve"> </w:t>
      </w:r>
    </w:p>
    <w:p w14:paraId="341A2E0A" w14:textId="2CD40A2C" w:rsidR="007B3957" w:rsidRPr="00E35625" w:rsidRDefault="007B3957" w:rsidP="00E14B65">
      <w:pPr>
        <w:pStyle w:val="Heading2"/>
        <w:numPr>
          <w:ilvl w:val="1"/>
          <w:numId w:val="3"/>
        </w:numPr>
        <w:rPr>
          <w:lang w:val="sq-AL"/>
        </w:rPr>
      </w:pPr>
      <w:bookmarkStart w:id="14" w:name="_Toc123165402"/>
      <w:r w:rsidRPr="00E35625">
        <w:rPr>
          <w:lang w:val="sq-AL"/>
        </w:rPr>
        <w:t xml:space="preserve">Sfidat e </w:t>
      </w:r>
      <w:r w:rsidR="004270E7">
        <w:rPr>
          <w:lang w:val="sq-AL"/>
        </w:rPr>
        <w:t>tregut t</w:t>
      </w:r>
      <w:r w:rsidR="004270E7" w:rsidRPr="00E35625">
        <w:rPr>
          <w:lang w:val="sq-AL"/>
        </w:rPr>
        <w:t>ë</w:t>
      </w:r>
      <w:r w:rsidR="004270E7">
        <w:rPr>
          <w:lang w:val="sq-AL"/>
        </w:rPr>
        <w:t xml:space="preserve"> pun</w:t>
      </w:r>
      <w:r w:rsidR="004270E7" w:rsidRPr="00E35625">
        <w:rPr>
          <w:lang w:val="sq-AL"/>
        </w:rPr>
        <w:t>ë</w:t>
      </w:r>
      <w:r w:rsidR="004270E7">
        <w:rPr>
          <w:lang w:val="sq-AL"/>
        </w:rPr>
        <w:t>s</w:t>
      </w:r>
      <w:r w:rsidR="004270E7" w:rsidRPr="00E35625">
        <w:rPr>
          <w:lang w:val="sq-AL"/>
        </w:rPr>
        <w:t xml:space="preserve"> </w:t>
      </w:r>
      <w:r w:rsidRPr="00E35625">
        <w:rPr>
          <w:lang w:val="sq-AL"/>
        </w:rPr>
        <w:t>dhe aftësive</w:t>
      </w:r>
      <w:bookmarkEnd w:id="14"/>
    </w:p>
    <w:p w14:paraId="5B9D5492" w14:textId="0F2D8313" w:rsidR="002E5360" w:rsidRPr="00E35625" w:rsidRDefault="00832C35" w:rsidP="00E14B65">
      <w:pPr>
        <w:pStyle w:val="Heading3"/>
        <w:numPr>
          <w:ilvl w:val="2"/>
          <w:numId w:val="3"/>
        </w:numPr>
        <w:rPr>
          <w:lang w:val="sq-AL"/>
        </w:rPr>
      </w:pPr>
      <w:bookmarkStart w:id="15" w:name="_Toc123165403"/>
      <w:r w:rsidRPr="00E35625">
        <w:rPr>
          <w:lang w:val="sq-AL"/>
        </w:rPr>
        <w:t>Zhvillimi i a</w:t>
      </w:r>
      <w:r w:rsidR="002E5360" w:rsidRPr="00E35625">
        <w:rPr>
          <w:lang w:val="sq-AL"/>
        </w:rPr>
        <w:t>ftësi</w:t>
      </w:r>
      <w:r w:rsidRPr="00E35625">
        <w:rPr>
          <w:lang w:val="sq-AL"/>
        </w:rPr>
        <w:t>v</w:t>
      </w:r>
      <w:r w:rsidR="007109DE">
        <w:rPr>
          <w:lang w:val="sq-AL"/>
        </w:rPr>
        <w:t>e</w:t>
      </w:r>
      <w:bookmarkEnd w:id="15"/>
    </w:p>
    <w:p w14:paraId="63A7A4BB" w14:textId="67D6380C" w:rsidR="002E5360" w:rsidRPr="00E35625" w:rsidRDefault="002E5360" w:rsidP="00E14B65">
      <w:pPr>
        <w:rPr>
          <w:lang w:val="sq-AL"/>
        </w:rPr>
      </w:pPr>
      <w:r w:rsidRPr="00E35625">
        <w:rPr>
          <w:lang w:val="sq-AL"/>
        </w:rPr>
        <w:t>Shqipëria po përballet me dy sfida lidhur me aftësitë. Së pari, është niveli i ulët i aftësive të popullsisë në moshë pune. Sipas Anketës së Forcave të Punës (</w:t>
      </w:r>
      <w:r w:rsidR="00AE0FCA">
        <w:rPr>
          <w:lang w:val="sq-AL"/>
        </w:rPr>
        <w:t>LFS</w:t>
      </w:r>
      <w:r w:rsidRPr="00E35625">
        <w:rPr>
          <w:lang w:val="sq-AL"/>
        </w:rPr>
        <w:t>) të vitit 2021, 41,6</w:t>
      </w:r>
      <w:r w:rsidR="002D06AB">
        <w:rPr>
          <w:lang w:val="sq-AL"/>
        </w:rPr>
        <w:t xml:space="preserve"> përqind</w:t>
      </w:r>
      <w:r w:rsidRPr="00E35625">
        <w:rPr>
          <w:lang w:val="sq-AL"/>
        </w:rPr>
        <w:t xml:space="preserve"> e forcave të punës dhe 48.3</w:t>
      </w:r>
      <w:r w:rsidR="002D06AB">
        <w:rPr>
          <w:lang w:val="sq-AL"/>
        </w:rPr>
        <w:t xml:space="preserve"> përqind</w:t>
      </w:r>
      <w:r w:rsidRPr="00E35625">
        <w:rPr>
          <w:lang w:val="sq-AL"/>
        </w:rPr>
        <w:t xml:space="preserve"> e popullsisë në moshë pune në Shqipëri është me arsim bazë (8</w:t>
      </w:r>
      <w:r w:rsidR="00DA3B90" w:rsidRPr="00E35625">
        <w:rPr>
          <w:lang w:val="sq-AL"/>
        </w:rPr>
        <w:t>/</w:t>
      </w:r>
      <w:r w:rsidRPr="00E35625">
        <w:rPr>
          <w:lang w:val="sq-AL"/>
        </w:rPr>
        <w:t>9</w:t>
      </w:r>
      <w:r w:rsidR="00DA3B90" w:rsidRPr="00E35625">
        <w:rPr>
          <w:lang w:val="sq-AL"/>
        </w:rPr>
        <w:t>-</w:t>
      </w:r>
      <w:r w:rsidRPr="00E35625">
        <w:rPr>
          <w:lang w:val="sq-AL"/>
        </w:rPr>
        <w:t>vjeçar) ose më të ulët</w:t>
      </w:r>
      <w:r w:rsidRPr="00E35625">
        <w:rPr>
          <w:rStyle w:val="FootnoteReference"/>
          <w:rFonts w:ascii="Calibri" w:hAnsi="Calibri" w:cs="Calibri"/>
          <w:color w:val="000000" w:themeColor="text1"/>
          <w:lang w:val="sq-AL"/>
        </w:rPr>
        <w:footnoteReference w:id="2"/>
      </w:r>
      <w:r w:rsidRPr="00E35625">
        <w:rPr>
          <w:lang w:val="sq-AL"/>
        </w:rPr>
        <w:t>. Ka edhe grupe të caktuara</w:t>
      </w:r>
      <w:r w:rsidR="00E82435">
        <w:rPr>
          <w:lang w:val="sq-AL"/>
        </w:rPr>
        <w:t xml:space="preserve"> të shoqërisë shqiptare</w:t>
      </w:r>
      <w:r w:rsidR="00DA3B90" w:rsidRPr="00E35625">
        <w:rPr>
          <w:lang w:val="sq-AL"/>
        </w:rPr>
        <w:t xml:space="preserve">, </w:t>
      </w:r>
      <w:r w:rsidRPr="00E35625">
        <w:rPr>
          <w:lang w:val="sq-AL"/>
        </w:rPr>
        <w:t>të cilat nuk e kanë përfunduar arsimin fillor</w:t>
      </w:r>
      <w:r w:rsidR="00E82435">
        <w:rPr>
          <w:lang w:val="sq-AL"/>
        </w:rPr>
        <w:t xml:space="preserve"> si për shembull</w:t>
      </w:r>
      <w:r w:rsidRPr="00E35625">
        <w:rPr>
          <w:lang w:val="sq-AL"/>
        </w:rPr>
        <w:t>, 45.28</w:t>
      </w:r>
      <w:r w:rsidR="002D06AB">
        <w:rPr>
          <w:lang w:val="sq-AL"/>
        </w:rPr>
        <w:t xml:space="preserve"> përqind</w:t>
      </w:r>
      <w:r w:rsidRPr="00E35625">
        <w:rPr>
          <w:lang w:val="sq-AL"/>
        </w:rPr>
        <w:t xml:space="preserve"> e punëkërkuesve Romë të papunë </w:t>
      </w:r>
      <w:r w:rsidR="00C02DA2" w:rsidRPr="00E35625">
        <w:rPr>
          <w:lang w:val="sq-AL"/>
        </w:rPr>
        <w:t xml:space="preserve">dhe 13.9 </w:t>
      </w:r>
      <w:r w:rsidR="002D06AB">
        <w:rPr>
          <w:lang w:val="sq-AL"/>
        </w:rPr>
        <w:t xml:space="preserve"> përqind</w:t>
      </w:r>
      <w:r w:rsidR="00C02DA2" w:rsidRPr="00E35625">
        <w:rPr>
          <w:lang w:val="sq-AL"/>
        </w:rPr>
        <w:t xml:space="preserve"> e punëkërkuesve të papunë Egjiptianë </w:t>
      </w:r>
      <w:r w:rsidRPr="00E35625">
        <w:rPr>
          <w:lang w:val="sq-AL"/>
        </w:rPr>
        <w:t>të regjistruar në zyrat e punës</w:t>
      </w:r>
      <w:r w:rsidR="006815D8">
        <w:rPr>
          <w:lang w:val="sq-AL"/>
        </w:rPr>
        <w:t xml:space="preserve">. Niveli arsimor i përfituesve të ndihmës ekonomik dominohet nga individët, </w:t>
      </w:r>
      <w:r w:rsidR="00347097">
        <w:rPr>
          <w:lang w:val="sq-AL"/>
        </w:rPr>
        <w:t>që kanë përfunduar arsimin e detyrueshëm 9-vjeçar.</w:t>
      </w:r>
    </w:p>
    <w:p w14:paraId="6BEAA0E8" w14:textId="626D3B31" w:rsidR="002E5360" w:rsidRPr="00E35625" w:rsidRDefault="002E5360" w:rsidP="00E14B65">
      <w:pPr>
        <w:rPr>
          <w:lang w:val="sq-AL"/>
        </w:rPr>
      </w:pPr>
      <w:r w:rsidRPr="00E35625">
        <w:rPr>
          <w:lang w:val="sq-AL"/>
        </w:rPr>
        <w:t xml:space="preserve">Sfida e dytë lidhet me zotërimin nga fuqia punëtore të aftësive të kërkuara në tregun e punës, mungesa e të cilave mund të pengojë krijimin e më shumë vendeve të punës apo </w:t>
      </w:r>
      <w:r w:rsidR="0010033B">
        <w:rPr>
          <w:lang w:val="sq-AL"/>
        </w:rPr>
        <w:t xml:space="preserve">punë </w:t>
      </w:r>
      <w:r w:rsidRPr="00E35625">
        <w:rPr>
          <w:lang w:val="sq-AL"/>
        </w:rPr>
        <w:t xml:space="preserve">me cilësi më të mirë. Disa nga treguesit kryesorë </w:t>
      </w:r>
      <w:r w:rsidR="00A61BD9" w:rsidRPr="00E35625">
        <w:rPr>
          <w:lang w:val="sq-AL"/>
        </w:rPr>
        <w:t>të</w:t>
      </w:r>
      <w:r w:rsidRPr="00E35625">
        <w:rPr>
          <w:lang w:val="sq-AL"/>
        </w:rPr>
        <w:t xml:space="preserve"> mospërputhje</w:t>
      </w:r>
      <w:r w:rsidR="0010033B">
        <w:rPr>
          <w:lang w:val="sq-AL"/>
        </w:rPr>
        <w:t>s</w:t>
      </w:r>
      <w:r w:rsidRPr="00E35625">
        <w:rPr>
          <w:lang w:val="sq-AL"/>
        </w:rPr>
        <w:t xml:space="preserve"> </w:t>
      </w:r>
      <w:r w:rsidR="00A61BD9" w:rsidRPr="00E35625">
        <w:rPr>
          <w:lang w:val="sq-AL"/>
        </w:rPr>
        <w:t>së</w:t>
      </w:r>
      <w:r w:rsidRPr="00E35625">
        <w:rPr>
          <w:lang w:val="sq-AL"/>
        </w:rPr>
        <w:t xml:space="preserve"> mundshme të aftësive</w:t>
      </w:r>
      <w:r w:rsidRPr="00E35625">
        <w:rPr>
          <w:rStyle w:val="FootnoteReference"/>
          <w:rFonts w:ascii="Calibri" w:hAnsi="Calibri" w:cs="Calibri"/>
          <w:bCs/>
          <w:color w:val="000000" w:themeColor="text1"/>
          <w:lang w:val="sq-AL"/>
        </w:rPr>
        <w:footnoteReference w:id="3"/>
      </w:r>
      <w:r w:rsidRPr="00E35625">
        <w:rPr>
          <w:lang w:val="sq-AL"/>
        </w:rPr>
        <w:t xml:space="preserve"> mund të konsiderohen shkalla e lartë e papunësisë tek të rinjtë dhe shkalla e lartë e papunësisë së të diplomuarve nga arsimi i </w:t>
      </w:r>
      <w:r w:rsidR="004D4ACA" w:rsidRPr="00E35625">
        <w:rPr>
          <w:lang w:val="sq-AL"/>
        </w:rPr>
        <w:t>l</w:t>
      </w:r>
      <w:r w:rsidRPr="00E35625">
        <w:rPr>
          <w:lang w:val="sq-AL"/>
        </w:rPr>
        <w:t>artë</w:t>
      </w:r>
      <w:r w:rsidRPr="00E35625">
        <w:rPr>
          <w:rStyle w:val="FootnoteReference"/>
          <w:rFonts w:ascii="Calibri" w:hAnsi="Calibri" w:cs="Calibri"/>
          <w:bCs/>
          <w:color w:val="000000" w:themeColor="text1"/>
          <w:lang w:val="sq-AL"/>
        </w:rPr>
        <w:footnoteReference w:id="4"/>
      </w:r>
      <w:r w:rsidRPr="00E35625">
        <w:rPr>
          <w:lang w:val="sq-AL"/>
        </w:rPr>
        <w:t>. Shkalla e lartë e të rinjve që nuk janë as në punësim, as në arsim apo trajnim (NEET) është një tjetër tregues që nxjerr në pah mospërputhjen e aftësive</w:t>
      </w:r>
      <w:r w:rsidRPr="00E35625">
        <w:rPr>
          <w:rStyle w:val="FootnoteReference"/>
          <w:rFonts w:ascii="Calibri" w:hAnsi="Calibri" w:cs="Calibri"/>
          <w:lang w:val="sq-AL"/>
        </w:rPr>
        <w:footnoteReference w:id="5"/>
      </w:r>
      <w:r w:rsidRPr="00E35625">
        <w:rPr>
          <w:lang w:val="sq-AL"/>
        </w:rPr>
        <w:t xml:space="preserve">. </w:t>
      </w:r>
      <w:r w:rsidR="002D06AB">
        <w:rPr>
          <w:lang w:val="sq-AL"/>
        </w:rPr>
        <w:t xml:space="preserve"> </w:t>
      </w:r>
      <w:r w:rsidR="00B74500">
        <w:rPr>
          <w:lang w:val="sq-AL"/>
        </w:rPr>
        <w:t>P</w:t>
      </w:r>
      <w:r w:rsidR="002D06AB">
        <w:rPr>
          <w:lang w:val="sq-AL"/>
        </w:rPr>
        <w:t>ërqind</w:t>
      </w:r>
      <w:r w:rsidRPr="00E35625">
        <w:rPr>
          <w:lang w:val="sq-AL"/>
        </w:rPr>
        <w:t>ja e bizneseve, që përballen me vështirësi</w:t>
      </w:r>
      <w:r w:rsidR="005F1953" w:rsidRPr="00E35625">
        <w:rPr>
          <w:lang w:val="sq-AL"/>
        </w:rPr>
        <w:t xml:space="preserve"> </w:t>
      </w:r>
      <w:r w:rsidRPr="00E35625">
        <w:rPr>
          <w:lang w:val="sq-AL"/>
        </w:rPr>
        <w:t>në rekrutim</w:t>
      </w:r>
      <w:r w:rsidRPr="00E35625">
        <w:rPr>
          <w:rStyle w:val="FootnoteReference"/>
          <w:rFonts w:ascii="Calibri" w:hAnsi="Calibri" w:cs="Calibri"/>
          <w:lang w:val="sq-AL"/>
        </w:rPr>
        <w:footnoteReference w:id="6"/>
      </w:r>
      <w:r w:rsidRPr="00E35625">
        <w:rPr>
          <w:lang w:val="sq-AL"/>
        </w:rPr>
        <w:t xml:space="preserve">  mund të konsiderohet gjithashtu </w:t>
      </w:r>
      <w:r w:rsidR="004D4ACA" w:rsidRPr="00E35625">
        <w:rPr>
          <w:lang w:val="sq-AL"/>
        </w:rPr>
        <w:t>si tregues</w:t>
      </w:r>
      <w:r w:rsidRPr="00E35625">
        <w:rPr>
          <w:lang w:val="sq-AL"/>
        </w:rPr>
        <w:t xml:space="preserve"> për mospërputhjen apo mungesën e aftësive</w:t>
      </w:r>
      <w:r w:rsidRPr="00E35625">
        <w:rPr>
          <w:rStyle w:val="FootnoteReference"/>
          <w:rFonts w:ascii="Calibri" w:hAnsi="Calibri" w:cs="Calibri"/>
          <w:lang w:val="sq-AL"/>
        </w:rPr>
        <w:footnoteReference w:id="7"/>
      </w:r>
      <w:r w:rsidRPr="00E35625">
        <w:rPr>
          <w:lang w:val="sq-AL"/>
        </w:rPr>
        <w:t>.</w:t>
      </w:r>
    </w:p>
    <w:p w14:paraId="621DA681" w14:textId="7E1462D4" w:rsidR="002E5360" w:rsidRPr="00E35625" w:rsidRDefault="0010033B" w:rsidP="00E14B65">
      <w:pPr>
        <w:rPr>
          <w:lang w:val="sq-AL"/>
        </w:rPr>
      </w:pPr>
      <w:r>
        <w:rPr>
          <w:lang w:val="sq-AL"/>
        </w:rPr>
        <w:t>Një s</w:t>
      </w:r>
      <w:r w:rsidR="002E5360" w:rsidRPr="00E35625">
        <w:rPr>
          <w:lang w:val="sq-AL"/>
        </w:rPr>
        <w:t xml:space="preserve">tudim i fundit i ETF-së për aftësitë </w:t>
      </w:r>
      <w:r w:rsidRPr="00E35625">
        <w:rPr>
          <w:lang w:val="sq-AL"/>
        </w:rPr>
        <w:t>në vendet partnere të ETF-së</w:t>
      </w:r>
      <w:r w:rsidRPr="00E35625">
        <w:rPr>
          <w:rStyle w:val="FootnoteReference"/>
          <w:rFonts w:ascii="Calibri" w:hAnsi="Calibri" w:cs="Calibri"/>
          <w:color w:val="000000" w:themeColor="text1"/>
          <w:lang w:val="sq-AL"/>
        </w:rPr>
        <w:footnoteReference w:id="8"/>
      </w:r>
      <w:r w:rsidR="00325CF0">
        <w:rPr>
          <w:lang w:val="sq-AL"/>
        </w:rPr>
        <w:t xml:space="preserve"> </w:t>
      </w:r>
      <w:r w:rsidR="002E5360" w:rsidRPr="00E35625">
        <w:rPr>
          <w:lang w:val="sq-AL"/>
        </w:rPr>
        <w:t xml:space="preserve">u përpoq të </w:t>
      </w:r>
      <w:r>
        <w:rPr>
          <w:lang w:val="sq-AL"/>
        </w:rPr>
        <w:t>vlerësojë</w:t>
      </w:r>
      <w:r w:rsidRPr="00E35625">
        <w:rPr>
          <w:lang w:val="sq-AL"/>
        </w:rPr>
        <w:t xml:space="preserve"> </w:t>
      </w:r>
      <w:r w:rsidR="002E5360" w:rsidRPr="00E35625">
        <w:rPr>
          <w:lang w:val="sq-AL"/>
        </w:rPr>
        <w:t xml:space="preserve">mospërputhjen vertikale dhe horizontale të aftësive. Sipas </w:t>
      </w:r>
      <w:r>
        <w:rPr>
          <w:lang w:val="sq-AL"/>
        </w:rPr>
        <w:t>studimit</w:t>
      </w:r>
      <w:r w:rsidR="002E5360" w:rsidRPr="00E35625">
        <w:rPr>
          <w:lang w:val="sq-AL"/>
        </w:rPr>
        <w:t>, të paktën një në pesë të diplomuar nga arsimi i lartë kishte një vend pune</w:t>
      </w:r>
      <w:r w:rsidR="00DA3B90" w:rsidRPr="00E35625">
        <w:rPr>
          <w:lang w:val="sq-AL"/>
        </w:rPr>
        <w:t>,</w:t>
      </w:r>
      <w:r w:rsidR="002E5360" w:rsidRPr="00E35625">
        <w:rPr>
          <w:lang w:val="sq-AL"/>
        </w:rPr>
        <w:t xml:space="preserve"> që kërkonte nivel më të ulët të kualifikimeve formale, në shumicën dërrmuese të vendeve partnere të ETF-së, përfshirë edhe Shqipërinë. </w:t>
      </w:r>
      <w:r>
        <w:rPr>
          <w:lang w:val="sq-AL"/>
        </w:rPr>
        <w:t xml:space="preserve">Për Shqipërinë, </w:t>
      </w:r>
      <w:r w:rsidR="00C73D12">
        <w:rPr>
          <w:lang w:val="sq-AL"/>
        </w:rPr>
        <w:t>në vitin</w:t>
      </w:r>
      <w:r w:rsidR="00086027">
        <w:rPr>
          <w:lang w:val="sq-AL"/>
        </w:rPr>
        <w:t xml:space="preserve"> 2019</w:t>
      </w:r>
      <w:r w:rsidR="002E5360" w:rsidRPr="00E35625">
        <w:rPr>
          <w:lang w:val="sq-AL"/>
        </w:rPr>
        <w:t xml:space="preserve"> rreth 40</w:t>
      </w:r>
      <w:r w:rsidR="002D06AB">
        <w:rPr>
          <w:lang w:val="sq-AL"/>
        </w:rPr>
        <w:t xml:space="preserve"> përqind</w:t>
      </w:r>
      <w:r w:rsidR="002E5360" w:rsidRPr="00E35625">
        <w:rPr>
          <w:lang w:val="sq-AL"/>
        </w:rPr>
        <w:t xml:space="preserve"> e punonjësve ishin të mbi- ose nënarsimuar</w:t>
      </w:r>
      <w:r>
        <w:rPr>
          <w:lang w:val="sq-AL"/>
        </w:rPr>
        <w:t>,</w:t>
      </w:r>
      <w:r w:rsidR="002E5360" w:rsidRPr="00E35625">
        <w:rPr>
          <w:lang w:val="sq-AL"/>
        </w:rPr>
        <w:t xml:space="preserve"> ngjash</w:t>
      </w:r>
      <w:r>
        <w:rPr>
          <w:lang w:val="sq-AL"/>
        </w:rPr>
        <w:t>ë</w:t>
      </w:r>
      <w:r w:rsidR="002E5360" w:rsidRPr="00E35625">
        <w:rPr>
          <w:lang w:val="sq-AL"/>
        </w:rPr>
        <w:t xml:space="preserve">m me vendet e </w:t>
      </w:r>
      <w:r>
        <w:rPr>
          <w:lang w:val="sq-AL"/>
        </w:rPr>
        <w:t xml:space="preserve">tjera të </w:t>
      </w:r>
      <w:r w:rsidR="002E5360" w:rsidRPr="00E35625">
        <w:rPr>
          <w:lang w:val="sq-AL"/>
        </w:rPr>
        <w:t>Ballkanit Perëndimor</w:t>
      </w:r>
      <w:r w:rsidR="00C73D12">
        <w:rPr>
          <w:lang w:val="sq-AL"/>
        </w:rPr>
        <w:t xml:space="preserve">, me një incidencë më të lartë mbikualifikimi </w:t>
      </w:r>
      <w:r w:rsidR="00977ED8">
        <w:rPr>
          <w:lang w:val="sq-AL"/>
        </w:rPr>
        <w:t>te</w:t>
      </w:r>
      <w:r w:rsidR="00C73D12">
        <w:rPr>
          <w:lang w:val="sq-AL"/>
        </w:rPr>
        <w:t xml:space="preserve"> </w:t>
      </w:r>
      <w:r w:rsidR="00977ED8">
        <w:rPr>
          <w:lang w:val="sq-AL"/>
        </w:rPr>
        <w:t xml:space="preserve">të </w:t>
      </w:r>
      <w:r w:rsidR="00C73D12">
        <w:rPr>
          <w:lang w:val="sq-AL"/>
        </w:rPr>
        <w:t>diplomuar</w:t>
      </w:r>
      <w:r w:rsidR="00977ED8">
        <w:rPr>
          <w:lang w:val="sq-AL"/>
        </w:rPr>
        <w:t>it</w:t>
      </w:r>
      <w:r w:rsidR="00C73D12">
        <w:rPr>
          <w:lang w:val="sq-AL"/>
        </w:rPr>
        <w:t xml:space="preserve"> </w:t>
      </w:r>
      <w:r w:rsidR="00C73D12">
        <w:rPr>
          <w:lang w:val="sq-AL"/>
        </w:rPr>
        <w:lastRenderedPageBreak/>
        <w:t>nga arsimi i lartë, krahasuar me të diplomuarit nga arsimi i mesëm.</w:t>
      </w:r>
      <w:r w:rsidR="002E5360" w:rsidRPr="00E35625">
        <w:rPr>
          <w:lang w:val="sq-AL"/>
        </w:rPr>
        <w:t xml:space="preserve"> </w:t>
      </w:r>
      <w:r w:rsidR="00086027">
        <w:rPr>
          <w:lang w:val="sq-AL"/>
        </w:rPr>
        <w:t>Ndërkaq</w:t>
      </w:r>
      <w:r w:rsidR="00086027" w:rsidRPr="00E35625">
        <w:rPr>
          <w:lang w:val="sq-AL"/>
        </w:rPr>
        <w:t xml:space="preserve"> </w:t>
      </w:r>
      <w:r w:rsidR="00086027">
        <w:rPr>
          <w:lang w:val="sq-AL"/>
        </w:rPr>
        <w:t xml:space="preserve">pesha e </w:t>
      </w:r>
      <w:r w:rsidR="002E5360" w:rsidRPr="00E35625">
        <w:rPr>
          <w:lang w:val="sq-AL"/>
        </w:rPr>
        <w:t>mospërputhj</w:t>
      </w:r>
      <w:r w:rsidR="00086027">
        <w:rPr>
          <w:lang w:val="sq-AL"/>
        </w:rPr>
        <w:t xml:space="preserve">es </w:t>
      </w:r>
      <w:r w:rsidR="002E5360" w:rsidRPr="00E35625">
        <w:rPr>
          <w:lang w:val="sq-AL"/>
        </w:rPr>
        <w:t>horizontale</w:t>
      </w:r>
      <w:r w:rsidR="002E5360" w:rsidRPr="00E35625">
        <w:rPr>
          <w:rStyle w:val="FootnoteReference"/>
          <w:rFonts w:ascii="Calibri" w:hAnsi="Calibri" w:cs="Calibri"/>
          <w:color w:val="000000" w:themeColor="text1"/>
          <w:lang w:val="sq-AL"/>
        </w:rPr>
        <w:footnoteReference w:id="9"/>
      </w:r>
      <w:r w:rsidR="002E5360" w:rsidRPr="00E35625">
        <w:rPr>
          <w:lang w:val="sq-AL"/>
        </w:rPr>
        <w:t>, në vitin 2019, ishte mbi 66</w:t>
      </w:r>
      <w:r w:rsidR="002D06AB">
        <w:rPr>
          <w:lang w:val="sq-AL"/>
        </w:rPr>
        <w:t xml:space="preserve"> përqind</w:t>
      </w:r>
      <w:r>
        <w:rPr>
          <w:lang w:val="sq-AL"/>
        </w:rPr>
        <w:t xml:space="preserve"> </w:t>
      </w:r>
      <w:r w:rsidR="002E5360" w:rsidRPr="00E35625">
        <w:rPr>
          <w:lang w:val="sq-AL"/>
        </w:rPr>
        <w:t xml:space="preserve">(6 </w:t>
      </w:r>
      <w:r w:rsidR="004A16A4">
        <w:rPr>
          <w:lang w:val="sq-AL"/>
        </w:rPr>
        <w:t xml:space="preserve"> përqind</w:t>
      </w:r>
      <w:r w:rsidR="002E5360" w:rsidRPr="00E35625">
        <w:rPr>
          <w:lang w:val="sq-AL"/>
        </w:rPr>
        <w:t xml:space="preserve"> më e lartë se norma mesatare për vendet e Ballkanit Perëndimor).</w:t>
      </w:r>
    </w:p>
    <w:p w14:paraId="1D10E8C4" w14:textId="6F2055A0" w:rsidR="00C73D12" w:rsidRDefault="002E5360" w:rsidP="00E14B65">
      <w:pPr>
        <w:rPr>
          <w:lang w:val="sq-AL"/>
        </w:rPr>
      </w:pPr>
      <w:r w:rsidRPr="00E35625">
        <w:rPr>
          <w:lang w:val="sq-AL"/>
        </w:rPr>
        <w:t xml:space="preserve">Sfidat </w:t>
      </w:r>
      <w:r w:rsidR="00B23C6D" w:rsidRPr="00E35625">
        <w:rPr>
          <w:lang w:val="sq-AL"/>
        </w:rPr>
        <w:t xml:space="preserve">e mungesës apo mospërputhjes së aftësive, janë </w:t>
      </w:r>
      <w:r w:rsidR="00640108">
        <w:rPr>
          <w:lang w:val="sq-AL"/>
        </w:rPr>
        <w:t>të lidhura me</w:t>
      </w:r>
      <w:r w:rsidR="00B23C6D" w:rsidRPr="00E35625">
        <w:rPr>
          <w:lang w:val="sq-AL"/>
        </w:rPr>
        <w:t xml:space="preserve"> sasi</w:t>
      </w:r>
      <w:r w:rsidR="00640108">
        <w:rPr>
          <w:lang w:val="sq-AL"/>
        </w:rPr>
        <w:t>n</w:t>
      </w:r>
      <w:r w:rsidR="00B23C6D" w:rsidRPr="00E35625">
        <w:rPr>
          <w:lang w:val="sq-AL"/>
        </w:rPr>
        <w:t>ë, cilësi</w:t>
      </w:r>
      <w:r w:rsidR="00640108">
        <w:rPr>
          <w:lang w:val="sq-AL"/>
        </w:rPr>
        <w:t>n</w:t>
      </w:r>
      <w:r w:rsidR="00B23C6D" w:rsidRPr="00E35625">
        <w:rPr>
          <w:lang w:val="sq-AL"/>
        </w:rPr>
        <w:t xml:space="preserve">ë apo </w:t>
      </w:r>
      <w:r w:rsidR="005B0DFA">
        <w:rPr>
          <w:lang w:val="sq-AL"/>
        </w:rPr>
        <w:t>pesh</w:t>
      </w:r>
      <w:r w:rsidRPr="00E35625">
        <w:rPr>
          <w:lang w:val="sq-AL"/>
        </w:rPr>
        <w:t>ë</w:t>
      </w:r>
      <w:r w:rsidR="00640108">
        <w:rPr>
          <w:lang w:val="sq-AL"/>
        </w:rPr>
        <w:t>n</w:t>
      </w:r>
      <w:r w:rsidR="00B23C6D" w:rsidRPr="00E35625">
        <w:rPr>
          <w:lang w:val="sq-AL"/>
        </w:rPr>
        <w:t xml:space="preserve"> </w:t>
      </w:r>
      <w:r w:rsidR="00640108">
        <w:rPr>
          <w:lang w:val="sq-AL"/>
        </w:rPr>
        <w:t>e</w:t>
      </w:r>
      <w:r w:rsidRPr="00E35625">
        <w:rPr>
          <w:lang w:val="sq-AL"/>
        </w:rPr>
        <w:t xml:space="preserve"> pamjaftueshme </w:t>
      </w:r>
      <w:r w:rsidR="00B23C6D" w:rsidRPr="00E35625">
        <w:rPr>
          <w:lang w:val="sq-AL"/>
        </w:rPr>
        <w:t>të</w:t>
      </w:r>
      <w:r w:rsidRPr="00E35625">
        <w:rPr>
          <w:lang w:val="sq-AL"/>
        </w:rPr>
        <w:t xml:space="preserve"> ofertës së arsimit dhe formimit. </w:t>
      </w:r>
    </w:p>
    <w:p w14:paraId="06421762" w14:textId="4681C9A5" w:rsidR="002E5360" w:rsidRPr="00E35625" w:rsidRDefault="002E5360" w:rsidP="00E14B65">
      <w:pPr>
        <w:rPr>
          <w:color w:val="000000" w:themeColor="text1"/>
          <w:lang w:val="sq-AL"/>
        </w:rPr>
      </w:pPr>
      <w:r w:rsidRPr="00E35625">
        <w:rPr>
          <w:lang w:val="sq-AL"/>
        </w:rPr>
        <w:t>Tregues i cilësisë së pamjaftueshme të sistemit arsimor janë rezultatet e PISA-s, sipas të cilave të rinjtë shqiptarë të moshës 15-vjeçare kanë rezultate nën mesataren e OECD-së në të tri disiplinat: lexim, matematikë dhe shkencë</w:t>
      </w:r>
      <w:r w:rsidR="005B0DFA">
        <w:rPr>
          <w:lang w:val="sq-AL"/>
        </w:rPr>
        <w:t xml:space="preserve"> (PISA 2018)</w:t>
      </w:r>
      <w:r w:rsidRPr="00E35625">
        <w:rPr>
          <w:color w:val="000000" w:themeColor="text1"/>
          <w:lang w:val="sq-AL"/>
        </w:rPr>
        <w:t xml:space="preserve">. </w:t>
      </w:r>
    </w:p>
    <w:p w14:paraId="60AE0CCB" w14:textId="025AD1C3" w:rsidR="002E5360" w:rsidRDefault="00A61BD9" w:rsidP="00E14B65">
      <w:pPr>
        <w:rPr>
          <w:lang w:val="sq-AL"/>
        </w:rPr>
      </w:pPr>
      <w:r w:rsidRPr="00E35625">
        <w:rPr>
          <w:lang w:val="sq-AL"/>
        </w:rPr>
        <w:t>Sipas rezultateve të anket</w:t>
      </w:r>
      <w:r w:rsidR="002D06AB">
        <w:rPr>
          <w:lang w:val="sq-AL"/>
        </w:rPr>
        <w:t xml:space="preserve">ës </w:t>
      </w:r>
      <w:r w:rsidR="002D06AB" w:rsidRPr="00E35625">
        <w:rPr>
          <w:lang w:val="sq-AL"/>
        </w:rPr>
        <w:t>për arsimin e të rriturve, zhvilluar nga INSTAT-i në vitin 2017</w:t>
      </w:r>
      <w:r w:rsidRPr="00E35625">
        <w:rPr>
          <w:lang w:val="sq-AL"/>
        </w:rPr>
        <w:t>, p</w:t>
      </w:r>
      <w:r w:rsidR="002E5360" w:rsidRPr="00E35625">
        <w:rPr>
          <w:lang w:val="sq-AL"/>
        </w:rPr>
        <w:t xml:space="preserve">jesëmarrja e të rriturve (të moshës 25-64 vjeç) në </w:t>
      </w:r>
      <w:r w:rsidR="00A43EA4">
        <w:rPr>
          <w:lang w:val="sq-AL"/>
        </w:rPr>
        <w:t>arsim dhe trajnim formal dhe joformal</w:t>
      </w:r>
      <w:r w:rsidR="002E5360" w:rsidRPr="00E35625">
        <w:rPr>
          <w:lang w:val="sq-AL"/>
        </w:rPr>
        <w:t xml:space="preserve"> në vitin 2017 ishte 9.2</w:t>
      </w:r>
      <w:r w:rsidR="002D06AB">
        <w:rPr>
          <w:lang w:val="sq-AL"/>
        </w:rPr>
        <w:t xml:space="preserve"> përqind</w:t>
      </w:r>
      <w:r w:rsidR="002E5360" w:rsidRPr="00E35625">
        <w:rPr>
          <w:rStyle w:val="FootnoteReference"/>
          <w:rFonts w:ascii="Calibri" w:hAnsi="Calibri" w:cs="Calibri"/>
          <w:color w:val="000000" w:themeColor="text1"/>
          <w:lang w:val="sq-AL"/>
        </w:rPr>
        <w:footnoteReference w:id="10"/>
      </w:r>
      <w:r w:rsidR="002E5360" w:rsidRPr="00E35625">
        <w:rPr>
          <w:lang w:val="sq-AL"/>
        </w:rPr>
        <w:t xml:space="preserve"> </w:t>
      </w:r>
      <w:r w:rsidRPr="00E35625">
        <w:rPr>
          <w:lang w:val="sq-AL"/>
        </w:rPr>
        <w:t>me</w:t>
      </w:r>
      <w:r w:rsidR="002E5360" w:rsidRPr="00E35625">
        <w:rPr>
          <w:lang w:val="sq-AL"/>
        </w:rPr>
        <w:t xml:space="preserve"> një hendek të konsiderueshëm midis Shqipërisë dhe mesatares së BE-së, e cila, në të njëjtin vit, ishte 43.7</w:t>
      </w:r>
      <w:r w:rsidR="002D06AB">
        <w:rPr>
          <w:lang w:val="sq-AL"/>
        </w:rPr>
        <w:t xml:space="preserve"> përqind</w:t>
      </w:r>
      <w:r w:rsidR="002E5360" w:rsidRPr="00E35625">
        <w:rPr>
          <w:rStyle w:val="FootnoteReference"/>
          <w:rFonts w:ascii="Calibri" w:hAnsi="Calibri" w:cs="Calibri"/>
          <w:lang w:val="sq-AL"/>
        </w:rPr>
        <w:footnoteReference w:id="11"/>
      </w:r>
      <w:r w:rsidR="002E5360" w:rsidRPr="00E35625">
        <w:rPr>
          <w:lang w:val="sq-AL"/>
        </w:rPr>
        <w:t xml:space="preserve">. Për sa i përket gjinisë, </w:t>
      </w:r>
      <w:r w:rsidR="00B62FFC" w:rsidRPr="00E35625">
        <w:rPr>
          <w:lang w:val="sq-AL"/>
        </w:rPr>
        <w:t xml:space="preserve">rezultatet e të njëjtit studim </w:t>
      </w:r>
      <w:r w:rsidR="002E5360" w:rsidRPr="00E35625">
        <w:rPr>
          <w:lang w:val="sq-AL"/>
        </w:rPr>
        <w:t>tregojnë se 9.5</w:t>
      </w:r>
      <w:r w:rsidR="002D06AB">
        <w:rPr>
          <w:lang w:val="sq-AL"/>
        </w:rPr>
        <w:t xml:space="preserve"> përqind</w:t>
      </w:r>
      <w:r w:rsidR="002E5360" w:rsidRPr="00E35625">
        <w:rPr>
          <w:lang w:val="sq-AL"/>
        </w:rPr>
        <w:t xml:space="preserve"> e grave dhe 8.8</w:t>
      </w:r>
      <w:r w:rsidR="002D06AB">
        <w:rPr>
          <w:lang w:val="sq-AL"/>
        </w:rPr>
        <w:t xml:space="preserve"> përqind</w:t>
      </w:r>
      <w:r w:rsidR="002E5360" w:rsidRPr="00E35625">
        <w:rPr>
          <w:lang w:val="sq-AL"/>
        </w:rPr>
        <w:t xml:space="preserve"> e burrave të moshës 25-64 vjeç kanë marrë pjesë në arsim dhe formim formal dhe joformal</w:t>
      </w:r>
      <w:r w:rsidR="00926955">
        <w:rPr>
          <w:lang w:val="sq-AL"/>
        </w:rPr>
        <w:t>.</w:t>
      </w:r>
      <w:r w:rsidR="002E5360" w:rsidRPr="00E35625">
        <w:rPr>
          <w:lang w:val="sq-AL"/>
        </w:rPr>
        <w:t xml:space="preserve"> Mesatarisht, më pak se 15</w:t>
      </w:r>
      <w:r w:rsidR="002D06AB">
        <w:rPr>
          <w:lang w:val="sq-AL"/>
        </w:rPr>
        <w:t xml:space="preserve"> përqind</w:t>
      </w:r>
      <w:r w:rsidR="002E5360" w:rsidRPr="00E35625">
        <w:rPr>
          <w:lang w:val="sq-AL"/>
        </w:rPr>
        <w:t xml:space="preserve"> e bizneseve kanë ofruar trajnime të brendshme ose trajnime në punë për fuqinë e tyre punëtore dhe më pak se 5</w:t>
      </w:r>
      <w:r w:rsidR="002D06AB">
        <w:rPr>
          <w:lang w:val="sq-AL"/>
        </w:rPr>
        <w:t xml:space="preserve"> përqind</w:t>
      </w:r>
      <w:r w:rsidR="002E5360" w:rsidRPr="00E35625">
        <w:rPr>
          <w:lang w:val="sq-AL"/>
        </w:rPr>
        <w:t xml:space="preserve"> kanë ofruar trajnime të jashtme sipas anketës së organizuar nga Banka Botërore</w:t>
      </w:r>
      <w:r w:rsidR="002E5360" w:rsidRPr="00E35625">
        <w:rPr>
          <w:rStyle w:val="FootnoteReference"/>
          <w:rFonts w:ascii="Calibri" w:hAnsi="Calibri" w:cs="Calibri"/>
          <w:lang w:val="sq-AL"/>
        </w:rPr>
        <w:footnoteReference w:id="12"/>
      </w:r>
      <w:r w:rsidR="002E5360" w:rsidRPr="00E35625">
        <w:rPr>
          <w:lang w:val="sq-AL"/>
        </w:rPr>
        <w:t xml:space="preserve">. Mungesa e trajnimit të bazuar në ndërmarrje </w:t>
      </w:r>
      <w:r w:rsidR="002D06AB">
        <w:rPr>
          <w:lang w:val="sq-AL"/>
        </w:rPr>
        <w:t>tregon</w:t>
      </w:r>
      <w:r w:rsidR="002D06AB" w:rsidRPr="00E35625">
        <w:rPr>
          <w:lang w:val="sq-AL"/>
        </w:rPr>
        <w:t xml:space="preserve"> </w:t>
      </w:r>
      <w:r w:rsidR="002E5360" w:rsidRPr="00E35625">
        <w:rPr>
          <w:lang w:val="sq-AL"/>
        </w:rPr>
        <w:t>mundësi të kufizuara për zhvillimin e aftësive dhe të nxënit gjatë gjithë jetës të fuqisë punëtore dhe pengo</w:t>
      </w:r>
      <w:r w:rsidR="002D06AB">
        <w:rPr>
          <w:lang w:val="sq-AL"/>
        </w:rPr>
        <w:t>n</w:t>
      </w:r>
      <w:r w:rsidR="002E5360" w:rsidRPr="00E35625">
        <w:rPr>
          <w:lang w:val="sq-AL"/>
        </w:rPr>
        <w:t xml:space="preserve"> rritjen e produktivitetit të ndërmarrjeve.</w:t>
      </w:r>
    </w:p>
    <w:p w14:paraId="7CCE27B3" w14:textId="15260C4C" w:rsidR="00CF2632" w:rsidRPr="00E35625" w:rsidRDefault="00CF2632" w:rsidP="00E14B65">
      <w:pPr>
        <w:rPr>
          <w:lang w:val="sq-AL"/>
        </w:rPr>
      </w:pPr>
      <w:r>
        <w:rPr>
          <w:lang w:val="sq-AL"/>
        </w:rPr>
        <w:t>Gjithashtu, edhe oferta publike e private e formimit profesional dhe trajnimeve afatshkurtra duhet t’u përgjigjet më mirë nevojave të tregut të punës (Banka Botërore, 2018).</w:t>
      </w:r>
    </w:p>
    <w:p w14:paraId="426E9FB9" w14:textId="763885C1" w:rsidR="002E5360" w:rsidRPr="00E35625" w:rsidRDefault="002E5360" w:rsidP="00E14B65">
      <w:pPr>
        <w:rPr>
          <w:lang w:val="sq-AL"/>
        </w:rPr>
      </w:pPr>
      <w:r w:rsidRPr="00E35625">
        <w:rPr>
          <w:lang w:val="sq-AL"/>
        </w:rPr>
        <w:t>Për të adresuar kufizimet që lidhen me aftësitë, duhet të rritet cilësia, sasia dhe rëndësia e ofertës së arsimit dhe formimit</w:t>
      </w:r>
      <w:r w:rsidR="00A61BD9" w:rsidRPr="00E35625">
        <w:rPr>
          <w:lang w:val="sq-AL"/>
        </w:rPr>
        <w:t xml:space="preserve"> profes</w:t>
      </w:r>
      <w:r w:rsidR="00AE771B">
        <w:rPr>
          <w:lang w:val="sq-AL"/>
        </w:rPr>
        <w:t>i</w:t>
      </w:r>
      <w:r w:rsidR="00A61BD9" w:rsidRPr="00E35625">
        <w:rPr>
          <w:lang w:val="sq-AL"/>
        </w:rPr>
        <w:t>onal</w:t>
      </w:r>
      <w:r w:rsidRPr="00E35625">
        <w:rPr>
          <w:lang w:val="sq-AL"/>
        </w:rPr>
        <w:t xml:space="preserve">, të krijohet gradualisht një kulturë e re e të nxënit gjatë gjithë jetës për t'i </w:t>
      </w:r>
      <w:r w:rsidR="00A31802" w:rsidRPr="00E35625">
        <w:rPr>
          <w:lang w:val="sq-AL"/>
        </w:rPr>
        <w:t xml:space="preserve">dhënë mundësi </w:t>
      </w:r>
      <w:r w:rsidRPr="00E35625">
        <w:rPr>
          <w:lang w:val="sq-AL"/>
        </w:rPr>
        <w:t xml:space="preserve">fuqisë punëtore të përmirësojë vazhdimisht aftësitë dhe, paralelisht, të garantohet një sistem i arsimit dhe formimit profesional fleksibël dhe gjithëpërfshirës, në mënyrë që të ofrojë zgjidhje të shpejta për trajnime efektive dhe afatshkurtra, duke iu përgjigjur nevojës urgjente për aftësi të reja dhe </w:t>
      </w:r>
      <w:r w:rsidRPr="00E35625">
        <w:rPr>
          <w:color w:val="000000" w:themeColor="text1"/>
          <w:lang w:val="sq-AL"/>
        </w:rPr>
        <w:t>përmirësimi</w:t>
      </w:r>
      <w:r w:rsidR="002D06AB">
        <w:rPr>
          <w:color w:val="000000" w:themeColor="text1"/>
          <w:lang w:val="sq-AL"/>
        </w:rPr>
        <w:t>t</w:t>
      </w:r>
      <w:r w:rsidRPr="00E35625">
        <w:rPr>
          <w:color w:val="000000" w:themeColor="text1"/>
          <w:lang w:val="sq-AL"/>
        </w:rPr>
        <w:t xml:space="preserve"> </w:t>
      </w:r>
      <w:r w:rsidR="002D06AB">
        <w:rPr>
          <w:color w:val="000000" w:themeColor="text1"/>
          <w:lang w:val="sq-AL"/>
        </w:rPr>
        <w:t>të</w:t>
      </w:r>
      <w:r w:rsidRPr="00E35625">
        <w:rPr>
          <w:color w:val="000000" w:themeColor="text1"/>
          <w:lang w:val="sq-AL"/>
        </w:rPr>
        <w:t xml:space="preserve"> aftësive të fuqisë punëtore </w:t>
      </w:r>
      <w:r w:rsidR="002D06AB">
        <w:rPr>
          <w:color w:val="000000" w:themeColor="text1"/>
          <w:lang w:val="sq-AL"/>
        </w:rPr>
        <w:t>ekzistuese</w:t>
      </w:r>
      <w:r w:rsidRPr="00E35625">
        <w:rPr>
          <w:rStyle w:val="FootnoteReference"/>
          <w:rFonts w:ascii="Calibri" w:hAnsi="Calibri" w:cs="Calibri"/>
          <w:color w:val="000000" w:themeColor="text1"/>
          <w:lang w:val="sq-AL"/>
        </w:rPr>
        <w:footnoteReference w:id="13"/>
      </w:r>
      <w:r w:rsidRPr="00E35625">
        <w:rPr>
          <w:color w:val="000000" w:themeColor="text1"/>
          <w:lang w:val="sq-AL"/>
        </w:rPr>
        <w:t>.</w:t>
      </w:r>
    </w:p>
    <w:p w14:paraId="28F25BAB" w14:textId="689C7F04" w:rsidR="002E5360" w:rsidRPr="00E35625" w:rsidRDefault="002E5360" w:rsidP="00E14B65">
      <w:pPr>
        <w:rPr>
          <w:lang w:val="sq-AL"/>
        </w:rPr>
      </w:pPr>
      <w:r w:rsidRPr="00E35625">
        <w:rPr>
          <w:lang w:val="sq-AL"/>
        </w:rPr>
        <w:t>Në sistemin e arsimit dhe formimit profesional janë ndërmarrë një sërë refo</w:t>
      </w:r>
      <w:r w:rsidR="003A0365" w:rsidRPr="00E35625">
        <w:rPr>
          <w:lang w:val="sq-AL"/>
        </w:rPr>
        <w:t>r</w:t>
      </w:r>
      <w:r w:rsidRPr="00E35625">
        <w:rPr>
          <w:lang w:val="sq-AL"/>
        </w:rPr>
        <w:t xml:space="preserve">mash, qoftë në kuadrin ligjor, qoftë në zhvillimin e politikave me qëllim garantimin e një sistemi </w:t>
      </w:r>
      <w:r w:rsidR="002D06AB">
        <w:rPr>
          <w:lang w:val="sq-AL"/>
        </w:rPr>
        <w:t>të përshtatshëm</w:t>
      </w:r>
      <w:r w:rsidR="002D06AB" w:rsidRPr="00E35625">
        <w:rPr>
          <w:lang w:val="sq-AL"/>
        </w:rPr>
        <w:t xml:space="preserve"> </w:t>
      </w:r>
      <w:r w:rsidRPr="00E35625">
        <w:rPr>
          <w:lang w:val="sq-AL"/>
        </w:rPr>
        <w:t>që ofron mundësi për zhvillimin e aftësive të duhura. Disa nga nismat e ndërmarra</w:t>
      </w:r>
      <w:r w:rsidR="00B62FFC" w:rsidRPr="00E35625">
        <w:rPr>
          <w:lang w:val="sq-AL"/>
        </w:rPr>
        <w:t xml:space="preserve"> për </w:t>
      </w:r>
      <w:r w:rsidRPr="00E35625">
        <w:rPr>
          <w:lang w:val="sq-AL"/>
        </w:rPr>
        <w:t xml:space="preserve">miratimin, zhvillimin dhe zbatimin e Kornizës Shqiptare të Kualifikimeve, zhvillimin e kornizës së garantimit të cilësisë dhe </w:t>
      </w:r>
      <w:r w:rsidR="002D06AB">
        <w:rPr>
          <w:lang w:val="sq-AL"/>
        </w:rPr>
        <w:t>lidhjen</w:t>
      </w:r>
      <w:r w:rsidR="002D06AB" w:rsidRPr="00E35625">
        <w:rPr>
          <w:lang w:val="sq-AL"/>
        </w:rPr>
        <w:t xml:space="preserve"> </w:t>
      </w:r>
      <w:r w:rsidRPr="00E35625">
        <w:rPr>
          <w:lang w:val="sq-AL"/>
        </w:rPr>
        <w:t xml:space="preserve">e Kornizës Shqiptare të Kualifikimeve me Kornizën </w:t>
      </w:r>
      <w:r w:rsidR="006815D8">
        <w:rPr>
          <w:lang w:val="sq-AL"/>
        </w:rPr>
        <w:t>Evropiane</w:t>
      </w:r>
      <w:r w:rsidRPr="00E35625">
        <w:rPr>
          <w:lang w:val="sq-AL"/>
        </w:rPr>
        <w:t xml:space="preserve"> të Kualifikimeve</w:t>
      </w:r>
      <w:r w:rsidRPr="00E35625">
        <w:rPr>
          <w:rStyle w:val="FootnoteReference"/>
          <w:rFonts w:ascii="Calibri" w:hAnsi="Calibri" w:cs="Calibri"/>
          <w:lang w:val="sq-AL"/>
        </w:rPr>
        <w:footnoteReference w:id="14"/>
      </w:r>
      <w:r w:rsidRPr="00E35625">
        <w:rPr>
          <w:lang w:val="sq-AL"/>
        </w:rPr>
        <w:t xml:space="preserve"> synojnë rritjen e cilësisë së ofertës për aftësi për tregun e punës në Shqipëri, por </w:t>
      </w:r>
      <w:r w:rsidR="00A61BD9" w:rsidRPr="00E35625">
        <w:rPr>
          <w:lang w:val="sq-AL"/>
        </w:rPr>
        <w:t>edhe rritjen e</w:t>
      </w:r>
      <w:r w:rsidRPr="00E35625">
        <w:rPr>
          <w:lang w:val="sq-AL"/>
        </w:rPr>
        <w:t xml:space="preserve"> mobiliteti</w:t>
      </w:r>
      <w:r w:rsidR="00A61BD9" w:rsidRPr="00E35625">
        <w:rPr>
          <w:lang w:val="sq-AL"/>
        </w:rPr>
        <w:t>t</w:t>
      </w:r>
      <w:r w:rsidRPr="00E35625">
        <w:rPr>
          <w:lang w:val="sq-AL"/>
        </w:rPr>
        <w:t xml:space="preserve"> </w:t>
      </w:r>
      <w:r w:rsidR="00A61BD9" w:rsidRPr="00E35625">
        <w:rPr>
          <w:lang w:val="sq-AL"/>
        </w:rPr>
        <w:t>të</w:t>
      </w:r>
      <w:r w:rsidRPr="00E35625">
        <w:rPr>
          <w:lang w:val="sq-AL"/>
        </w:rPr>
        <w:t xml:space="preserve"> fuqisë punëtore me </w:t>
      </w:r>
      <w:r w:rsidR="00294E61">
        <w:rPr>
          <w:lang w:val="sq-AL"/>
        </w:rPr>
        <w:t>mes Shqipërisë dhe vendeve të tjera</w:t>
      </w:r>
      <w:r w:rsidRPr="00E35625">
        <w:rPr>
          <w:lang w:val="sq-AL"/>
        </w:rPr>
        <w:t xml:space="preserve">. </w:t>
      </w:r>
    </w:p>
    <w:p w14:paraId="2335FE19" w14:textId="176AF5E6" w:rsidR="002E5360" w:rsidRDefault="002D06AB" w:rsidP="00E14B65">
      <w:pPr>
        <w:rPr>
          <w:lang w:val="sq-AL"/>
        </w:rPr>
      </w:pPr>
      <w:r>
        <w:rPr>
          <w:lang w:val="sq-AL"/>
        </w:rPr>
        <w:lastRenderedPageBreak/>
        <w:t>S</w:t>
      </w:r>
      <w:r w:rsidR="002E5360" w:rsidRPr="00E35625">
        <w:rPr>
          <w:lang w:val="sq-AL"/>
        </w:rPr>
        <w:t xml:space="preserve">istemi i AFP-së ka nevojë për përfshirje më të madhe të sektorit privat në përmbajtjen dhe qeverisjen e ofrimit të arsimit dhe formimit profesional, si dhe drejtpërdrejt në ofrimin e të nxënit </w:t>
      </w:r>
      <w:r w:rsidR="00926955" w:rsidRPr="00926955">
        <w:rPr>
          <w:lang w:val="sq-AL"/>
        </w:rPr>
        <w:t>të bazuar në punë</w:t>
      </w:r>
      <w:r w:rsidR="002E5360" w:rsidRPr="00E35625">
        <w:rPr>
          <w:lang w:val="sq-AL"/>
        </w:rPr>
        <w:t>. Përveç krijimit të një sistemi për monitorimin dhe parashikimin e nevojave për aftësi (</w:t>
      </w:r>
      <w:r w:rsidR="002E5360" w:rsidRPr="00E35625">
        <w:rPr>
          <w:color w:val="000000" w:themeColor="text1"/>
          <w:lang w:val="sq-AL"/>
        </w:rPr>
        <w:t>sistemi i inteligjencës së aftësive</w:t>
      </w:r>
      <w:r w:rsidR="002E5360" w:rsidRPr="00E35625">
        <w:rPr>
          <w:lang w:val="sq-AL"/>
        </w:rPr>
        <w:t xml:space="preserve">) </w:t>
      </w:r>
      <w:r w:rsidR="002E5360" w:rsidRPr="00E35625">
        <w:rPr>
          <w:color w:val="000000" w:themeColor="text1"/>
          <w:lang w:val="sq-AL"/>
        </w:rPr>
        <w:t>dhe di</w:t>
      </w:r>
      <w:r w:rsidR="00B62FFC" w:rsidRPr="00E35625">
        <w:rPr>
          <w:color w:val="000000" w:themeColor="text1"/>
          <w:lang w:val="sq-AL"/>
        </w:rPr>
        <w:t>gj</w:t>
      </w:r>
      <w:r w:rsidR="002E5360" w:rsidRPr="00E35625">
        <w:rPr>
          <w:color w:val="000000" w:themeColor="text1"/>
          <w:lang w:val="sq-AL"/>
        </w:rPr>
        <w:t>italizimit të ofrimit të AFP-së,</w:t>
      </w:r>
      <w:r w:rsidR="002E5360" w:rsidRPr="00E35625">
        <w:rPr>
          <w:lang w:val="sq-AL"/>
        </w:rPr>
        <w:t xml:space="preserve"> sistemi i AFP-së ka nevojë për </w:t>
      </w:r>
      <w:r>
        <w:rPr>
          <w:lang w:val="sq-AL"/>
        </w:rPr>
        <w:t>mbështetje</w:t>
      </w:r>
      <w:r w:rsidR="002E5360" w:rsidRPr="00E35625">
        <w:rPr>
          <w:lang w:val="sq-AL"/>
        </w:rPr>
        <w:t xml:space="preserve"> financiare, si nëpërmjet zgjidhjeve inovative dhe diversifikimit të burimeve financiare, ashtu edhe nëpërmjet rishikimit të mekanizmave të alokimit buxhetor për të adresuar mungesat </w:t>
      </w:r>
      <w:r>
        <w:rPr>
          <w:lang w:val="sq-AL"/>
        </w:rPr>
        <w:t>në infrastrukturë</w:t>
      </w:r>
      <w:r w:rsidR="002E5360" w:rsidRPr="00E35625">
        <w:rPr>
          <w:lang w:val="sq-AL"/>
        </w:rPr>
        <w:t>, përdorimin e teknologjive moderne dhe futjen e metodave inovative në mësimdhënie dhe mësimnxënie. Në këtë mënyrë</w:t>
      </w:r>
      <w:r>
        <w:rPr>
          <w:lang w:val="sq-AL"/>
        </w:rPr>
        <w:t>,</w:t>
      </w:r>
      <w:r w:rsidR="002E5360" w:rsidRPr="00E35625">
        <w:rPr>
          <w:lang w:val="sq-AL"/>
        </w:rPr>
        <w:t xml:space="preserve"> do të rritej interesi për ofertën e AFP-së jo vetëm për përfituesit, por edhe për familjet e tyre dhe grupet e tjera të interesit, </w:t>
      </w:r>
      <w:r>
        <w:rPr>
          <w:lang w:val="sq-AL"/>
        </w:rPr>
        <w:t>përfshirë</w:t>
      </w:r>
      <w:r w:rsidR="002E5360" w:rsidRPr="00E35625">
        <w:rPr>
          <w:lang w:val="sq-AL"/>
        </w:rPr>
        <w:t xml:space="preserve"> punëdhënësit</w:t>
      </w:r>
      <w:r w:rsidR="002E5360" w:rsidRPr="00E35625">
        <w:rPr>
          <w:rStyle w:val="FootnoteReference"/>
          <w:rFonts w:ascii="Calibri" w:hAnsi="Calibri" w:cs="Calibri"/>
          <w:lang w:val="sq-AL"/>
        </w:rPr>
        <w:footnoteReference w:id="15"/>
      </w:r>
      <w:r w:rsidR="002E5360" w:rsidRPr="00E35625">
        <w:rPr>
          <w:lang w:val="sq-AL"/>
        </w:rPr>
        <w:t xml:space="preserve">. </w:t>
      </w:r>
    </w:p>
    <w:p w14:paraId="676A7B2B" w14:textId="590C367F" w:rsidR="002E5360" w:rsidRPr="00E35625" w:rsidRDefault="002E5360" w:rsidP="00E14B65">
      <w:pPr>
        <w:rPr>
          <w:lang w:val="sq-AL"/>
        </w:rPr>
      </w:pPr>
      <w:r w:rsidRPr="00E35625">
        <w:rPr>
          <w:lang w:val="sq-AL"/>
        </w:rPr>
        <w:t xml:space="preserve">Së fundi, sistemi i AFP-së kërkon investime të vazhdueshme </w:t>
      </w:r>
      <w:r w:rsidR="00026475">
        <w:rPr>
          <w:lang w:val="sq-AL"/>
        </w:rPr>
        <w:t>p</w:t>
      </w:r>
      <w:r w:rsidRPr="00E35625">
        <w:rPr>
          <w:lang w:val="sq-AL"/>
        </w:rPr>
        <w:t>ë</w:t>
      </w:r>
      <w:r w:rsidR="00026475">
        <w:rPr>
          <w:lang w:val="sq-AL"/>
        </w:rPr>
        <w:t>r</w:t>
      </w:r>
      <w:r w:rsidRPr="00E35625">
        <w:rPr>
          <w:lang w:val="sq-AL"/>
        </w:rPr>
        <w:t xml:space="preserve"> </w:t>
      </w:r>
      <w:r w:rsidR="00026475">
        <w:rPr>
          <w:lang w:val="sq-AL"/>
        </w:rPr>
        <w:t>zhvillimin</w:t>
      </w:r>
      <w:r w:rsidR="002D06AB" w:rsidRPr="00E35625">
        <w:rPr>
          <w:lang w:val="sq-AL"/>
        </w:rPr>
        <w:t xml:space="preserve"> </w:t>
      </w:r>
      <w:r w:rsidRPr="00E35625">
        <w:rPr>
          <w:lang w:val="sq-AL"/>
        </w:rPr>
        <w:t xml:space="preserve">e kualifikimeve profesionale, </w:t>
      </w:r>
      <w:r w:rsidR="00124BA8" w:rsidRPr="00E35625">
        <w:rPr>
          <w:lang w:val="sq-AL"/>
        </w:rPr>
        <w:t xml:space="preserve">sigurimin e cilësisë, </w:t>
      </w:r>
      <w:r w:rsidRPr="00E35625">
        <w:rPr>
          <w:lang w:val="sq-AL"/>
        </w:rPr>
        <w:t xml:space="preserve">si dhe njohjen e të nxënit të mëparshëm, për të rritur cilësinë dhe mundësitë e të nxënit gjatë gjithë jetës, si dhe për të forcuar ofertën e AFP-së pas </w:t>
      </w:r>
      <w:r w:rsidR="002D06AB">
        <w:rPr>
          <w:lang w:val="sq-AL"/>
        </w:rPr>
        <w:t>shkollës</w:t>
      </w:r>
      <w:r w:rsidR="002D06AB" w:rsidRPr="00E35625">
        <w:rPr>
          <w:lang w:val="sq-AL"/>
        </w:rPr>
        <w:t xml:space="preserve"> </w:t>
      </w:r>
      <w:r w:rsidR="002D06AB">
        <w:rPr>
          <w:lang w:val="sq-AL"/>
        </w:rPr>
        <w:t xml:space="preserve">së </w:t>
      </w:r>
      <w:r w:rsidRPr="00E35625">
        <w:rPr>
          <w:lang w:val="sq-AL"/>
        </w:rPr>
        <w:t>mesme, për të adresuar nevojat për aftësi.</w:t>
      </w:r>
      <w:r w:rsidR="00DA1F76">
        <w:rPr>
          <w:lang w:val="sq-AL"/>
        </w:rPr>
        <w:t>P</w:t>
      </w:r>
      <w:r w:rsidRPr="00E35625">
        <w:rPr>
          <w:lang w:val="sq-AL"/>
        </w:rPr>
        <w:t xml:space="preserve">ër të rritur mundësitë e të nxënit gjatë gjithë jetës, është e nevojshme të reformohet oferta e formimit profesional nëpërmjet angazhimit të ofruesve privatë, si pjesë e ekosistemit për ofrimin shërbimeve për të rriturit, përfshirë trajtimin e tranzicionit të dyfishtë (aftësitë e gjelbra dhe </w:t>
      </w:r>
      <w:r w:rsidR="00B62FFC" w:rsidRPr="00E35625">
        <w:rPr>
          <w:lang w:val="sq-AL"/>
        </w:rPr>
        <w:t>digjitale</w:t>
      </w:r>
      <w:r w:rsidRPr="00E35625">
        <w:rPr>
          <w:lang w:val="sq-AL"/>
        </w:rPr>
        <w:t>). Për më tepër duhen eksploruar alternativa të ndryshme për të nxitur ndërmarrjet private ose fuqinë punëtore për të investuar në trajnime dhe në zhvillimin e aftësive. Kjo qasje mund të pilotohet në sektorë me rritje të shpejtë</w:t>
      </w:r>
      <w:r w:rsidR="00152B7C">
        <w:rPr>
          <w:lang w:val="sq-AL"/>
        </w:rPr>
        <w:t xml:space="preserve">, siç janë; sektori i  turizmit, agropërpunimi apo teknologjia e informacionit dhe komunikimit, </w:t>
      </w:r>
      <w:r w:rsidRPr="00E35625">
        <w:rPr>
          <w:lang w:val="sq-AL"/>
        </w:rPr>
        <w:t>përpara se të zgjerohet</w:t>
      </w:r>
      <w:r w:rsidR="00DA1F76">
        <w:rPr>
          <w:lang w:val="sq-AL"/>
        </w:rPr>
        <w:t xml:space="preserve"> në sektorë të tjerë</w:t>
      </w:r>
      <w:r w:rsidRPr="00E35625">
        <w:rPr>
          <w:lang w:val="sq-AL"/>
        </w:rPr>
        <w:t>.</w:t>
      </w:r>
    </w:p>
    <w:p w14:paraId="64B77B00" w14:textId="40AD8FD5" w:rsidR="002E5360" w:rsidRPr="00E35625" w:rsidRDefault="008E5034" w:rsidP="008E5034">
      <w:pPr>
        <w:pStyle w:val="Default"/>
        <w:spacing w:afterLines="120" w:after="288" w:line="276" w:lineRule="auto"/>
        <w:jc w:val="both"/>
        <w:rPr>
          <w:rFonts w:ascii="Calibri" w:hAnsi="Calibri" w:cs="Calibri"/>
          <w:color w:val="auto"/>
          <w:sz w:val="22"/>
          <w:lang w:val="sq-AL"/>
        </w:rPr>
      </w:pPr>
      <w:r>
        <w:rPr>
          <w:rFonts w:ascii="Calibri" w:hAnsi="Calibri" w:cs="Calibri"/>
          <w:color w:val="auto"/>
          <w:sz w:val="22"/>
          <w:lang w:val="sq-AL"/>
        </w:rPr>
        <w:t>Orientimi kryesor për zhvillimin e politikave të sektorit në Shqipëri bazohet në d</w:t>
      </w:r>
      <w:r w:rsidR="002E5360" w:rsidRPr="00E35625">
        <w:rPr>
          <w:rFonts w:ascii="Calibri" w:hAnsi="Calibri" w:cs="Calibri"/>
          <w:color w:val="auto"/>
          <w:sz w:val="22"/>
          <w:lang w:val="sq-AL"/>
        </w:rPr>
        <w:t xml:space="preserve">rejtimet kryesore </w:t>
      </w:r>
      <w:r w:rsidR="00983D9B">
        <w:rPr>
          <w:rFonts w:ascii="Calibri" w:hAnsi="Calibri" w:cs="Calibri"/>
          <w:color w:val="auto"/>
          <w:sz w:val="22"/>
          <w:lang w:val="sq-AL"/>
        </w:rPr>
        <w:t>të</w:t>
      </w:r>
      <w:r w:rsidR="00983D9B" w:rsidRPr="00E35625">
        <w:rPr>
          <w:rFonts w:ascii="Calibri" w:hAnsi="Calibri" w:cs="Calibri"/>
          <w:color w:val="auto"/>
          <w:sz w:val="22"/>
          <w:lang w:val="sq-AL"/>
        </w:rPr>
        <w:t xml:space="preserve"> </w:t>
      </w:r>
      <w:r w:rsidR="002E5360" w:rsidRPr="00E35625">
        <w:rPr>
          <w:rFonts w:ascii="Calibri" w:hAnsi="Calibri" w:cs="Calibri"/>
          <w:color w:val="auto"/>
          <w:sz w:val="22"/>
          <w:lang w:val="sq-AL"/>
        </w:rPr>
        <w:t>kuadri</w:t>
      </w:r>
      <w:r w:rsidR="00983D9B">
        <w:rPr>
          <w:rFonts w:ascii="Calibri" w:hAnsi="Calibri" w:cs="Calibri"/>
          <w:color w:val="auto"/>
          <w:sz w:val="22"/>
          <w:lang w:val="sq-AL"/>
        </w:rPr>
        <w:t>t</w:t>
      </w:r>
      <w:r w:rsidR="002E5360" w:rsidRPr="00E35625">
        <w:rPr>
          <w:rFonts w:ascii="Calibri" w:hAnsi="Calibri" w:cs="Calibri"/>
          <w:color w:val="auto"/>
          <w:sz w:val="22"/>
          <w:lang w:val="sq-AL"/>
        </w:rPr>
        <w:t xml:space="preserve"> </w:t>
      </w:r>
      <w:r w:rsidR="00983D9B">
        <w:rPr>
          <w:rFonts w:ascii="Calibri" w:hAnsi="Calibri" w:cs="Calibri"/>
          <w:color w:val="auto"/>
          <w:sz w:val="22"/>
          <w:lang w:val="sq-AL"/>
        </w:rPr>
        <w:t>të</w:t>
      </w:r>
      <w:r w:rsidR="002E5360" w:rsidRPr="00E35625">
        <w:rPr>
          <w:rFonts w:ascii="Calibri" w:hAnsi="Calibri" w:cs="Calibri"/>
          <w:color w:val="auto"/>
          <w:sz w:val="22"/>
          <w:lang w:val="sq-AL"/>
        </w:rPr>
        <w:t xml:space="preserve"> politikës së punësimit</w:t>
      </w:r>
      <w:r w:rsidR="006815D8">
        <w:rPr>
          <w:rFonts w:ascii="Calibri" w:hAnsi="Calibri" w:cs="Calibri"/>
          <w:color w:val="auto"/>
          <w:sz w:val="22"/>
          <w:lang w:val="sq-AL"/>
        </w:rPr>
        <w:t xml:space="preserve"> </w:t>
      </w:r>
      <w:r w:rsidR="00D87F9C">
        <w:rPr>
          <w:rFonts w:ascii="Calibri" w:hAnsi="Calibri" w:cs="Calibri"/>
          <w:color w:val="auto"/>
          <w:sz w:val="22"/>
          <w:lang w:val="sq-AL"/>
        </w:rPr>
        <w:t>dhe arsimit e formimit</w:t>
      </w:r>
      <w:r w:rsidR="002E5360" w:rsidRPr="00E35625">
        <w:rPr>
          <w:rFonts w:ascii="Calibri" w:hAnsi="Calibri" w:cs="Calibri"/>
          <w:color w:val="auto"/>
          <w:sz w:val="22"/>
          <w:lang w:val="sq-AL"/>
        </w:rPr>
        <w:t xml:space="preserve"> të BE-së</w:t>
      </w:r>
      <w:r>
        <w:rPr>
          <w:rFonts w:ascii="Calibri" w:hAnsi="Calibri" w:cs="Calibri"/>
          <w:color w:val="auto"/>
          <w:sz w:val="22"/>
          <w:lang w:val="sq-AL"/>
        </w:rPr>
        <w:t xml:space="preserve">, të </w:t>
      </w:r>
      <w:r w:rsidR="002E5360" w:rsidRPr="00E35625">
        <w:rPr>
          <w:rFonts w:ascii="Calibri" w:hAnsi="Calibri" w:cs="Calibri"/>
          <w:color w:val="auto"/>
          <w:sz w:val="22"/>
          <w:lang w:val="sq-AL"/>
        </w:rPr>
        <w:t>përcaktuar</w:t>
      </w:r>
      <w:r w:rsidR="00CF2632">
        <w:rPr>
          <w:rFonts w:ascii="Calibri" w:hAnsi="Calibri" w:cs="Calibri"/>
          <w:color w:val="auto"/>
          <w:sz w:val="22"/>
          <w:lang w:val="sq-AL"/>
        </w:rPr>
        <w:t>a</w:t>
      </w:r>
      <w:r w:rsidR="002E5360" w:rsidRPr="00E35625">
        <w:rPr>
          <w:rFonts w:ascii="Calibri" w:hAnsi="Calibri" w:cs="Calibri"/>
          <w:color w:val="auto"/>
          <w:sz w:val="22"/>
          <w:lang w:val="sq-AL"/>
        </w:rPr>
        <w:t xml:space="preserve"> kryesisht në shtyllën </w:t>
      </w:r>
      <w:r w:rsidR="00A61BD9" w:rsidRPr="00E35625">
        <w:rPr>
          <w:rFonts w:ascii="Calibri" w:hAnsi="Calibri" w:cs="Calibri"/>
          <w:color w:val="auto"/>
          <w:sz w:val="22"/>
          <w:lang w:val="sq-AL"/>
        </w:rPr>
        <w:t>E</w:t>
      </w:r>
      <w:r>
        <w:rPr>
          <w:rFonts w:ascii="Calibri" w:hAnsi="Calibri" w:cs="Calibri"/>
          <w:color w:val="auto"/>
          <w:sz w:val="22"/>
          <w:lang w:val="sq-AL"/>
        </w:rPr>
        <w:t>v</w:t>
      </w:r>
      <w:r w:rsidR="00A61BD9" w:rsidRPr="00E35625">
        <w:rPr>
          <w:rFonts w:ascii="Calibri" w:hAnsi="Calibri" w:cs="Calibri"/>
          <w:color w:val="auto"/>
          <w:sz w:val="22"/>
          <w:lang w:val="sq-AL"/>
        </w:rPr>
        <w:t>ropian</w:t>
      </w:r>
      <w:r w:rsidR="002E5360" w:rsidRPr="00E35625">
        <w:rPr>
          <w:rFonts w:ascii="Calibri" w:hAnsi="Calibri" w:cs="Calibri"/>
          <w:color w:val="auto"/>
          <w:sz w:val="22"/>
          <w:lang w:val="sq-AL"/>
        </w:rPr>
        <w:t xml:space="preserve">e </w:t>
      </w:r>
      <w:r w:rsidR="00A61BD9" w:rsidRPr="00E35625">
        <w:rPr>
          <w:rFonts w:ascii="Calibri" w:hAnsi="Calibri" w:cs="Calibri"/>
          <w:color w:val="auto"/>
          <w:sz w:val="22"/>
          <w:lang w:val="sq-AL"/>
        </w:rPr>
        <w:t>të</w:t>
      </w:r>
      <w:r w:rsidR="002E5360" w:rsidRPr="00E35625">
        <w:rPr>
          <w:rFonts w:ascii="Calibri" w:hAnsi="Calibri" w:cs="Calibri"/>
          <w:color w:val="auto"/>
          <w:sz w:val="22"/>
          <w:lang w:val="sq-AL"/>
        </w:rPr>
        <w:t xml:space="preserve"> të Drejtave Sociale. Parimi i parë i </w:t>
      </w:r>
      <w:r w:rsidR="006815D8">
        <w:rPr>
          <w:rFonts w:ascii="Calibri" w:hAnsi="Calibri" w:cs="Calibri"/>
          <w:color w:val="auto"/>
          <w:sz w:val="22"/>
          <w:lang w:val="sq-AL"/>
        </w:rPr>
        <w:t>S</w:t>
      </w:r>
      <w:r w:rsidR="002E5360" w:rsidRPr="00E35625">
        <w:rPr>
          <w:rFonts w:ascii="Calibri" w:hAnsi="Calibri" w:cs="Calibri"/>
          <w:color w:val="auto"/>
          <w:sz w:val="22"/>
          <w:lang w:val="sq-AL"/>
        </w:rPr>
        <w:t xml:space="preserve">htyllës </w:t>
      </w:r>
      <w:r w:rsidR="00A61BD9" w:rsidRPr="00E35625">
        <w:rPr>
          <w:rFonts w:ascii="Calibri" w:hAnsi="Calibri" w:cs="Calibri"/>
          <w:color w:val="auto"/>
          <w:sz w:val="22"/>
          <w:lang w:val="sq-AL"/>
        </w:rPr>
        <w:t>E</w:t>
      </w:r>
      <w:r w:rsidR="006815D8">
        <w:rPr>
          <w:rFonts w:ascii="Calibri" w:hAnsi="Calibri" w:cs="Calibri"/>
          <w:color w:val="auto"/>
          <w:sz w:val="22"/>
          <w:lang w:val="sq-AL"/>
        </w:rPr>
        <w:t>v</w:t>
      </w:r>
      <w:r w:rsidR="00A61BD9" w:rsidRPr="00E35625">
        <w:rPr>
          <w:rFonts w:ascii="Calibri" w:hAnsi="Calibri" w:cs="Calibri"/>
          <w:color w:val="auto"/>
          <w:sz w:val="22"/>
          <w:lang w:val="sq-AL"/>
        </w:rPr>
        <w:t>ropian</w:t>
      </w:r>
      <w:r w:rsidR="002E5360" w:rsidRPr="00E35625">
        <w:rPr>
          <w:rFonts w:ascii="Calibri" w:hAnsi="Calibri" w:cs="Calibri"/>
          <w:color w:val="auto"/>
          <w:sz w:val="22"/>
          <w:lang w:val="sq-AL"/>
        </w:rPr>
        <w:t xml:space="preserve">e të të Drejtave Sociale </w:t>
      </w:r>
      <w:r w:rsidR="00A61BD9" w:rsidRPr="00E35625">
        <w:rPr>
          <w:rFonts w:ascii="Calibri" w:hAnsi="Calibri" w:cs="Calibri"/>
          <w:color w:val="auto"/>
          <w:sz w:val="22"/>
          <w:lang w:val="sq-AL"/>
        </w:rPr>
        <w:t>thekson</w:t>
      </w:r>
      <w:r w:rsidR="00D92E4A" w:rsidRPr="00E35625">
        <w:rPr>
          <w:rFonts w:ascii="Calibri" w:hAnsi="Calibri" w:cs="Calibri"/>
          <w:color w:val="auto"/>
          <w:sz w:val="22"/>
          <w:lang w:val="sq-AL"/>
        </w:rPr>
        <w:t xml:space="preserve"> të drejtën e çdo </w:t>
      </w:r>
      <w:r w:rsidR="002E5360" w:rsidRPr="00E35625">
        <w:rPr>
          <w:rFonts w:ascii="Calibri" w:hAnsi="Calibri" w:cs="Calibri"/>
          <w:color w:val="auto"/>
          <w:sz w:val="22"/>
          <w:lang w:val="sq-AL"/>
        </w:rPr>
        <w:t xml:space="preserve"> </w:t>
      </w:r>
      <w:r w:rsidR="00D92E4A" w:rsidRPr="00E35625">
        <w:rPr>
          <w:rFonts w:ascii="Calibri" w:hAnsi="Calibri" w:cs="Calibri"/>
          <w:color w:val="auto"/>
          <w:sz w:val="22"/>
          <w:lang w:val="sq-AL"/>
        </w:rPr>
        <w:t>qytetari</w:t>
      </w:r>
      <w:r w:rsidR="002E5360" w:rsidRPr="00E35625">
        <w:rPr>
          <w:rFonts w:ascii="Calibri" w:hAnsi="Calibri" w:cs="Calibri"/>
          <w:color w:val="auto"/>
          <w:sz w:val="22"/>
          <w:lang w:val="sq-AL"/>
        </w:rPr>
        <w:t xml:space="preserve"> </w:t>
      </w:r>
      <w:r w:rsidR="00D92E4A" w:rsidRPr="00E35625">
        <w:rPr>
          <w:rFonts w:ascii="Calibri" w:hAnsi="Calibri" w:cs="Calibri"/>
          <w:color w:val="auto"/>
          <w:sz w:val="22"/>
          <w:lang w:val="sq-AL"/>
        </w:rPr>
        <w:t>të</w:t>
      </w:r>
      <w:r w:rsidR="002E5360" w:rsidRPr="00E35625">
        <w:rPr>
          <w:rFonts w:ascii="Calibri" w:hAnsi="Calibri" w:cs="Calibri"/>
          <w:color w:val="auto"/>
          <w:sz w:val="22"/>
          <w:lang w:val="sq-AL"/>
        </w:rPr>
        <w:t xml:space="preserve"> BE</w:t>
      </w:r>
      <w:r w:rsidR="00D92E4A" w:rsidRPr="00E35625">
        <w:rPr>
          <w:rFonts w:ascii="Calibri" w:hAnsi="Calibri" w:cs="Calibri"/>
          <w:color w:val="auto"/>
          <w:sz w:val="22"/>
          <w:lang w:val="sq-AL"/>
        </w:rPr>
        <w:t>-së</w:t>
      </w:r>
      <w:r w:rsidR="002E5360" w:rsidRPr="00E35625">
        <w:rPr>
          <w:rFonts w:ascii="Calibri" w:hAnsi="Calibri" w:cs="Calibri"/>
          <w:color w:val="auto"/>
          <w:sz w:val="22"/>
          <w:lang w:val="sq-AL"/>
        </w:rPr>
        <w:t xml:space="preserve"> për arsim cilësor dhe gjithëpërfshirës, trajnim dhe mësim gjatë gjithë jetës, me qëllim </w:t>
      </w:r>
      <w:r w:rsidR="00D92E4A" w:rsidRPr="00E35625">
        <w:rPr>
          <w:rFonts w:ascii="Calibri" w:hAnsi="Calibri" w:cs="Calibri"/>
          <w:color w:val="auto"/>
          <w:sz w:val="22"/>
          <w:lang w:val="sq-AL"/>
        </w:rPr>
        <w:t>konsolidimin dhe zhvillimin e aftësive</w:t>
      </w:r>
      <w:r w:rsidR="002E5360" w:rsidRPr="00E35625">
        <w:rPr>
          <w:rFonts w:ascii="Calibri" w:hAnsi="Calibri" w:cs="Calibri"/>
          <w:color w:val="auto"/>
          <w:sz w:val="22"/>
          <w:lang w:val="sq-AL"/>
        </w:rPr>
        <w:t xml:space="preserve"> </w:t>
      </w:r>
      <w:r w:rsidR="00D92E4A" w:rsidRPr="00E35625">
        <w:rPr>
          <w:rFonts w:ascii="Calibri" w:hAnsi="Calibri" w:cs="Calibri"/>
          <w:color w:val="auto"/>
          <w:sz w:val="22"/>
          <w:lang w:val="sq-AL"/>
        </w:rPr>
        <w:t>për të marrë</w:t>
      </w:r>
      <w:r w:rsidR="002E5360" w:rsidRPr="00E35625">
        <w:rPr>
          <w:rFonts w:ascii="Calibri" w:hAnsi="Calibri" w:cs="Calibri"/>
          <w:color w:val="auto"/>
          <w:sz w:val="22"/>
          <w:lang w:val="sq-AL"/>
        </w:rPr>
        <w:t xml:space="preserve"> pjesë plotësisht në shoqëri dhe </w:t>
      </w:r>
      <w:r w:rsidR="00D92E4A" w:rsidRPr="00E35625">
        <w:rPr>
          <w:rFonts w:ascii="Calibri" w:hAnsi="Calibri" w:cs="Calibri"/>
          <w:color w:val="auto"/>
          <w:sz w:val="22"/>
          <w:lang w:val="sq-AL"/>
        </w:rPr>
        <w:t>për të menaxhuar</w:t>
      </w:r>
      <w:r w:rsidR="002E5360" w:rsidRPr="00E35625">
        <w:rPr>
          <w:rFonts w:ascii="Calibri" w:hAnsi="Calibri" w:cs="Calibri"/>
          <w:color w:val="auto"/>
          <w:sz w:val="22"/>
          <w:lang w:val="sq-AL"/>
        </w:rPr>
        <w:t xml:space="preserve"> </w:t>
      </w:r>
      <w:r w:rsidR="00D92E4A" w:rsidRPr="00E35625">
        <w:rPr>
          <w:rFonts w:ascii="Calibri" w:hAnsi="Calibri" w:cs="Calibri"/>
          <w:color w:val="auto"/>
          <w:sz w:val="22"/>
          <w:lang w:val="sq-AL"/>
        </w:rPr>
        <w:t xml:space="preserve">me </w:t>
      </w:r>
      <w:r w:rsidR="002E5360" w:rsidRPr="00E35625">
        <w:rPr>
          <w:rFonts w:ascii="Calibri" w:hAnsi="Calibri" w:cs="Calibri"/>
          <w:color w:val="auto"/>
          <w:sz w:val="22"/>
          <w:lang w:val="sq-AL"/>
        </w:rPr>
        <w:t xml:space="preserve">sukses tranzicionet në tregun e punës. Nisma kryesore e Komisionit </w:t>
      </w:r>
      <w:r w:rsidR="00EA27C3">
        <w:rPr>
          <w:rFonts w:ascii="Calibri" w:hAnsi="Calibri" w:cs="Calibri"/>
          <w:color w:val="auto"/>
          <w:sz w:val="22"/>
          <w:lang w:val="sq-AL"/>
        </w:rPr>
        <w:t>Evropian</w:t>
      </w:r>
      <w:r w:rsidR="00D87F9C">
        <w:rPr>
          <w:rFonts w:ascii="Calibri" w:hAnsi="Calibri" w:cs="Calibri"/>
          <w:color w:val="auto"/>
          <w:sz w:val="22"/>
          <w:lang w:val="sq-AL"/>
        </w:rPr>
        <w:t xml:space="preserve"> </w:t>
      </w:r>
      <w:r w:rsidR="002E5360" w:rsidRPr="00E35625">
        <w:rPr>
          <w:rFonts w:ascii="Calibri" w:hAnsi="Calibri" w:cs="Calibri"/>
          <w:color w:val="auto"/>
          <w:sz w:val="22"/>
          <w:lang w:val="sq-AL"/>
        </w:rPr>
        <w:t xml:space="preserve">për zbatimin e këtij parimi është Agjenda </w:t>
      </w:r>
      <w:r w:rsidR="00A61BD9" w:rsidRPr="00E35625">
        <w:rPr>
          <w:rFonts w:ascii="Calibri" w:hAnsi="Calibri" w:cs="Calibri"/>
          <w:color w:val="auto"/>
          <w:sz w:val="22"/>
          <w:lang w:val="sq-AL"/>
        </w:rPr>
        <w:t>E</w:t>
      </w:r>
      <w:r w:rsidR="006815D8">
        <w:rPr>
          <w:rFonts w:ascii="Calibri" w:hAnsi="Calibri" w:cs="Calibri"/>
          <w:color w:val="auto"/>
          <w:sz w:val="22"/>
          <w:lang w:val="sq-AL"/>
        </w:rPr>
        <w:t>v</w:t>
      </w:r>
      <w:r w:rsidR="00A61BD9" w:rsidRPr="00E35625">
        <w:rPr>
          <w:rFonts w:ascii="Calibri" w:hAnsi="Calibri" w:cs="Calibri"/>
          <w:color w:val="auto"/>
          <w:sz w:val="22"/>
          <w:lang w:val="sq-AL"/>
        </w:rPr>
        <w:t>ropian</w:t>
      </w:r>
      <w:r w:rsidR="002E5360" w:rsidRPr="00E35625">
        <w:rPr>
          <w:rFonts w:ascii="Calibri" w:hAnsi="Calibri" w:cs="Calibri"/>
          <w:color w:val="auto"/>
          <w:sz w:val="22"/>
          <w:lang w:val="sq-AL"/>
        </w:rPr>
        <w:t>e e Aftësive</w:t>
      </w:r>
      <w:r w:rsidR="00D92E4A" w:rsidRPr="00E35625">
        <w:rPr>
          <w:rFonts w:ascii="Calibri" w:hAnsi="Calibri" w:cs="Calibri"/>
          <w:color w:val="auto"/>
          <w:sz w:val="22"/>
          <w:lang w:val="sq-AL"/>
        </w:rPr>
        <w:t>,</w:t>
      </w:r>
      <w:r w:rsidR="002E5360" w:rsidRPr="00E35625">
        <w:rPr>
          <w:rFonts w:ascii="Calibri" w:hAnsi="Calibri" w:cs="Calibri"/>
          <w:color w:val="auto"/>
          <w:sz w:val="22"/>
          <w:lang w:val="sq-AL"/>
        </w:rPr>
        <w:t xml:space="preserve"> </w:t>
      </w:r>
      <w:r w:rsidR="006815D8">
        <w:rPr>
          <w:rFonts w:ascii="Calibri" w:hAnsi="Calibri" w:cs="Calibri"/>
          <w:color w:val="auto"/>
          <w:sz w:val="22"/>
          <w:lang w:val="sq-AL"/>
        </w:rPr>
        <w:t>në zbatimin e së cilës angazhohen si vendet anëtare të BE-së, ashtu edhe vendet kandidate nëpërmjet angazhimit në kuadër të Deklaratës së Osnabrück-ut.</w:t>
      </w:r>
      <w:r w:rsidR="00D87F9C">
        <w:rPr>
          <w:rStyle w:val="FootnoteReference"/>
          <w:rFonts w:ascii="Calibri" w:hAnsi="Calibri" w:cs="Calibri"/>
          <w:color w:val="auto"/>
          <w:sz w:val="22"/>
          <w:lang w:val="sq-AL"/>
        </w:rPr>
        <w:footnoteReference w:id="16"/>
      </w:r>
      <w:r w:rsidR="002E5360" w:rsidRPr="00E35625">
        <w:rPr>
          <w:rFonts w:ascii="Calibri" w:hAnsi="Calibri" w:cs="Calibri"/>
          <w:color w:val="auto"/>
          <w:sz w:val="22"/>
          <w:lang w:val="sq-AL"/>
        </w:rPr>
        <w:t xml:space="preserve"> </w:t>
      </w:r>
      <w:r w:rsidR="006815D8">
        <w:rPr>
          <w:rFonts w:ascii="Calibri" w:hAnsi="Calibri" w:cs="Calibri"/>
          <w:color w:val="auto"/>
          <w:sz w:val="22"/>
          <w:lang w:val="sq-AL"/>
        </w:rPr>
        <w:t xml:space="preserve">Agjenda Evropiane e Aftësive kërkon nga vendet zbatuese </w:t>
      </w:r>
      <w:r w:rsidR="002E5360" w:rsidRPr="00E35625">
        <w:rPr>
          <w:rFonts w:ascii="Calibri" w:hAnsi="Calibri" w:cs="Calibri"/>
          <w:color w:val="auto"/>
          <w:sz w:val="22"/>
          <w:lang w:val="sq-AL"/>
        </w:rPr>
        <w:t>që, nëpërmjet Paktit për Aftësitë, të forcojnë zhvillimin e inteligjencës së aftësive, të përmirësojnë më tej ofertën e AFP-së, si mundësi atraktive dhe me cilësi të lartë,</w:t>
      </w:r>
      <w:r w:rsidR="001242A1">
        <w:rPr>
          <w:rFonts w:ascii="Calibri" w:hAnsi="Calibri" w:cs="Calibri"/>
          <w:color w:val="auto"/>
          <w:sz w:val="22"/>
          <w:lang w:val="sq-AL"/>
        </w:rPr>
        <w:t xml:space="preserve"> të mbështesin zhvillimin e aftësive për</w:t>
      </w:r>
      <w:r w:rsidR="002E5360" w:rsidRPr="00E35625">
        <w:rPr>
          <w:rFonts w:ascii="Calibri" w:hAnsi="Calibri" w:cs="Calibri"/>
          <w:color w:val="auto"/>
          <w:sz w:val="22"/>
          <w:lang w:val="sq-AL"/>
        </w:rPr>
        <w:t xml:space="preserve"> tranzicionin e gjelbër dhe digjital, rritjen e ndjeshme të pjesëmarrjes së të rriturve në të nxënit formal, joformal dhe informal dhe eksplorimin e mundësive inovative (siç janë iniciativa për llogaritë individuale të të nxënit</w:t>
      </w:r>
      <w:r w:rsidR="00B62FFC" w:rsidRPr="00E35625">
        <w:rPr>
          <w:rFonts w:ascii="Calibri" w:hAnsi="Calibri" w:cs="Calibri"/>
          <w:color w:val="auto"/>
          <w:sz w:val="22"/>
          <w:lang w:val="sq-AL"/>
        </w:rPr>
        <w:t>, si</w:t>
      </w:r>
      <w:r w:rsidR="002E5360" w:rsidRPr="00E35625">
        <w:rPr>
          <w:rFonts w:ascii="Calibri" w:hAnsi="Calibri" w:cs="Calibri"/>
          <w:color w:val="auto"/>
          <w:sz w:val="22"/>
          <w:lang w:val="sq-AL"/>
        </w:rPr>
        <w:t xml:space="preserve"> dhe një qasja </w:t>
      </w:r>
      <w:r w:rsidR="00A61BD9" w:rsidRPr="00E35625">
        <w:rPr>
          <w:rFonts w:ascii="Calibri" w:hAnsi="Calibri" w:cs="Calibri"/>
          <w:color w:val="auto"/>
          <w:sz w:val="22"/>
          <w:lang w:val="sq-AL"/>
        </w:rPr>
        <w:t>Europian</w:t>
      </w:r>
      <w:r w:rsidR="002E5360" w:rsidRPr="00E35625">
        <w:rPr>
          <w:rFonts w:ascii="Calibri" w:hAnsi="Calibri" w:cs="Calibri"/>
          <w:color w:val="auto"/>
          <w:sz w:val="22"/>
          <w:lang w:val="sq-AL"/>
        </w:rPr>
        <w:t xml:space="preserve">e për mikrokredencialet) për të </w:t>
      </w:r>
      <w:r w:rsidR="00B62FFC" w:rsidRPr="00E35625">
        <w:rPr>
          <w:rFonts w:ascii="Calibri" w:hAnsi="Calibri" w:cs="Calibri"/>
          <w:color w:val="auto"/>
          <w:sz w:val="22"/>
          <w:lang w:val="sq-AL"/>
        </w:rPr>
        <w:t>kontribuar në rritjen e aksesit në mundësi trajnimi për të rriturit</w:t>
      </w:r>
      <w:r w:rsidR="00B62FFC" w:rsidRPr="00E35625">
        <w:rPr>
          <w:rStyle w:val="FootnoteReference"/>
          <w:rFonts w:ascii="Calibri" w:hAnsi="Calibri" w:cs="Calibri"/>
          <w:color w:val="auto"/>
          <w:sz w:val="22"/>
          <w:lang w:val="sq-AL"/>
        </w:rPr>
        <w:footnoteReference w:id="17"/>
      </w:r>
      <w:r w:rsidR="008D5486">
        <w:rPr>
          <w:rFonts w:ascii="Calibri" w:hAnsi="Calibri" w:cs="Calibri"/>
          <w:color w:val="auto"/>
          <w:sz w:val="22"/>
          <w:lang w:val="sq-AL"/>
        </w:rPr>
        <w:t>.</w:t>
      </w:r>
    </w:p>
    <w:p w14:paraId="591EF1EC" w14:textId="1DB10B51" w:rsidR="007B3957" w:rsidRPr="00E35625" w:rsidRDefault="00BD7765" w:rsidP="00E14B65">
      <w:pPr>
        <w:pStyle w:val="Heading3"/>
        <w:numPr>
          <w:ilvl w:val="2"/>
          <w:numId w:val="3"/>
        </w:numPr>
        <w:rPr>
          <w:sz w:val="24"/>
          <w:lang w:val="sq-AL"/>
        </w:rPr>
      </w:pPr>
      <w:bookmarkStart w:id="16" w:name="_Toc123165404"/>
      <w:r w:rsidRPr="00BD7765">
        <w:rPr>
          <w:lang w:val="sq-AL"/>
        </w:rPr>
        <w:lastRenderedPageBreak/>
        <w:t>Funksionimi i</w:t>
      </w:r>
      <w:r>
        <w:rPr>
          <w:lang w:val="sq-AL"/>
        </w:rPr>
        <w:t xml:space="preserve"> t</w:t>
      </w:r>
      <w:r w:rsidR="00832C35" w:rsidRPr="00E35625">
        <w:rPr>
          <w:lang w:val="sq-AL"/>
        </w:rPr>
        <w:t>regu</w:t>
      </w:r>
      <w:r>
        <w:rPr>
          <w:lang w:val="sq-AL"/>
        </w:rPr>
        <w:t>t</w:t>
      </w:r>
      <w:r w:rsidR="00832C35" w:rsidRPr="00E35625">
        <w:rPr>
          <w:lang w:val="sq-AL"/>
        </w:rPr>
        <w:t xml:space="preserve"> </w:t>
      </w:r>
      <w:r>
        <w:rPr>
          <w:lang w:val="sq-AL"/>
        </w:rPr>
        <w:t>t</w:t>
      </w:r>
      <w:r w:rsidRPr="00E35625">
        <w:rPr>
          <w:lang w:val="sq-AL"/>
        </w:rPr>
        <w:t>ë</w:t>
      </w:r>
      <w:r w:rsidR="00832C35" w:rsidRPr="00E35625">
        <w:rPr>
          <w:lang w:val="sq-AL"/>
        </w:rPr>
        <w:t xml:space="preserve"> punës</w:t>
      </w:r>
      <w:bookmarkEnd w:id="16"/>
    </w:p>
    <w:p w14:paraId="4533FFA0" w14:textId="742E4205" w:rsidR="007B3957" w:rsidRPr="00E35625" w:rsidRDefault="007B3957" w:rsidP="00E14B65">
      <w:pPr>
        <w:rPr>
          <w:lang w:val="sq-AL"/>
        </w:rPr>
      </w:pPr>
      <w:r w:rsidRPr="00E35625">
        <w:rPr>
          <w:lang w:val="sq-AL"/>
        </w:rPr>
        <w:t xml:space="preserve">Mekanizmi i tregut të punës në Shqipëri </w:t>
      </w:r>
      <w:r w:rsidR="00B20987" w:rsidRPr="00E35625">
        <w:rPr>
          <w:lang w:val="sq-AL"/>
        </w:rPr>
        <w:t>ka ende nevoj</w:t>
      </w:r>
      <w:r w:rsidR="00E35625" w:rsidRPr="00E35625">
        <w:rPr>
          <w:lang w:val="sq-AL"/>
        </w:rPr>
        <w:t>ë</w:t>
      </w:r>
      <w:r w:rsidR="00B20987" w:rsidRPr="00E35625">
        <w:rPr>
          <w:lang w:val="sq-AL"/>
        </w:rPr>
        <w:t xml:space="preserve"> p</w:t>
      </w:r>
      <w:r w:rsidR="00E35625" w:rsidRPr="00E35625">
        <w:rPr>
          <w:lang w:val="sq-AL"/>
        </w:rPr>
        <w:t>ë</w:t>
      </w:r>
      <w:r w:rsidR="00B20987" w:rsidRPr="00E35625">
        <w:rPr>
          <w:lang w:val="sq-AL"/>
        </w:rPr>
        <w:t>r p</w:t>
      </w:r>
      <w:r w:rsidR="00E35625" w:rsidRPr="00E35625">
        <w:rPr>
          <w:lang w:val="sq-AL"/>
        </w:rPr>
        <w:t>ë</w:t>
      </w:r>
      <w:r w:rsidR="00B20987" w:rsidRPr="00E35625">
        <w:rPr>
          <w:lang w:val="sq-AL"/>
        </w:rPr>
        <w:t>rmir</w:t>
      </w:r>
      <w:r w:rsidR="00E35625" w:rsidRPr="00E35625">
        <w:rPr>
          <w:lang w:val="sq-AL"/>
        </w:rPr>
        <w:t>ë</w:t>
      </w:r>
      <w:r w:rsidR="00B20987" w:rsidRPr="00E35625">
        <w:rPr>
          <w:lang w:val="sq-AL"/>
        </w:rPr>
        <w:t>sim</w:t>
      </w:r>
      <w:r w:rsidR="003677DE">
        <w:rPr>
          <w:lang w:val="sq-AL"/>
        </w:rPr>
        <w:t>,</w:t>
      </w:r>
      <w:r w:rsidR="00B20987" w:rsidRPr="00E35625">
        <w:rPr>
          <w:lang w:val="sq-AL"/>
        </w:rPr>
        <w:t xml:space="preserve"> p</w:t>
      </w:r>
      <w:r w:rsidR="00E35625" w:rsidRPr="00E35625">
        <w:rPr>
          <w:lang w:val="sq-AL"/>
        </w:rPr>
        <w:t>ë</w:t>
      </w:r>
      <w:r w:rsidR="00B20987" w:rsidRPr="00E35625">
        <w:rPr>
          <w:lang w:val="sq-AL"/>
        </w:rPr>
        <w:t>rsa i p</w:t>
      </w:r>
      <w:r w:rsidR="00E35625" w:rsidRPr="00E35625">
        <w:rPr>
          <w:lang w:val="sq-AL"/>
        </w:rPr>
        <w:t>ë</w:t>
      </w:r>
      <w:r w:rsidR="00B20987" w:rsidRPr="00E35625">
        <w:rPr>
          <w:lang w:val="sq-AL"/>
        </w:rPr>
        <w:t>rket</w:t>
      </w:r>
      <w:r w:rsidRPr="00E35625">
        <w:rPr>
          <w:lang w:val="sq-AL"/>
        </w:rPr>
        <w:t xml:space="preserve"> ndërmjetësim</w:t>
      </w:r>
      <w:r w:rsidR="00B20987" w:rsidRPr="00E35625">
        <w:rPr>
          <w:lang w:val="sq-AL"/>
        </w:rPr>
        <w:t>it</w:t>
      </w:r>
      <w:r w:rsidRPr="00E35625">
        <w:rPr>
          <w:lang w:val="sq-AL"/>
        </w:rPr>
        <w:t xml:space="preserve"> efikas dhe gjithpër</w:t>
      </w:r>
      <w:r w:rsidR="00E70EC6">
        <w:rPr>
          <w:lang w:val="sq-AL"/>
        </w:rPr>
        <w:t>f</w:t>
      </w:r>
      <w:r w:rsidRPr="00E35625">
        <w:rPr>
          <w:lang w:val="sq-AL"/>
        </w:rPr>
        <w:t>shirës</w:t>
      </w:r>
      <w:r w:rsidR="00B20987" w:rsidRPr="00E35625">
        <w:rPr>
          <w:lang w:val="sq-AL"/>
        </w:rPr>
        <w:t>, si dhe p</w:t>
      </w:r>
      <w:r w:rsidR="00E35625" w:rsidRPr="00E35625">
        <w:rPr>
          <w:lang w:val="sq-AL"/>
        </w:rPr>
        <w:t>ë</w:t>
      </w:r>
      <w:r w:rsidR="00B20987" w:rsidRPr="00E35625">
        <w:rPr>
          <w:lang w:val="sq-AL"/>
        </w:rPr>
        <w:t>rputhjes m</w:t>
      </w:r>
      <w:r w:rsidR="00E35625" w:rsidRPr="00E35625">
        <w:rPr>
          <w:lang w:val="sq-AL"/>
        </w:rPr>
        <w:t>ë</w:t>
      </w:r>
      <w:r w:rsidR="00B20987" w:rsidRPr="00E35625">
        <w:rPr>
          <w:lang w:val="sq-AL"/>
        </w:rPr>
        <w:t xml:space="preserve"> t</w:t>
      </w:r>
      <w:r w:rsidR="00E35625" w:rsidRPr="00E35625">
        <w:rPr>
          <w:lang w:val="sq-AL"/>
        </w:rPr>
        <w:t>ë</w:t>
      </w:r>
      <w:r w:rsidR="00B20987" w:rsidRPr="00E35625">
        <w:rPr>
          <w:lang w:val="sq-AL"/>
        </w:rPr>
        <w:t xml:space="preserve"> mir</w:t>
      </w:r>
      <w:r w:rsidR="00E35625" w:rsidRPr="00E35625">
        <w:rPr>
          <w:lang w:val="sq-AL"/>
        </w:rPr>
        <w:t>ë</w:t>
      </w:r>
      <w:r w:rsidR="00B20987" w:rsidRPr="00E35625">
        <w:rPr>
          <w:lang w:val="sq-AL"/>
        </w:rPr>
        <w:t xml:space="preserve"> t</w:t>
      </w:r>
      <w:r w:rsidR="00E35625" w:rsidRPr="00E35625">
        <w:rPr>
          <w:lang w:val="sq-AL"/>
        </w:rPr>
        <w:t>ë</w:t>
      </w:r>
      <w:r w:rsidRPr="00E35625">
        <w:rPr>
          <w:lang w:val="sq-AL"/>
        </w:rPr>
        <w:t xml:space="preserve"> ofertës dhe kërkesës për punë. Kanalet joformale (kontaktet personale, rekomandimet nga të tjerët) janë kanali më i rëndësishëm dhe më i përdorur për rekrutim</w:t>
      </w:r>
      <w:r w:rsidR="001D1DA8" w:rsidRPr="00E35625">
        <w:rPr>
          <w:lang w:val="sq-AL"/>
        </w:rPr>
        <w:t>in e punonjësve</w:t>
      </w:r>
      <w:r w:rsidR="0073509B">
        <w:rPr>
          <w:lang w:val="sq-AL"/>
        </w:rPr>
        <w:t xml:space="preserve">, </w:t>
      </w:r>
      <w:r w:rsidR="00152B7C">
        <w:rPr>
          <w:lang w:val="sq-AL"/>
        </w:rPr>
        <w:t>sipas Anketës së Aftësive për Punësim dhe Produktivitet të vitit 2018 të Bankës Botërore</w:t>
      </w:r>
      <w:r w:rsidR="001F6591">
        <w:rPr>
          <w:rStyle w:val="FootnoteReference"/>
          <w:lang w:val="sq-AL"/>
        </w:rPr>
        <w:footnoteReference w:id="18"/>
      </w:r>
      <w:r w:rsidR="001F6591">
        <w:rPr>
          <w:lang w:val="sq-AL"/>
        </w:rPr>
        <w:t xml:space="preserve">. </w:t>
      </w:r>
      <w:r w:rsidRPr="00E35625">
        <w:rPr>
          <w:lang w:val="sq-AL"/>
        </w:rPr>
        <w:t>Ko</w:t>
      </w:r>
      <w:r w:rsidR="00E34EBF">
        <w:rPr>
          <w:lang w:val="sq-AL"/>
        </w:rPr>
        <w:t>mp</w:t>
      </w:r>
      <w:r w:rsidRPr="00E35625">
        <w:rPr>
          <w:lang w:val="sq-AL"/>
        </w:rPr>
        <w:t>anitë e mëdha dhe ato me pronësi të huaj janë më të prirur</w:t>
      </w:r>
      <w:r w:rsidR="006217FF" w:rsidRPr="00E35625">
        <w:rPr>
          <w:lang w:val="sq-AL"/>
        </w:rPr>
        <w:t>a</w:t>
      </w:r>
      <w:r w:rsidRPr="00E35625">
        <w:rPr>
          <w:lang w:val="sq-AL"/>
        </w:rPr>
        <w:t xml:space="preserve"> të shfytëzojnë kanalet joformale për rekrutim</w:t>
      </w:r>
      <w:r w:rsidR="006217FF" w:rsidRPr="00E35625">
        <w:rPr>
          <w:lang w:val="sq-AL"/>
        </w:rPr>
        <w:t>in e</w:t>
      </w:r>
      <w:r w:rsidRPr="00E35625">
        <w:rPr>
          <w:lang w:val="sq-AL"/>
        </w:rPr>
        <w:t xml:space="preserve"> stafit</w:t>
      </w:r>
      <w:r w:rsidR="00FF61F7">
        <w:rPr>
          <w:rStyle w:val="FootnoteReference"/>
          <w:lang w:val="sq-AL"/>
        </w:rPr>
        <w:footnoteReference w:id="19"/>
      </w:r>
      <w:r w:rsidR="001F6591">
        <w:rPr>
          <w:lang w:val="sq-AL"/>
        </w:rPr>
        <w:t xml:space="preserve">). </w:t>
      </w:r>
      <w:r w:rsidRPr="00E35625">
        <w:rPr>
          <w:lang w:val="sq-AL"/>
        </w:rPr>
        <w:t>Dominimi i kanaleve joformale dhe ofrimi i vendeve të punës për ata</w:t>
      </w:r>
      <w:r w:rsidR="00CE2702" w:rsidRPr="00E35625">
        <w:rPr>
          <w:lang w:val="sq-AL"/>
        </w:rPr>
        <w:t>,</w:t>
      </w:r>
      <w:r w:rsidRPr="00E35625">
        <w:rPr>
          <w:lang w:val="sq-AL"/>
        </w:rPr>
        <w:t xml:space="preserve"> që janë të punësuar në biznese të tjera</w:t>
      </w:r>
      <w:r w:rsidRPr="00E35625">
        <w:rPr>
          <w:rStyle w:val="FootnoteReference"/>
          <w:rFonts w:ascii="Calibri" w:hAnsi="Calibri" w:cs="Calibri"/>
          <w:color w:val="000000" w:themeColor="text1"/>
          <w:lang w:val="sq-AL"/>
        </w:rPr>
        <w:footnoteReference w:id="20"/>
      </w:r>
      <w:r w:rsidR="00CE2702" w:rsidRPr="00E35625">
        <w:rPr>
          <w:lang w:val="sq-AL"/>
        </w:rPr>
        <w:t xml:space="preserve">, </w:t>
      </w:r>
      <w:r w:rsidRPr="00E35625">
        <w:rPr>
          <w:lang w:val="sq-AL"/>
        </w:rPr>
        <w:t xml:space="preserve">janë </w:t>
      </w:r>
      <w:r w:rsidR="00A71272">
        <w:rPr>
          <w:lang w:val="sq-AL"/>
        </w:rPr>
        <w:t>tregues</w:t>
      </w:r>
      <w:r w:rsidR="00A71272" w:rsidRPr="00E35625">
        <w:rPr>
          <w:lang w:val="sq-AL"/>
        </w:rPr>
        <w:t xml:space="preserve"> </w:t>
      </w:r>
      <w:r w:rsidR="00CE2702" w:rsidRPr="00E35625">
        <w:rPr>
          <w:lang w:val="sq-AL"/>
        </w:rPr>
        <w:t>të</w:t>
      </w:r>
      <w:r w:rsidRPr="00E35625">
        <w:rPr>
          <w:lang w:val="sq-AL"/>
        </w:rPr>
        <w:t xml:space="preserve"> </w:t>
      </w:r>
      <w:r w:rsidR="00CE2702" w:rsidRPr="00E35625">
        <w:rPr>
          <w:lang w:val="sq-AL"/>
        </w:rPr>
        <w:t xml:space="preserve">vështirësive që kanë </w:t>
      </w:r>
      <w:r w:rsidRPr="00E35625">
        <w:rPr>
          <w:lang w:val="sq-AL"/>
        </w:rPr>
        <w:t>punëdhënësit në identifikimin e punonjësve me aftësi</w:t>
      </w:r>
      <w:r w:rsidR="00CE2702" w:rsidRPr="00E35625">
        <w:rPr>
          <w:lang w:val="sq-AL"/>
        </w:rPr>
        <w:t>të</w:t>
      </w:r>
      <w:r w:rsidRPr="00E35625">
        <w:rPr>
          <w:lang w:val="sq-AL"/>
        </w:rPr>
        <w:t xml:space="preserve"> </w:t>
      </w:r>
      <w:r w:rsidR="00CE2702" w:rsidRPr="00E35625">
        <w:rPr>
          <w:lang w:val="sq-AL"/>
        </w:rPr>
        <w:t xml:space="preserve">e </w:t>
      </w:r>
      <w:r w:rsidRPr="00E35625">
        <w:rPr>
          <w:lang w:val="sq-AL"/>
        </w:rPr>
        <w:t>duhura</w:t>
      </w:r>
      <w:r w:rsidR="008F5078" w:rsidRPr="00E35625">
        <w:rPr>
          <w:lang w:val="sq-AL"/>
        </w:rPr>
        <w:t>,</w:t>
      </w:r>
      <w:r w:rsidRPr="00E35625">
        <w:rPr>
          <w:lang w:val="sq-AL"/>
        </w:rPr>
        <w:t xml:space="preserve"> si dhe në </w:t>
      </w:r>
      <w:r w:rsidR="00A71272">
        <w:rPr>
          <w:lang w:val="sq-AL"/>
        </w:rPr>
        <w:t>gjetjen</w:t>
      </w:r>
      <w:r w:rsidR="00A71272" w:rsidRPr="00E35625">
        <w:rPr>
          <w:lang w:val="sq-AL"/>
        </w:rPr>
        <w:t xml:space="preserve"> </w:t>
      </w:r>
      <w:r w:rsidRPr="00E35625">
        <w:rPr>
          <w:lang w:val="sq-AL"/>
        </w:rPr>
        <w:t xml:space="preserve">e punonjësve </w:t>
      </w:r>
      <w:r w:rsidR="008F5078" w:rsidRPr="00E35625">
        <w:rPr>
          <w:lang w:val="sq-AL"/>
        </w:rPr>
        <w:t xml:space="preserve">nëpërmjet </w:t>
      </w:r>
      <w:r w:rsidRPr="00E35625">
        <w:rPr>
          <w:lang w:val="sq-AL"/>
        </w:rPr>
        <w:t xml:space="preserve">kanaleve formale dhe shërbimeve profesionale. </w:t>
      </w:r>
    </w:p>
    <w:p w14:paraId="67EC7F8F" w14:textId="413E015C" w:rsidR="007B3957" w:rsidRPr="00E35625" w:rsidRDefault="00A71272" w:rsidP="00E14B65">
      <w:pPr>
        <w:rPr>
          <w:lang w:val="sq-AL"/>
        </w:rPr>
      </w:pPr>
      <w:r>
        <w:rPr>
          <w:bCs/>
          <w:lang w:val="sq-AL"/>
        </w:rPr>
        <w:t>S</w:t>
      </w:r>
      <w:r w:rsidR="007B3957" w:rsidRPr="00E35625">
        <w:rPr>
          <w:bCs/>
          <w:lang w:val="sq-AL"/>
        </w:rPr>
        <w:t>hërbime</w:t>
      </w:r>
      <w:r w:rsidR="00B20987" w:rsidRPr="00E35625">
        <w:rPr>
          <w:bCs/>
          <w:lang w:val="sq-AL"/>
        </w:rPr>
        <w:t>t e</w:t>
      </w:r>
      <w:r w:rsidR="008F5078" w:rsidRPr="00E35625">
        <w:rPr>
          <w:bCs/>
          <w:lang w:val="sq-AL"/>
        </w:rPr>
        <w:t xml:space="preserve"> punësimit</w:t>
      </w:r>
      <w:r w:rsidR="00B20987" w:rsidRPr="00E35625">
        <w:rPr>
          <w:bCs/>
          <w:lang w:val="sq-AL"/>
        </w:rPr>
        <w:t xml:space="preserve"> duhet t</w:t>
      </w:r>
      <w:r w:rsidR="00E35625" w:rsidRPr="00E35625">
        <w:rPr>
          <w:bCs/>
          <w:lang w:val="sq-AL"/>
        </w:rPr>
        <w:t>ë</w:t>
      </w:r>
      <w:r w:rsidR="00B20987" w:rsidRPr="00E35625">
        <w:rPr>
          <w:bCs/>
          <w:lang w:val="sq-AL"/>
        </w:rPr>
        <w:t xml:space="preserve"> </w:t>
      </w:r>
      <w:r w:rsidR="00BA0BC3" w:rsidRPr="00E35625">
        <w:rPr>
          <w:bCs/>
          <w:lang w:val="sq-AL"/>
        </w:rPr>
        <w:t>konsolidohen</w:t>
      </w:r>
      <w:r w:rsidR="00D030D0">
        <w:rPr>
          <w:bCs/>
          <w:lang w:val="sq-AL"/>
        </w:rPr>
        <w:t xml:space="preserve"> dhe</w:t>
      </w:r>
      <w:r w:rsidR="00B20987" w:rsidRPr="00E35625">
        <w:rPr>
          <w:bCs/>
          <w:lang w:val="sq-AL"/>
        </w:rPr>
        <w:t xml:space="preserve"> t</w:t>
      </w:r>
      <w:r w:rsidR="00E35625" w:rsidRPr="00E35625">
        <w:rPr>
          <w:bCs/>
          <w:lang w:val="sq-AL"/>
        </w:rPr>
        <w:t>ë</w:t>
      </w:r>
      <w:r w:rsidR="00B20987" w:rsidRPr="00E35625">
        <w:rPr>
          <w:bCs/>
          <w:lang w:val="sq-AL"/>
        </w:rPr>
        <w:t xml:space="preserve"> shfryt</w:t>
      </w:r>
      <w:r w:rsidR="00E35625" w:rsidRPr="00E35625">
        <w:rPr>
          <w:bCs/>
          <w:lang w:val="sq-AL"/>
        </w:rPr>
        <w:t>ë</w:t>
      </w:r>
      <w:r w:rsidR="00B20987" w:rsidRPr="00E35625">
        <w:rPr>
          <w:bCs/>
          <w:lang w:val="sq-AL"/>
        </w:rPr>
        <w:t>zohe</w:t>
      </w:r>
      <w:r w:rsidR="00BA0BC3" w:rsidRPr="00E35625">
        <w:rPr>
          <w:bCs/>
          <w:lang w:val="sq-AL"/>
        </w:rPr>
        <w:t>n</w:t>
      </w:r>
      <w:r w:rsidR="00B20987" w:rsidRPr="00E35625">
        <w:rPr>
          <w:bCs/>
          <w:lang w:val="sq-AL"/>
        </w:rPr>
        <w:t xml:space="preserve"> m</w:t>
      </w:r>
      <w:r w:rsidR="00E35625" w:rsidRPr="00E35625">
        <w:rPr>
          <w:bCs/>
          <w:lang w:val="sq-AL"/>
        </w:rPr>
        <w:t>ë</w:t>
      </w:r>
      <w:r w:rsidR="00B20987" w:rsidRPr="00E35625">
        <w:rPr>
          <w:bCs/>
          <w:lang w:val="sq-AL"/>
        </w:rPr>
        <w:t xml:space="preserve"> shum</w:t>
      </w:r>
      <w:r w:rsidR="00E35625" w:rsidRPr="00E35625">
        <w:rPr>
          <w:bCs/>
          <w:lang w:val="sq-AL"/>
        </w:rPr>
        <w:t>ë</w:t>
      </w:r>
      <w:r w:rsidR="00B20987" w:rsidRPr="00E35625">
        <w:rPr>
          <w:bCs/>
          <w:lang w:val="sq-AL"/>
        </w:rPr>
        <w:t xml:space="preserve"> </w:t>
      </w:r>
      <w:r w:rsidR="007B3957" w:rsidRPr="00E35625">
        <w:rPr>
          <w:bCs/>
          <w:lang w:val="sq-AL"/>
        </w:rPr>
        <w:t>nga punëdhënësit.</w:t>
      </w:r>
      <w:r w:rsidR="007B3957" w:rsidRPr="00E35625">
        <w:rPr>
          <w:lang w:val="sq-AL"/>
        </w:rPr>
        <w:t xml:space="preserve"> </w:t>
      </w:r>
      <w:r w:rsidR="00D030D0">
        <w:rPr>
          <w:lang w:val="sq-AL"/>
        </w:rPr>
        <w:t>Studimi i Bankës Botërore i vitit 2018</w:t>
      </w:r>
      <w:r w:rsidR="00D030D0">
        <w:rPr>
          <w:rStyle w:val="FootnoteReference"/>
          <w:lang w:val="sq-AL"/>
        </w:rPr>
        <w:footnoteReference w:id="21"/>
      </w:r>
      <w:r w:rsidR="00D030D0">
        <w:rPr>
          <w:lang w:val="sq-AL"/>
        </w:rPr>
        <w:t xml:space="preserve"> v</w:t>
      </w:r>
      <w:r>
        <w:rPr>
          <w:lang w:val="sq-AL"/>
        </w:rPr>
        <w:t>lerëso</w:t>
      </w:r>
      <w:r w:rsidR="00D030D0">
        <w:rPr>
          <w:lang w:val="sq-AL"/>
        </w:rPr>
        <w:t>n</w:t>
      </w:r>
      <w:r>
        <w:rPr>
          <w:lang w:val="sq-AL"/>
        </w:rPr>
        <w:t xml:space="preserve"> se </w:t>
      </w:r>
      <w:r w:rsidR="007B3957" w:rsidRPr="00E35625">
        <w:rPr>
          <w:lang w:val="sq-AL"/>
        </w:rPr>
        <w:t>7.4</w:t>
      </w:r>
      <w:r w:rsidR="002D06AB">
        <w:rPr>
          <w:lang w:val="sq-AL"/>
        </w:rPr>
        <w:t xml:space="preserve"> përqind</w:t>
      </w:r>
      <w:r w:rsidR="007B3957" w:rsidRPr="00E35625">
        <w:rPr>
          <w:lang w:val="sq-AL"/>
        </w:rPr>
        <w:t xml:space="preserve"> e punëdhënesve nga sektori privat përdorën shërbimet </w:t>
      </w:r>
      <w:r w:rsidR="001D1DA8" w:rsidRPr="00E35625">
        <w:rPr>
          <w:lang w:val="sq-AL"/>
        </w:rPr>
        <w:t>publike t</w:t>
      </w:r>
      <w:r w:rsidR="007B3957" w:rsidRPr="00E35625">
        <w:rPr>
          <w:lang w:val="sq-AL"/>
        </w:rPr>
        <w:t xml:space="preserve">ë </w:t>
      </w:r>
      <w:r w:rsidR="001D1DA8" w:rsidRPr="00E35625">
        <w:rPr>
          <w:lang w:val="sq-AL"/>
        </w:rPr>
        <w:t xml:space="preserve">punësimit </w:t>
      </w:r>
      <w:r w:rsidR="007B3957" w:rsidRPr="00E35625">
        <w:rPr>
          <w:lang w:val="sq-AL"/>
        </w:rPr>
        <w:t>për të rekrutuar pun</w:t>
      </w:r>
      <w:r w:rsidR="00491B02" w:rsidRPr="00E35625">
        <w:rPr>
          <w:lang w:val="sq-AL"/>
        </w:rPr>
        <w:t>on</w:t>
      </w:r>
      <w:r w:rsidR="005646B5" w:rsidRPr="00E35625">
        <w:rPr>
          <w:lang w:val="sq-AL"/>
        </w:rPr>
        <w:t>jës</w:t>
      </w:r>
      <w:r w:rsidR="007B3957" w:rsidRPr="00E35625">
        <w:rPr>
          <w:lang w:val="sq-AL"/>
        </w:rPr>
        <w:t xml:space="preserve">. Në mënyrë të ngjashme, </w:t>
      </w:r>
      <w:r w:rsidR="00D030D0">
        <w:rPr>
          <w:lang w:val="sq-AL"/>
        </w:rPr>
        <w:t xml:space="preserve">edhe </w:t>
      </w:r>
      <w:r w:rsidR="007B3957" w:rsidRPr="00E35625">
        <w:rPr>
          <w:lang w:val="sq-AL"/>
        </w:rPr>
        <w:t>përdorimi i shërbimeve private të punësimit është i ulët (më pak se 10</w:t>
      </w:r>
      <w:r w:rsidR="002D06AB">
        <w:rPr>
          <w:lang w:val="sq-AL"/>
        </w:rPr>
        <w:t xml:space="preserve"> përqind</w:t>
      </w:r>
      <w:r w:rsidR="007B3957" w:rsidRPr="00E35625">
        <w:rPr>
          <w:lang w:val="sq-AL"/>
        </w:rPr>
        <w:t>).</w:t>
      </w:r>
      <w:r w:rsidR="00152B7C">
        <w:rPr>
          <w:lang w:val="sq-AL"/>
        </w:rPr>
        <w:t xml:space="preserve"> Të tilla gjetje konfirmohen pjesërisht nga një vrojtim i vitit </w:t>
      </w:r>
      <w:r w:rsidR="001F6591">
        <w:rPr>
          <w:lang w:val="sq-AL"/>
        </w:rPr>
        <w:t>2022 i Këshillit të Investimeve</w:t>
      </w:r>
      <w:r w:rsidR="001F6591">
        <w:rPr>
          <w:rStyle w:val="FootnoteReference"/>
          <w:lang w:val="sq-AL"/>
        </w:rPr>
        <w:footnoteReference w:id="22"/>
      </w:r>
      <w:r w:rsidR="00133241">
        <w:rPr>
          <w:lang w:val="sq-AL"/>
        </w:rPr>
        <w:t>, sipas të cilit vetëm 15 përqind e 253 kompanive të anketuara, u drejtohen zyrave të punës për sigurimin e fuqisë punëtore.</w:t>
      </w:r>
    </w:p>
    <w:p w14:paraId="6065BAD0" w14:textId="7978CCAA" w:rsidR="007B3957" w:rsidRPr="00E35625" w:rsidRDefault="00BA0BC3" w:rsidP="00E14B65">
      <w:pPr>
        <w:rPr>
          <w:lang w:val="sq-AL"/>
        </w:rPr>
      </w:pPr>
      <w:r w:rsidRPr="00E35625">
        <w:rPr>
          <w:lang w:val="sq-AL"/>
        </w:rPr>
        <w:t>S</w:t>
      </w:r>
      <w:r w:rsidR="008F5078" w:rsidRPr="00E35625">
        <w:rPr>
          <w:lang w:val="sq-AL"/>
        </w:rPr>
        <w:t>hfrytëzimi</w:t>
      </w:r>
      <w:r w:rsidR="007B3957" w:rsidRPr="00E35625">
        <w:rPr>
          <w:lang w:val="sq-AL"/>
        </w:rPr>
        <w:t xml:space="preserve"> i shërbimeve të punësimit nga punëkërkuesit</w:t>
      </w:r>
      <w:r w:rsidRPr="00E35625">
        <w:rPr>
          <w:lang w:val="sq-AL"/>
        </w:rPr>
        <w:t xml:space="preserve"> mbetet ende nj</w:t>
      </w:r>
      <w:r w:rsidR="00E35625" w:rsidRPr="00E35625">
        <w:rPr>
          <w:lang w:val="sq-AL"/>
        </w:rPr>
        <w:t>ë</w:t>
      </w:r>
      <w:r w:rsidRPr="00E35625">
        <w:rPr>
          <w:lang w:val="sq-AL"/>
        </w:rPr>
        <w:t xml:space="preserve"> sfid</w:t>
      </w:r>
      <w:r w:rsidR="00E35625" w:rsidRPr="00E35625">
        <w:rPr>
          <w:lang w:val="sq-AL"/>
        </w:rPr>
        <w:t>ë</w:t>
      </w:r>
      <w:r w:rsidR="007B3957" w:rsidRPr="00E35625">
        <w:rPr>
          <w:lang w:val="sq-AL"/>
        </w:rPr>
        <w:t xml:space="preserve">. </w:t>
      </w:r>
      <w:r w:rsidR="00832C35" w:rsidRPr="00E35625">
        <w:rPr>
          <w:lang w:val="sq-AL"/>
        </w:rPr>
        <w:t xml:space="preserve">INSTAT </w:t>
      </w:r>
      <w:r w:rsidR="007B3957" w:rsidRPr="00E35625">
        <w:rPr>
          <w:lang w:val="sq-AL"/>
        </w:rPr>
        <w:t>vlerëson se rreth 25.6</w:t>
      </w:r>
      <w:r w:rsidR="002D06AB">
        <w:rPr>
          <w:lang w:val="sq-AL"/>
        </w:rPr>
        <w:t xml:space="preserve"> përqind</w:t>
      </w:r>
      <w:r w:rsidR="007B3957" w:rsidRPr="00E35625">
        <w:rPr>
          <w:lang w:val="sq-AL"/>
        </w:rPr>
        <w:t xml:space="preserve"> e të rinjve që nuk janë të punësuar e as duke ndjekur shkollën apo ndonjë trajnim (NEET)</w:t>
      </w:r>
      <w:r w:rsidR="00ED1FEA" w:rsidRPr="00E35625">
        <w:rPr>
          <w:lang w:val="sq-AL"/>
        </w:rPr>
        <w:t xml:space="preserve"> </w:t>
      </w:r>
      <w:r w:rsidR="007B3957" w:rsidRPr="00E35625">
        <w:rPr>
          <w:lang w:val="sq-AL"/>
        </w:rPr>
        <w:t>janë të regjistruar në</w:t>
      </w:r>
      <w:r w:rsidR="008F5078" w:rsidRPr="00E35625">
        <w:rPr>
          <w:lang w:val="sq-AL"/>
        </w:rPr>
        <w:t xml:space="preserve"> zyrat e punës</w:t>
      </w:r>
      <w:r w:rsidR="00152B7C">
        <w:rPr>
          <w:lang w:val="sq-AL"/>
        </w:rPr>
        <w:t xml:space="preserve"> (INSTAT, LFS 2021).</w:t>
      </w:r>
      <w:r w:rsidR="00AC170C">
        <w:rPr>
          <w:lang w:val="sq-AL"/>
        </w:rPr>
        <w:t xml:space="preserve"> </w:t>
      </w:r>
      <w:r w:rsidR="007931D7" w:rsidRPr="00E35625">
        <w:rPr>
          <w:lang w:val="sq-AL"/>
        </w:rPr>
        <w:t>M</w:t>
      </w:r>
      <w:r w:rsidR="007B3957" w:rsidRPr="00E35625">
        <w:rPr>
          <w:lang w:val="sq-AL"/>
        </w:rPr>
        <w:t xml:space="preserve">bulimi i përgjithshëm i programeve aktive të tregut të punës (PATP) </w:t>
      </w:r>
      <w:r w:rsidR="00491B02" w:rsidRPr="00E35625">
        <w:rPr>
          <w:lang w:val="sq-AL"/>
        </w:rPr>
        <w:t xml:space="preserve"> </w:t>
      </w:r>
      <w:r w:rsidR="00910F50" w:rsidRPr="00E35625">
        <w:rPr>
          <w:lang w:val="sq-AL"/>
        </w:rPr>
        <w:t xml:space="preserve">është </w:t>
      </w:r>
      <w:r w:rsidR="007B3957" w:rsidRPr="00E35625">
        <w:rPr>
          <w:lang w:val="sq-AL"/>
        </w:rPr>
        <w:t xml:space="preserve">rreth 5.5 </w:t>
      </w:r>
      <w:r w:rsidR="002D06AB">
        <w:rPr>
          <w:lang w:val="sq-AL"/>
        </w:rPr>
        <w:t xml:space="preserve"> përqind</w:t>
      </w:r>
      <w:r w:rsidR="007B3957" w:rsidRPr="00E35625">
        <w:rPr>
          <w:lang w:val="sq-AL"/>
        </w:rPr>
        <w:t xml:space="preserve"> </w:t>
      </w:r>
      <w:r w:rsidR="00910F50" w:rsidRPr="00E35625">
        <w:rPr>
          <w:lang w:val="sq-AL"/>
        </w:rPr>
        <w:t xml:space="preserve">e numrit të përgjithshëm të punëkërkuesve </w:t>
      </w:r>
      <w:r w:rsidR="007B3957" w:rsidRPr="00E35625">
        <w:rPr>
          <w:lang w:val="sq-AL"/>
        </w:rPr>
        <w:t xml:space="preserve">të regjistruar në </w:t>
      </w:r>
      <w:r w:rsidR="00910F50" w:rsidRPr="00E35625">
        <w:rPr>
          <w:lang w:val="sq-AL"/>
        </w:rPr>
        <w:t>zyrat e punës</w:t>
      </w:r>
      <w:r w:rsidR="007931D7" w:rsidRPr="00E35625">
        <w:rPr>
          <w:lang w:val="sq-AL"/>
        </w:rPr>
        <w:t>.</w:t>
      </w:r>
    </w:p>
    <w:p w14:paraId="4FFE2857" w14:textId="7AF47573" w:rsidR="00EE099D" w:rsidRPr="00E35625" w:rsidRDefault="007B3957" w:rsidP="00E14B65">
      <w:pPr>
        <w:rPr>
          <w:lang w:val="sq-AL"/>
        </w:rPr>
      </w:pPr>
      <w:r w:rsidRPr="00E35625">
        <w:rPr>
          <w:lang w:val="sq-AL"/>
        </w:rPr>
        <w:t xml:space="preserve">Drejtimet kryesore nga kuadri i politikës së punësimit të BE-së për politikat e tregut të punës janë </w:t>
      </w:r>
      <w:r w:rsidR="00A77D37" w:rsidRPr="00E35625">
        <w:rPr>
          <w:lang w:val="sq-AL"/>
        </w:rPr>
        <w:t xml:space="preserve">përcaktuar </w:t>
      </w:r>
      <w:r w:rsidRPr="00E35625">
        <w:rPr>
          <w:lang w:val="sq-AL"/>
        </w:rPr>
        <w:t xml:space="preserve">kryesisht në </w:t>
      </w:r>
      <w:r w:rsidR="00A77D37" w:rsidRPr="00E35625">
        <w:rPr>
          <w:lang w:val="sq-AL"/>
        </w:rPr>
        <w:t xml:space="preserve">Shtyllën </w:t>
      </w:r>
      <w:r w:rsidR="00A61BD9" w:rsidRPr="00E35625">
        <w:rPr>
          <w:lang w:val="sq-AL"/>
        </w:rPr>
        <w:t>Europian</w:t>
      </w:r>
      <w:r w:rsidRPr="00E35625">
        <w:rPr>
          <w:lang w:val="sq-AL"/>
        </w:rPr>
        <w:t>e të të Drejtave Sociale</w:t>
      </w:r>
      <w:r w:rsidR="00A77D37" w:rsidRPr="00E35625">
        <w:rPr>
          <w:lang w:val="sq-AL"/>
        </w:rPr>
        <w:t>,</w:t>
      </w:r>
      <w:r w:rsidRPr="00E35625">
        <w:rPr>
          <w:lang w:val="sq-AL"/>
        </w:rPr>
        <w:t xml:space="preserve"> </w:t>
      </w:r>
      <w:r w:rsidR="00EE099D" w:rsidRPr="00E35625">
        <w:rPr>
          <w:lang w:val="sq-AL"/>
        </w:rPr>
        <w:t>në</w:t>
      </w:r>
      <w:r w:rsidRPr="00E35625">
        <w:rPr>
          <w:lang w:val="sq-AL"/>
        </w:rPr>
        <w:t xml:space="preserve"> dokumente specifike </w:t>
      </w:r>
      <w:r w:rsidR="00EE099D" w:rsidRPr="00E35625">
        <w:rPr>
          <w:lang w:val="sq-AL"/>
        </w:rPr>
        <w:t xml:space="preserve">të </w:t>
      </w:r>
      <w:r w:rsidRPr="00E35625">
        <w:rPr>
          <w:lang w:val="sq-AL"/>
        </w:rPr>
        <w:t>Komisioni</w:t>
      </w:r>
      <w:r w:rsidR="00EE099D" w:rsidRPr="00E35625">
        <w:rPr>
          <w:lang w:val="sq-AL"/>
        </w:rPr>
        <w:t>t</w:t>
      </w:r>
      <w:r w:rsidRPr="00E35625">
        <w:rPr>
          <w:lang w:val="sq-AL"/>
        </w:rPr>
        <w:t xml:space="preserve"> </w:t>
      </w:r>
      <w:r w:rsidR="00CE78CD">
        <w:rPr>
          <w:lang w:val="sq-AL"/>
        </w:rPr>
        <w:t>Evropian</w:t>
      </w:r>
      <w:r w:rsidRPr="00E35625">
        <w:rPr>
          <w:lang w:val="sq-AL"/>
        </w:rPr>
        <w:t>për Mbështetje Aktive të Punësimit”</w:t>
      </w:r>
      <w:r w:rsidR="00EE099D" w:rsidRPr="00E35625">
        <w:rPr>
          <w:lang w:val="sq-AL"/>
        </w:rPr>
        <w:t xml:space="preserve">, si dhe në </w:t>
      </w:r>
      <w:r w:rsidRPr="00E35625">
        <w:rPr>
          <w:lang w:val="sq-AL"/>
        </w:rPr>
        <w:t>“Paket</w:t>
      </w:r>
      <w:r w:rsidR="00EE099D" w:rsidRPr="00E35625">
        <w:rPr>
          <w:lang w:val="sq-AL"/>
        </w:rPr>
        <w:t xml:space="preserve">ën </w:t>
      </w:r>
      <w:r w:rsidRPr="00E35625">
        <w:rPr>
          <w:lang w:val="sq-AL"/>
        </w:rPr>
        <w:t>e Mbështetjes së Punësimit të të Rinjve”</w:t>
      </w:r>
      <w:r w:rsidRPr="00E35625">
        <w:rPr>
          <w:rStyle w:val="FootnoteReference"/>
          <w:rFonts w:ascii="Calibri" w:hAnsi="Calibri" w:cs="Calibri"/>
          <w:lang w:val="sq-AL"/>
        </w:rPr>
        <w:footnoteReference w:id="23"/>
      </w:r>
      <w:r w:rsidRPr="00E35625">
        <w:rPr>
          <w:lang w:val="sq-AL"/>
        </w:rPr>
        <w:t xml:space="preserve">. </w:t>
      </w:r>
    </w:p>
    <w:p w14:paraId="518A22B3" w14:textId="1D2BC2FF" w:rsidR="007B3957" w:rsidRPr="00E35625" w:rsidRDefault="007B3957" w:rsidP="00E14B65">
      <w:pPr>
        <w:rPr>
          <w:lang w:val="sq-AL"/>
        </w:rPr>
      </w:pPr>
      <w:r w:rsidRPr="00E35625">
        <w:rPr>
          <w:lang w:val="sq-AL"/>
        </w:rPr>
        <w:t xml:space="preserve">Parimi i katërt i </w:t>
      </w:r>
      <w:r w:rsidR="00EE099D" w:rsidRPr="00E35625">
        <w:rPr>
          <w:color w:val="000000" w:themeColor="text1"/>
          <w:lang w:val="sq-AL"/>
        </w:rPr>
        <w:t>S</w:t>
      </w:r>
      <w:r w:rsidRPr="00E35625">
        <w:rPr>
          <w:color w:val="000000" w:themeColor="text1"/>
          <w:lang w:val="sq-AL"/>
        </w:rPr>
        <w:t xml:space="preserve">htyllës </w:t>
      </w:r>
      <w:r w:rsidR="00A61BD9" w:rsidRPr="00E35625">
        <w:rPr>
          <w:color w:val="000000" w:themeColor="text1"/>
          <w:lang w:val="sq-AL"/>
        </w:rPr>
        <w:t>Europian</w:t>
      </w:r>
      <w:r w:rsidRPr="00E35625">
        <w:rPr>
          <w:color w:val="000000" w:themeColor="text1"/>
          <w:lang w:val="sq-AL"/>
        </w:rPr>
        <w:t xml:space="preserve">e e të Drejtave Sociale </w:t>
      </w:r>
      <w:r w:rsidR="00EE099D" w:rsidRPr="00E35625">
        <w:rPr>
          <w:lang w:val="sq-AL"/>
        </w:rPr>
        <w:t xml:space="preserve">thekson të </w:t>
      </w:r>
      <w:r w:rsidRPr="00E35625">
        <w:rPr>
          <w:lang w:val="sq-AL"/>
        </w:rPr>
        <w:t xml:space="preserve">drejtën </w:t>
      </w:r>
      <w:r w:rsidR="00EE099D" w:rsidRPr="00E35625">
        <w:rPr>
          <w:lang w:val="sq-AL"/>
        </w:rPr>
        <w:t>e çdo qytetari të BE-së për mbështetje për punësim</w:t>
      </w:r>
      <w:r w:rsidRPr="00E35625">
        <w:rPr>
          <w:lang w:val="sq-AL"/>
        </w:rPr>
        <w:t xml:space="preserve">, të ofruar në kohën e duhur dhe të përshtatur për të përmirësuar perspektivat e punësimit </w:t>
      </w:r>
      <w:r w:rsidR="005B4081" w:rsidRPr="00E35625">
        <w:rPr>
          <w:lang w:val="sq-AL"/>
        </w:rPr>
        <w:t xml:space="preserve">apo </w:t>
      </w:r>
      <w:r w:rsidRPr="00E35625">
        <w:rPr>
          <w:lang w:val="sq-AL"/>
        </w:rPr>
        <w:t xml:space="preserve">të vetëpunësimit. Kjo </w:t>
      </w:r>
      <w:r w:rsidR="00EE099D" w:rsidRPr="00E35625">
        <w:rPr>
          <w:lang w:val="sq-AL"/>
        </w:rPr>
        <w:t xml:space="preserve">nënkupton </w:t>
      </w:r>
      <w:r w:rsidRPr="00E35625">
        <w:rPr>
          <w:lang w:val="sq-AL"/>
        </w:rPr>
        <w:t xml:space="preserve">të drejtën për të marrë mbështetje për </w:t>
      </w:r>
      <w:r w:rsidR="00EE099D" w:rsidRPr="00E35625">
        <w:rPr>
          <w:lang w:val="sq-AL"/>
        </w:rPr>
        <w:t>të kërkuar punë, për t’u trajnuar dhe rikualifikuar</w:t>
      </w:r>
      <w:r w:rsidRPr="00E35625">
        <w:rPr>
          <w:lang w:val="sq-AL"/>
        </w:rPr>
        <w:t xml:space="preserve">. Për më tepër, </w:t>
      </w:r>
      <w:r w:rsidR="00FE6E92">
        <w:rPr>
          <w:lang w:val="sq-AL"/>
        </w:rPr>
        <w:t xml:space="preserve">përmes përcaktimeve të kësaj </w:t>
      </w:r>
      <w:r w:rsidR="005B2985" w:rsidRPr="00E35625">
        <w:rPr>
          <w:lang w:val="sq-AL"/>
        </w:rPr>
        <w:t>shtyll</w:t>
      </w:r>
      <w:r w:rsidR="00FE6E92">
        <w:rPr>
          <w:lang w:val="sq-AL"/>
        </w:rPr>
        <w:t>e</w:t>
      </w:r>
      <w:r w:rsidR="005B2985" w:rsidRPr="00E35625">
        <w:rPr>
          <w:lang w:val="sq-AL"/>
        </w:rPr>
        <w:t xml:space="preserve"> </w:t>
      </w:r>
      <w:r w:rsidRPr="00E35625">
        <w:rPr>
          <w:lang w:val="sq-AL"/>
        </w:rPr>
        <w:t>të rinj</w:t>
      </w:r>
      <w:r w:rsidR="00766DAC" w:rsidRPr="00E35625">
        <w:rPr>
          <w:lang w:val="sq-AL"/>
        </w:rPr>
        <w:t xml:space="preserve">ve u garantohet e drejta per të vazhduar arsimimin, trajnimin ose iu ofrohet një punë, </w:t>
      </w:r>
      <w:r w:rsidRPr="00E35625">
        <w:rPr>
          <w:lang w:val="sq-AL"/>
        </w:rPr>
        <w:t xml:space="preserve"> brenda katër (4) muajve nga momenti kur mbeten të papunë ose largohen nga arsimi </w:t>
      </w:r>
      <w:r w:rsidR="005B2985" w:rsidRPr="00E35625">
        <w:rPr>
          <w:lang w:val="sq-AL"/>
        </w:rPr>
        <w:t>(</w:t>
      </w:r>
      <w:r w:rsidR="00766DAC" w:rsidRPr="00E35625">
        <w:rPr>
          <w:lang w:val="sq-AL"/>
        </w:rPr>
        <w:t>G</w:t>
      </w:r>
      <w:r w:rsidRPr="00E35625">
        <w:rPr>
          <w:lang w:val="sq-AL"/>
        </w:rPr>
        <w:t>aranci</w:t>
      </w:r>
      <w:r w:rsidR="00766DAC" w:rsidRPr="00E35625">
        <w:rPr>
          <w:lang w:val="sq-AL"/>
        </w:rPr>
        <w:t>a</w:t>
      </w:r>
      <w:r w:rsidRPr="00E35625">
        <w:rPr>
          <w:lang w:val="sq-AL"/>
        </w:rPr>
        <w:t xml:space="preserve"> </w:t>
      </w:r>
      <w:r w:rsidR="00766DAC" w:rsidRPr="00E35625">
        <w:rPr>
          <w:lang w:val="sq-AL"/>
        </w:rPr>
        <w:t>R</w:t>
      </w:r>
      <w:r w:rsidRPr="00E35625">
        <w:rPr>
          <w:lang w:val="sq-AL"/>
        </w:rPr>
        <w:t xml:space="preserve">inore). Personat e papunë kanë të drejtë për mbështetje të </w:t>
      </w:r>
      <w:r w:rsidR="005B4081" w:rsidRPr="00E35625">
        <w:rPr>
          <w:lang w:val="sq-AL"/>
        </w:rPr>
        <w:t>pe</w:t>
      </w:r>
      <w:r w:rsidRPr="00E35625">
        <w:rPr>
          <w:lang w:val="sq-AL"/>
        </w:rPr>
        <w:t xml:space="preserve">rsonalizuar, të vazhdueshme dhe </w:t>
      </w:r>
      <w:r w:rsidR="00766DAC" w:rsidRPr="00E35625">
        <w:rPr>
          <w:lang w:val="sq-AL"/>
        </w:rPr>
        <w:t>të qëndru</w:t>
      </w:r>
      <w:r w:rsidR="00FE6E92">
        <w:rPr>
          <w:lang w:val="sq-AL"/>
        </w:rPr>
        <w:t>e</w:t>
      </w:r>
      <w:r w:rsidR="00766DAC" w:rsidRPr="00E35625">
        <w:rPr>
          <w:lang w:val="sq-AL"/>
        </w:rPr>
        <w:t>shme</w:t>
      </w:r>
      <w:r w:rsidRPr="00E35625">
        <w:rPr>
          <w:lang w:val="sq-AL"/>
        </w:rPr>
        <w:t>, ndërsa të papunët afatgjatë kanë të drejtën e një vlerësimi individual të thelluar, jo më vonë se 18 muaj nga të qenit i papunë</w:t>
      </w:r>
      <w:r w:rsidRPr="00E35625">
        <w:rPr>
          <w:rStyle w:val="FootnoteReference"/>
          <w:rFonts w:ascii="Calibri" w:hAnsi="Calibri" w:cs="Calibri"/>
          <w:lang w:val="sq-AL"/>
        </w:rPr>
        <w:footnoteReference w:id="24"/>
      </w:r>
      <w:r w:rsidRPr="00E35625">
        <w:rPr>
          <w:lang w:val="sq-AL"/>
        </w:rPr>
        <w:t>.</w:t>
      </w:r>
    </w:p>
    <w:p w14:paraId="25575933" w14:textId="306E43B4" w:rsidR="00133241" w:rsidRDefault="007B3957" w:rsidP="00E14B65">
      <w:pPr>
        <w:rPr>
          <w:rFonts w:eastAsia="Times New Roman"/>
          <w:lang w:val="sq-AL"/>
        </w:rPr>
      </w:pPr>
      <w:r w:rsidRPr="00E35625">
        <w:rPr>
          <w:lang w:val="sq-AL"/>
        </w:rPr>
        <w:lastRenderedPageBreak/>
        <w:t xml:space="preserve">Analiza tregon se shërbimet e </w:t>
      </w:r>
      <w:r w:rsidR="00D9582F">
        <w:rPr>
          <w:lang w:val="sq-AL"/>
        </w:rPr>
        <w:t>pun</w:t>
      </w:r>
      <w:r w:rsidRPr="00E35625">
        <w:rPr>
          <w:lang w:val="sq-AL"/>
        </w:rPr>
        <w:t>ë</w:t>
      </w:r>
      <w:r w:rsidR="00D9582F">
        <w:rPr>
          <w:lang w:val="sq-AL"/>
        </w:rPr>
        <w:t>simit dhe p</w:t>
      </w:r>
      <w:r w:rsidR="00D9582F" w:rsidRPr="00E35625">
        <w:rPr>
          <w:lang w:val="sq-AL"/>
        </w:rPr>
        <w:t>rograme</w:t>
      </w:r>
      <w:r w:rsidR="00D9582F">
        <w:rPr>
          <w:lang w:val="sq-AL"/>
        </w:rPr>
        <w:t>t</w:t>
      </w:r>
      <w:r w:rsidR="00D9582F" w:rsidRPr="00E35625">
        <w:rPr>
          <w:lang w:val="sq-AL"/>
        </w:rPr>
        <w:t xml:space="preserve"> </w:t>
      </w:r>
      <w:r w:rsidR="006B5E55">
        <w:rPr>
          <w:lang w:val="sq-AL"/>
        </w:rPr>
        <w:t>e nxitj</w:t>
      </w:r>
      <w:r w:rsidR="00FE6E92">
        <w:rPr>
          <w:lang w:val="sq-AL"/>
        </w:rPr>
        <w:t>e</w:t>
      </w:r>
      <w:r w:rsidR="006B5E55">
        <w:rPr>
          <w:lang w:val="sq-AL"/>
        </w:rPr>
        <w:t>s s</w:t>
      </w:r>
      <w:r w:rsidR="006B5E55" w:rsidRPr="00E35625">
        <w:rPr>
          <w:lang w:val="sq-AL"/>
        </w:rPr>
        <w:t>ë</w:t>
      </w:r>
      <w:r w:rsidR="006B5E55">
        <w:rPr>
          <w:lang w:val="sq-AL"/>
        </w:rPr>
        <w:t xml:space="preserve"> pun</w:t>
      </w:r>
      <w:r w:rsidR="006B5E55" w:rsidRPr="00E35625">
        <w:rPr>
          <w:lang w:val="sq-AL"/>
        </w:rPr>
        <w:t>ë</w:t>
      </w:r>
      <w:r w:rsidR="006B5E55">
        <w:rPr>
          <w:lang w:val="sq-AL"/>
        </w:rPr>
        <w:t>simit</w:t>
      </w:r>
      <w:r w:rsidR="00D9582F" w:rsidRPr="00E35625">
        <w:rPr>
          <w:lang w:val="sq-AL"/>
        </w:rPr>
        <w:t xml:space="preserve">  </w:t>
      </w:r>
      <w:r w:rsidRPr="00E35625">
        <w:rPr>
          <w:lang w:val="sq-AL"/>
        </w:rPr>
        <w:t>duhet të rrisin efikasitetin dhe nivelin e mbulimit për të adresuar mospërputhjen e aftësive mes kërkesës dhe of</w:t>
      </w:r>
      <w:r w:rsidR="00FE6E92">
        <w:rPr>
          <w:lang w:val="sq-AL"/>
        </w:rPr>
        <w:t>e</w:t>
      </w:r>
      <w:r w:rsidRPr="00E35625">
        <w:rPr>
          <w:lang w:val="sq-AL"/>
        </w:rPr>
        <w:t xml:space="preserve">rtës. </w:t>
      </w:r>
      <w:r w:rsidR="00FE6E92">
        <w:rPr>
          <w:lang w:val="sq-AL"/>
        </w:rPr>
        <w:t>Arritja e këtij qëllimi mund të realizohet</w:t>
      </w:r>
      <w:r w:rsidR="00152B7C">
        <w:rPr>
          <w:lang w:val="sq-AL"/>
        </w:rPr>
        <w:t xml:space="preserve"> </w:t>
      </w:r>
      <w:r w:rsidR="00FE6E92">
        <w:rPr>
          <w:lang w:val="sq-AL"/>
        </w:rPr>
        <w:t>duke</w:t>
      </w:r>
      <w:r w:rsidRPr="00E35625">
        <w:rPr>
          <w:lang w:val="sq-AL"/>
        </w:rPr>
        <w:t xml:space="preserve"> </w:t>
      </w:r>
      <w:r w:rsidR="00766DAC" w:rsidRPr="00E35625">
        <w:rPr>
          <w:lang w:val="sq-AL"/>
        </w:rPr>
        <w:t>invest</w:t>
      </w:r>
      <w:r w:rsidR="007931D7" w:rsidRPr="00E35625">
        <w:rPr>
          <w:lang w:val="sq-AL"/>
        </w:rPr>
        <w:t>uar</w:t>
      </w:r>
      <w:r w:rsidR="00766DAC" w:rsidRPr="00E35625">
        <w:rPr>
          <w:lang w:val="sq-AL"/>
        </w:rPr>
        <w:t xml:space="preserve"> </w:t>
      </w:r>
      <w:r w:rsidRPr="00E35625">
        <w:rPr>
          <w:lang w:val="sq-AL"/>
        </w:rPr>
        <w:t>në zhvillimin e produkteve digjitale për punëdhënësin dhe punëkërkuesin</w:t>
      </w:r>
      <w:r w:rsidR="007931D7" w:rsidRPr="00E35625">
        <w:rPr>
          <w:lang w:val="sq-AL"/>
        </w:rPr>
        <w:t>,</w:t>
      </w:r>
      <w:r w:rsidRPr="00E35625">
        <w:rPr>
          <w:lang w:val="sq-AL"/>
        </w:rPr>
        <w:t xml:space="preserve"> por edhe </w:t>
      </w:r>
      <w:r w:rsidR="00FE6E92">
        <w:rPr>
          <w:lang w:val="sq-AL"/>
        </w:rPr>
        <w:t>n</w:t>
      </w:r>
      <w:r w:rsidRPr="00E35625">
        <w:rPr>
          <w:lang w:val="sq-AL"/>
        </w:rPr>
        <w:t>ë ndrysh</w:t>
      </w:r>
      <w:r w:rsidR="00FE6E92">
        <w:rPr>
          <w:lang w:val="sq-AL"/>
        </w:rPr>
        <w:t>imin</w:t>
      </w:r>
      <w:r w:rsidRPr="00E35625">
        <w:rPr>
          <w:lang w:val="sq-AL"/>
        </w:rPr>
        <w:t xml:space="preserve"> </w:t>
      </w:r>
      <w:r w:rsidR="00FE6E92">
        <w:rPr>
          <w:lang w:val="sq-AL"/>
        </w:rPr>
        <w:t xml:space="preserve">e </w:t>
      </w:r>
      <w:r w:rsidRPr="00E35625">
        <w:rPr>
          <w:lang w:val="sq-AL"/>
        </w:rPr>
        <w:t>modeli</w:t>
      </w:r>
      <w:r w:rsidR="00FE6E92">
        <w:rPr>
          <w:lang w:val="sq-AL"/>
        </w:rPr>
        <w:t>t</w:t>
      </w:r>
      <w:r w:rsidRPr="00E35625">
        <w:rPr>
          <w:lang w:val="sq-AL"/>
        </w:rPr>
        <w:t xml:space="preserve"> </w:t>
      </w:r>
      <w:r w:rsidR="00FE6E92">
        <w:rPr>
          <w:lang w:val="sq-AL"/>
        </w:rPr>
        <w:t>të</w:t>
      </w:r>
      <w:r w:rsidRPr="00E35625">
        <w:rPr>
          <w:lang w:val="sq-AL"/>
        </w:rPr>
        <w:t xml:space="preserve"> ofrimit të shërbimeve</w:t>
      </w:r>
      <w:r w:rsidR="00FE6E92">
        <w:rPr>
          <w:lang w:val="sq-AL"/>
        </w:rPr>
        <w:t xml:space="preserve"> të cilat</w:t>
      </w:r>
      <w:r w:rsidR="00766DAC" w:rsidRPr="00E35625">
        <w:rPr>
          <w:lang w:val="sq-AL"/>
        </w:rPr>
        <w:t xml:space="preserve"> duhet të bëhen</w:t>
      </w:r>
      <w:r w:rsidRPr="00E35625">
        <w:rPr>
          <w:lang w:val="sq-AL"/>
        </w:rPr>
        <w:t xml:space="preserve"> gjithnjë e më shumë pjesë e një ekosistemi më të gjerë të shërbimeve të punësimit, </w:t>
      </w:r>
      <w:r w:rsidR="00787D62" w:rsidRPr="00E35625">
        <w:rPr>
          <w:lang w:val="sq-AL"/>
        </w:rPr>
        <w:t xml:space="preserve">si në </w:t>
      </w:r>
      <w:r w:rsidRPr="00E35625">
        <w:rPr>
          <w:lang w:val="sq-AL"/>
        </w:rPr>
        <w:t xml:space="preserve">vendet </w:t>
      </w:r>
      <w:r w:rsidR="00787D62" w:rsidRPr="00E35625">
        <w:rPr>
          <w:lang w:val="sq-AL"/>
        </w:rPr>
        <w:t>anëtare të</w:t>
      </w:r>
      <w:r w:rsidRPr="00E35625">
        <w:rPr>
          <w:lang w:val="sq-AL"/>
        </w:rPr>
        <w:t xml:space="preserve"> BE-së dhe me fokus më të madh  </w:t>
      </w:r>
      <w:r w:rsidR="00787D62" w:rsidRPr="00E35625">
        <w:rPr>
          <w:lang w:val="sq-AL"/>
        </w:rPr>
        <w:t xml:space="preserve">në </w:t>
      </w:r>
      <w:r w:rsidRPr="00E35625">
        <w:rPr>
          <w:lang w:val="sq-AL"/>
        </w:rPr>
        <w:t>zhvillimi</w:t>
      </w:r>
      <w:r w:rsidR="00787D62" w:rsidRPr="00E35625">
        <w:rPr>
          <w:lang w:val="sq-AL"/>
        </w:rPr>
        <w:t>n e</w:t>
      </w:r>
      <w:r w:rsidRPr="00E35625">
        <w:rPr>
          <w:lang w:val="sq-AL"/>
        </w:rPr>
        <w:t xml:space="preserve"> aftësive, adresimi</w:t>
      </w:r>
      <w:r w:rsidR="00787D62" w:rsidRPr="00E35625">
        <w:rPr>
          <w:lang w:val="sq-AL"/>
        </w:rPr>
        <w:t xml:space="preserve">n e </w:t>
      </w:r>
      <w:r w:rsidRPr="00E35625">
        <w:rPr>
          <w:lang w:val="sq-AL"/>
        </w:rPr>
        <w:t>barrierave të tjera të punëkërkuesve për të hyrë në tregun e punës dhe për të gjetur punë</w:t>
      </w:r>
      <w:r w:rsidR="00787D62" w:rsidRPr="00E35625">
        <w:rPr>
          <w:lang w:val="sq-AL"/>
        </w:rPr>
        <w:t>,</w:t>
      </w:r>
      <w:r w:rsidRPr="00E35625">
        <w:rPr>
          <w:lang w:val="sq-AL"/>
        </w:rPr>
        <w:t xml:space="preserve"> si dhe për lehtësuar tranzicionin e punësimit (nga bujqësi</w:t>
      </w:r>
      <w:r w:rsidR="00FE6E92">
        <w:rPr>
          <w:lang w:val="sq-AL"/>
        </w:rPr>
        <w:t>a</w:t>
      </w:r>
      <w:r w:rsidRPr="00E35625">
        <w:rPr>
          <w:lang w:val="sq-AL"/>
        </w:rPr>
        <w:t xml:space="preserve"> në industri dhe në shërbime duke përfshirë tranzicionin gjelbërt si dhe atë digjital). Kjo kërkon zhvillimin e sistemit për monitorimin dhe parashikimin e aftësive, por edhe krijimin e sistemeve mbështetëse duke </w:t>
      </w:r>
      <w:r w:rsidR="00FE6E92">
        <w:rPr>
          <w:lang w:val="sq-AL"/>
        </w:rPr>
        <w:t>u mbështetur në bashkëpunimin e</w:t>
      </w:r>
      <w:r w:rsidR="00FE6E92" w:rsidRPr="00E35625">
        <w:rPr>
          <w:lang w:val="sq-AL"/>
        </w:rPr>
        <w:t xml:space="preserve"> </w:t>
      </w:r>
      <w:r w:rsidRPr="00E35625">
        <w:rPr>
          <w:lang w:val="sq-AL"/>
        </w:rPr>
        <w:t>një sërë aktorësh të tjerë</w:t>
      </w:r>
      <w:r w:rsidR="00FF61F7">
        <w:rPr>
          <w:lang w:val="sq-AL"/>
        </w:rPr>
        <w:t xml:space="preserve">, si:  organizata jofitimprurëse, ofrues publikë e jopublikë trajnimesh, njësitë e </w:t>
      </w:r>
      <w:r w:rsidR="00FF61F7" w:rsidRPr="00133241">
        <w:rPr>
          <w:lang w:val="sq-AL"/>
        </w:rPr>
        <w:t>vetëqeverisjes</w:t>
      </w:r>
      <w:r w:rsidR="00FF61F7" w:rsidRPr="00E14B65">
        <w:rPr>
          <w:rFonts w:asciiTheme="majorHAnsi" w:hAnsiTheme="majorHAnsi" w:cstheme="majorHAnsi"/>
          <w:sz w:val="18"/>
          <w:szCs w:val="18"/>
        </w:rPr>
        <w:t xml:space="preserve"> </w:t>
      </w:r>
      <w:r w:rsidR="00FF61F7" w:rsidRPr="00133241">
        <w:rPr>
          <w:lang w:val="sq-AL"/>
        </w:rPr>
        <w:t>vendore</w:t>
      </w:r>
      <w:r w:rsidR="00FF61F7">
        <w:rPr>
          <w:lang w:val="sq-AL"/>
        </w:rPr>
        <w:t>, ofrues të shërbimeve sociale, organizatat e punëdhënësve, partnerët socialë, agjenci private punësimi, agjencitë e punësimit të përkohshëm, etj</w:t>
      </w:r>
      <w:r w:rsidRPr="00E35625">
        <w:rPr>
          <w:lang w:val="sq-AL"/>
        </w:rPr>
        <w:t xml:space="preserve">. </w:t>
      </w:r>
      <w:r w:rsidR="00AC170C">
        <w:rPr>
          <w:lang w:val="sq-AL"/>
        </w:rPr>
        <w:t>Nevojitet bashk</w:t>
      </w:r>
      <w:r w:rsidR="00AC170C" w:rsidRPr="00E35625">
        <w:rPr>
          <w:lang w:val="sq-AL"/>
        </w:rPr>
        <w:t>ë</w:t>
      </w:r>
      <w:r w:rsidR="00AC170C">
        <w:rPr>
          <w:lang w:val="sq-AL"/>
        </w:rPr>
        <w:t>punim</w:t>
      </w:r>
      <w:r w:rsidRPr="00E35625">
        <w:rPr>
          <w:lang w:val="sq-AL"/>
        </w:rPr>
        <w:t xml:space="preserve"> gjithnjë e më shumë në partneritet me aktorët e tjerë në ekosistem për të ofruar mbështetjen e nevojshme, për të ndihmuar integrimin e personave nga grupet e veçanta në tregun e punës si</w:t>
      </w:r>
      <w:r w:rsidR="00850D18" w:rsidRPr="00E35625">
        <w:rPr>
          <w:lang w:val="sq-AL"/>
        </w:rPr>
        <w:t>:</w:t>
      </w:r>
      <w:r w:rsidRPr="00E35625">
        <w:rPr>
          <w:lang w:val="sq-AL"/>
        </w:rPr>
        <w:t xml:space="preserve"> të rinjtë (përmes </w:t>
      </w:r>
      <w:r w:rsidR="006E0E46">
        <w:rPr>
          <w:lang w:val="sq-AL"/>
        </w:rPr>
        <w:t>skemës s</w:t>
      </w:r>
      <w:r w:rsidRPr="00E35625">
        <w:rPr>
          <w:lang w:val="sq-AL"/>
        </w:rPr>
        <w:t xml:space="preserve">ë garancisë </w:t>
      </w:r>
      <w:r w:rsidR="00D92E4A" w:rsidRPr="00E35625">
        <w:rPr>
          <w:lang w:val="sq-AL"/>
        </w:rPr>
        <w:t>rinore</w:t>
      </w:r>
      <w:r w:rsidRPr="00E35625">
        <w:rPr>
          <w:lang w:val="sq-AL"/>
        </w:rPr>
        <w:t>), personat me aftësi të kufizuara (përmes Fondit Social të Punësimit), viktimat e dhunës në familje</w:t>
      </w:r>
      <w:r w:rsidR="00850D18" w:rsidRPr="00E35625">
        <w:rPr>
          <w:lang w:val="sq-AL"/>
        </w:rPr>
        <w:t>,</w:t>
      </w:r>
      <w:r w:rsidRPr="00E35625">
        <w:rPr>
          <w:lang w:val="sq-AL"/>
        </w:rPr>
        <w:t xml:space="preserve"> etj. Gjatë këtij procesi</w:t>
      </w:r>
      <w:r w:rsidR="00850D18" w:rsidRPr="00E35625">
        <w:rPr>
          <w:lang w:val="sq-AL"/>
        </w:rPr>
        <w:t xml:space="preserve">, </w:t>
      </w:r>
      <w:r w:rsidR="00AC170C">
        <w:rPr>
          <w:lang w:val="sq-AL"/>
        </w:rPr>
        <w:t xml:space="preserve">duhet </w:t>
      </w:r>
      <w:r w:rsidRPr="00E35625">
        <w:rPr>
          <w:lang w:val="sq-AL"/>
        </w:rPr>
        <w:t>demonstr</w:t>
      </w:r>
      <w:r w:rsidR="00AC170C">
        <w:rPr>
          <w:lang w:val="sq-AL"/>
        </w:rPr>
        <w:t>uar</w:t>
      </w:r>
      <w:r w:rsidRPr="00E35625">
        <w:rPr>
          <w:lang w:val="sq-AL"/>
        </w:rPr>
        <w:t xml:space="preserve"> përshtatshmëri dhe fleksibilitet </w:t>
      </w:r>
      <w:r w:rsidR="007F41E4" w:rsidRPr="00E35625">
        <w:rPr>
          <w:lang w:val="sq-AL"/>
        </w:rPr>
        <w:t>i</w:t>
      </w:r>
      <w:r w:rsidRPr="00E35625">
        <w:rPr>
          <w:lang w:val="sq-AL"/>
        </w:rPr>
        <w:t xml:space="preserve"> gjerë në hartimin dhe ofrimin e shërbimeve dhe </w:t>
      </w:r>
      <w:r w:rsidR="00D92E4A" w:rsidRPr="00E35625">
        <w:rPr>
          <w:lang w:val="sq-AL"/>
        </w:rPr>
        <w:t>programeve të nxitjes së punësimit,</w:t>
      </w:r>
      <w:r w:rsidRPr="00E35625">
        <w:rPr>
          <w:lang w:val="sq-AL"/>
        </w:rPr>
        <w:t xml:space="preserve"> përmes një rrjeti shërbimesh punësimi</w:t>
      </w:r>
      <w:r w:rsidR="00D92E4A" w:rsidRPr="00E35625">
        <w:rPr>
          <w:lang w:val="sq-AL"/>
        </w:rPr>
        <w:t xml:space="preserve">, </w:t>
      </w:r>
      <w:r w:rsidRPr="00E35625">
        <w:rPr>
          <w:lang w:val="sq-AL"/>
        </w:rPr>
        <w:t xml:space="preserve">që </w:t>
      </w:r>
      <w:r w:rsidR="00850D18" w:rsidRPr="00E35625">
        <w:rPr>
          <w:lang w:val="sq-AL"/>
        </w:rPr>
        <w:t>u</w:t>
      </w:r>
      <w:r w:rsidRPr="00E35625">
        <w:rPr>
          <w:lang w:val="sq-AL"/>
        </w:rPr>
        <w:t xml:space="preserve"> përgjigjet nevojave individuale të të papunëve dhe nevojave të tregut të punës me një kuadër të fuqishëm monitorimi dhe vlerësimi</w:t>
      </w:r>
      <w:r w:rsidRPr="00E35625">
        <w:rPr>
          <w:rFonts w:eastAsia="Times New Roman"/>
          <w:iCs/>
          <w:shd w:val="clear" w:color="auto" w:fill="FFFFFF"/>
          <w:lang w:val="sq-AL"/>
        </w:rPr>
        <w:t>.</w:t>
      </w:r>
      <w:r w:rsidRPr="00E35625">
        <w:rPr>
          <w:rFonts w:eastAsia="Times New Roman"/>
          <w:lang w:val="sq-AL"/>
        </w:rPr>
        <w:t xml:space="preserve"> </w:t>
      </w:r>
    </w:p>
    <w:p w14:paraId="3CA54DB0" w14:textId="3241E768" w:rsidR="007B3957" w:rsidRPr="00E35625" w:rsidRDefault="00850D18" w:rsidP="00E14B65">
      <w:pPr>
        <w:rPr>
          <w:sz w:val="20"/>
          <w:szCs w:val="20"/>
          <w:lang w:val="sq-AL"/>
        </w:rPr>
      </w:pPr>
      <w:r w:rsidRPr="00E35625">
        <w:rPr>
          <w:lang w:val="sq-AL"/>
        </w:rPr>
        <w:t>P</w:t>
      </w:r>
      <w:r w:rsidR="006E35D1" w:rsidRPr="00E35625">
        <w:rPr>
          <w:lang w:val="sq-AL"/>
        </w:rPr>
        <w:t>ë</w:t>
      </w:r>
      <w:r w:rsidRPr="00E35625">
        <w:rPr>
          <w:lang w:val="sq-AL"/>
        </w:rPr>
        <w:t>rsa u p</w:t>
      </w:r>
      <w:r w:rsidR="006E35D1" w:rsidRPr="00E35625">
        <w:rPr>
          <w:lang w:val="sq-AL"/>
        </w:rPr>
        <w:t>ë</w:t>
      </w:r>
      <w:r w:rsidRPr="00E35625">
        <w:rPr>
          <w:lang w:val="sq-AL"/>
        </w:rPr>
        <w:t>rket</w:t>
      </w:r>
      <w:r w:rsidR="007B3957" w:rsidRPr="00E35625">
        <w:rPr>
          <w:lang w:val="sq-AL"/>
        </w:rPr>
        <w:t xml:space="preserve"> </w:t>
      </w:r>
      <w:r w:rsidR="006E35D1" w:rsidRPr="00E35625">
        <w:rPr>
          <w:lang w:val="sq-AL"/>
        </w:rPr>
        <w:t>a</w:t>
      </w:r>
      <w:r w:rsidR="007B3957" w:rsidRPr="00E35625">
        <w:rPr>
          <w:lang w:val="sq-AL"/>
        </w:rPr>
        <w:t xml:space="preserve">gjencive </w:t>
      </w:r>
      <w:r w:rsidR="006E35D1" w:rsidRPr="00E35625">
        <w:rPr>
          <w:lang w:val="sq-AL"/>
        </w:rPr>
        <w:t>p</w:t>
      </w:r>
      <w:r w:rsidR="007B3957" w:rsidRPr="00E35625">
        <w:rPr>
          <w:lang w:val="sq-AL"/>
        </w:rPr>
        <w:t xml:space="preserve">rivate të </w:t>
      </w:r>
      <w:r w:rsidR="006E35D1" w:rsidRPr="00E35625">
        <w:rPr>
          <w:lang w:val="sq-AL"/>
        </w:rPr>
        <w:t>p</w:t>
      </w:r>
      <w:r w:rsidR="007B3957" w:rsidRPr="00E35625">
        <w:rPr>
          <w:lang w:val="sq-AL"/>
        </w:rPr>
        <w:t xml:space="preserve">unësimit dhe ofruesve </w:t>
      </w:r>
      <w:r w:rsidRPr="00E35625">
        <w:rPr>
          <w:lang w:val="sq-AL"/>
        </w:rPr>
        <w:t>jopublikë</w:t>
      </w:r>
      <w:r w:rsidR="007B3957" w:rsidRPr="00E35625">
        <w:rPr>
          <w:lang w:val="sq-AL"/>
        </w:rPr>
        <w:t xml:space="preserve"> të shërbimeve të punësimit, duhet te rishikohet korniza ligjore dhe të zhvillohen masa mbështetëse për t'i përfshirë ato si pjesë e ekosistemit për ofrimin e shërbimeve të punësimit.</w:t>
      </w:r>
    </w:p>
    <w:p w14:paraId="265745C6" w14:textId="31C73F79" w:rsidR="00455AC9" w:rsidRPr="00E35625" w:rsidRDefault="00455AC9" w:rsidP="00E14B65">
      <w:pPr>
        <w:pStyle w:val="Heading3"/>
        <w:numPr>
          <w:ilvl w:val="2"/>
          <w:numId w:val="3"/>
        </w:numPr>
        <w:rPr>
          <w:sz w:val="24"/>
          <w:lang w:val="sq-AL"/>
        </w:rPr>
      </w:pPr>
      <w:bookmarkStart w:id="17" w:name="_Toc123165405"/>
      <w:r w:rsidRPr="00E35625">
        <w:rPr>
          <w:lang w:val="sq-AL"/>
        </w:rPr>
        <w:t xml:space="preserve">Cilësia e </w:t>
      </w:r>
      <w:r w:rsidR="00BC66E9" w:rsidRPr="00E35625">
        <w:rPr>
          <w:lang w:val="sq-AL"/>
        </w:rPr>
        <w:t>p</w:t>
      </w:r>
      <w:r w:rsidRPr="00E35625">
        <w:rPr>
          <w:lang w:val="sq-AL"/>
        </w:rPr>
        <w:t>unës</w:t>
      </w:r>
      <w:bookmarkEnd w:id="17"/>
    </w:p>
    <w:p w14:paraId="4ACE4C63" w14:textId="72A60E57" w:rsidR="00455AC9" w:rsidRPr="00E35625" w:rsidRDefault="00455AC9" w:rsidP="00E14B65">
      <w:pPr>
        <w:rPr>
          <w:lang w:val="sq-AL"/>
        </w:rPr>
      </w:pPr>
      <w:r w:rsidRPr="00E35625">
        <w:rPr>
          <w:lang w:val="sq-AL"/>
        </w:rPr>
        <w:t>Shqipëria duhet të bashkërendoj</w:t>
      </w:r>
      <w:r w:rsidR="00DE6D4E" w:rsidRPr="00E35625">
        <w:rPr>
          <w:lang w:val="sq-AL"/>
        </w:rPr>
        <w:t>ë</w:t>
      </w:r>
      <w:r w:rsidRPr="00E35625">
        <w:rPr>
          <w:lang w:val="sq-AL"/>
        </w:rPr>
        <w:t xml:space="preserve"> </w:t>
      </w:r>
      <w:r w:rsidR="007F41E4" w:rsidRPr="00E35625">
        <w:rPr>
          <w:lang w:val="sq-AL"/>
        </w:rPr>
        <w:t xml:space="preserve">politikat </w:t>
      </w:r>
      <w:r w:rsidR="004A16A4">
        <w:rPr>
          <w:lang w:val="sq-AL"/>
        </w:rPr>
        <w:t xml:space="preserve">e saj me ato të </w:t>
      </w:r>
      <w:r w:rsidRPr="00E35625">
        <w:rPr>
          <w:lang w:val="sq-AL"/>
        </w:rPr>
        <w:t>BE-</w:t>
      </w:r>
      <w:r w:rsidR="004A16A4">
        <w:rPr>
          <w:lang w:val="sq-AL"/>
        </w:rPr>
        <w:t>s</w:t>
      </w:r>
      <w:r w:rsidRPr="00E35625">
        <w:rPr>
          <w:lang w:val="sq-AL"/>
        </w:rPr>
        <w:t xml:space="preserve">ë </w:t>
      </w:r>
      <w:r w:rsidR="004A16A4">
        <w:rPr>
          <w:lang w:val="sq-AL"/>
        </w:rPr>
        <w:t>edhe në fushën e</w:t>
      </w:r>
      <w:r w:rsidRPr="00E35625">
        <w:rPr>
          <w:lang w:val="sq-AL"/>
        </w:rPr>
        <w:t xml:space="preserve"> cil</w:t>
      </w:r>
      <w:r w:rsidR="00DE6D4E" w:rsidRPr="00E35625">
        <w:rPr>
          <w:lang w:val="sq-AL"/>
        </w:rPr>
        <w:t>ë</w:t>
      </w:r>
      <w:r w:rsidRPr="00E35625">
        <w:rPr>
          <w:lang w:val="sq-AL"/>
        </w:rPr>
        <w:t>si</w:t>
      </w:r>
      <w:r w:rsidR="004A16A4">
        <w:rPr>
          <w:lang w:val="sq-AL"/>
        </w:rPr>
        <w:t>s</w:t>
      </w:r>
      <w:r w:rsidR="00DE6D4E" w:rsidRPr="00E35625">
        <w:rPr>
          <w:lang w:val="sq-AL"/>
        </w:rPr>
        <w:t>ë</w:t>
      </w:r>
      <w:r w:rsidR="00850D18" w:rsidRPr="00E35625">
        <w:rPr>
          <w:lang w:val="sq-AL"/>
        </w:rPr>
        <w:t xml:space="preserve"> </w:t>
      </w:r>
      <w:r w:rsidR="004A16A4">
        <w:rPr>
          <w:lang w:val="sq-AL"/>
        </w:rPr>
        <w:t>së</w:t>
      </w:r>
      <w:r w:rsidRPr="00E35625">
        <w:rPr>
          <w:lang w:val="sq-AL"/>
        </w:rPr>
        <w:t xml:space="preserve"> punës </w:t>
      </w:r>
      <w:r w:rsidR="00D92E4A" w:rsidRPr="00E35625">
        <w:rPr>
          <w:lang w:val="sq-AL"/>
        </w:rPr>
        <w:t>dhe</w:t>
      </w:r>
      <w:r w:rsidRPr="00E35625">
        <w:rPr>
          <w:lang w:val="sq-AL"/>
        </w:rPr>
        <w:t xml:space="preserve"> punë</w:t>
      </w:r>
      <w:r w:rsidR="004A16A4">
        <w:rPr>
          <w:lang w:val="sq-AL"/>
        </w:rPr>
        <w:t>s</w:t>
      </w:r>
      <w:r w:rsidR="00D92E4A" w:rsidRPr="00E35625">
        <w:rPr>
          <w:lang w:val="sq-AL"/>
        </w:rPr>
        <w:t xml:space="preserve"> </w:t>
      </w:r>
      <w:r w:rsidR="004A16A4">
        <w:rPr>
          <w:lang w:val="sq-AL"/>
        </w:rPr>
        <w:t>së</w:t>
      </w:r>
      <w:r w:rsidRPr="00E35625">
        <w:rPr>
          <w:lang w:val="sq-AL"/>
        </w:rPr>
        <w:t xml:space="preserve"> denjë. Punësimi informal edhe pse në trend </w:t>
      </w:r>
      <w:r w:rsidR="00850D18" w:rsidRPr="00E35625">
        <w:rPr>
          <w:lang w:val="sq-AL"/>
        </w:rPr>
        <w:t>r</w:t>
      </w:r>
      <w:r w:rsidRPr="00E35625">
        <w:rPr>
          <w:lang w:val="sq-AL"/>
        </w:rPr>
        <w:t>ë</w:t>
      </w:r>
      <w:r w:rsidR="00850D18" w:rsidRPr="00E35625">
        <w:rPr>
          <w:lang w:val="sq-AL"/>
        </w:rPr>
        <w:t>n</w:t>
      </w:r>
      <w:r w:rsidRPr="00E35625">
        <w:rPr>
          <w:lang w:val="sq-AL"/>
        </w:rPr>
        <w:t>ë</w:t>
      </w:r>
      <w:r w:rsidR="00850D18" w:rsidRPr="00E35625">
        <w:rPr>
          <w:lang w:val="sq-AL"/>
        </w:rPr>
        <w:t>s</w:t>
      </w:r>
      <w:r w:rsidRPr="00E35625">
        <w:rPr>
          <w:lang w:val="sq-AL"/>
        </w:rPr>
        <w:t xml:space="preserve">, mbetet  </w:t>
      </w:r>
      <w:r w:rsidR="007F41E4" w:rsidRPr="00E35625">
        <w:rPr>
          <w:lang w:val="sq-AL"/>
        </w:rPr>
        <w:t xml:space="preserve">relativisht </w:t>
      </w:r>
      <w:r w:rsidRPr="00E35625">
        <w:rPr>
          <w:lang w:val="sq-AL"/>
        </w:rPr>
        <w:t xml:space="preserve">më </w:t>
      </w:r>
      <w:r w:rsidR="007F41E4" w:rsidRPr="00E35625">
        <w:rPr>
          <w:lang w:val="sq-AL"/>
        </w:rPr>
        <w:t xml:space="preserve">i </w:t>
      </w:r>
      <w:r w:rsidRPr="00E35625">
        <w:rPr>
          <w:lang w:val="sq-AL"/>
        </w:rPr>
        <w:t xml:space="preserve"> lartë tek të rinjtë, punëtorët me kualifikim të ulët dhe në sektorë të caktuar të ekonomisë, si</w:t>
      </w:r>
      <w:r w:rsidR="00850D18" w:rsidRPr="00E35625">
        <w:rPr>
          <w:lang w:val="sq-AL"/>
        </w:rPr>
        <w:t>:</w:t>
      </w:r>
      <w:r w:rsidRPr="00E35625">
        <w:rPr>
          <w:lang w:val="sq-AL"/>
        </w:rPr>
        <w:t xml:space="preserve"> bujqësia, ndërtimi dhe shërbimet e ushqimit dhe </w:t>
      </w:r>
      <w:r w:rsidR="00850D18" w:rsidRPr="00E35625">
        <w:rPr>
          <w:lang w:val="sq-AL"/>
        </w:rPr>
        <w:t xml:space="preserve">të </w:t>
      </w:r>
      <w:r w:rsidRPr="00E35625">
        <w:rPr>
          <w:lang w:val="sq-AL"/>
        </w:rPr>
        <w:t xml:space="preserve">akomodimit. </w:t>
      </w:r>
      <w:r w:rsidR="009E2AF0" w:rsidRPr="00E35625">
        <w:rPr>
          <w:lang w:val="sq-AL"/>
        </w:rPr>
        <w:t xml:space="preserve">Në vitin 2021 </w:t>
      </w:r>
      <w:r w:rsidRPr="00E35625">
        <w:rPr>
          <w:lang w:val="sq-AL"/>
        </w:rPr>
        <w:t>rezulton se vetëm 47.9</w:t>
      </w:r>
      <w:r w:rsidR="002D06AB">
        <w:rPr>
          <w:lang w:val="sq-AL"/>
        </w:rPr>
        <w:t xml:space="preserve"> përqind</w:t>
      </w:r>
      <w:r w:rsidRPr="00E35625">
        <w:rPr>
          <w:lang w:val="sq-AL"/>
        </w:rPr>
        <w:t xml:space="preserve"> (nga 41.2</w:t>
      </w:r>
      <w:r w:rsidR="009E2AF0" w:rsidRPr="00E35625">
        <w:rPr>
          <w:lang w:val="sq-AL"/>
        </w:rPr>
        <w:t xml:space="preserve"> </w:t>
      </w:r>
      <w:r w:rsidR="004A16A4">
        <w:rPr>
          <w:lang w:val="sq-AL"/>
        </w:rPr>
        <w:t xml:space="preserve"> përqind</w:t>
      </w:r>
      <w:r w:rsidR="009E2AF0" w:rsidRPr="00E35625">
        <w:rPr>
          <w:lang w:val="sq-AL"/>
        </w:rPr>
        <w:t xml:space="preserve"> në vitin </w:t>
      </w:r>
      <w:r w:rsidRPr="00E35625">
        <w:rPr>
          <w:lang w:val="sq-AL"/>
        </w:rPr>
        <w:t>2016) e të punësuarve janë të punësuar me pagë</w:t>
      </w:r>
      <w:r w:rsidRPr="00E35625">
        <w:rPr>
          <w:rStyle w:val="FootnoteReference"/>
          <w:rFonts w:ascii="Calibri" w:hAnsi="Calibri" w:cs="Calibri"/>
          <w:lang w:val="sq-AL"/>
        </w:rPr>
        <w:footnoteReference w:id="25"/>
      </w:r>
      <w:r w:rsidRPr="00E35625">
        <w:rPr>
          <w:lang w:val="sq-AL"/>
        </w:rPr>
        <w:t xml:space="preserve">, ndërsa pjesa tjetër </w:t>
      </w:r>
      <w:r w:rsidR="00850D18" w:rsidRPr="00E35625">
        <w:rPr>
          <w:lang w:val="sq-AL"/>
        </w:rPr>
        <w:t xml:space="preserve">janë </w:t>
      </w:r>
      <w:r w:rsidRPr="00E35625">
        <w:rPr>
          <w:lang w:val="sq-AL"/>
        </w:rPr>
        <w:t>punëtorë pa pagë që puno</w:t>
      </w:r>
      <w:r w:rsidR="00850D18" w:rsidRPr="00E35625">
        <w:rPr>
          <w:lang w:val="sq-AL"/>
        </w:rPr>
        <w:t>jnë</w:t>
      </w:r>
      <w:r w:rsidRPr="00E35625">
        <w:rPr>
          <w:lang w:val="sq-AL"/>
        </w:rPr>
        <w:t xml:space="preserve"> si </w:t>
      </w:r>
      <w:r w:rsidR="00850D18" w:rsidRPr="00E35625">
        <w:rPr>
          <w:lang w:val="sq-AL"/>
        </w:rPr>
        <w:t xml:space="preserve">të </w:t>
      </w:r>
      <w:r w:rsidRPr="00E35625">
        <w:rPr>
          <w:lang w:val="sq-AL"/>
        </w:rPr>
        <w:t>vetëpunësuar apo me familjet e tyre</w:t>
      </w:r>
      <w:r w:rsidRPr="00E35625">
        <w:rPr>
          <w:rStyle w:val="FootnoteReference"/>
          <w:rFonts w:ascii="Calibri" w:hAnsi="Calibri" w:cs="Calibri"/>
          <w:lang w:val="sq-AL"/>
        </w:rPr>
        <w:footnoteReference w:id="26"/>
      </w:r>
      <w:r w:rsidRPr="00E35625">
        <w:rPr>
          <w:lang w:val="sq-AL"/>
        </w:rPr>
        <w:t>.</w:t>
      </w:r>
      <w:r w:rsidR="004A16A4">
        <w:rPr>
          <w:lang w:val="sq-AL"/>
        </w:rPr>
        <w:t xml:space="preserve"> </w:t>
      </w:r>
      <w:r w:rsidR="007F41E4" w:rsidRPr="00E35625">
        <w:rPr>
          <w:lang w:val="sq-AL"/>
        </w:rPr>
        <w:t>P</w:t>
      </w:r>
      <w:r w:rsidRPr="00E35625">
        <w:rPr>
          <w:lang w:val="sq-AL"/>
        </w:rPr>
        <w:t>unësimi informal në sektorin jobujqësor</w:t>
      </w:r>
      <w:r w:rsidRPr="00E35625">
        <w:rPr>
          <w:rStyle w:val="FootnoteReference"/>
          <w:rFonts w:ascii="Calibri" w:hAnsi="Calibri" w:cs="Calibri"/>
          <w:lang w:val="sq-AL"/>
        </w:rPr>
        <w:footnoteReference w:id="27"/>
      </w:r>
      <w:r w:rsidRPr="00E35625">
        <w:rPr>
          <w:lang w:val="sq-AL"/>
        </w:rPr>
        <w:t xml:space="preserve"> i cili përfshin edhe marrëdhëniet gjysmëformale të punës</w:t>
      </w:r>
      <w:r w:rsidRPr="00E35625">
        <w:rPr>
          <w:rStyle w:val="FootnoteReference"/>
          <w:rFonts w:ascii="Calibri" w:hAnsi="Calibri" w:cs="Calibri"/>
          <w:lang w:val="sq-AL"/>
        </w:rPr>
        <w:footnoteReference w:id="28"/>
      </w:r>
      <w:r w:rsidRPr="00E35625">
        <w:rPr>
          <w:lang w:val="sq-AL"/>
        </w:rPr>
        <w:t xml:space="preserve"> sipas </w:t>
      </w:r>
      <w:r w:rsidR="009E2AF0" w:rsidRPr="00E35625">
        <w:rPr>
          <w:lang w:val="sq-AL"/>
        </w:rPr>
        <w:t>INSTAT-it në vitin 2021 ishte</w:t>
      </w:r>
      <w:r w:rsidRPr="00E35625">
        <w:rPr>
          <w:lang w:val="sq-AL"/>
        </w:rPr>
        <w:t xml:space="preserve"> 29.4</w:t>
      </w:r>
      <w:r w:rsidR="002D06AB">
        <w:rPr>
          <w:lang w:val="sq-AL"/>
        </w:rPr>
        <w:t xml:space="preserve"> përqind</w:t>
      </w:r>
      <w:r w:rsidRPr="00E35625">
        <w:rPr>
          <w:lang w:val="sq-AL"/>
        </w:rPr>
        <w:t xml:space="preserve"> (</w:t>
      </w:r>
      <w:r w:rsidR="006E35D1" w:rsidRPr="00E35625">
        <w:rPr>
          <w:lang w:val="sq-AL"/>
        </w:rPr>
        <w:t xml:space="preserve">nga </w:t>
      </w:r>
      <w:r w:rsidRPr="00E35625">
        <w:rPr>
          <w:lang w:val="sq-AL"/>
        </w:rPr>
        <w:t>32</w:t>
      </w:r>
      <w:r w:rsidR="009E2AF0" w:rsidRPr="00E35625">
        <w:rPr>
          <w:lang w:val="sq-AL"/>
        </w:rPr>
        <w:t xml:space="preserve"> </w:t>
      </w:r>
      <w:r w:rsidR="004A16A4">
        <w:rPr>
          <w:lang w:val="sq-AL"/>
        </w:rPr>
        <w:t xml:space="preserve"> përqind</w:t>
      </w:r>
      <w:r w:rsidRPr="00E35625">
        <w:rPr>
          <w:lang w:val="sq-AL"/>
        </w:rPr>
        <w:t xml:space="preserve"> në 2016). </w:t>
      </w:r>
    </w:p>
    <w:p w14:paraId="429448E9" w14:textId="6684A3B8" w:rsidR="00066407" w:rsidRDefault="00066407" w:rsidP="00AE0FCA">
      <w:pPr>
        <w:pStyle w:val="Caption"/>
        <w:keepNext/>
        <w:jc w:val="center"/>
      </w:pPr>
      <w:bookmarkStart w:id="18" w:name="_Toc123162118"/>
      <w:r>
        <w:lastRenderedPageBreak/>
        <w:t xml:space="preserve">Figura </w:t>
      </w:r>
      <w:r w:rsidR="004D4D2F">
        <w:fldChar w:fldCharType="begin"/>
      </w:r>
      <w:r w:rsidR="004D4D2F">
        <w:instrText xml:space="preserve"> SEQ Figura \* ARABIC </w:instrText>
      </w:r>
      <w:r w:rsidR="004D4D2F">
        <w:fldChar w:fldCharType="separate"/>
      </w:r>
      <w:r w:rsidR="00342919">
        <w:rPr>
          <w:noProof/>
        </w:rPr>
        <w:t>7</w:t>
      </w:r>
      <w:r w:rsidR="004D4D2F">
        <w:rPr>
          <w:noProof/>
        </w:rPr>
        <w:fldChar w:fldCharType="end"/>
      </w:r>
      <w:r>
        <w:t xml:space="preserve">: </w:t>
      </w:r>
      <w:r w:rsidRPr="00E962F1">
        <w:t>Figura: Llojet e ndryshme të punësimit dhe punësimi informal në sektorin jobujqësor</w:t>
      </w:r>
      <w:bookmarkEnd w:id="18"/>
    </w:p>
    <w:p w14:paraId="67555432" w14:textId="14694B4D" w:rsidR="00455AC9" w:rsidRPr="00E35625" w:rsidRDefault="00455AC9" w:rsidP="00E14B65">
      <w:pPr>
        <w:rPr>
          <w:lang w:val="sq-AL"/>
        </w:rPr>
      </w:pPr>
      <w:r w:rsidRPr="00E35625">
        <w:rPr>
          <w:noProof/>
        </w:rPr>
        <w:drawing>
          <wp:inline distT="0" distB="0" distL="0" distR="0" wp14:anchorId="205ADD05" wp14:editId="58DDC5BB">
            <wp:extent cx="5651500" cy="2425700"/>
            <wp:effectExtent l="0" t="0" r="12700" b="12700"/>
            <wp:docPr id="7" name="Chart 7">
              <a:extLst xmlns:a="http://schemas.openxmlformats.org/drawingml/2006/main">
                <a:ext uri="{FF2B5EF4-FFF2-40B4-BE49-F238E27FC236}">
                  <a16:creationId xmlns:a16="http://schemas.microsoft.com/office/drawing/2014/main" id="{65929FD5-4F82-DE43-B6B3-A78EC1D8F9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447B5F" w14:textId="3C2136E5" w:rsidR="00455AC9" w:rsidRPr="00E34EBF" w:rsidRDefault="00455AC9" w:rsidP="00E14B65">
      <w:pPr>
        <w:rPr>
          <w:sz w:val="18"/>
          <w:szCs w:val="18"/>
          <w:lang w:val="sq-AL"/>
        </w:rPr>
      </w:pPr>
      <w:r w:rsidRPr="00E34EBF">
        <w:rPr>
          <w:sz w:val="18"/>
          <w:szCs w:val="18"/>
          <w:lang w:val="sq-AL"/>
        </w:rPr>
        <w:t xml:space="preserve">Burimi: INSTAT, </w:t>
      </w:r>
      <w:r w:rsidR="00AA3EEE" w:rsidRPr="00E34EBF">
        <w:rPr>
          <w:sz w:val="18"/>
          <w:szCs w:val="18"/>
          <w:lang w:val="sq-AL"/>
        </w:rPr>
        <w:t xml:space="preserve">Tregu i Punës </w:t>
      </w:r>
      <w:r w:rsidRPr="00E34EBF">
        <w:rPr>
          <w:sz w:val="18"/>
          <w:szCs w:val="18"/>
          <w:lang w:val="sq-AL"/>
        </w:rPr>
        <w:t>(2016-2021)</w:t>
      </w:r>
    </w:p>
    <w:p w14:paraId="65954D34" w14:textId="264FD89C" w:rsidR="00455AC9" w:rsidRPr="00E35625" w:rsidRDefault="00066407" w:rsidP="00E14B65">
      <w:pPr>
        <w:rPr>
          <w:lang w:val="sq-AL"/>
        </w:rPr>
      </w:pPr>
      <w:r>
        <w:rPr>
          <w:lang w:val="sq-AL"/>
        </w:rPr>
        <w:t xml:space="preserve">Sipas një vlerësimi të kryer nga Këshilli i Bashkëpunimit Rajonal, </w:t>
      </w:r>
      <w:r w:rsidR="00455AC9" w:rsidRPr="00E35625">
        <w:rPr>
          <w:lang w:val="sq-AL"/>
        </w:rPr>
        <w:t xml:space="preserve">rreth </w:t>
      </w:r>
      <w:r w:rsidR="009E2AF0" w:rsidRPr="00E35625">
        <w:rPr>
          <w:lang w:val="sq-AL"/>
        </w:rPr>
        <w:t>1/3</w:t>
      </w:r>
      <w:r w:rsidR="00455AC9" w:rsidRPr="00E35625">
        <w:rPr>
          <w:lang w:val="sq-AL"/>
        </w:rPr>
        <w:t xml:space="preserve"> e punonjësve nuk deklarojnë të ardhura</w:t>
      </w:r>
      <w:r w:rsidR="009E2AF0" w:rsidRPr="00E35625">
        <w:rPr>
          <w:lang w:val="sq-AL"/>
        </w:rPr>
        <w:t xml:space="preserve"> të</w:t>
      </w:r>
      <w:r w:rsidR="00455AC9" w:rsidRPr="00E35625">
        <w:rPr>
          <w:lang w:val="sq-AL"/>
        </w:rPr>
        <w:t xml:space="preserve"> plota nga punësimi dhe rreth gjysma e përfaqësuesve të biznes</w:t>
      </w:r>
      <w:r w:rsidR="004A16A4">
        <w:rPr>
          <w:lang w:val="sq-AL"/>
        </w:rPr>
        <w:t>eve</w:t>
      </w:r>
      <w:r w:rsidR="00455AC9" w:rsidRPr="00E35625">
        <w:rPr>
          <w:lang w:val="sq-AL"/>
        </w:rPr>
        <w:t xml:space="preserve"> të intervistuar</w:t>
      </w:r>
      <w:r w:rsidR="004A16A4">
        <w:rPr>
          <w:lang w:val="sq-AL"/>
        </w:rPr>
        <w:t>a</w:t>
      </w:r>
      <w:r w:rsidR="00455AC9" w:rsidRPr="00E35625">
        <w:rPr>
          <w:lang w:val="sq-AL"/>
        </w:rPr>
        <w:t xml:space="preserve"> pohuan se punësimi i punëtorëve me kontrata që nuk pasqyrojnë pagën e plotë (p.sh., </w:t>
      </w:r>
      <w:r w:rsidR="00AA3EEE" w:rsidRPr="00AA3EEE">
        <w:rPr>
          <w:lang w:val="sq-AL"/>
        </w:rPr>
        <w:t>duke raportuar</w:t>
      </w:r>
      <w:r w:rsidR="00455AC9" w:rsidRPr="00E35625">
        <w:rPr>
          <w:lang w:val="sq-AL"/>
        </w:rPr>
        <w:t xml:space="preserve"> vetëm pagën minimale)</w:t>
      </w:r>
      <w:r w:rsidR="009E2AF0" w:rsidRPr="00E35625">
        <w:rPr>
          <w:lang w:val="sq-AL"/>
        </w:rPr>
        <w:t>,</w:t>
      </w:r>
      <w:r w:rsidR="00455AC9" w:rsidRPr="00E35625">
        <w:rPr>
          <w:lang w:val="sq-AL"/>
        </w:rPr>
        <w:t xml:space="preserve"> është një praktikë e zakonshme</w:t>
      </w:r>
      <w:r w:rsidR="00455AC9" w:rsidRPr="00E35625">
        <w:rPr>
          <w:rStyle w:val="FootnoteReference"/>
          <w:rFonts w:ascii="Calibri" w:hAnsi="Calibri" w:cs="Calibri"/>
          <w:lang w:val="sq-AL"/>
        </w:rPr>
        <w:footnoteReference w:id="29"/>
      </w:r>
      <w:r w:rsidR="00455AC9" w:rsidRPr="00E35625">
        <w:rPr>
          <w:lang w:val="sq-AL"/>
        </w:rPr>
        <w:t>.</w:t>
      </w:r>
    </w:p>
    <w:p w14:paraId="73D8E0A9" w14:textId="63E23964" w:rsidR="00455AC9" w:rsidRPr="00E35625" w:rsidRDefault="004A16A4" w:rsidP="00E14B65">
      <w:pPr>
        <w:rPr>
          <w:lang w:val="sq-AL"/>
        </w:rPr>
      </w:pPr>
      <w:r>
        <w:rPr>
          <w:lang w:val="sq-AL"/>
        </w:rPr>
        <w:t>A</w:t>
      </w:r>
      <w:r w:rsidR="00455AC9" w:rsidRPr="00E35625">
        <w:rPr>
          <w:lang w:val="sq-AL"/>
        </w:rPr>
        <w:t xml:space="preserve">ksidentet në punë </w:t>
      </w:r>
      <w:r>
        <w:rPr>
          <w:lang w:val="sq-AL"/>
        </w:rPr>
        <w:t>k</w:t>
      </w:r>
      <w:r w:rsidR="00455AC9" w:rsidRPr="00E35625">
        <w:rPr>
          <w:lang w:val="sq-AL"/>
        </w:rPr>
        <w:t xml:space="preserve">anë </w:t>
      </w:r>
      <w:r>
        <w:rPr>
          <w:lang w:val="sq-AL"/>
        </w:rPr>
        <w:t>patur prirje</w:t>
      </w:r>
      <w:r w:rsidR="00455AC9" w:rsidRPr="00E35625">
        <w:rPr>
          <w:lang w:val="sq-AL"/>
        </w:rPr>
        <w:t xml:space="preserve"> rrit</w:t>
      </w:r>
      <w:r w:rsidR="006E35D1" w:rsidRPr="00E35625">
        <w:rPr>
          <w:lang w:val="sq-AL"/>
        </w:rPr>
        <w:t>ë</w:t>
      </w:r>
      <w:r w:rsidR="00455AC9" w:rsidRPr="00E35625">
        <w:rPr>
          <w:lang w:val="sq-AL"/>
        </w:rPr>
        <w:t>s</w:t>
      </w:r>
      <w:r>
        <w:rPr>
          <w:lang w:val="sq-AL"/>
        </w:rPr>
        <w:t>e</w:t>
      </w:r>
      <w:r w:rsidR="00455AC9" w:rsidRPr="00E35625">
        <w:rPr>
          <w:lang w:val="sq-AL"/>
        </w:rPr>
        <w:t xml:space="preserve"> </w:t>
      </w:r>
      <w:r>
        <w:rPr>
          <w:lang w:val="sq-AL"/>
        </w:rPr>
        <w:t>gjatë</w:t>
      </w:r>
      <w:r w:rsidRPr="00E35625">
        <w:rPr>
          <w:lang w:val="sq-AL"/>
        </w:rPr>
        <w:t xml:space="preserve"> </w:t>
      </w:r>
      <w:r w:rsidR="00455AC9" w:rsidRPr="00E35625">
        <w:rPr>
          <w:lang w:val="sq-AL"/>
        </w:rPr>
        <w:t>rimëkëmbjes së aktiviteteve ekonomike pas pandemisë COVID 19</w:t>
      </w:r>
      <w:r w:rsidR="00455AC9" w:rsidRPr="00E35625">
        <w:rPr>
          <w:rStyle w:val="FootnoteReference"/>
          <w:rFonts w:ascii="Calibri" w:hAnsi="Calibri" w:cs="Calibri"/>
          <w:lang w:val="sq-AL"/>
        </w:rPr>
        <w:footnoteReference w:id="30"/>
      </w:r>
      <w:r w:rsidR="00455AC9" w:rsidRPr="00E35625">
        <w:rPr>
          <w:lang w:val="sq-AL"/>
        </w:rPr>
        <w:t>.</w:t>
      </w:r>
      <w:r w:rsidR="007F41E4" w:rsidRPr="00E35625">
        <w:rPr>
          <w:lang w:val="sq-AL"/>
        </w:rPr>
        <w:t xml:space="preserve"> </w:t>
      </w:r>
      <w:r>
        <w:rPr>
          <w:lang w:val="sq-AL"/>
        </w:rPr>
        <w:t>S</w:t>
      </w:r>
      <w:r w:rsidR="00455AC9" w:rsidRPr="00E35625">
        <w:rPr>
          <w:lang w:val="sq-AL"/>
        </w:rPr>
        <w:t xml:space="preserve">ipas inspektimeve të kryera është konstatuar se të gjitha janë shkaktuar nga faktorë të parandalueshëm, të cilët mund të eliminoheshin duke zbatuar masat tashmë të njohura dhe të disponueshme për sigurinë dhe shëndetin në punë (SSHP). </w:t>
      </w:r>
      <w:r>
        <w:rPr>
          <w:lang w:val="sq-AL"/>
        </w:rPr>
        <w:t>M</w:t>
      </w:r>
      <w:r w:rsidR="00455AC9" w:rsidRPr="00E35625">
        <w:rPr>
          <w:lang w:val="sq-AL"/>
        </w:rPr>
        <w:t xml:space="preserve">onitorimet nga Inspektorati </w:t>
      </w:r>
      <w:r w:rsidR="009E2AF0" w:rsidRPr="00E35625">
        <w:rPr>
          <w:lang w:val="sq-AL"/>
        </w:rPr>
        <w:t xml:space="preserve">Shtetëror </w:t>
      </w:r>
      <w:r w:rsidR="00455AC9" w:rsidRPr="00E35625">
        <w:rPr>
          <w:lang w:val="sq-AL"/>
        </w:rPr>
        <w:t xml:space="preserve">i Punës </w:t>
      </w:r>
      <w:r w:rsidR="00714246" w:rsidRPr="00E35625">
        <w:rPr>
          <w:lang w:val="sq-AL"/>
        </w:rPr>
        <w:t xml:space="preserve">dhe Shërbimeve Shoqërore </w:t>
      </w:r>
      <w:r w:rsidR="00455AC9" w:rsidRPr="00E35625">
        <w:rPr>
          <w:lang w:val="sq-AL"/>
        </w:rPr>
        <w:t>(I</w:t>
      </w:r>
      <w:r w:rsidR="009E2AF0" w:rsidRPr="00E35625">
        <w:rPr>
          <w:lang w:val="sq-AL"/>
        </w:rPr>
        <w:t>SH</w:t>
      </w:r>
      <w:r w:rsidR="00455AC9" w:rsidRPr="00E35625">
        <w:rPr>
          <w:lang w:val="sq-AL"/>
        </w:rPr>
        <w:t>P</w:t>
      </w:r>
      <w:r w:rsidR="00714246" w:rsidRPr="00E35625">
        <w:rPr>
          <w:lang w:val="sq-AL"/>
        </w:rPr>
        <w:t>SHSH</w:t>
      </w:r>
      <w:r w:rsidR="00455AC9" w:rsidRPr="00E35625">
        <w:rPr>
          <w:lang w:val="sq-AL"/>
        </w:rPr>
        <w:t xml:space="preserve">) kanë konfirmuar shumë dobësi në plotësimin e kushteve të punës nga subjektet në lidhje me </w:t>
      </w:r>
      <w:r w:rsidR="00714246" w:rsidRPr="00E35625">
        <w:rPr>
          <w:lang w:val="sq-AL"/>
        </w:rPr>
        <w:t>sigurinë dhe shëndetin në punë</w:t>
      </w:r>
      <w:r w:rsidR="00455AC9" w:rsidRPr="00E35625">
        <w:rPr>
          <w:lang w:val="sq-AL"/>
        </w:rPr>
        <w:t xml:space="preserve">. Rreth 23 </w:t>
      </w:r>
      <w:r>
        <w:rPr>
          <w:lang w:val="sq-AL"/>
        </w:rPr>
        <w:t xml:space="preserve"> përqind</w:t>
      </w:r>
      <w:r w:rsidR="00714246" w:rsidRPr="00E35625">
        <w:rPr>
          <w:lang w:val="sq-AL"/>
        </w:rPr>
        <w:t xml:space="preserve"> </w:t>
      </w:r>
      <w:r w:rsidR="00455AC9" w:rsidRPr="00E35625">
        <w:rPr>
          <w:lang w:val="sq-AL"/>
        </w:rPr>
        <w:t xml:space="preserve">e subjekteve të inspektuara ose nuk </w:t>
      </w:r>
      <w:r w:rsidR="009E2AF0" w:rsidRPr="00E35625">
        <w:rPr>
          <w:lang w:val="sq-AL"/>
        </w:rPr>
        <w:t>marrin fare masa,</w:t>
      </w:r>
      <w:r w:rsidR="00455AC9" w:rsidRPr="00E35625">
        <w:rPr>
          <w:lang w:val="sq-AL"/>
        </w:rPr>
        <w:t xml:space="preserve"> ose </w:t>
      </w:r>
      <w:r w:rsidR="009E2AF0" w:rsidRPr="00E35625">
        <w:rPr>
          <w:lang w:val="sq-AL"/>
        </w:rPr>
        <w:t>nuk marrin mjaftueshëm</w:t>
      </w:r>
      <w:r w:rsidR="00455AC9" w:rsidRPr="00E35625">
        <w:rPr>
          <w:lang w:val="sq-AL"/>
        </w:rPr>
        <w:t xml:space="preserve"> masa mbrojtëse kolektive dhe individuale për punonjësit e tyre</w:t>
      </w:r>
      <w:r w:rsidR="00455AC9" w:rsidRPr="00E35625">
        <w:rPr>
          <w:rStyle w:val="FootnoteReference"/>
          <w:rFonts w:ascii="Calibri" w:hAnsi="Calibri" w:cs="Calibri"/>
          <w:lang w:val="sq-AL"/>
        </w:rPr>
        <w:footnoteReference w:id="31"/>
      </w:r>
      <w:r w:rsidR="00455AC9" w:rsidRPr="00E35625">
        <w:rPr>
          <w:lang w:val="sq-AL"/>
        </w:rPr>
        <w:t>. Ndërsa rreth 84</w:t>
      </w:r>
      <w:r w:rsidR="009E2AF0" w:rsidRPr="00E35625">
        <w:rPr>
          <w:lang w:val="sq-AL"/>
        </w:rPr>
        <w:t xml:space="preserve"> </w:t>
      </w:r>
      <w:r>
        <w:rPr>
          <w:lang w:val="sq-AL"/>
        </w:rPr>
        <w:t xml:space="preserve"> përqind</w:t>
      </w:r>
      <w:r w:rsidR="00455AC9" w:rsidRPr="00E35625">
        <w:rPr>
          <w:lang w:val="sq-AL"/>
        </w:rPr>
        <w:t xml:space="preserve"> e subjekteve të inspektuara </w:t>
      </w:r>
      <w:r w:rsidR="009E2AF0" w:rsidRPr="00E35625">
        <w:rPr>
          <w:lang w:val="sq-AL"/>
        </w:rPr>
        <w:t>e kane</w:t>
      </w:r>
      <w:r w:rsidR="00455AC9" w:rsidRPr="00E35625">
        <w:rPr>
          <w:lang w:val="sq-AL"/>
        </w:rPr>
        <w:t xml:space="preserve"> dokument</w:t>
      </w:r>
      <w:r w:rsidR="009E2AF0" w:rsidRPr="00E35625">
        <w:rPr>
          <w:lang w:val="sq-AL"/>
        </w:rPr>
        <w:t xml:space="preserve">in e </w:t>
      </w:r>
      <w:r w:rsidR="00455AC9" w:rsidRPr="00E35625">
        <w:rPr>
          <w:lang w:val="sq-AL"/>
        </w:rPr>
        <w:t xml:space="preserve">vlerësimit të </w:t>
      </w:r>
      <w:r w:rsidR="009E2AF0" w:rsidRPr="00E35625">
        <w:rPr>
          <w:lang w:val="sq-AL"/>
        </w:rPr>
        <w:t>riskut</w:t>
      </w:r>
      <w:r w:rsidR="00455AC9" w:rsidRPr="00E35625">
        <w:rPr>
          <w:lang w:val="sq-AL"/>
        </w:rPr>
        <w:t xml:space="preserve">, cilësia e tyre mbetet një çështje kryesore e cila </w:t>
      </w:r>
      <w:r w:rsidR="009E2AF0" w:rsidRPr="00E35625">
        <w:rPr>
          <w:lang w:val="sq-AL"/>
        </w:rPr>
        <w:t>ka nevojë për përmirësim të</w:t>
      </w:r>
      <w:r w:rsidR="00455AC9" w:rsidRPr="00E35625">
        <w:rPr>
          <w:lang w:val="sq-AL"/>
        </w:rPr>
        <w:t xml:space="preserve"> ndjeshëm</w:t>
      </w:r>
      <w:r w:rsidR="00455AC9" w:rsidRPr="00E35625">
        <w:rPr>
          <w:rStyle w:val="FootnoteReference"/>
          <w:rFonts w:ascii="Calibri" w:hAnsi="Calibri" w:cs="Calibri"/>
          <w:lang w:val="sq-AL"/>
        </w:rPr>
        <w:footnoteReference w:id="32"/>
      </w:r>
      <w:r w:rsidR="00AA3EEE">
        <w:rPr>
          <w:lang w:val="sq-AL"/>
        </w:rPr>
        <w:t>.</w:t>
      </w:r>
    </w:p>
    <w:p w14:paraId="74142B74" w14:textId="119C2FFB" w:rsidR="00E34EBF" w:rsidRDefault="00455AC9" w:rsidP="00E14B65">
      <w:pPr>
        <w:rPr>
          <w:lang w:val="sq-AL"/>
        </w:rPr>
      </w:pPr>
      <w:r w:rsidRPr="00E35625">
        <w:rPr>
          <w:lang w:val="sq-AL"/>
        </w:rPr>
        <w:t xml:space="preserve"> </w:t>
      </w:r>
      <w:r w:rsidR="00CC5071" w:rsidRPr="00E35625">
        <w:rPr>
          <w:lang w:val="sq-AL"/>
        </w:rPr>
        <w:t>P</w:t>
      </w:r>
      <w:r w:rsidRPr="00E35625">
        <w:rPr>
          <w:lang w:val="sq-AL"/>
        </w:rPr>
        <w:t>unësimi informal dhe pa pagë të caktua</w:t>
      </w:r>
      <w:r w:rsidR="00E34EBF">
        <w:rPr>
          <w:lang w:val="sq-AL"/>
        </w:rPr>
        <w:t>r</w:t>
      </w:r>
      <w:r w:rsidR="009B5933" w:rsidRPr="00E35625">
        <w:rPr>
          <w:lang w:val="sq-AL"/>
        </w:rPr>
        <w:t xml:space="preserve"> </w:t>
      </w:r>
      <w:r w:rsidRPr="00E35625">
        <w:rPr>
          <w:lang w:val="sq-AL"/>
        </w:rPr>
        <w:t xml:space="preserve">pasqyrohet në </w:t>
      </w:r>
      <w:r w:rsidR="002D06AB">
        <w:rPr>
          <w:lang w:val="sq-AL"/>
        </w:rPr>
        <w:t xml:space="preserve"> përqind</w:t>
      </w:r>
      <w:r w:rsidRPr="00E35625">
        <w:rPr>
          <w:lang w:val="sq-AL"/>
        </w:rPr>
        <w:t>jen e lartë të punësimit në bujqësi: 34</w:t>
      </w:r>
      <w:r w:rsidR="009E2AF0" w:rsidRPr="00E35625">
        <w:rPr>
          <w:lang w:val="sq-AL"/>
        </w:rPr>
        <w:t xml:space="preserve"> </w:t>
      </w:r>
      <w:r w:rsidR="004A16A4">
        <w:rPr>
          <w:lang w:val="sq-AL"/>
        </w:rPr>
        <w:t xml:space="preserve"> përqind</w:t>
      </w:r>
      <w:r w:rsidRPr="00E35625">
        <w:rPr>
          <w:lang w:val="sq-AL"/>
        </w:rPr>
        <w:t xml:space="preserve"> e të gjitha vendeve të punës </w:t>
      </w:r>
      <w:r w:rsidR="00084E2C" w:rsidRPr="00E35625">
        <w:rPr>
          <w:lang w:val="sq-AL"/>
        </w:rPr>
        <w:t xml:space="preserve">në vitin 2021 ishin në bujqësi </w:t>
      </w:r>
      <w:r w:rsidRPr="00E35625">
        <w:rPr>
          <w:lang w:val="sq-AL"/>
        </w:rPr>
        <w:t>(29</w:t>
      </w:r>
      <w:r w:rsidR="009E2AF0" w:rsidRPr="00E35625">
        <w:rPr>
          <w:lang w:val="sq-AL"/>
        </w:rPr>
        <w:t xml:space="preserve"> </w:t>
      </w:r>
      <w:r w:rsidR="004A16A4">
        <w:rPr>
          <w:lang w:val="sq-AL"/>
        </w:rPr>
        <w:t xml:space="preserve"> përqind</w:t>
      </w:r>
      <w:r w:rsidRPr="00E35625">
        <w:rPr>
          <w:lang w:val="sq-AL"/>
        </w:rPr>
        <w:t xml:space="preserve"> e të gjitha vendeve të punës për burra dhe 40</w:t>
      </w:r>
      <w:r w:rsidR="009E2AF0" w:rsidRPr="00E35625">
        <w:rPr>
          <w:lang w:val="sq-AL"/>
        </w:rPr>
        <w:t xml:space="preserve"> </w:t>
      </w:r>
      <w:r w:rsidR="004A16A4">
        <w:rPr>
          <w:lang w:val="sq-AL"/>
        </w:rPr>
        <w:t xml:space="preserve"> përqind</w:t>
      </w:r>
      <w:r w:rsidRPr="00E35625">
        <w:rPr>
          <w:lang w:val="sq-AL"/>
        </w:rPr>
        <w:t xml:space="preserve"> e të gjitha </w:t>
      </w:r>
      <w:r w:rsidR="009E2AF0" w:rsidRPr="00E35625">
        <w:rPr>
          <w:lang w:val="sq-AL"/>
        </w:rPr>
        <w:t xml:space="preserve">vendeve të punës së </w:t>
      </w:r>
      <w:r w:rsidRPr="00E35625">
        <w:rPr>
          <w:lang w:val="sq-AL"/>
        </w:rPr>
        <w:t>grave)</w:t>
      </w:r>
      <w:r w:rsidR="009B5933" w:rsidRPr="00E35625">
        <w:rPr>
          <w:lang w:val="sq-AL"/>
        </w:rPr>
        <w:t xml:space="preserve"> </w:t>
      </w:r>
      <w:r w:rsidRPr="00E35625">
        <w:rPr>
          <w:lang w:val="sq-AL"/>
        </w:rPr>
        <w:t>nga 38</w:t>
      </w:r>
      <w:r w:rsidR="009E2AF0" w:rsidRPr="00E35625">
        <w:rPr>
          <w:lang w:val="sq-AL"/>
        </w:rPr>
        <w:t>.</w:t>
      </w:r>
      <w:r w:rsidRPr="00E35625">
        <w:rPr>
          <w:lang w:val="sq-AL"/>
        </w:rPr>
        <w:t>2</w:t>
      </w:r>
      <w:r w:rsidR="009E2AF0" w:rsidRPr="00E35625">
        <w:rPr>
          <w:lang w:val="sq-AL"/>
        </w:rPr>
        <w:t xml:space="preserve"> </w:t>
      </w:r>
      <w:r w:rsidR="004A16A4">
        <w:rPr>
          <w:lang w:val="sq-AL"/>
        </w:rPr>
        <w:t xml:space="preserve"> përqind</w:t>
      </w:r>
      <w:r w:rsidR="009E2AF0" w:rsidRPr="00E35625">
        <w:rPr>
          <w:lang w:val="sq-AL"/>
        </w:rPr>
        <w:t xml:space="preserve"> </w:t>
      </w:r>
      <w:r w:rsidRPr="00E35625">
        <w:rPr>
          <w:lang w:val="sq-AL"/>
        </w:rPr>
        <w:t>në vitin 2017. Tranzicioni</w:t>
      </w:r>
      <w:r w:rsidR="009B5933" w:rsidRPr="00E35625">
        <w:rPr>
          <w:lang w:val="sq-AL"/>
        </w:rPr>
        <w:t xml:space="preserve"> i</w:t>
      </w:r>
      <w:r w:rsidRPr="00E35625">
        <w:rPr>
          <w:lang w:val="sq-AL"/>
        </w:rPr>
        <w:t xml:space="preserve"> ekonomisë nga bujqësia drejt industrisë dhe shërbimeve (si dhe drejt ekonomisë </w:t>
      </w:r>
      <w:r w:rsidR="009B5933" w:rsidRPr="00E35625">
        <w:rPr>
          <w:lang w:val="sq-AL"/>
        </w:rPr>
        <w:t>s</w:t>
      </w:r>
      <w:r w:rsidRPr="00E35625">
        <w:rPr>
          <w:lang w:val="sq-AL"/>
        </w:rPr>
        <w:t xml:space="preserve">ë gjelbër dhe </w:t>
      </w:r>
      <w:r w:rsidR="009B5933" w:rsidRPr="00E35625">
        <w:rPr>
          <w:lang w:val="sq-AL"/>
        </w:rPr>
        <w:t>digjitale</w:t>
      </w:r>
      <w:r w:rsidRPr="00E35625">
        <w:rPr>
          <w:lang w:val="sq-AL"/>
        </w:rPr>
        <w:t xml:space="preserve">) pritet të ulë gradualisht punësimin informal dhe pa pagë </w:t>
      </w:r>
      <w:r w:rsidR="009E2AF0" w:rsidRPr="00E35625">
        <w:rPr>
          <w:lang w:val="sq-AL"/>
        </w:rPr>
        <w:t>fikse</w:t>
      </w:r>
      <w:r w:rsidRPr="00E35625">
        <w:rPr>
          <w:lang w:val="sq-AL"/>
        </w:rPr>
        <w:t xml:space="preserve">. Megjithatë, përmirësimi i kushteve të punës për punë të denjë, veçanërisht në sektorët jobujqësorë, si dhe ato që lidhen me </w:t>
      </w:r>
      <w:r w:rsidR="009B5933" w:rsidRPr="00E35625">
        <w:rPr>
          <w:lang w:val="sq-AL"/>
        </w:rPr>
        <w:t>shëndetin dhe sigurinë në punë</w:t>
      </w:r>
      <w:r w:rsidRPr="00E35625">
        <w:rPr>
          <w:lang w:val="sq-AL"/>
        </w:rPr>
        <w:t xml:space="preserve">, </w:t>
      </w:r>
      <w:r w:rsidR="00767241">
        <w:rPr>
          <w:lang w:val="sq-AL"/>
        </w:rPr>
        <w:t>paraqet sfida</w:t>
      </w:r>
      <w:r w:rsidRPr="00E35625">
        <w:rPr>
          <w:lang w:val="sq-AL"/>
        </w:rPr>
        <w:t xml:space="preserve"> të reja drejt rritjes së kërkesës dhe reagimit</w:t>
      </w:r>
      <w:r w:rsidR="009B5933" w:rsidRPr="00E35625">
        <w:rPr>
          <w:lang w:val="sq-AL"/>
        </w:rPr>
        <w:t>,</w:t>
      </w:r>
      <w:r w:rsidRPr="00E35625">
        <w:rPr>
          <w:lang w:val="sq-AL"/>
        </w:rPr>
        <w:t xml:space="preserve"> si nga punëdhënësit</w:t>
      </w:r>
      <w:r w:rsidR="009B5933" w:rsidRPr="00E35625">
        <w:rPr>
          <w:lang w:val="sq-AL"/>
        </w:rPr>
        <w:t>,</w:t>
      </w:r>
      <w:r w:rsidRPr="00E35625">
        <w:rPr>
          <w:lang w:val="sq-AL"/>
        </w:rPr>
        <w:t xml:space="preserve"> ashtu edhe nga punonjësit për përmirësimin e mjediseve të punës në vendin e punës nëpërmjet (i) rritjes së ndërgjegjësimit dhe të kuptuarit të tyre në lidhje me të drejtat dhe </w:t>
      </w:r>
      <w:r w:rsidRPr="00E35625">
        <w:rPr>
          <w:lang w:val="sq-AL"/>
        </w:rPr>
        <w:lastRenderedPageBreak/>
        <w:t>përgjegjësitë</w:t>
      </w:r>
      <w:r w:rsidR="009B5933" w:rsidRPr="00E35625">
        <w:rPr>
          <w:lang w:val="sq-AL"/>
        </w:rPr>
        <w:t xml:space="preserve"> dhe</w:t>
      </w:r>
      <w:r w:rsidRPr="00E35625">
        <w:rPr>
          <w:lang w:val="sq-AL"/>
        </w:rPr>
        <w:t xml:space="preserve"> </w:t>
      </w:r>
      <w:r w:rsidR="009B5933" w:rsidRPr="00E35625">
        <w:rPr>
          <w:lang w:val="sq-AL"/>
        </w:rPr>
        <w:t xml:space="preserve">kërkesat </w:t>
      </w:r>
      <w:r w:rsidRPr="00E35625">
        <w:rPr>
          <w:lang w:val="sq-AL"/>
        </w:rPr>
        <w:t xml:space="preserve">ligjore (duke përfshirë rreziqet e mundshme dhe koston direkte dhe indirekte të mosrespektimit të kërkesave ligjore) të kushteve të punës dhe procesit të inspektimit, si dhe promovimin e kulturës parandaluese dhe mbështetëse </w:t>
      </w:r>
      <w:r w:rsidR="009B5933" w:rsidRPr="00E35625">
        <w:rPr>
          <w:lang w:val="sq-AL"/>
        </w:rPr>
        <w:t>për sigurinë dhe shëndetin në pun</w:t>
      </w:r>
      <w:r w:rsidRPr="00E35625">
        <w:rPr>
          <w:lang w:val="sq-AL"/>
        </w:rPr>
        <w:t xml:space="preserve">ë, (ii) përmirësimit të monitorimit dhe inspektimit në vendin e punës nga </w:t>
      </w:r>
      <w:r w:rsidR="009B5933" w:rsidRPr="00E35625">
        <w:rPr>
          <w:lang w:val="sq-AL"/>
        </w:rPr>
        <w:t xml:space="preserve">ISHPSHSH </w:t>
      </w:r>
      <w:r w:rsidRPr="00E35625">
        <w:rPr>
          <w:lang w:val="sq-AL"/>
        </w:rPr>
        <w:t>dhe (iii) rishikimit dhe të plotësimit të kuadrit të politikave për të krijuar stimuj të përshtatshëm, mekanizma si dhe  shërbime mbështetëse drejt përmirësimit të kushteve të punës në vendin e punës</w:t>
      </w:r>
      <w:r w:rsidRPr="00E35625">
        <w:rPr>
          <w:rStyle w:val="FootnoteReference"/>
          <w:rFonts w:ascii="Calibri" w:hAnsi="Calibri" w:cs="Calibri"/>
          <w:lang w:val="sq-AL"/>
        </w:rPr>
        <w:footnoteReference w:id="33"/>
      </w:r>
      <w:r w:rsidRPr="00E35625">
        <w:rPr>
          <w:lang w:val="sq-AL"/>
        </w:rPr>
        <w:t xml:space="preserve">. </w:t>
      </w:r>
    </w:p>
    <w:p w14:paraId="57E7CA56" w14:textId="033E3BB2" w:rsidR="00455AC9" w:rsidRPr="00E35625" w:rsidRDefault="00E34EBF" w:rsidP="00E14B65">
      <w:pPr>
        <w:rPr>
          <w:lang w:val="sq-AL"/>
        </w:rPr>
      </w:pPr>
      <w:r>
        <w:rPr>
          <w:lang w:val="sq-AL"/>
        </w:rPr>
        <w:t xml:space="preserve">Për këtë arsye nevojitet përmirësim i vazhdueshëm i politikave që zbutin tranzicionin </w:t>
      </w:r>
      <w:r w:rsidR="00455AC9" w:rsidRPr="00E35625">
        <w:rPr>
          <w:lang w:val="sq-AL"/>
        </w:rPr>
        <w:t>nga bujqësia drejt industrisë dhe shërbimeve (dhe ekonomisë së gjelbër dhe digjital</w:t>
      </w:r>
      <w:r w:rsidR="009B5933" w:rsidRPr="00E35625">
        <w:rPr>
          <w:lang w:val="sq-AL"/>
        </w:rPr>
        <w:t>e</w:t>
      </w:r>
      <w:r w:rsidR="00455AC9" w:rsidRPr="00E35625">
        <w:rPr>
          <w:lang w:val="sq-AL"/>
        </w:rPr>
        <w:t>).</w:t>
      </w:r>
    </w:p>
    <w:p w14:paraId="66A24F9A" w14:textId="3D883C3C" w:rsidR="009E2AF0" w:rsidRPr="00E35625" w:rsidRDefault="009B5933" w:rsidP="00E14B65">
      <w:pPr>
        <w:rPr>
          <w:lang w:val="sq-AL"/>
        </w:rPr>
      </w:pPr>
      <w:r w:rsidRPr="00E35625">
        <w:rPr>
          <w:lang w:val="sq-AL"/>
        </w:rPr>
        <w:t xml:space="preserve">Kuadri </w:t>
      </w:r>
      <w:r w:rsidR="00BD7BDA" w:rsidRPr="00E35625">
        <w:rPr>
          <w:lang w:val="sq-AL"/>
        </w:rPr>
        <w:t xml:space="preserve">kryesor i politikave të BE-së </w:t>
      </w:r>
      <w:r w:rsidR="00C068E8" w:rsidRPr="00E35625">
        <w:rPr>
          <w:lang w:val="sq-AL"/>
        </w:rPr>
        <w:t xml:space="preserve">për punën e denjë është përcaktuar </w:t>
      </w:r>
      <w:r w:rsidR="00455AC9" w:rsidRPr="00E35625">
        <w:rPr>
          <w:lang w:val="sq-AL"/>
        </w:rPr>
        <w:t xml:space="preserve">në shtyllën </w:t>
      </w:r>
      <w:r w:rsidR="00A61BD9" w:rsidRPr="00E35625">
        <w:rPr>
          <w:lang w:val="sq-AL"/>
        </w:rPr>
        <w:t>Europian</w:t>
      </w:r>
      <w:r w:rsidR="00455AC9" w:rsidRPr="00E35625">
        <w:rPr>
          <w:lang w:val="sq-AL"/>
        </w:rPr>
        <w:t>e të të Drejtave Sociale</w:t>
      </w:r>
      <w:r w:rsidR="00C068E8" w:rsidRPr="00E35625">
        <w:rPr>
          <w:lang w:val="sq-AL"/>
        </w:rPr>
        <w:t xml:space="preserve">, sipas parimeve të së cilës, punonjësit, </w:t>
      </w:r>
      <w:r w:rsidR="00455AC9" w:rsidRPr="00E35625">
        <w:rPr>
          <w:lang w:val="sq-AL"/>
        </w:rPr>
        <w:t xml:space="preserve">pavarësisht nga lloji dhe kohëzgjatja e marrëdhënies së punës, kanë të drejtë themelore për trajtim të drejtë dhe të barabartë në lidhje me kushtet e punës, </w:t>
      </w:r>
      <w:r w:rsidR="0076203B" w:rsidRPr="00E35625">
        <w:rPr>
          <w:lang w:val="sq-AL"/>
        </w:rPr>
        <w:t>përfshirje</w:t>
      </w:r>
      <w:r w:rsidR="0055423A" w:rsidRPr="00E35625">
        <w:rPr>
          <w:lang w:val="sq-AL"/>
        </w:rPr>
        <w:t>n</w:t>
      </w:r>
      <w:r w:rsidR="0076203B" w:rsidRPr="00E35625">
        <w:rPr>
          <w:lang w:val="sq-AL"/>
        </w:rPr>
        <w:t xml:space="preserve"> </w:t>
      </w:r>
      <w:r w:rsidR="00455AC9" w:rsidRPr="00E35625">
        <w:rPr>
          <w:lang w:val="sq-AL"/>
        </w:rPr>
        <w:t xml:space="preserve">në mbrojtje sociale dhe trajnim. </w:t>
      </w:r>
      <w:r w:rsidR="0076203B" w:rsidRPr="00E35625">
        <w:rPr>
          <w:lang w:val="sq-AL"/>
        </w:rPr>
        <w:t xml:space="preserve">Shtylla </w:t>
      </w:r>
      <w:r w:rsidR="00A61BD9" w:rsidRPr="00E35625">
        <w:rPr>
          <w:lang w:val="sq-AL"/>
        </w:rPr>
        <w:t>Europian</w:t>
      </w:r>
      <w:r w:rsidR="0076203B" w:rsidRPr="00E35625">
        <w:rPr>
          <w:lang w:val="sq-AL"/>
        </w:rPr>
        <w:t>e e të Drejtave Sociale kërkon nxitjen e t</w:t>
      </w:r>
      <w:r w:rsidR="00455AC9" w:rsidRPr="00E35625">
        <w:rPr>
          <w:lang w:val="sq-AL"/>
        </w:rPr>
        <w:t>ranzicioni</w:t>
      </w:r>
      <w:r w:rsidR="0076203B" w:rsidRPr="00E35625">
        <w:rPr>
          <w:lang w:val="sq-AL"/>
        </w:rPr>
        <w:t>t</w:t>
      </w:r>
      <w:r w:rsidR="00455AC9" w:rsidRPr="00E35625">
        <w:rPr>
          <w:lang w:val="sq-AL"/>
        </w:rPr>
        <w:t xml:space="preserve"> drejt formave të punësimit pa afat të caktuar</w:t>
      </w:r>
      <w:r w:rsidR="0076203B" w:rsidRPr="00E35625">
        <w:rPr>
          <w:lang w:val="sq-AL"/>
        </w:rPr>
        <w:t>, por, në të njëjten kohë, edhe garantimin e</w:t>
      </w:r>
      <w:r w:rsidR="00455AC9" w:rsidRPr="00E35625">
        <w:rPr>
          <w:lang w:val="sq-AL"/>
        </w:rPr>
        <w:t xml:space="preserve"> fleksibiliteti</w:t>
      </w:r>
      <w:r w:rsidR="0076203B" w:rsidRPr="00E35625">
        <w:rPr>
          <w:lang w:val="sq-AL"/>
        </w:rPr>
        <w:t>t</w:t>
      </w:r>
      <w:r w:rsidR="00455AC9" w:rsidRPr="00E35625">
        <w:rPr>
          <w:lang w:val="sq-AL"/>
        </w:rPr>
        <w:t xml:space="preserve"> </w:t>
      </w:r>
      <w:r w:rsidR="0076203B" w:rsidRPr="00E35625">
        <w:rPr>
          <w:lang w:val="sq-AL"/>
        </w:rPr>
        <w:t xml:space="preserve">të </w:t>
      </w:r>
      <w:r w:rsidR="00455AC9" w:rsidRPr="00E35625">
        <w:rPr>
          <w:lang w:val="sq-AL"/>
        </w:rPr>
        <w:t xml:space="preserve">nevojshëm për punëdhënësit për t'u përshtatur me shpejtësi ndaj ndryshimeve në kontekstin ekonomik. </w:t>
      </w:r>
      <w:r w:rsidR="0055423A" w:rsidRPr="00E35625">
        <w:rPr>
          <w:lang w:val="sq-AL"/>
        </w:rPr>
        <w:t>Për sa i përket sigurisë dhe shëndetit në punë</w:t>
      </w:r>
      <w:r w:rsidR="00455AC9" w:rsidRPr="00E35625">
        <w:rPr>
          <w:lang w:val="sq-AL"/>
        </w:rPr>
        <w:t xml:space="preserve">, </w:t>
      </w:r>
      <w:r w:rsidR="0055423A" w:rsidRPr="00E35625">
        <w:rPr>
          <w:lang w:val="sq-AL"/>
        </w:rPr>
        <w:t>të drejtat e punonjësve garantohen</w:t>
      </w:r>
      <w:r w:rsidR="00455AC9" w:rsidRPr="00E35625">
        <w:rPr>
          <w:lang w:val="sq-AL"/>
        </w:rPr>
        <w:t xml:space="preserve"> </w:t>
      </w:r>
      <w:r w:rsidR="0055423A" w:rsidRPr="00E35625">
        <w:rPr>
          <w:lang w:val="sq-AL"/>
        </w:rPr>
        <w:t xml:space="preserve">në </w:t>
      </w:r>
      <w:r w:rsidR="00455AC9" w:rsidRPr="00E35625">
        <w:rPr>
          <w:i/>
          <w:iCs/>
          <w:lang w:val="sq-AL"/>
        </w:rPr>
        <w:t>acquis</w:t>
      </w:r>
      <w:r w:rsidR="00455AC9" w:rsidRPr="00E35625">
        <w:rPr>
          <w:lang w:val="sq-AL"/>
        </w:rPr>
        <w:t xml:space="preserve"> </w:t>
      </w:r>
      <w:r w:rsidR="0055423A" w:rsidRPr="00E35625">
        <w:rPr>
          <w:lang w:val="sq-AL"/>
        </w:rPr>
        <w:t xml:space="preserve">të posaçme </w:t>
      </w:r>
      <w:r w:rsidR="00455AC9" w:rsidRPr="00E35625">
        <w:rPr>
          <w:lang w:val="sq-AL"/>
        </w:rPr>
        <w:t>të BE-së</w:t>
      </w:r>
      <w:r w:rsidR="0055423A" w:rsidRPr="00E35625">
        <w:rPr>
          <w:lang w:val="sq-AL"/>
        </w:rPr>
        <w:t xml:space="preserve">, të cilat janë transpozuar ose pritet </w:t>
      </w:r>
      <w:r w:rsidR="00455AC9" w:rsidRPr="00E35625">
        <w:rPr>
          <w:lang w:val="sq-AL"/>
        </w:rPr>
        <w:t xml:space="preserve">të </w:t>
      </w:r>
      <w:r w:rsidR="0055423A" w:rsidRPr="00E35625">
        <w:rPr>
          <w:lang w:val="sq-AL"/>
        </w:rPr>
        <w:t xml:space="preserve">transpozohen </w:t>
      </w:r>
      <w:r w:rsidR="00455AC9" w:rsidRPr="00E35625">
        <w:rPr>
          <w:lang w:val="sq-AL"/>
        </w:rPr>
        <w:t>në legjislacionin kombëtar.</w:t>
      </w:r>
    </w:p>
    <w:p w14:paraId="2E7B8E6F" w14:textId="77777777" w:rsidR="009E2AF0" w:rsidRPr="00E35625" w:rsidRDefault="009E2AF0">
      <w:pPr>
        <w:spacing w:before="0" w:after="0" w:line="240" w:lineRule="auto"/>
        <w:jc w:val="left"/>
        <w:rPr>
          <w:lang w:val="sq-AL"/>
        </w:rPr>
      </w:pPr>
      <w:r w:rsidRPr="00E35625">
        <w:rPr>
          <w:lang w:val="sq-AL"/>
        </w:rPr>
        <w:br w:type="page"/>
      </w:r>
    </w:p>
    <w:p w14:paraId="5C9BF3E6" w14:textId="3A9B053B" w:rsidR="00714845" w:rsidRPr="00E35625" w:rsidRDefault="00E14B65" w:rsidP="00714845">
      <w:pPr>
        <w:pStyle w:val="Heading2"/>
        <w:numPr>
          <w:ilvl w:val="0"/>
          <w:numId w:val="0"/>
        </w:numPr>
        <w:ind w:left="720"/>
        <w:rPr>
          <w:lang w:val="sq-AL"/>
        </w:rPr>
      </w:pPr>
      <w:bookmarkStart w:id="19" w:name="_Toc119865381"/>
      <w:bookmarkStart w:id="20" w:name="_Toc123165406"/>
      <w:r w:rsidRPr="00E35625">
        <w:rPr>
          <w:lang w:val="sq-AL"/>
        </w:rPr>
        <w:lastRenderedPageBreak/>
        <w:t xml:space="preserve">2.2 </w:t>
      </w:r>
      <w:r w:rsidR="00D213FA">
        <w:rPr>
          <w:lang w:val="sq-AL"/>
        </w:rPr>
        <w:t>P</w:t>
      </w:r>
      <w:r w:rsidRPr="00E35625">
        <w:rPr>
          <w:lang w:val="sq-AL"/>
        </w:rPr>
        <w:t>olitikat aktuale të tregut të punës dhe sfidat institucionale</w:t>
      </w:r>
      <w:bookmarkEnd w:id="19"/>
      <w:bookmarkEnd w:id="20"/>
      <w:r w:rsidRPr="00E35625">
        <w:rPr>
          <w:lang w:val="sq-AL"/>
        </w:rPr>
        <w:t xml:space="preserve"> </w:t>
      </w:r>
    </w:p>
    <w:p w14:paraId="723B1385" w14:textId="4AB9FFED" w:rsidR="00E14B65" w:rsidRPr="00E35625" w:rsidRDefault="00E14B65" w:rsidP="00E14B65">
      <w:pPr>
        <w:rPr>
          <w:lang w:val="sq-AL"/>
        </w:rPr>
      </w:pPr>
      <w:r w:rsidRPr="00E35625">
        <w:rPr>
          <w:lang w:val="sq-AL"/>
        </w:rPr>
        <w:t xml:space="preserve">Gjatë viteve të fundit në Shqipëri janë hedhur hapa të rëndësishëm drejt forcimit dhe përmirësimit të shërbimeve të politikave të punësimit dhe aftësive, veçanërisht nëpërmjet forcimit të rolit të sektorit publik në ofrimin e shërbimeve të punësimit, si dhe modernizimit të sistemit të arsimit dhe formimit profesional.  </w:t>
      </w:r>
    </w:p>
    <w:p w14:paraId="79DBE870" w14:textId="77777777" w:rsidR="00787729" w:rsidRDefault="00E14B65" w:rsidP="00E14B65">
      <w:pPr>
        <w:rPr>
          <w:lang w:val="sq-AL"/>
        </w:rPr>
      </w:pPr>
      <w:r w:rsidRPr="00E35625">
        <w:rPr>
          <w:lang w:val="sq-AL"/>
        </w:rPr>
        <w:t xml:space="preserve">Politikat e tregut të punës dhe aftësive udhëhiqen nga Ministria e Financës dhe Ekonomisë. </w:t>
      </w:r>
      <w:r w:rsidR="00E34EBF">
        <w:rPr>
          <w:lang w:val="sq-AL"/>
        </w:rPr>
        <w:t xml:space="preserve">Gjithashtu, politika e tregut të punës </w:t>
      </w:r>
      <w:r w:rsidR="00EC4580">
        <w:rPr>
          <w:lang w:val="sq-AL"/>
        </w:rPr>
        <w:t xml:space="preserve">janë pjesë e mekanizmit sektorial të integruar, i cili në këtë fushë prioritare funksionon nëpërmjet Grupit të Menaxhimit të Integruar të Politikave (GMIP) “Punësimi dhe Aftësitë”. GMIP </w:t>
      </w:r>
      <w:r w:rsidR="00F33823">
        <w:rPr>
          <w:lang w:val="sq-AL"/>
        </w:rPr>
        <w:t xml:space="preserve">luan rol kyç </w:t>
      </w:r>
      <w:r w:rsidR="00787729">
        <w:rPr>
          <w:lang w:val="sq-AL"/>
        </w:rPr>
        <w:t xml:space="preserve">në vendimmarrjen e përbashkët në nivel të lartë politik, por ka edhe rol udhëheqës në zbatimin e bashkërenduar të qëllimeve të politikës dhe në monitorimin e zbatimit. </w:t>
      </w:r>
    </w:p>
    <w:p w14:paraId="502D3E27" w14:textId="70DB891A" w:rsidR="00E14B65" w:rsidRPr="00E35625" w:rsidRDefault="00E14B65" w:rsidP="00E14B65">
      <w:pPr>
        <w:rPr>
          <w:lang w:val="sq-AL"/>
        </w:rPr>
      </w:pPr>
      <w:r w:rsidRPr="00E35625">
        <w:rPr>
          <w:lang w:val="sq-AL"/>
        </w:rPr>
        <w:t>Ministria ka kompetenca të drejtpërdrejta për hartimin e politikave strategjike dhe të kuadrit ligjor, si dhe për sigurimin e bashkërendimit dhe bashkëpunimit institucional mes institucioneve kyçe të sektorit</w:t>
      </w:r>
      <w:r w:rsidR="009E2AF0" w:rsidRPr="00E35625">
        <w:rPr>
          <w:lang w:val="sq-AL"/>
        </w:rPr>
        <w:t>, të cilat janë:</w:t>
      </w:r>
      <w:r w:rsidRPr="00E35625">
        <w:rPr>
          <w:lang w:val="sq-AL"/>
        </w:rPr>
        <w:t xml:space="preserve"> </w:t>
      </w:r>
    </w:p>
    <w:p w14:paraId="72B6378E" w14:textId="77777777" w:rsidR="00E14B65" w:rsidRPr="00E35625" w:rsidRDefault="00E14B65" w:rsidP="00E14B65">
      <w:pPr>
        <w:pStyle w:val="ListParagraph"/>
        <w:numPr>
          <w:ilvl w:val="0"/>
          <w:numId w:val="36"/>
        </w:numPr>
        <w:rPr>
          <w:lang w:val="sq-AL"/>
        </w:rPr>
      </w:pPr>
      <w:r w:rsidRPr="00E35625">
        <w:rPr>
          <w:lang w:val="sq-AL"/>
        </w:rPr>
        <w:t xml:space="preserve">Agjencia Kombëtare e Punësimit dhe Aftësive (AKPA) – si përgjegjëse për zbatimin e politikave publike dhe ofrimin e shërbimeve të drejtpërdrejta të punësimit dhe administrimin e ofruesve të arsimit e formimit profesional; </w:t>
      </w:r>
    </w:p>
    <w:p w14:paraId="537E372C" w14:textId="77777777" w:rsidR="00E14B65" w:rsidRPr="00E35625" w:rsidRDefault="00E14B65" w:rsidP="00E14B65">
      <w:pPr>
        <w:pStyle w:val="ListParagraph"/>
        <w:numPr>
          <w:ilvl w:val="0"/>
          <w:numId w:val="36"/>
        </w:numPr>
        <w:rPr>
          <w:lang w:val="sq-AL"/>
        </w:rPr>
      </w:pPr>
      <w:r w:rsidRPr="00E35625">
        <w:rPr>
          <w:lang w:val="sq-AL"/>
        </w:rPr>
        <w:t>Agjencia Kombëtare e Arsimit, Formimit Profesional dhe Kualifikimeve (AKAFPK) – si përgjegjëse për zhvillimin dhe zbatimin e Kornizës Shqiptare të Kualifikimeve dhe sigurimin e cilësisë në AFP</w:t>
      </w:r>
    </w:p>
    <w:p w14:paraId="2C17851A" w14:textId="58F5186D" w:rsidR="00E14B65" w:rsidRPr="00E35625" w:rsidRDefault="00E14B65" w:rsidP="00E14B65">
      <w:pPr>
        <w:pStyle w:val="ListParagraph"/>
        <w:numPr>
          <w:ilvl w:val="0"/>
          <w:numId w:val="36"/>
        </w:numPr>
        <w:rPr>
          <w:lang w:val="sq-AL"/>
        </w:rPr>
      </w:pPr>
      <w:r w:rsidRPr="00E35625">
        <w:rPr>
          <w:lang w:val="sq-AL"/>
        </w:rPr>
        <w:t>Inspektorati Shtetëror i Punës dhe Shërbimeve Shoqërore (ISHP</w:t>
      </w:r>
      <w:r w:rsidR="00AC170C">
        <w:rPr>
          <w:lang w:val="sq-AL"/>
        </w:rPr>
        <w:t>SHSH</w:t>
      </w:r>
      <w:r w:rsidRPr="00E35625">
        <w:rPr>
          <w:lang w:val="sq-AL"/>
        </w:rPr>
        <w:t>), si përgjegjës për sigurimin e zbatimit të legjislacionit të punës dhe mbrojtjes së punëmarrësve</w:t>
      </w:r>
      <w:r w:rsidR="00D213FA">
        <w:rPr>
          <w:lang w:val="sq-AL"/>
        </w:rPr>
        <w:t>.</w:t>
      </w:r>
      <w:r w:rsidRPr="00E35625">
        <w:rPr>
          <w:lang w:val="sq-AL"/>
        </w:rPr>
        <w:t xml:space="preserve"> </w:t>
      </w:r>
    </w:p>
    <w:p w14:paraId="1D5A026D" w14:textId="151F5DE5" w:rsidR="00E14B65" w:rsidRPr="00E35625" w:rsidRDefault="00E14B65" w:rsidP="00AC170C">
      <w:pPr>
        <w:pStyle w:val="ListParagraph"/>
        <w:rPr>
          <w:lang w:val="sq-AL"/>
        </w:rPr>
      </w:pPr>
    </w:p>
    <w:p w14:paraId="3BAD9F84" w14:textId="31556EDB" w:rsidR="00E14B65" w:rsidRPr="00E35625" w:rsidRDefault="00E14B65" w:rsidP="00714845">
      <w:pPr>
        <w:spacing w:before="0" w:after="0"/>
        <w:rPr>
          <w:lang w:val="sq-AL"/>
        </w:rPr>
      </w:pPr>
      <w:r w:rsidRPr="00E35625">
        <w:rPr>
          <w:lang w:val="sq-AL"/>
        </w:rPr>
        <w:t xml:space="preserve">Përveç institucioneve përgjegjëse në nivel qendror, si dhe institucioneve zbatuese, një rol kyç në zbatimin e politikave të punësimit dhe të zhvillimit të aftësive luan koordinimi dhe bashkërendimi ndërinstitucional me ministritë përgjegjëse për çështjet e arsimit dhe mbrojtjes sociale, agjencitë e tyre zbatuese, si dhe me njësitë e vetëqeverisjes vendore. </w:t>
      </w:r>
      <w:bookmarkStart w:id="21" w:name="_Toc119865382"/>
    </w:p>
    <w:p w14:paraId="3E9FB5E6" w14:textId="77777777" w:rsidR="009E2AF0" w:rsidRPr="00E35625" w:rsidRDefault="009E2AF0" w:rsidP="002F7ADE">
      <w:pPr>
        <w:rPr>
          <w:lang w:val="sq-AL"/>
        </w:rPr>
      </w:pPr>
    </w:p>
    <w:p w14:paraId="0ECD5609" w14:textId="6195DC0E" w:rsidR="00E14B65" w:rsidRPr="00E35625" w:rsidRDefault="00E14B65" w:rsidP="00714845">
      <w:pPr>
        <w:pStyle w:val="Heading3"/>
        <w:spacing w:before="0" w:after="0"/>
        <w:rPr>
          <w:lang w:val="sq-AL"/>
        </w:rPr>
      </w:pPr>
      <w:bookmarkStart w:id="22" w:name="_Toc123165407"/>
      <w:r w:rsidRPr="00E35625">
        <w:rPr>
          <w:lang w:val="sq-AL"/>
        </w:rPr>
        <w:t xml:space="preserve">2.2.1 </w:t>
      </w:r>
      <w:r w:rsidR="00D213FA">
        <w:rPr>
          <w:lang w:val="sq-AL"/>
        </w:rPr>
        <w:t>Sh</w:t>
      </w:r>
      <w:r w:rsidR="00D213FA" w:rsidRPr="00E35625">
        <w:rPr>
          <w:lang w:val="sq-AL"/>
        </w:rPr>
        <w:t>ër</w:t>
      </w:r>
      <w:r w:rsidR="00D213FA">
        <w:rPr>
          <w:lang w:val="sq-AL"/>
        </w:rPr>
        <w:t xml:space="preserve">bimet </w:t>
      </w:r>
      <w:r w:rsidRPr="00E35625">
        <w:rPr>
          <w:lang w:val="sq-AL"/>
        </w:rPr>
        <w:t>e punës</w:t>
      </w:r>
      <w:bookmarkEnd w:id="21"/>
      <w:r w:rsidR="00D213FA">
        <w:rPr>
          <w:lang w:val="sq-AL"/>
        </w:rPr>
        <w:t>imit</w:t>
      </w:r>
      <w:bookmarkEnd w:id="22"/>
    </w:p>
    <w:p w14:paraId="766A4AE4" w14:textId="665DD072" w:rsidR="00E14B65" w:rsidRPr="00E35625" w:rsidRDefault="00E14B65" w:rsidP="00714845">
      <w:pPr>
        <w:spacing w:before="0" w:after="0"/>
        <w:rPr>
          <w:lang w:val="sq-AL"/>
        </w:rPr>
      </w:pPr>
      <w:r w:rsidRPr="00E35625">
        <w:rPr>
          <w:lang w:val="sq-AL"/>
        </w:rPr>
        <w:t>Tranzicioni drejt modelit të ri të shërbimeve me tri nivele, me në qendër klientin është në themel të një procesi transformimi përmbajtësor dhe organizativ të shërbimeve publike të punësimit, i cili synon të arrijë ndikim më të lartë në tregun e punës</w:t>
      </w:r>
      <w:r w:rsidR="00483FE1">
        <w:rPr>
          <w:lang w:val="sq-AL"/>
        </w:rPr>
        <w:t>,</w:t>
      </w:r>
      <w:r w:rsidRPr="00E35625">
        <w:rPr>
          <w:lang w:val="sq-AL"/>
        </w:rPr>
        <w:t xml:space="preserve"> nëpërmjet shërbimeve të përshtatura për nevojat e përfituesve dhe rritjes së performancës e efikasitetit në ofrimin e këtyre shërbimeve. Ky model bazohet në ofrimin e shërbimit të orientuar nga punëkërkuesi dhe karakteristikat e tij individuale e social-ekonomike dhe, në mënyrë të veçantë, te faktorët e riskut që ky punëkërkues të bëhet i papunë afatgjatë. </w:t>
      </w:r>
    </w:p>
    <w:p w14:paraId="2486139F" w14:textId="4414C009" w:rsidR="00E14B65" w:rsidRPr="00E35625" w:rsidRDefault="00E14B65" w:rsidP="00E14B65">
      <w:pPr>
        <w:rPr>
          <w:lang w:val="sq-AL"/>
        </w:rPr>
      </w:pPr>
      <w:r w:rsidRPr="00E35625">
        <w:rPr>
          <w:lang w:val="sq-AL"/>
        </w:rPr>
        <w:t>Procesi i zbatimit të reformës e të modelit të ri të shërbimeve u shoqërua me zhvillimin e instrumenteve të posaçme, si profilizimi dhe zhvillimi i planit individual të punësimit për çdo punëkërkues të regjistruar.  Gjithashtu, për këtë qëllim</w:t>
      </w:r>
      <w:r w:rsidR="00483FE1">
        <w:rPr>
          <w:lang w:val="sq-AL"/>
        </w:rPr>
        <w:t>, në periudhën 2019-2021, janë rikonceptuar dhe riorganizuar</w:t>
      </w:r>
      <w:r w:rsidRPr="00E35625">
        <w:rPr>
          <w:lang w:val="sq-AL"/>
        </w:rPr>
        <w:t xml:space="preserve"> infrastruktura dhe proceset e punës së zyrave të punësimit. Në këtë kontekst, është përforcuar sistemi i komunikimit të brendshëm të shërbimeve të punësimit dhe prej vitit 2021</w:t>
      </w:r>
      <w:r w:rsidR="00483FE1">
        <w:rPr>
          <w:lang w:val="sq-AL"/>
        </w:rPr>
        <w:t>,</w:t>
      </w:r>
      <w:r w:rsidRPr="00E35625">
        <w:rPr>
          <w:lang w:val="sq-AL"/>
        </w:rPr>
        <w:t xml:space="preserve"> këto shërbime ofrohen nëpërmjet një sistemi informatik.</w:t>
      </w:r>
      <w:r w:rsidR="004A2058">
        <w:rPr>
          <w:lang w:val="sq-AL"/>
        </w:rPr>
        <w:t xml:space="preserve"> </w:t>
      </w:r>
      <w:r w:rsidR="004A2058" w:rsidRPr="004A2058">
        <w:rPr>
          <w:lang w:val="sq-AL"/>
        </w:rPr>
        <w:t>Megjithatë</w:t>
      </w:r>
      <w:r w:rsidR="00483FE1">
        <w:rPr>
          <w:lang w:val="sq-AL"/>
        </w:rPr>
        <w:t xml:space="preserve"> është e nevojshme të konsolidohet më tej ofrimi i shërbimeve të punësimit sipas modelit të shërbimeve me tri nivele, në të gjithë territorin e vendit, si dhe te rritet cilësia e ofrimit të këtyre shërbimeve. Raporti i numrit të specialistëve të zyrave </w:t>
      </w:r>
      <w:r w:rsidR="00483FE1">
        <w:rPr>
          <w:lang w:val="sq-AL"/>
        </w:rPr>
        <w:lastRenderedPageBreak/>
        <w:t xml:space="preserve">të punës me numrin </w:t>
      </w:r>
      <w:r w:rsidR="006A1E68" w:rsidRPr="006A1E68">
        <w:rPr>
          <w:lang w:val="sq-AL"/>
        </w:rPr>
        <w:t>e punëkërkuesve të regjistruar në zyr</w:t>
      </w:r>
      <w:r w:rsidR="00483FE1">
        <w:rPr>
          <w:lang w:val="sq-AL"/>
        </w:rPr>
        <w:t>at</w:t>
      </w:r>
      <w:r w:rsidR="006A1E68" w:rsidRPr="006A1E68">
        <w:rPr>
          <w:lang w:val="sq-AL"/>
        </w:rPr>
        <w:t xml:space="preserve"> e punës është rreth 1 </w:t>
      </w:r>
      <w:r w:rsidR="00483FE1">
        <w:rPr>
          <w:lang w:val="sq-AL"/>
        </w:rPr>
        <w:t xml:space="preserve">me </w:t>
      </w:r>
      <w:r w:rsidR="006A1E68" w:rsidRPr="006A1E68">
        <w:rPr>
          <w:lang w:val="sq-AL"/>
        </w:rPr>
        <w:t>600</w:t>
      </w:r>
      <w:r w:rsidR="00D03C6A" w:rsidRPr="00D03C6A">
        <w:rPr>
          <w:lang w:val="sq-AL"/>
        </w:rPr>
        <w:t xml:space="preserve">, </w:t>
      </w:r>
      <w:r w:rsidR="00D03C6A">
        <w:rPr>
          <w:lang w:val="sq-AL"/>
        </w:rPr>
        <w:t>kat</w:t>
      </w:r>
      <w:r w:rsidR="00D03C6A" w:rsidRPr="00D03C6A">
        <w:rPr>
          <w:lang w:val="sq-AL"/>
        </w:rPr>
        <w:t>ë</w:t>
      </w:r>
      <w:r w:rsidR="00D03C6A">
        <w:rPr>
          <w:lang w:val="sq-AL"/>
        </w:rPr>
        <w:t>r</w:t>
      </w:r>
      <w:r w:rsidR="00D03C6A" w:rsidRPr="00D03C6A">
        <w:rPr>
          <w:lang w:val="sq-AL"/>
        </w:rPr>
        <w:t xml:space="preserve">fish më i lartë se mesatarja e vendeve të BE-së dhe dyfishi i mesatares së rajonit. </w:t>
      </w:r>
    </w:p>
    <w:p w14:paraId="46AB89BC" w14:textId="514E5E1B" w:rsidR="00E14B65" w:rsidRPr="00E35625" w:rsidRDefault="00E14B65" w:rsidP="00E14B65">
      <w:pPr>
        <w:rPr>
          <w:lang w:val="sq-AL"/>
        </w:rPr>
      </w:pPr>
      <w:r w:rsidRPr="00E35625">
        <w:rPr>
          <w:lang w:val="sq-AL"/>
        </w:rPr>
        <w:t xml:space="preserve">Përveç punëkërkuesve, klientë të shërbimeve të punësimit janë edhe punëdhënësit. Aktualisht, shërbimet për punëdhënësit përfshijnë asistencë për rekrutimin dhe mundësi për shpalljen e vendeve të lira të punës. Punëdhënësit mund të jenë edhe partnerë të AKPA-së dhe strukturave të saj rajonale e vendore të punësimit për zbatimin e programeve të nxitjes së punësimit. </w:t>
      </w:r>
      <w:r w:rsidR="004A2058">
        <w:rPr>
          <w:lang w:val="sq-AL"/>
        </w:rPr>
        <w:t xml:space="preserve">Por, </w:t>
      </w:r>
      <w:r w:rsidR="004A2058" w:rsidRPr="004A2058">
        <w:rPr>
          <w:lang w:val="sq-AL"/>
        </w:rPr>
        <w:t xml:space="preserve">mund të bëhet më shumë për të përmirësuar gamën e shërbimeve të ofruara për punëdhënësit, si dhe për të rritur </w:t>
      </w:r>
      <w:r w:rsidR="004A2058">
        <w:rPr>
          <w:lang w:val="sq-AL"/>
        </w:rPr>
        <w:t>shtrirj</w:t>
      </w:r>
      <w:r w:rsidR="00FA1CBD">
        <w:rPr>
          <w:lang w:val="sq-AL"/>
        </w:rPr>
        <w:t>e</w:t>
      </w:r>
      <w:r w:rsidR="004A2058">
        <w:rPr>
          <w:lang w:val="sq-AL"/>
        </w:rPr>
        <w:t>n e sh</w:t>
      </w:r>
      <w:r w:rsidR="004A2058" w:rsidRPr="004A2058">
        <w:rPr>
          <w:lang w:val="sq-AL"/>
        </w:rPr>
        <w:t>ë</w:t>
      </w:r>
      <w:r w:rsidR="004A2058">
        <w:rPr>
          <w:lang w:val="sq-AL"/>
        </w:rPr>
        <w:t>rbimeve.</w:t>
      </w:r>
    </w:p>
    <w:p w14:paraId="3DCFDC5F" w14:textId="68781F83" w:rsidR="00E14B65" w:rsidRPr="00E35625" w:rsidRDefault="00E14B65" w:rsidP="00D03C6A">
      <w:pPr>
        <w:spacing w:before="0" w:after="0"/>
        <w:rPr>
          <w:lang w:val="sq-AL"/>
        </w:rPr>
      </w:pPr>
      <w:r w:rsidRPr="00E35625">
        <w:rPr>
          <w:lang w:val="sq-AL"/>
        </w:rPr>
        <w:t>Komunikimi i jashtëm me punëkërkues e punëdhënës lehtësohet nga qasja për krijimin e produkteve digjitale dhe shërbime online dhe lëvizëse, krahas shërbimeve tradicionale në zyra.</w:t>
      </w:r>
      <w:r w:rsidR="00D03C6A">
        <w:rPr>
          <w:lang w:val="sq-AL"/>
        </w:rPr>
        <w:t xml:space="preserve"> </w:t>
      </w:r>
      <w:r w:rsidR="00D03C6A" w:rsidRPr="00E35625">
        <w:rPr>
          <w:lang w:val="sq-AL"/>
        </w:rPr>
        <w:t xml:space="preserve">Transformimi digjital është tema që përshkon të gjitha proceset e rritjes dhe modernizimit të AKPA-së, e cila duhet të përshtatet dhe të përfitojë nga ndryshimet teknologjike për të përmirësuar dhe rritur mbulimin e shërbimeve, për t’i përshtatur ato me nevojat e klientëve por edhe për të përmirësuar eficiencën dhe për të ruajtuar relevancën në tregun e punës, por duke garantuar që format e reja të ofrimit të shërbimeve të harmonizohen me format tradicionale, për të siguruar që shërbimet janë të disponueshme edhe për ato grupe të popullsisë që kanë kuptim dhe/ose akses më të ulët ndaj mjeteve të teknologjisë së informacionit. </w:t>
      </w:r>
    </w:p>
    <w:p w14:paraId="3C01949E" w14:textId="15D9E545" w:rsidR="00D03C6A" w:rsidRDefault="009E2AF0" w:rsidP="00D03C6A">
      <w:pPr>
        <w:rPr>
          <w:lang w:val="sq-AL"/>
        </w:rPr>
      </w:pPr>
      <w:r w:rsidRPr="00E35625">
        <w:rPr>
          <w:lang w:val="sq-AL"/>
        </w:rPr>
        <w:t>Pavarësisht</w:t>
      </w:r>
      <w:r w:rsidR="00E14B65" w:rsidRPr="00E35625">
        <w:rPr>
          <w:lang w:val="sq-AL"/>
        </w:rPr>
        <w:t xml:space="preserve"> përpjekjeve për reformim e përmirësim të shërbimeve, ndërmjetësimi në tregun e punës mbetet </w:t>
      </w:r>
      <w:r w:rsidR="00FA1CBD">
        <w:rPr>
          <w:lang w:val="sq-AL"/>
        </w:rPr>
        <w:t xml:space="preserve">ende </w:t>
      </w:r>
      <w:r w:rsidR="00E14B65" w:rsidRPr="00E35625">
        <w:rPr>
          <w:lang w:val="sq-AL"/>
        </w:rPr>
        <w:t>i ulët</w:t>
      </w:r>
      <w:r w:rsidR="005D1199">
        <w:rPr>
          <w:lang w:val="sq-AL"/>
        </w:rPr>
        <w:t>. Gjatë vitit 2021, zyrat e punës kanë arritur t’u ofrojnë shërbime rreth 50 përqind të të papunëve</w:t>
      </w:r>
      <w:r w:rsidR="00E14B65" w:rsidRPr="00E35625">
        <w:rPr>
          <w:lang w:val="sq-AL"/>
        </w:rPr>
        <w:t>. Për më tepër, një ndër sfidat kryesore të shërbimeve publike të punësimit mbetet integrimi në tregun e punës i punëkërkuesve të papunë nga grupet e veçanta</w:t>
      </w:r>
      <w:r w:rsidR="00E14B65" w:rsidRPr="00E35625">
        <w:rPr>
          <w:rStyle w:val="FootnoteReference"/>
          <w:lang w:val="sq-AL"/>
        </w:rPr>
        <w:footnoteReference w:id="34"/>
      </w:r>
      <w:r w:rsidR="00083649">
        <w:rPr>
          <w:lang w:val="sq-AL"/>
        </w:rPr>
        <w:t>.</w:t>
      </w:r>
      <w:r w:rsidR="00E14B65" w:rsidRPr="00E35625">
        <w:rPr>
          <w:lang w:val="sq-AL"/>
        </w:rPr>
        <w:t xml:space="preserve">  Më shpesh, këto grupe janë të rinjtë në tregun e punës jo në arsim apo punësim (19</w:t>
      </w:r>
      <w:r w:rsidR="002D06AB">
        <w:rPr>
          <w:lang w:val="sq-AL"/>
        </w:rPr>
        <w:t xml:space="preserve"> përqind</w:t>
      </w:r>
      <w:r w:rsidR="00E14B65" w:rsidRPr="00E35625">
        <w:rPr>
          <w:lang w:val="sq-AL"/>
        </w:rPr>
        <w:t>)</w:t>
      </w:r>
      <w:r w:rsidR="00E14B65" w:rsidRPr="00E35625">
        <w:rPr>
          <w:rStyle w:val="FootnoteReference"/>
          <w:rFonts w:ascii="Calibri" w:hAnsi="Calibri" w:cs="Calibri"/>
          <w:lang w:val="sq-AL"/>
        </w:rPr>
        <w:footnoteReference w:id="35"/>
      </w:r>
      <w:r w:rsidR="00E14B65" w:rsidRPr="00E35625">
        <w:rPr>
          <w:lang w:val="sq-AL"/>
        </w:rPr>
        <w:t>; punëkërkuesit afatgjatë (50</w:t>
      </w:r>
      <w:r w:rsidR="002D06AB">
        <w:rPr>
          <w:lang w:val="sq-AL"/>
        </w:rPr>
        <w:t xml:space="preserve"> përqind</w:t>
      </w:r>
      <w:r w:rsidR="00E14B65" w:rsidRPr="00E35625">
        <w:rPr>
          <w:lang w:val="sq-AL"/>
        </w:rPr>
        <w:t>), ata mbi 45 vjeç (47</w:t>
      </w:r>
      <w:r w:rsidR="002D06AB">
        <w:rPr>
          <w:lang w:val="sq-AL"/>
        </w:rPr>
        <w:t xml:space="preserve"> përqind</w:t>
      </w:r>
      <w:r w:rsidR="00E14B65" w:rsidRPr="00E35625">
        <w:rPr>
          <w:lang w:val="sq-AL"/>
        </w:rPr>
        <w:t>), apo ata të cilët kanë dizavantazhe të tjera sociale</w:t>
      </w:r>
      <w:r w:rsidR="00E14B65" w:rsidRPr="00E35625">
        <w:rPr>
          <w:rStyle w:val="FootnoteReference"/>
          <w:rFonts w:ascii="Calibri" w:hAnsi="Calibri" w:cs="Calibri"/>
          <w:lang w:val="sq-AL"/>
        </w:rPr>
        <w:footnoteReference w:id="36"/>
      </w:r>
      <w:r w:rsidR="00E14B65" w:rsidRPr="00E35625">
        <w:rPr>
          <w:lang w:val="sq-AL"/>
        </w:rPr>
        <w:t>, gjë që e bën të domosdoshme rritjen e cilësisë dhe efektivitetit të shërbimeve të ofruara nga AKPA</w:t>
      </w:r>
      <w:r w:rsidR="00E14B65" w:rsidRPr="00E35625">
        <w:rPr>
          <w:rStyle w:val="FootnoteReference"/>
          <w:lang w:val="sq-AL"/>
        </w:rPr>
        <w:footnoteReference w:id="37"/>
      </w:r>
      <w:r w:rsidR="00D03C6A">
        <w:rPr>
          <w:lang w:val="sq-AL"/>
        </w:rPr>
        <w:t>.</w:t>
      </w:r>
      <w:r w:rsidR="00E14B65" w:rsidRPr="00E35625">
        <w:rPr>
          <w:lang w:val="sq-AL"/>
        </w:rPr>
        <w:t xml:space="preserve"> Me qëllim ofrimin e shërbimeve efektive për punëkërkuesit nga grupet e </w:t>
      </w:r>
      <w:r w:rsidRPr="00E35625">
        <w:rPr>
          <w:lang w:val="sq-AL"/>
        </w:rPr>
        <w:t>sipër</w:t>
      </w:r>
      <w:r w:rsidR="00E14B65" w:rsidRPr="00E35625">
        <w:rPr>
          <w:lang w:val="sq-AL"/>
        </w:rPr>
        <w:t>përmendura, shërbimet e punësimit duhet të zgjerojnë bashkëpunimin me ofrues jopublikë shërbimesh, si organizata jofitimprurëse apo agjenci private punësimi</w:t>
      </w:r>
      <w:r w:rsidR="00D03C6A">
        <w:rPr>
          <w:rStyle w:val="FootnoteReference"/>
          <w:lang w:val="sq-AL"/>
        </w:rPr>
        <w:footnoteReference w:id="38"/>
      </w:r>
      <w:r w:rsidR="00E14B65" w:rsidRPr="00E35625">
        <w:rPr>
          <w:lang w:val="sq-AL"/>
        </w:rPr>
        <w:t>, si dhe të konsolidojnë më tej ofrimin e shërbimeve të bashkërenduara me njësitë e qeverisjes vendore.</w:t>
      </w:r>
    </w:p>
    <w:p w14:paraId="1EEE7414" w14:textId="643EBAD5" w:rsidR="00D03C6A" w:rsidRPr="00E35625" w:rsidRDefault="00D03C6A" w:rsidP="005D1199">
      <w:pPr>
        <w:rPr>
          <w:lang w:val="sq-AL"/>
        </w:rPr>
      </w:pPr>
      <w:r w:rsidRPr="00E35625">
        <w:rPr>
          <w:lang w:val="sq-AL"/>
        </w:rPr>
        <w:t>AKPA ka marrë përsipër edhe një rol të rëndësishëm për mbledhjen, analizimin dhe shpërndarjen e informacionit për tregun e punës. Informacioni mblidhet kryesisht nga agjenci të tjera qeveritare dhe statistika zyrtare. Në vijim, mbetet për t’u vlerësuar potenciali i zhvillimit të sistemit për të kryer analiza të mirëfillta të tregut të punës, për të integruar të dhëna edhe nga sektori privat si dhe për të identifikuar nevojat për aftësi aktuale dhe për të ardhmen.</w:t>
      </w:r>
    </w:p>
    <w:p w14:paraId="3D2A3A0C" w14:textId="5AEA6E5E" w:rsidR="009E2AF0" w:rsidRPr="00E35625" w:rsidRDefault="00E14B65" w:rsidP="00714845">
      <w:pPr>
        <w:spacing w:before="0" w:after="0"/>
        <w:rPr>
          <w:lang w:val="sq-AL"/>
        </w:rPr>
      </w:pPr>
      <w:r w:rsidRPr="00E35625">
        <w:rPr>
          <w:lang w:val="sq-AL"/>
        </w:rPr>
        <w:lastRenderedPageBreak/>
        <w:t xml:space="preserve"> </w:t>
      </w:r>
      <w:bookmarkStart w:id="23" w:name="_Toc119865383"/>
    </w:p>
    <w:p w14:paraId="6415BA24" w14:textId="77777777" w:rsidR="00E14B65" w:rsidRPr="00E35625" w:rsidRDefault="00E14B65" w:rsidP="00714845">
      <w:pPr>
        <w:pStyle w:val="Heading3"/>
        <w:spacing w:before="0" w:after="0"/>
        <w:rPr>
          <w:lang w:val="sq-AL"/>
        </w:rPr>
      </w:pPr>
      <w:bookmarkStart w:id="24" w:name="_Toc123165408"/>
      <w:r w:rsidRPr="00E35625">
        <w:rPr>
          <w:lang w:val="sq-AL"/>
        </w:rPr>
        <w:t>2.2.2 Programet e nxitjes së punësimit</w:t>
      </w:r>
      <w:bookmarkEnd w:id="23"/>
      <w:bookmarkEnd w:id="24"/>
      <w:r w:rsidRPr="00E35625">
        <w:rPr>
          <w:lang w:val="sq-AL"/>
        </w:rPr>
        <w:t xml:space="preserve"> </w:t>
      </w:r>
    </w:p>
    <w:p w14:paraId="3092D4E4" w14:textId="77777777" w:rsidR="00E14B65" w:rsidRPr="00E35625" w:rsidRDefault="00E14B65" w:rsidP="00E14B65">
      <w:pPr>
        <w:rPr>
          <w:lang w:val="sq-AL"/>
        </w:rPr>
      </w:pPr>
      <w:r w:rsidRPr="00E35625">
        <w:rPr>
          <w:lang w:val="sq-AL"/>
        </w:rPr>
        <w:t xml:space="preserve">Në kuadër të zbatimit të Strategjisë së Punësimit 2014-2022, si dhe në vijim të fokusit të vendosur në nxitjen e punësimit nëpërmjet alokimit të fondeve në rritje, institucionet ndërmorën një reformë të programeve të nxitjes së punësimit, e cila synonte të garantonte zbatim të individualizuar, të trajtonte nevojat specifike të punëkërkuesve të papunë, të ofronte programe nxitjeje specifike, sidomos për grupe, të cilat kanë më shumë vështirësi për t’u afruar në tregun e punës, të përmirësonte procedurat e targetimit, si dhe të zgjeronte tipologjitë e punëdhënësve partnerë në zbatim. Kuadri operacional për zbatimin e programeve të nxitjes së punësimit u plotësua me programe që variojnë nga mbështetje me subvencionim të kostos së punësimit, trajnim në vendin e punës, praktika profesionale, deri te programe të tilla si: vetëpunësimi dhe puna në komunitet. </w:t>
      </w:r>
    </w:p>
    <w:p w14:paraId="0BFDF231" w14:textId="31DEA5CA" w:rsidR="00E14B65" w:rsidRPr="00E35625" w:rsidRDefault="00E14B65" w:rsidP="00E14B65">
      <w:pPr>
        <w:rPr>
          <w:lang w:val="sq-AL"/>
        </w:rPr>
      </w:pPr>
      <w:r w:rsidRPr="00E35625">
        <w:rPr>
          <w:lang w:val="sq-AL"/>
        </w:rPr>
        <w:t>Pavarësisht angazhimit të qeverisë dhe prioritizimit të programeve të nxitjes</w:t>
      </w:r>
      <w:r w:rsidR="00EB5B12" w:rsidRPr="00E35625">
        <w:rPr>
          <w:lang w:val="sq-AL"/>
        </w:rPr>
        <w:t xml:space="preserve"> së punësimit</w:t>
      </w:r>
      <w:r w:rsidRPr="00E35625">
        <w:rPr>
          <w:lang w:val="sq-AL"/>
        </w:rPr>
        <w:t xml:space="preserve">, zbatimi i programeve të reformuara hasi në sfida të dukshme, të shkaktuara nga procesi i ristrukturimit të AKPA-së dhe strukturave të saj rajonale e vendore, nga mungesa e kapaciteteve për të përballuar ndryshimet e shpejta. </w:t>
      </w:r>
      <w:r w:rsidR="00EB5B12" w:rsidRPr="00E35625">
        <w:rPr>
          <w:lang w:val="sq-AL"/>
        </w:rPr>
        <w:t>Këto vështirësi dhe m</w:t>
      </w:r>
      <w:r w:rsidRPr="00E35625">
        <w:rPr>
          <w:lang w:val="sq-AL"/>
        </w:rPr>
        <w:t>ungesa e kapaciteteve të strukturave zbatuese ka sjellë nivel të ulët absorbimi të programeve të së punësimit gjatë dy viteve të fundit</w:t>
      </w:r>
      <w:r w:rsidRPr="00E35625">
        <w:rPr>
          <w:rStyle w:val="FootnoteReference"/>
          <w:lang w:val="sq-AL"/>
        </w:rPr>
        <w:footnoteReference w:id="39"/>
      </w:r>
      <w:r w:rsidR="00D03C6A">
        <w:rPr>
          <w:lang w:val="sq-AL"/>
        </w:rPr>
        <w:t>.</w:t>
      </w:r>
      <w:r w:rsidR="007772CC">
        <w:rPr>
          <w:lang w:val="sq-AL"/>
        </w:rPr>
        <w:t xml:space="preserve"> </w:t>
      </w:r>
      <w:r w:rsidR="007772CC" w:rsidRPr="007772CC">
        <w:rPr>
          <w:lang w:val="sq-AL"/>
        </w:rPr>
        <w:t xml:space="preserve">Efektiviteti i tyre duhet ende të analizohet nëpërmjet vlerësimeve të jashtme dhe nevojitet më shumë përshtatje e </w:t>
      </w:r>
      <w:r w:rsidR="007772CC">
        <w:rPr>
          <w:lang w:val="sq-AL"/>
        </w:rPr>
        <w:t>programeve t</w:t>
      </w:r>
      <w:r w:rsidR="007772CC" w:rsidRPr="007772CC">
        <w:rPr>
          <w:lang w:val="sq-AL"/>
        </w:rPr>
        <w:t>ë</w:t>
      </w:r>
      <w:r w:rsidR="007772CC">
        <w:rPr>
          <w:lang w:val="sq-AL"/>
        </w:rPr>
        <w:t xml:space="preserve"> nxitj</w:t>
      </w:r>
      <w:r w:rsidR="007772CC" w:rsidRPr="007772CC">
        <w:rPr>
          <w:lang w:val="sq-AL"/>
        </w:rPr>
        <w:t>ë</w:t>
      </w:r>
      <w:r w:rsidR="007772CC">
        <w:rPr>
          <w:lang w:val="sq-AL"/>
        </w:rPr>
        <w:t>s s</w:t>
      </w:r>
      <w:r w:rsidR="007772CC" w:rsidRPr="007772CC">
        <w:rPr>
          <w:lang w:val="sq-AL"/>
        </w:rPr>
        <w:t>ë</w:t>
      </w:r>
      <w:r w:rsidR="007772CC">
        <w:rPr>
          <w:lang w:val="sq-AL"/>
        </w:rPr>
        <w:t xml:space="preserve"> pun</w:t>
      </w:r>
      <w:r w:rsidR="007772CC" w:rsidRPr="007772CC">
        <w:rPr>
          <w:lang w:val="sq-AL"/>
        </w:rPr>
        <w:t>ë</w:t>
      </w:r>
      <w:r w:rsidR="007772CC">
        <w:rPr>
          <w:lang w:val="sq-AL"/>
        </w:rPr>
        <w:t>simit</w:t>
      </w:r>
      <w:r w:rsidR="007772CC" w:rsidRPr="007772CC">
        <w:rPr>
          <w:lang w:val="sq-AL"/>
        </w:rPr>
        <w:t xml:space="preserve"> aktuale bazuar në </w:t>
      </w:r>
      <w:r w:rsidR="00BD1D28">
        <w:rPr>
          <w:lang w:val="sq-AL"/>
        </w:rPr>
        <w:t>evidenc</w:t>
      </w:r>
      <w:r w:rsidR="00BD1D28" w:rsidRPr="007772CC">
        <w:rPr>
          <w:lang w:val="sq-AL"/>
        </w:rPr>
        <w:t>ë</w:t>
      </w:r>
      <w:r w:rsidR="003B5F37">
        <w:rPr>
          <w:lang w:val="sq-AL"/>
        </w:rPr>
        <w:t>n</w:t>
      </w:r>
      <w:r w:rsidR="007772CC" w:rsidRPr="007772CC">
        <w:rPr>
          <w:lang w:val="sq-AL"/>
        </w:rPr>
        <w:t xml:space="preserve"> e mbledhur si me punëdhënësit ashtu edhe me punëkërkuesit. Për më tepër, fondet e disponueshme konsiderohe</w:t>
      </w:r>
      <w:r w:rsidR="007672B4">
        <w:rPr>
          <w:lang w:val="sq-AL"/>
        </w:rPr>
        <w:t>n</w:t>
      </w:r>
      <w:r w:rsidR="007772CC" w:rsidRPr="007772CC">
        <w:rPr>
          <w:lang w:val="sq-AL"/>
        </w:rPr>
        <w:t xml:space="preserve"> tradicionalisht si një nga kufizimet kryesore për zgjerimin e </w:t>
      </w:r>
      <w:r w:rsidR="007772CC">
        <w:rPr>
          <w:lang w:val="sq-AL"/>
        </w:rPr>
        <w:t>programeve t</w:t>
      </w:r>
      <w:r w:rsidR="007772CC" w:rsidRPr="007772CC">
        <w:rPr>
          <w:lang w:val="sq-AL"/>
        </w:rPr>
        <w:t>ë</w:t>
      </w:r>
      <w:r w:rsidR="007772CC">
        <w:rPr>
          <w:lang w:val="sq-AL"/>
        </w:rPr>
        <w:t xml:space="preserve"> nxitj</w:t>
      </w:r>
      <w:r w:rsidR="007772CC" w:rsidRPr="007772CC">
        <w:rPr>
          <w:lang w:val="sq-AL"/>
        </w:rPr>
        <w:t>ë</w:t>
      </w:r>
      <w:r w:rsidR="007772CC">
        <w:rPr>
          <w:lang w:val="sq-AL"/>
        </w:rPr>
        <w:t>s s</w:t>
      </w:r>
      <w:r w:rsidR="007772CC" w:rsidRPr="007772CC">
        <w:rPr>
          <w:lang w:val="sq-AL"/>
        </w:rPr>
        <w:t>ë</w:t>
      </w:r>
      <w:r w:rsidR="007772CC">
        <w:rPr>
          <w:lang w:val="sq-AL"/>
        </w:rPr>
        <w:t xml:space="preserve"> pun</w:t>
      </w:r>
      <w:r w:rsidR="007772CC" w:rsidRPr="007772CC">
        <w:rPr>
          <w:lang w:val="sq-AL"/>
        </w:rPr>
        <w:t>ë</w:t>
      </w:r>
      <w:r w:rsidR="007772CC">
        <w:rPr>
          <w:lang w:val="sq-AL"/>
        </w:rPr>
        <w:t>simit</w:t>
      </w:r>
      <w:r w:rsidR="007772CC" w:rsidRPr="007772CC">
        <w:rPr>
          <w:lang w:val="sq-AL"/>
        </w:rPr>
        <w:t xml:space="preserve">. </w:t>
      </w:r>
      <w:r w:rsidR="007772CC">
        <w:rPr>
          <w:lang w:val="sq-AL"/>
        </w:rPr>
        <w:t>K</w:t>
      </w:r>
      <w:r w:rsidR="007772CC" w:rsidRPr="007772CC">
        <w:rPr>
          <w:lang w:val="sq-AL"/>
        </w:rPr>
        <w:t xml:space="preserve">rahasuar me vendet e BE-së, Shqipëria ka ndarë </w:t>
      </w:r>
      <w:r w:rsidR="00BD1D28">
        <w:rPr>
          <w:lang w:val="sq-AL"/>
        </w:rPr>
        <w:t>fonde</w:t>
      </w:r>
      <w:r w:rsidR="007772CC" w:rsidRPr="007772CC">
        <w:rPr>
          <w:lang w:val="sq-AL"/>
        </w:rPr>
        <w:t xml:space="preserve"> të kufizuara për </w:t>
      </w:r>
      <w:r w:rsidR="007772CC">
        <w:rPr>
          <w:lang w:val="sq-AL"/>
        </w:rPr>
        <w:t>programet e nxitj</w:t>
      </w:r>
      <w:r w:rsidR="007772CC" w:rsidRPr="007772CC">
        <w:rPr>
          <w:lang w:val="sq-AL"/>
        </w:rPr>
        <w:t>ë</w:t>
      </w:r>
      <w:r w:rsidR="007772CC">
        <w:rPr>
          <w:lang w:val="sq-AL"/>
        </w:rPr>
        <w:t>s</w:t>
      </w:r>
      <w:r w:rsidR="007772CC" w:rsidRPr="007772CC">
        <w:rPr>
          <w:lang w:val="sq-AL"/>
        </w:rPr>
        <w:t>; ndërsa nivelet e alokimit ishin shumë të ngjashme në krahasim me vendet e rajonit. Kështu</w:t>
      </w:r>
      <w:r w:rsidR="007672B4">
        <w:rPr>
          <w:lang w:val="sq-AL"/>
        </w:rPr>
        <w:t xml:space="preserve"> q</w:t>
      </w:r>
      <w:r w:rsidR="007672B4" w:rsidRPr="007772CC">
        <w:rPr>
          <w:lang w:val="sq-AL"/>
        </w:rPr>
        <w:t>ë</w:t>
      </w:r>
      <w:r w:rsidR="007772CC" w:rsidRPr="007772CC">
        <w:rPr>
          <w:lang w:val="sq-AL"/>
        </w:rPr>
        <w:t>, ka nevojë të eksplorohen mundësitë</w:t>
      </w:r>
      <w:r w:rsidR="007772CC">
        <w:rPr>
          <w:lang w:val="sq-AL"/>
        </w:rPr>
        <w:t xml:space="preserve"> </w:t>
      </w:r>
      <w:r w:rsidR="007772CC" w:rsidRPr="007772CC">
        <w:rPr>
          <w:lang w:val="sq-AL"/>
        </w:rPr>
        <w:t>për të rritur nivelin e financimit në afat të mesëm duke përfshirë shfrytëzimin e burimeve të bashkive</w:t>
      </w:r>
      <w:r w:rsidR="007672B4">
        <w:rPr>
          <w:lang w:val="sq-AL"/>
        </w:rPr>
        <w:t xml:space="preserve"> dhe ato t</w:t>
      </w:r>
      <w:r w:rsidR="007672B4" w:rsidRPr="007772CC">
        <w:rPr>
          <w:lang w:val="sq-AL"/>
        </w:rPr>
        <w:t>ë</w:t>
      </w:r>
      <w:r w:rsidR="007672B4">
        <w:rPr>
          <w:lang w:val="sq-AL"/>
        </w:rPr>
        <w:t xml:space="preserve"> BE-s</w:t>
      </w:r>
      <w:r w:rsidR="007672B4" w:rsidRPr="007772CC">
        <w:rPr>
          <w:lang w:val="sq-AL"/>
        </w:rPr>
        <w:t>ë</w:t>
      </w:r>
      <w:r w:rsidR="007772CC" w:rsidRPr="007772CC">
        <w:rPr>
          <w:lang w:val="sq-AL"/>
        </w:rPr>
        <w:t>.</w:t>
      </w:r>
    </w:p>
    <w:p w14:paraId="3E79AE65" w14:textId="77777777" w:rsidR="00714845" w:rsidRPr="00E35625" w:rsidRDefault="00714845" w:rsidP="00714845">
      <w:pPr>
        <w:spacing w:before="0" w:after="0"/>
        <w:rPr>
          <w:lang w:val="sq-AL"/>
        </w:rPr>
      </w:pPr>
      <w:bookmarkStart w:id="25" w:name="_Toc116931412"/>
      <w:bookmarkStart w:id="26" w:name="_Toc119598191"/>
      <w:bookmarkStart w:id="27" w:name="_Toc119865385"/>
    </w:p>
    <w:p w14:paraId="4E99CC9B" w14:textId="1B4648F2" w:rsidR="00E14B65" w:rsidRPr="00E35625" w:rsidRDefault="00E14B65" w:rsidP="00714845">
      <w:pPr>
        <w:pStyle w:val="Heading3"/>
        <w:spacing w:before="0" w:after="0"/>
        <w:rPr>
          <w:lang w:val="sq-AL"/>
        </w:rPr>
      </w:pPr>
      <w:bookmarkStart w:id="28" w:name="_Toc123165409"/>
      <w:r w:rsidRPr="00E35625">
        <w:rPr>
          <w:lang w:val="sq-AL"/>
        </w:rPr>
        <w:t>2.2.3 Arsimi dhe formimi profesional</w:t>
      </w:r>
      <w:bookmarkEnd w:id="25"/>
      <w:bookmarkEnd w:id="26"/>
      <w:bookmarkEnd w:id="27"/>
      <w:bookmarkEnd w:id="28"/>
    </w:p>
    <w:p w14:paraId="7D4B2761" w14:textId="6E65CC46" w:rsidR="00E14B65" w:rsidRPr="00E35625" w:rsidRDefault="00E14B65" w:rsidP="00E14B65">
      <w:pPr>
        <w:rPr>
          <w:lang w:val="sq-AL"/>
        </w:rPr>
      </w:pPr>
      <w:r w:rsidRPr="00E35625">
        <w:rPr>
          <w:lang w:val="sq-AL"/>
        </w:rPr>
        <w:t>Sistemi i arsimit dhe formimit profesional në vend mori një hov dhe vëmendje të veçantë me zbatimin e Strategjisë së Punësimit dhe Aftësive 2014 – 2022</w:t>
      </w:r>
      <w:r w:rsidRPr="00E35625">
        <w:rPr>
          <w:rStyle w:val="FootnoteReference"/>
          <w:rFonts w:ascii="Calibri" w:hAnsi="Calibri" w:cs="Calibri"/>
          <w:lang w:val="sq-AL"/>
        </w:rPr>
        <w:footnoteReference w:id="40"/>
      </w:r>
      <w:r w:rsidRPr="00E35625">
        <w:rPr>
          <w:lang w:val="sq-AL"/>
        </w:rPr>
        <w:t xml:space="preserve">, në kuadër të së cilës formimi dhe kualifikimi i forcës së ardhshme të punës dhe integrimi i saj në përputhje me nevojat e një tregu pune në zhvillim mori </w:t>
      </w:r>
      <w:r w:rsidR="00EB5B12" w:rsidRPr="00E35625">
        <w:rPr>
          <w:lang w:val="sq-AL"/>
        </w:rPr>
        <w:t>theks të posaçëm</w:t>
      </w:r>
      <w:r w:rsidRPr="00E35625">
        <w:rPr>
          <w:lang w:val="sq-AL"/>
        </w:rPr>
        <w:t xml:space="preserve"> në politikat publike. Si rezultat, gjatë viteve të fundit janë hedhur hapa të rëndësishëm në konsolidimin e kuadrit rregullator e institucional, në zhvillimin dhe zbatimin e mëtejshëm të Kornizës Shqiptare të Kualifikimeve, e cila u referencua me Kornizën </w:t>
      </w:r>
      <w:r w:rsidR="00F33823" w:rsidRPr="00E35625">
        <w:rPr>
          <w:lang w:val="sq-AL"/>
        </w:rPr>
        <w:t>E</w:t>
      </w:r>
      <w:r w:rsidR="00F33823">
        <w:rPr>
          <w:lang w:val="sq-AL"/>
        </w:rPr>
        <w:t>v</w:t>
      </w:r>
      <w:r w:rsidR="00F33823" w:rsidRPr="00E35625">
        <w:rPr>
          <w:lang w:val="sq-AL"/>
        </w:rPr>
        <w:t xml:space="preserve">ropiane </w:t>
      </w:r>
      <w:r w:rsidRPr="00E35625">
        <w:rPr>
          <w:lang w:val="sq-AL"/>
        </w:rPr>
        <w:t>të Kualifikimeve</w:t>
      </w:r>
      <w:r w:rsidR="00F33823">
        <w:rPr>
          <w:lang w:val="sq-AL"/>
        </w:rPr>
        <w:t xml:space="preserve"> (KEK)</w:t>
      </w:r>
      <w:r w:rsidRPr="00E35625">
        <w:rPr>
          <w:lang w:val="sq-AL"/>
        </w:rPr>
        <w:t>.</w:t>
      </w:r>
      <w:r w:rsidRPr="00E35625">
        <w:rPr>
          <w:rStyle w:val="FootnoteReference"/>
          <w:rFonts w:ascii="Calibri" w:hAnsi="Calibri" w:cs="Calibri"/>
          <w:lang w:val="sq-AL"/>
        </w:rPr>
        <w:footnoteReference w:id="41"/>
      </w:r>
      <w:r w:rsidRPr="00E35625">
        <w:rPr>
          <w:lang w:val="sq-AL"/>
        </w:rPr>
        <w:t xml:space="preserve"> Gjithashtu, përpjekjet kryesore të institucioneve përgjegjëse u përqendruan në riorganizimin dhe optimizimin e rrjetit të ofruesve publikë të AFP-së, proces i cili pritet të ketë ndikim të dukshëm në zgjerimin e ofertës së AFP-së</w:t>
      </w:r>
      <w:r w:rsidR="00EB5B12" w:rsidRPr="00E35625">
        <w:rPr>
          <w:lang w:val="sq-AL"/>
        </w:rPr>
        <w:t xml:space="preserve">, </w:t>
      </w:r>
      <w:r w:rsidRPr="00E35625">
        <w:rPr>
          <w:lang w:val="sq-AL"/>
        </w:rPr>
        <w:t>në kontekstin e të nxënit gjatë gjithë jetës.</w:t>
      </w:r>
    </w:p>
    <w:p w14:paraId="7C950393" w14:textId="1A41DB9F" w:rsidR="00E14B65" w:rsidRPr="00E35625" w:rsidRDefault="00E14B65" w:rsidP="00E14B65">
      <w:pPr>
        <w:rPr>
          <w:lang w:val="sq-AL"/>
        </w:rPr>
      </w:pPr>
      <w:r w:rsidRPr="00E35625">
        <w:rPr>
          <w:lang w:val="sq-AL"/>
        </w:rPr>
        <w:t xml:space="preserve">Rezultat i përpjekjeve për rritjen e cilësisë dhe rëndësisë së AFP-së në tregun e punës dhe për të rinjtë e të rriturit, ishte zhvillimi dhe vënia në zbatim e kornizës së sigurimit të cilësisë, e cila bazohet në ndërveprimin dhe ballafaqimin e rezultateve të vetëvlerësimit me procese të vlerësimit të jashtëm siç </w:t>
      </w:r>
      <w:r w:rsidRPr="00E35625">
        <w:rPr>
          <w:lang w:val="sq-AL"/>
        </w:rPr>
        <w:lastRenderedPageBreak/>
        <w:t xml:space="preserve">janë: akreditimi, monitorimi dhe inspektimi. Miratimi dhe nisja e zbatimit të procesit të akreditimit janë një hap tejet i rëndësishëm për krijimin e një kulture të cilësisë në sistem. </w:t>
      </w:r>
      <w:r w:rsidR="00EB5B12" w:rsidRPr="00E35625">
        <w:rPr>
          <w:lang w:val="sq-AL"/>
        </w:rPr>
        <w:t>Megjithatë, k</w:t>
      </w:r>
      <w:r w:rsidRPr="00E35625">
        <w:rPr>
          <w:lang w:val="sq-AL"/>
        </w:rPr>
        <w:t>orniza e sigurimit dhe zhvillimit të cilësisë në AFP ka nevojë të plotësohet më dy funksione të rëndësishme, siç janë inspektimi dhe monitorimi. Monitorimi i ofruesve publikë të AFP-së duhet të zhvillohet në përputhje me fushat e cilësisë, standardet dhe kriteret e vetëvlerësimit, akreditimit dhe inspektimit.</w:t>
      </w:r>
    </w:p>
    <w:p w14:paraId="7BB7147C" w14:textId="77777777" w:rsidR="00E14B65" w:rsidRPr="00E35625" w:rsidRDefault="00E14B65" w:rsidP="00E14B65">
      <w:pPr>
        <w:rPr>
          <w:lang w:val="sq-AL"/>
        </w:rPr>
      </w:pPr>
      <w:r w:rsidRPr="00E35625">
        <w:rPr>
          <w:lang w:val="sq-AL"/>
        </w:rPr>
        <w:t>Një dimension shumë i rëndësishëm i garantimit të cilësisë në AFP është edhe kualifikimi fillestar dhe zhvillimi i vazhduar profesional i mësimdhënësve. Në këtë aspekt, është institucionalizuar programi për kualifikimin fillestar të mësimdhënësve, ndërsa zhvillimi i vazhduar profesional mbetet një sfidë komplekse, trajtimi i së cilës do të jetë përcaktues për suksesin e ofrimit të AFP-së, që i përgjigjet tregut dinamik të punës dhe i përgatit të rinjtë e të rriturit për tranzicionin e dyfishtë.</w:t>
      </w:r>
    </w:p>
    <w:p w14:paraId="3999E371" w14:textId="77777777" w:rsidR="00E14B65" w:rsidRPr="00E35625" w:rsidRDefault="00E14B65" w:rsidP="00E14B65">
      <w:pPr>
        <w:rPr>
          <w:lang w:val="sq-AL"/>
        </w:rPr>
      </w:pPr>
      <w:r w:rsidRPr="00E35625">
        <w:rPr>
          <w:lang w:val="sq-AL"/>
        </w:rPr>
        <w:t>Njohja e të nxënit të mëparshëm joformal dhe informal, si dhe përfshirja në KSHK e kualifikimeve gjatë gjithë jetës mbeten ende të parregulluara në praktikë, ndonëse Korniza e Kualifikimeve mund të krijojë hapësirën për njohjen e tyre. Njohja e të nxënit të mëparshëm</w:t>
      </w:r>
      <w:r w:rsidRPr="00E35625">
        <w:rPr>
          <w:rStyle w:val="FootnoteReference"/>
          <w:rFonts w:ascii="Calibri" w:hAnsi="Calibri" w:cs="Calibri"/>
          <w:iCs/>
          <w:lang w:val="sq-AL"/>
        </w:rPr>
        <w:footnoteReference w:id="42"/>
      </w:r>
      <w:r w:rsidRPr="00E35625">
        <w:rPr>
          <w:lang w:val="sq-AL"/>
        </w:rPr>
        <w:t xml:space="preserve"> është një instrument i rëndësishëm për të nxitur përfshirjen e punëmarrësve, duke përmirësuar shanset e tyre për mobilitet në tregun e punës. </w:t>
      </w:r>
    </w:p>
    <w:p w14:paraId="5FB72C68" w14:textId="77777777" w:rsidR="00E14B65" w:rsidRPr="00E35625" w:rsidRDefault="00E14B65" w:rsidP="00E14B65">
      <w:pPr>
        <w:rPr>
          <w:lang w:val="sq-AL"/>
        </w:rPr>
      </w:pPr>
      <w:r w:rsidRPr="00E35625">
        <w:rPr>
          <w:lang w:val="sq-AL"/>
        </w:rPr>
        <w:t xml:space="preserve">Përveç përpjekjeve të përmendura më sipër, oferta private e AFP-së është një potencial ende i pashfrytëzuar, i cili duhet vënë në shërbim të objektivave të përgjithshme të strategjisë së aftësimit.  </w:t>
      </w:r>
    </w:p>
    <w:p w14:paraId="112F8121" w14:textId="77777777" w:rsidR="00E14B65" w:rsidRPr="00E35625" w:rsidRDefault="00E14B65" w:rsidP="00E14B65">
      <w:pPr>
        <w:rPr>
          <w:lang w:val="sq-AL"/>
        </w:rPr>
      </w:pPr>
      <w:r w:rsidRPr="00E35625">
        <w:rPr>
          <w:lang w:val="sq-AL"/>
        </w:rPr>
        <w:t xml:space="preserve">Synimi kryesor dhe sfida më komplekse e sistemit të AFP-së mbetet përditësimi, zgjerimi dhe përshtatja e ofertës së AFP-së me nevojat e tregut të punës, për të reduktuar mospërputhjen e aftësive.  </w:t>
      </w:r>
    </w:p>
    <w:p w14:paraId="66797F51" w14:textId="77777777" w:rsidR="00E14B65" w:rsidRPr="00E35625" w:rsidRDefault="00E14B65" w:rsidP="00E14B65">
      <w:pPr>
        <w:rPr>
          <w:lang w:val="sq-AL"/>
        </w:rPr>
      </w:pPr>
      <w:r w:rsidRPr="00E35625">
        <w:rPr>
          <w:lang w:val="sq-AL"/>
        </w:rPr>
        <w:t>Zhvillimi i një sistemi të besueshëm dhe cilësor të AFP-së në vend është një proces i dykahshëm, që kërkon kohë jo vetëm për maturimin dhe përmirësimin e ofruesve të AFP-së, por edhe për maturimin dhe konsolidimin e sektorit privat. Bashkëpunimi me sektorin privat në fushën e ofrimit të AFP-së , edhe pse ndoshta më i zhvilluari në sektorin e punësimit dhe aftësive, kryesisht falë bashkëpunimit në nivel zbatimi ndërmjet ofruesve të AFP-së kompanive, për zhvillimin e praktikave profesionale në biznes.</w:t>
      </w:r>
      <w:r w:rsidRPr="00E35625">
        <w:rPr>
          <w:rStyle w:val="FootnoteReference"/>
          <w:rFonts w:ascii="Calibri" w:hAnsi="Calibri" w:cs="Calibri"/>
          <w:bCs/>
          <w:iCs/>
          <w:lang w:val="sq-AL"/>
        </w:rPr>
        <w:footnoteReference w:id="43"/>
      </w:r>
      <w:r w:rsidRPr="00E35625">
        <w:rPr>
          <w:lang w:val="sq-AL"/>
        </w:rPr>
        <w:t xml:space="preserve"> Njësitë e zhvillimit</w:t>
      </w:r>
      <w:r w:rsidRPr="00E35625">
        <w:rPr>
          <w:rStyle w:val="FootnoteReference"/>
          <w:rFonts w:ascii="Calibri" w:hAnsi="Calibri" w:cs="Calibri"/>
          <w:bCs/>
          <w:iCs/>
          <w:lang w:val="sq-AL"/>
        </w:rPr>
        <w:footnoteReference w:id="44"/>
      </w:r>
      <w:r w:rsidRPr="00E35625">
        <w:rPr>
          <w:lang w:val="sq-AL"/>
        </w:rPr>
        <w:t xml:space="preserve">, të krijuara prane çdo ofruesi të AFP-së, synojnë edhe lehtësimin e marrëdhënies me sektorin privat, ndërkohë që janë ngritur dy komitete sektoriale. Pavarësisht këtyre përpjekjeve, angazhimi i sektorit privat mbetet ende në faza të hershme. Në planin afatgjatë është e nevojshme që të rritet besueshmëria dhe atraktiviteti i sistemit të AFP-së, ku një kontribut thelbësor do të japin modelet e suksesshme të kthimit të investimit të frekuentimit së AFP-së. </w:t>
      </w:r>
    </w:p>
    <w:p w14:paraId="0C89E07A" w14:textId="081AE44D" w:rsidR="00EB5B12" w:rsidRPr="00E35625" w:rsidRDefault="00E14B65" w:rsidP="00714845">
      <w:pPr>
        <w:spacing w:before="0" w:after="0"/>
        <w:rPr>
          <w:lang w:val="sq-AL"/>
        </w:rPr>
      </w:pPr>
      <w:r w:rsidRPr="00E35625">
        <w:rPr>
          <w:lang w:val="sq-AL"/>
        </w:rPr>
        <w:t xml:space="preserve">Modelet </w:t>
      </w:r>
      <w:r w:rsidR="00EB5B12" w:rsidRPr="00E35625">
        <w:rPr>
          <w:lang w:val="sq-AL"/>
        </w:rPr>
        <w:t>e suksesshme</w:t>
      </w:r>
      <w:r w:rsidRPr="00E35625">
        <w:rPr>
          <w:lang w:val="sq-AL"/>
        </w:rPr>
        <w:t xml:space="preserve"> mund të kenë efekt pozitiv në rritjen e angazhimit të punëdhënësve në sistemin e AFP-së, si instrument për të garantuar se kontributet e punëdhënësve rrisin angazhimin në sistem dhe</w:t>
      </w:r>
      <w:r w:rsidR="00EB5B12" w:rsidRPr="00E35625">
        <w:rPr>
          <w:lang w:val="sq-AL"/>
        </w:rPr>
        <w:t>,</w:t>
      </w:r>
      <w:r w:rsidRPr="00E35625">
        <w:rPr>
          <w:lang w:val="sq-AL"/>
        </w:rPr>
        <w:t xml:space="preserve"> nga ana tjetër</w:t>
      </w:r>
      <w:r w:rsidR="00EB5B12" w:rsidRPr="00E35625">
        <w:rPr>
          <w:lang w:val="sq-AL"/>
        </w:rPr>
        <w:t>,</w:t>
      </w:r>
      <w:r w:rsidRPr="00E35625">
        <w:rPr>
          <w:lang w:val="sq-AL"/>
        </w:rPr>
        <w:t xml:space="preserve"> garantojnë që aftësitë e përftuara përkojnë me nevojat e tyre.</w:t>
      </w:r>
    </w:p>
    <w:p w14:paraId="794B5E36" w14:textId="77777777" w:rsidR="00714845" w:rsidRPr="00E35625" w:rsidRDefault="00714845" w:rsidP="00714845">
      <w:pPr>
        <w:spacing w:before="0" w:after="0"/>
        <w:rPr>
          <w:lang w:val="sq-AL"/>
        </w:rPr>
      </w:pPr>
    </w:p>
    <w:p w14:paraId="56099768" w14:textId="306535E9" w:rsidR="00E14B65" w:rsidRPr="00E35625" w:rsidRDefault="00E14B65" w:rsidP="00714845">
      <w:pPr>
        <w:pStyle w:val="Heading3"/>
        <w:spacing w:before="0" w:after="0"/>
        <w:rPr>
          <w:lang w:val="sq-AL"/>
        </w:rPr>
      </w:pPr>
      <w:bookmarkStart w:id="29" w:name="_Toc116931413"/>
      <w:bookmarkStart w:id="30" w:name="_Toc119598192"/>
      <w:bookmarkStart w:id="31" w:name="_Toc119865386"/>
      <w:bookmarkStart w:id="32" w:name="_Toc123165410"/>
      <w:r w:rsidRPr="00E35625">
        <w:rPr>
          <w:lang w:val="sq-AL"/>
        </w:rPr>
        <w:t xml:space="preserve">2.2.4 Inspektimi </w:t>
      </w:r>
      <w:r w:rsidR="003E2860">
        <w:rPr>
          <w:lang w:val="sq-AL"/>
        </w:rPr>
        <w:t>i</w:t>
      </w:r>
      <w:r w:rsidR="003E2860" w:rsidRPr="00E35625">
        <w:rPr>
          <w:lang w:val="sq-AL"/>
        </w:rPr>
        <w:t xml:space="preserve"> </w:t>
      </w:r>
      <w:r w:rsidRPr="00E35625">
        <w:rPr>
          <w:lang w:val="sq-AL"/>
        </w:rPr>
        <w:t>punë</w:t>
      </w:r>
      <w:bookmarkEnd w:id="29"/>
      <w:bookmarkEnd w:id="30"/>
      <w:bookmarkEnd w:id="31"/>
      <w:r w:rsidR="003E2860">
        <w:rPr>
          <w:lang w:val="sq-AL"/>
        </w:rPr>
        <w:t>s</w:t>
      </w:r>
      <w:bookmarkEnd w:id="32"/>
    </w:p>
    <w:p w14:paraId="49025D5A" w14:textId="2E0927C7" w:rsidR="00E14B65" w:rsidRPr="00E35625" w:rsidRDefault="00E14B65" w:rsidP="00E14B65">
      <w:pPr>
        <w:rPr>
          <w:lang w:val="sq-AL"/>
        </w:rPr>
      </w:pPr>
      <w:r w:rsidRPr="00E35625">
        <w:rPr>
          <w:lang w:val="sq-AL"/>
        </w:rPr>
        <w:t xml:space="preserve">Inspektimi </w:t>
      </w:r>
      <w:r w:rsidR="003E2860">
        <w:rPr>
          <w:lang w:val="sq-AL"/>
        </w:rPr>
        <w:t>i</w:t>
      </w:r>
      <w:r w:rsidR="003E2860" w:rsidRPr="00E35625">
        <w:rPr>
          <w:lang w:val="sq-AL"/>
        </w:rPr>
        <w:t xml:space="preserve"> </w:t>
      </w:r>
      <w:r w:rsidRPr="00E35625">
        <w:rPr>
          <w:lang w:val="sq-AL"/>
        </w:rPr>
        <w:t>punë</w:t>
      </w:r>
      <w:r w:rsidR="003E2860">
        <w:rPr>
          <w:lang w:val="sq-AL"/>
        </w:rPr>
        <w:t>s</w:t>
      </w:r>
      <w:r w:rsidRPr="00E35625">
        <w:rPr>
          <w:lang w:val="sq-AL"/>
        </w:rPr>
        <w:t xml:space="preserve"> ka si qëllim promovimin dhe garantimin e pajtueshmërisë me legjislacionin e punës, në veçanti sigurimin e respektimit të kushteve të denja të punës, standardet e shëndetit dhe sigurisë </w:t>
      </w:r>
      <w:r w:rsidRPr="00E35625">
        <w:rPr>
          <w:lang w:val="sq-AL"/>
        </w:rPr>
        <w:lastRenderedPageBreak/>
        <w:t xml:space="preserve">në punë si dhe respektimin e të drejtave të punës. Inspektorati Shtetëror i Punës dhe Shërbimeve </w:t>
      </w:r>
      <w:r w:rsidR="00EB5B12" w:rsidRPr="00E35625">
        <w:rPr>
          <w:lang w:val="sq-AL"/>
        </w:rPr>
        <w:t>Shoqërore</w:t>
      </w:r>
      <w:r w:rsidRPr="00E35625">
        <w:rPr>
          <w:lang w:val="sq-AL"/>
        </w:rPr>
        <w:t xml:space="preserve"> (ISHPSHS</w:t>
      </w:r>
      <w:r w:rsidR="00EB5B12" w:rsidRPr="00E35625">
        <w:rPr>
          <w:lang w:val="sq-AL"/>
        </w:rPr>
        <w:t>H</w:t>
      </w:r>
      <w:r w:rsidRPr="00E35625">
        <w:rPr>
          <w:lang w:val="sq-AL"/>
        </w:rPr>
        <w:t xml:space="preserve">) është institucioni i ngarkuar me funksionet e inspektimit në fushën e marrëdhënieve të punës. </w:t>
      </w:r>
    </w:p>
    <w:p w14:paraId="7AC42719" w14:textId="7A4F99A5" w:rsidR="00E14B65" w:rsidRPr="00E35625" w:rsidRDefault="00E14B65" w:rsidP="00E14B65">
      <w:pPr>
        <w:rPr>
          <w:lang w:val="sq-AL"/>
        </w:rPr>
      </w:pPr>
      <w:r w:rsidRPr="00E35625">
        <w:rPr>
          <w:lang w:val="sq-AL"/>
        </w:rPr>
        <w:t xml:space="preserve">Sistemi i inspektimit </w:t>
      </w:r>
      <w:r w:rsidR="003E2860">
        <w:rPr>
          <w:lang w:val="sq-AL"/>
        </w:rPr>
        <w:t>t</w:t>
      </w:r>
      <w:r w:rsidR="003E2860" w:rsidRPr="00E35625">
        <w:rPr>
          <w:lang w:val="sq-AL"/>
        </w:rPr>
        <w:t xml:space="preserve">ë </w:t>
      </w:r>
      <w:r w:rsidRPr="00E35625">
        <w:rPr>
          <w:lang w:val="sq-AL"/>
        </w:rPr>
        <w:t>punë</w:t>
      </w:r>
      <w:r w:rsidR="003E2860">
        <w:rPr>
          <w:lang w:val="sq-AL"/>
        </w:rPr>
        <w:t>s</w:t>
      </w:r>
      <w:r w:rsidRPr="00E35625">
        <w:rPr>
          <w:lang w:val="sq-AL"/>
        </w:rPr>
        <w:t xml:space="preserve"> është konsoliduar më tej vitet e fundit, në sajë të analizës funksionale, përcaktimit të funksioneve dhe kompetencave vendimmarrëse dhe inspektuese, si dhe nëpërmjet zhvillimit të sistemit digjital për menaxhimin e inspektimeve, me funksione e procedura që mbështesin inspektimin bazuar në vlerësimin e </w:t>
      </w:r>
      <w:r w:rsidR="00EB5B12" w:rsidRPr="00E35625">
        <w:rPr>
          <w:lang w:val="sq-AL"/>
        </w:rPr>
        <w:t>riskut</w:t>
      </w:r>
      <w:r w:rsidRPr="00E35625">
        <w:rPr>
          <w:lang w:val="sq-AL"/>
        </w:rPr>
        <w:t>. Po ashtu, janë zhvilluar disa praktika për afrimin me sektorin privat, duke rritur komunikimin dhe bashkëpunimin për të siguruar rritjen e pajtueshmërisë ligjore</w:t>
      </w:r>
      <w:r w:rsidR="00EB5B12" w:rsidRPr="00E35625">
        <w:rPr>
          <w:lang w:val="sq-AL"/>
        </w:rPr>
        <w:t>,</w:t>
      </w:r>
      <w:r w:rsidRPr="00E35625">
        <w:rPr>
          <w:lang w:val="sq-AL"/>
        </w:rPr>
        <w:t xml:space="preserve"> nëpërmjet ndryshimit në sjelljen dhe praktikat e punëmarrësve. </w:t>
      </w:r>
    </w:p>
    <w:p w14:paraId="521CEF61" w14:textId="57D1C94B" w:rsidR="00E14B65" w:rsidRPr="00E35625" w:rsidRDefault="00E14B65" w:rsidP="00E14B65">
      <w:pPr>
        <w:rPr>
          <w:lang w:val="sq-AL"/>
        </w:rPr>
      </w:pPr>
      <w:r w:rsidRPr="00E35625">
        <w:rPr>
          <w:lang w:val="sq-AL"/>
        </w:rPr>
        <w:t xml:space="preserve">Ndonëse inspektimet dhe ndërmarrja e masave sanksionuese janë një element i rëndësishëm i inspektimit </w:t>
      </w:r>
      <w:r w:rsidR="003E2860">
        <w:rPr>
          <w:lang w:val="sq-AL"/>
        </w:rPr>
        <w:t>të</w:t>
      </w:r>
      <w:r w:rsidR="003E2860" w:rsidRPr="00E35625">
        <w:rPr>
          <w:lang w:val="sq-AL"/>
        </w:rPr>
        <w:t xml:space="preserve"> </w:t>
      </w:r>
      <w:r w:rsidRPr="00E35625">
        <w:rPr>
          <w:lang w:val="sq-AL"/>
        </w:rPr>
        <w:t>pun</w:t>
      </w:r>
      <w:r w:rsidR="00EB5B12" w:rsidRPr="00E35625">
        <w:rPr>
          <w:lang w:val="sq-AL"/>
        </w:rPr>
        <w:t>ë</w:t>
      </w:r>
      <w:r w:rsidR="003E2860">
        <w:rPr>
          <w:lang w:val="sq-AL"/>
        </w:rPr>
        <w:t>s</w:t>
      </w:r>
      <w:r w:rsidRPr="00E35625">
        <w:rPr>
          <w:lang w:val="sq-AL"/>
        </w:rPr>
        <w:t xml:space="preserve">, këto nuk janë gjithmonë të përshtatshme apo të mjaftueshme për të siguruar që shkeljet të identifikohen dhe të dekurajohen. Në këtë kuadër, promovimi i një kulture të favorshme për kushtet dhe marrëdhëniet e punës duhet të jetë në themel të punës së transformimit të inspektoratit drejt një shërbimi modern, ku sanksionet do të vazhdojnë të ekzistojnë, në rast se format e tjera të bashkëpunimit kanë dështuar. </w:t>
      </w:r>
    </w:p>
    <w:p w14:paraId="3B183B79" w14:textId="262437BC" w:rsidR="00E14B65" w:rsidRPr="00E35625" w:rsidRDefault="00E14B65" w:rsidP="00E14B65">
      <w:pPr>
        <w:rPr>
          <w:lang w:val="sq-AL"/>
        </w:rPr>
      </w:pPr>
      <w:r w:rsidRPr="00E35625">
        <w:rPr>
          <w:lang w:val="sq-AL"/>
        </w:rPr>
        <w:t>Gjithashtu, ndërgjegjësimi, rritja e bashkëpunimit, komunikimit dhe këshi</w:t>
      </w:r>
      <w:r w:rsidR="009A2D8E">
        <w:rPr>
          <w:lang w:val="sq-AL"/>
        </w:rPr>
        <w:t>l</w:t>
      </w:r>
      <w:r w:rsidRPr="00E35625">
        <w:rPr>
          <w:lang w:val="sq-AL"/>
        </w:rPr>
        <w:t xml:space="preserve">limi i sektorit privat, punëdhënësve dhe punëmarrësve janë domosdoshmëri në kushtet kur burimet njerëzore dhe financiare për inspektimin janë të pamjaftueshme për të mbuluar </w:t>
      </w:r>
      <w:r w:rsidR="00EB5B12" w:rsidRPr="00E35625">
        <w:rPr>
          <w:lang w:val="sq-AL"/>
        </w:rPr>
        <w:t xml:space="preserve">me inspektime formale </w:t>
      </w:r>
      <w:r w:rsidRPr="00E35625">
        <w:rPr>
          <w:lang w:val="sq-AL"/>
        </w:rPr>
        <w:t xml:space="preserve">mijëra </w:t>
      </w:r>
      <w:r w:rsidR="009A2D8E">
        <w:rPr>
          <w:lang w:val="sq-AL"/>
        </w:rPr>
        <w:t>biznese</w:t>
      </w:r>
      <w:r w:rsidR="009A2D8E" w:rsidRPr="00E35625">
        <w:rPr>
          <w:lang w:val="sq-AL"/>
        </w:rPr>
        <w:t xml:space="preserve"> </w:t>
      </w:r>
      <w:r w:rsidRPr="00E35625">
        <w:rPr>
          <w:lang w:val="sq-AL"/>
        </w:rPr>
        <w:t xml:space="preserve">në </w:t>
      </w:r>
      <w:r w:rsidR="00EB5B12" w:rsidRPr="00E35625">
        <w:rPr>
          <w:lang w:val="sq-AL"/>
        </w:rPr>
        <w:t>sektorë</w:t>
      </w:r>
      <w:r w:rsidRPr="00E35625">
        <w:rPr>
          <w:lang w:val="sq-AL"/>
        </w:rPr>
        <w:t xml:space="preserve"> të </w:t>
      </w:r>
      <w:r w:rsidR="00EB5B12" w:rsidRPr="00E35625">
        <w:rPr>
          <w:lang w:val="sq-AL"/>
        </w:rPr>
        <w:t>ndryshëm</w:t>
      </w:r>
      <w:r w:rsidRPr="00E35625">
        <w:rPr>
          <w:lang w:val="sq-AL"/>
        </w:rPr>
        <w:t xml:space="preserve">. </w:t>
      </w:r>
    </w:p>
    <w:p w14:paraId="5C7D8EB4" w14:textId="567AF9F1" w:rsidR="00E14B65" w:rsidRPr="00E35625" w:rsidRDefault="00E14B65" w:rsidP="009C2964">
      <w:pPr>
        <w:rPr>
          <w:lang w:val="sq-AL"/>
        </w:rPr>
      </w:pPr>
      <w:r w:rsidRPr="00E35625">
        <w:rPr>
          <w:lang w:val="sq-AL"/>
        </w:rPr>
        <w:t>Sfidat në vijim për inspektimin në punë përfshijnë</w:t>
      </w:r>
      <w:r w:rsidR="00EB5B12" w:rsidRPr="00E35625">
        <w:rPr>
          <w:lang w:val="sq-AL"/>
        </w:rPr>
        <w:t xml:space="preserve">, ndër të tjera, </w:t>
      </w:r>
      <w:r w:rsidRPr="00E35625">
        <w:rPr>
          <w:lang w:val="sq-AL"/>
        </w:rPr>
        <w:t xml:space="preserve">menaxhimin e ndryshimit brenda </w:t>
      </w:r>
      <w:r w:rsidR="009A2D8E">
        <w:rPr>
          <w:lang w:val="sq-AL"/>
        </w:rPr>
        <w:t>institucionit</w:t>
      </w:r>
      <w:r w:rsidRPr="00E35625">
        <w:rPr>
          <w:lang w:val="sq-AL"/>
        </w:rPr>
        <w:t>, për të siguruar kuptimin dhe zbatimin e praktikave të reja të punës nga vetë inspektorët. Nga ana tjetër, komunikimi dhe shkëmbimi i informacionit me institucione të tjera kyçe, si</w:t>
      </w:r>
      <w:r w:rsidR="00EB5B12" w:rsidRPr="00E35625">
        <w:rPr>
          <w:lang w:val="sq-AL"/>
        </w:rPr>
        <w:t>:</w:t>
      </w:r>
      <w:r w:rsidRPr="00E35625">
        <w:rPr>
          <w:lang w:val="sq-AL"/>
        </w:rPr>
        <w:t xml:space="preserve"> Drejtoria e Përgjithshme e Tatimeve (DPT), Instituti i Sigurimeve Shoqërore (ISSH) apo njësitë e qeverisjes vendore, krahas organizatave të punëdhënesve dhe punëmarrësve duhet të shërbejë për kuptimin dhe monitorimin e tendencave dhe zhvillimeve ne sektorë specifikë</w:t>
      </w:r>
      <w:r w:rsidR="00EB5B12" w:rsidRPr="00E35625">
        <w:rPr>
          <w:lang w:val="sq-AL"/>
        </w:rPr>
        <w:t>,</w:t>
      </w:r>
      <w:r w:rsidRPr="00E35625">
        <w:rPr>
          <w:lang w:val="sq-AL"/>
        </w:rPr>
        <w:t xml:space="preserve"> për përftimin në kohë të informacionit të detajuar dhe shmangien e barrës së inspektimeve të shumëfishta për bizneset.</w:t>
      </w:r>
    </w:p>
    <w:p w14:paraId="57D87897" w14:textId="77777777" w:rsidR="00E14B65" w:rsidRPr="00E35625" w:rsidRDefault="00E14B65" w:rsidP="00E14B65">
      <w:pPr>
        <w:pStyle w:val="NoSpacing"/>
        <w:spacing w:line="276" w:lineRule="auto"/>
        <w:jc w:val="both"/>
        <w:rPr>
          <w:rFonts w:cs="Calibri"/>
          <w:lang w:val="sq-AL"/>
        </w:rPr>
      </w:pPr>
      <w:r w:rsidRPr="00E35625">
        <w:rPr>
          <w:rFonts w:cs="Calibri"/>
          <w:lang w:val="sq-AL"/>
        </w:rPr>
        <w:t xml:space="preserve">Me qëllim garantimin e respektimit të legjislacionit të punës është e nevojshme të analizohen faktorët kryesorë përcaktues të sjelljes së punëdhënësve dhe punëmarrësve në treg. Njohja e këtyre faktorëve mund të orientojë qartë hartimin e politikave, por edhe vlerësimin e legjislacionit të punës, kur është i paqartë apo krijon barrë administrative për punëdhënësin dhe punëmarrësin.  </w:t>
      </w:r>
    </w:p>
    <w:p w14:paraId="435A9B52" w14:textId="39F492DA" w:rsidR="00E14B65" w:rsidRPr="00E35625" w:rsidRDefault="00E14B65" w:rsidP="009C2964">
      <w:pPr>
        <w:pStyle w:val="NoSpacing"/>
        <w:spacing w:line="276" w:lineRule="auto"/>
        <w:jc w:val="both"/>
        <w:rPr>
          <w:rFonts w:cs="Calibri"/>
          <w:lang w:val="sq-AL"/>
        </w:rPr>
      </w:pPr>
      <w:r w:rsidRPr="00E35625">
        <w:rPr>
          <w:rFonts w:cs="Calibri"/>
          <w:lang w:val="sq-AL"/>
        </w:rPr>
        <w:t>Në kontekstin ku roli i organizatave sindikale është ende i dobët dhe mungojnë p</w:t>
      </w:r>
      <w:r w:rsidR="009A2D8E">
        <w:rPr>
          <w:rFonts w:cs="Calibri"/>
          <w:lang w:val="sq-AL"/>
        </w:rPr>
        <w:t>ërvojat e mira</w:t>
      </w:r>
      <w:r w:rsidRPr="00E35625">
        <w:rPr>
          <w:rFonts w:cs="Calibri"/>
          <w:lang w:val="sq-AL"/>
        </w:rPr>
        <w:t xml:space="preserve">, një drejtim i rëndësishëm i punës së ISHPSSHSH-së duhet të jetë konsolidimi i marrëdhënies me partnerët socialë për parandalimin, monitorimin e sinjalizimin e rasteve të mosrespektimit të të drejtave të punëmarrësve, në përmbushje të funksionit për zbutjen e konflikteve në vendin e punës. </w:t>
      </w:r>
      <w:bookmarkStart w:id="33" w:name="_Toc116931414"/>
      <w:bookmarkStart w:id="34" w:name="_Toc119598193"/>
      <w:bookmarkStart w:id="35" w:name="_Toc119865387"/>
    </w:p>
    <w:p w14:paraId="562C0270" w14:textId="77777777" w:rsidR="00EB5B12" w:rsidRPr="00E35625" w:rsidRDefault="00EB5B12" w:rsidP="009C2964">
      <w:pPr>
        <w:pStyle w:val="NoSpacing"/>
        <w:spacing w:line="276" w:lineRule="auto"/>
        <w:jc w:val="both"/>
        <w:rPr>
          <w:rFonts w:cs="Calibri"/>
          <w:lang w:val="sq-AL"/>
        </w:rPr>
      </w:pPr>
    </w:p>
    <w:p w14:paraId="06056B84" w14:textId="77777777" w:rsidR="00E14B65" w:rsidRPr="00E35625" w:rsidRDefault="00E14B65" w:rsidP="00E14B65">
      <w:pPr>
        <w:pStyle w:val="Heading3"/>
        <w:rPr>
          <w:lang w:val="sq-AL"/>
        </w:rPr>
      </w:pPr>
      <w:bookmarkStart w:id="36" w:name="_Toc123165411"/>
      <w:r w:rsidRPr="00E35625">
        <w:rPr>
          <w:lang w:val="sq-AL"/>
        </w:rPr>
        <w:t>2.2.5 Partneriteti social</w:t>
      </w:r>
      <w:bookmarkEnd w:id="33"/>
      <w:bookmarkEnd w:id="34"/>
      <w:bookmarkEnd w:id="35"/>
      <w:bookmarkEnd w:id="36"/>
    </w:p>
    <w:p w14:paraId="18FA4873" w14:textId="3E05E77F" w:rsidR="00E14B65" w:rsidRPr="00E35625" w:rsidRDefault="00E14B65" w:rsidP="00E14B65">
      <w:pPr>
        <w:rPr>
          <w:lang w:val="sq-AL"/>
        </w:rPr>
      </w:pPr>
      <w:r w:rsidRPr="00E35625">
        <w:rPr>
          <w:lang w:val="sq-AL"/>
        </w:rPr>
        <w:t xml:space="preserve">Roli dhe përfshirja e partnerëve socialë në sektorin e punësimit dhe aftësive është e parashikuar në legjislacionin që rregullon marrëdheniet e punës, politikat e punësimit dhe arsimin dhe formimin profesional, nëpërmjet një sërë mekanizmash ligjorë. Një sërë ligjesh parashikojnë krijimin dhe funksionimin e organeve këshillimore, me pjesëmarrjen e partnerëvë socialë në aspekte të ndryshme të zbatimit të politikave në fushën e punësimit, arsimit dhe formimit profesional dhe marrëdhënieve të </w:t>
      </w:r>
      <w:r w:rsidRPr="00E35625">
        <w:rPr>
          <w:lang w:val="sq-AL"/>
        </w:rPr>
        <w:lastRenderedPageBreak/>
        <w:t>punës</w:t>
      </w:r>
      <w:r w:rsidRPr="00E35625">
        <w:rPr>
          <w:rStyle w:val="FootnoteReference"/>
          <w:rFonts w:ascii="Calibri" w:hAnsi="Calibri" w:cs="Calibri"/>
          <w:lang w:val="sq-AL"/>
        </w:rPr>
        <w:footnoteReference w:id="45"/>
      </w:r>
      <w:r w:rsidR="000715B8">
        <w:rPr>
          <w:lang w:val="sq-AL"/>
        </w:rPr>
        <w:t>.</w:t>
      </w:r>
      <w:r w:rsidRPr="00E35625">
        <w:rPr>
          <w:lang w:val="sq-AL"/>
        </w:rPr>
        <w:t xml:space="preserve"> Në përgjithësi, angazhimi i sektorit privat në AFP është i orientuar nga oferta dhe i drejtuar nga institucionet publike</w:t>
      </w:r>
      <w:r w:rsidRPr="00E35625">
        <w:rPr>
          <w:rStyle w:val="FootnoteReference"/>
          <w:rFonts w:ascii="Calibri" w:hAnsi="Calibri" w:cs="Calibri"/>
          <w:lang w:val="sq-AL"/>
        </w:rPr>
        <w:footnoteReference w:id="46"/>
      </w:r>
      <w:r w:rsidRPr="00E35625">
        <w:rPr>
          <w:lang w:val="sq-AL"/>
        </w:rPr>
        <w:t xml:space="preserve">. </w:t>
      </w:r>
    </w:p>
    <w:p w14:paraId="54BA1EAC" w14:textId="4693CFC6" w:rsidR="00E14B65" w:rsidRPr="00E35625" w:rsidRDefault="00E16DC5" w:rsidP="00E14B65">
      <w:pPr>
        <w:rPr>
          <w:lang w:val="sq-AL"/>
        </w:rPr>
      </w:pPr>
      <w:r w:rsidRPr="00E35625">
        <w:rPr>
          <w:lang w:val="sq-AL"/>
        </w:rPr>
        <w:t>B</w:t>
      </w:r>
      <w:r w:rsidR="00E14B65" w:rsidRPr="00E35625">
        <w:rPr>
          <w:lang w:val="sq-AL"/>
        </w:rPr>
        <w:t xml:space="preserve">ashkëpunimi me sektorin privat </w:t>
      </w:r>
      <w:r w:rsidRPr="00E35625">
        <w:rPr>
          <w:lang w:val="sq-AL"/>
        </w:rPr>
        <w:t>dh</w:t>
      </w:r>
      <w:r w:rsidR="00E14B65" w:rsidRPr="00E35625">
        <w:rPr>
          <w:lang w:val="sq-AL"/>
        </w:rPr>
        <w:t>e partner</w:t>
      </w:r>
      <w:r w:rsidRPr="00E35625">
        <w:rPr>
          <w:lang w:val="sq-AL"/>
        </w:rPr>
        <w:t>iteti</w:t>
      </w:r>
      <w:r w:rsidR="00E14B65" w:rsidRPr="00E35625">
        <w:rPr>
          <w:lang w:val="sq-AL"/>
        </w:rPr>
        <w:t xml:space="preserve"> social m</w:t>
      </w:r>
      <w:r w:rsidRPr="00E35625">
        <w:rPr>
          <w:lang w:val="sq-AL"/>
        </w:rPr>
        <w:t>und t</w:t>
      </w:r>
      <w:r w:rsidR="00E35625" w:rsidRPr="00E35625">
        <w:rPr>
          <w:lang w:val="sq-AL"/>
        </w:rPr>
        <w:t>ë</w:t>
      </w:r>
      <w:r w:rsidRPr="00E35625">
        <w:rPr>
          <w:lang w:val="sq-AL"/>
        </w:rPr>
        <w:t xml:space="preserve"> konsolidohen m</w:t>
      </w:r>
      <w:r w:rsidR="00E35625" w:rsidRPr="00E35625">
        <w:rPr>
          <w:lang w:val="sq-AL"/>
        </w:rPr>
        <w:t>ë</w:t>
      </w:r>
      <w:r w:rsidRPr="00E35625">
        <w:rPr>
          <w:lang w:val="sq-AL"/>
        </w:rPr>
        <w:t xml:space="preserve"> tej, edhe n</w:t>
      </w:r>
      <w:r w:rsidR="00E35625" w:rsidRPr="00E35625">
        <w:rPr>
          <w:lang w:val="sq-AL"/>
        </w:rPr>
        <w:t>ë</w:t>
      </w:r>
      <w:r w:rsidRPr="00E35625">
        <w:rPr>
          <w:lang w:val="sq-AL"/>
        </w:rPr>
        <w:t xml:space="preserve"> funksion t</w:t>
      </w:r>
      <w:r w:rsidR="00E35625" w:rsidRPr="00E35625">
        <w:rPr>
          <w:lang w:val="sq-AL"/>
        </w:rPr>
        <w:t>ë</w:t>
      </w:r>
      <w:r w:rsidRPr="00E35625">
        <w:rPr>
          <w:lang w:val="sq-AL"/>
        </w:rPr>
        <w:t xml:space="preserve"> for</w:t>
      </w:r>
      <w:r w:rsidR="009A2D8E">
        <w:rPr>
          <w:lang w:val="sq-AL"/>
        </w:rPr>
        <w:t>c</w:t>
      </w:r>
      <w:r w:rsidRPr="00E35625">
        <w:rPr>
          <w:lang w:val="sq-AL"/>
        </w:rPr>
        <w:t>imit t</w:t>
      </w:r>
      <w:r w:rsidR="00E35625" w:rsidRPr="00E35625">
        <w:rPr>
          <w:lang w:val="sq-AL"/>
        </w:rPr>
        <w:t>ë</w:t>
      </w:r>
      <w:r w:rsidRPr="00E35625">
        <w:rPr>
          <w:lang w:val="sq-AL"/>
        </w:rPr>
        <w:t xml:space="preserve"> pozit</w:t>
      </w:r>
      <w:r w:rsidR="00E35625" w:rsidRPr="00E35625">
        <w:rPr>
          <w:lang w:val="sq-AL"/>
        </w:rPr>
        <w:t>ë</w:t>
      </w:r>
      <w:r w:rsidRPr="00E35625">
        <w:rPr>
          <w:lang w:val="sq-AL"/>
        </w:rPr>
        <w:t>s</w:t>
      </w:r>
      <w:r w:rsidR="000715B8">
        <w:rPr>
          <w:lang w:val="sq-AL"/>
        </w:rPr>
        <w:t xml:space="preserve"> </w:t>
      </w:r>
      <w:r w:rsidR="00E14B65" w:rsidRPr="00E35625">
        <w:rPr>
          <w:lang w:val="sq-AL"/>
        </w:rPr>
        <w:t xml:space="preserve">negociuese të punëmarrësve, sidomos në sektorët me punësim të lartë. Organet e krijuara me ligj, por edhe organizatat e punëdhënësve </w:t>
      </w:r>
      <w:r w:rsidRPr="00E35625">
        <w:rPr>
          <w:lang w:val="sq-AL"/>
        </w:rPr>
        <w:t>duhet t</w:t>
      </w:r>
      <w:r w:rsidR="00E35625" w:rsidRPr="00E35625">
        <w:rPr>
          <w:lang w:val="sq-AL"/>
        </w:rPr>
        <w:t>ë</w:t>
      </w:r>
      <w:r w:rsidRPr="00E35625">
        <w:rPr>
          <w:lang w:val="sq-AL"/>
        </w:rPr>
        <w:t xml:space="preserve"> luajn</w:t>
      </w:r>
      <w:r w:rsidR="00E35625" w:rsidRPr="00E35625">
        <w:rPr>
          <w:lang w:val="sq-AL"/>
        </w:rPr>
        <w:t>ë</w:t>
      </w:r>
      <w:r w:rsidRPr="00E35625">
        <w:rPr>
          <w:lang w:val="sq-AL"/>
        </w:rPr>
        <w:t xml:space="preserve"> nj</w:t>
      </w:r>
      <w:r w:rsidR="00E35625" w:rsidRPr="00E35625">
        <w:rPr>
          <w:lang w:val="sq-AL"/>
        </w:rPr>
        <w:t>ë</w:t>
      </w:r>
      <w:r w:rsidRPr="00E35625">
        <w:rPr>
          <w:lang w:val="sq-AL"/>
        </w:rPr>
        <w:t xml:space="preserve"> rol m</w:t>
      </w:r>
      <w:r w:rsidR="00E35625" w:rsidRPr="00E35625">
        <w:rPr>
          <w:lang w:val="sq-AL"/>
        </w:rPr>
        <w:t>ë</w:t>
      </w:r>
      <w:r w:rsidRPr="00E35625">
        <w:rPr>
          <w:lang w:val="sq-AL"/>
        </w:rPr>
        <w:t xml:space="preserve"> aktiv si</w:t>
      </w:r>
      <w:r w:rsidR="00E14B65" w:rsidRPr="00E35625">
        <w:rPr>
          <w:lang w:val="sq-AL"/>
        </w:rPr>
        <w:t xml:space="preserve"> përfaqësues të drejtpërdrejtë të interesave të punëdhënësve apo punëmarrësve në përgjithësi. </w:t>
      </w:r>
    </w:p>
    <w:p w14:paraId="65D1F7EB" w14:textId="56B3E626" w:rsidR="00714845" w:rsidRDefault="00E14B65" w:rsidP="00714845">
      <w:pPr>
        <w:spacing w:before="0" w:after="0"/>
        <w:rPr>
          <w:lang w:val="sq-AL"/>
        </w:rPr>
      </w:pPr>
      <w:r w:rsidRPr="00E35625">
        <w:rPr>
          <w:lang w:val="sq-AL"/>
        </w:rPr>
        <w:t xml:space="preserve">Bazuar në disa përvoja pozitive të interesit në rritje të partnerëve socialë, në veçanti të sektorit privat për t’u angazhuar në zbatimin dhe pjesërisht në </w:t>
      </w:r>
      <w:r w:rsidR="001E692A">
        <w:rPr>
          <w:lang w:val="sq-AL"/>
        </w:rPr>
        <w:t>zhvillimin</w:t>
      </w:r>
      <w:r w:rsidR="009A2D8E" w:rsidRPr="00E35625">
        <w:rPr>
          <w:lang w:val="sq-AL"/>
        </w:rPr>
        <w:t xml:space="preserve"> </w:t>
      </w:r>
      <w:r w:rsidRPr="00E35625">
        <w:rPr>
          <w:lang w:val="sq-AL"/>
        </w:rPr>
        <w:t>e ofertës së AFP-së, është e qartë nevoja për të pasur komunikim të vazhdueshëm me partnerët socialë për të bërë të mundur që këta të angazhohen në formulim politikash, organizim, zhvillim, zbatim monitorim të marrëdhënieve, të punës, politikave të tregut të punës dhe AFP-së.</w:t>
      </w:r>
    </w:p>
    <w:p w14:paraId="5087C8F8" w14:textId="075AC62E" w:rsidR="00C37299" w:rsidRPr="00E35625" w:rsidRDefault="00C37299" w:rsidP="00714845">
      <w:pPr>
        <w:spacing w:before="0" w:after="0"/>
        <w:rPr>
          <w:lang w:val="sq-AL"/>
        </w:rPr>
      </w:pPr>
      <w:r w:rsidRPr="00E35625">
        <w:rPr>
          <w:lang w:val="sq-AL"/>
        </w:rPr>
        <w:t>Nga ana tjetër është e rëndësishme të forcohet roli i partnerëve socialë në përpilimin, zbatimin dhe menaxhimin e kontratave kolektive. Praktikat rajonale dhe më gjerë tregojnë se kontratat kolektive duhet të kenë një afat të paracaktuar, me mundësin</w:t>
      </w:r>
      <w:r w:rsidR="001E692A">
        <w:rPr>
          <w:lang w:val="sq-AL"/>
        </w:rPr>
        <w:t>ë</w:t>
      </w:r>
      <w:r w:rsidRPr="00E35625">
        <w:rPr>
          <w:lang w:val="sq-AL"/>
        </w:rPr>
        <w:t xml:space="preserve"> e zgjatjes me miratimin e partnerëve. Instrumentet e kontratave kolektive duhet të rishikohen për të përforcuar rolin e partnerëve socialë, por edhe për të reflektuar dinamikat në tregun e punës. </w:t>
      </w:r>
    </w:p>
    <w:p w14:paraId="746A8CEB" w14:textId="13D4CD3A" w:rsidR="00EB5B12" w:rsidRPr="00E35625" w:rsidRDefault="00E14B65" w:rsidP="00714845">
      <w:pPr>
        <w:spacing w:before="0" w:after="0"/>
        <w:rPr>
          <w:lang w:val="sq-AL"/>
        </w:rPr>
      </w:pPr>
      <w:r w:rsidRPr="00E35625">
        <w:rPr>
          <w:lang w:val="sq-AL"/>
        </w:rPr>
        <w:t xml:space="preserve"> </w:t>
      </w:r>
    </w:p>
    <w:p w14:paraId="5D107BF2" w14:textId="486F9C2C" w:rsidR="00E14B65" w:rsidRPr="00E35625" w:rsidRDefault="00E14B65" w:rsidP="00714845">
      <w:pPr>
        <w:pStyle w:val="Heading3"/>
        <w:spacing w:before="0" w:after="0"/>
        <w:rPr>
          <w:lang w:val="sq-AL"/>
        </w:rPr>
      </w:pPr>
      <w:bookmarkStart w:id="37" w:name="_Toc123165412"/>
      <w:r w:rsidRPr="00E35625">
        <w:rPr>
          <w:lang w:val="sq-AL"/>
        </w:rPr>
        <w:t xml:space="preserve">2.2.6 </w:t>
      </w:r>
      <w:r w:rsidR="00C37299" w:rsidRPr="00C37299">
        <w:rPr>
          <w:lang w:val="sq-AL"/>
        </w:rPr>
        <w:t xml:space="preserve">Legjislacioni për </w:t>
      </w:r>
      <w:r w:rsidR="00DC735B">
        <w:rPr>
          <w:lang w:val="sq-AL"/>
        </w:rPr>
        <w:t>m</w:t>
      </w:r>
      <w:r w:rsidR="00DC735B" w:rsidRPr="00C37299">
        <w:rPr>
          <w:lang w:val="sq-AL"/>
        </w:rPr>
        <w:t xml:space="preserve">brojtjen </w:t>
      </w:r>
      <w:r w:rsidR="00C37299" w:rsidRPr="00C37299">
        <w:rPr>
          <w:lang w:val="sq-AL"/>
        </w:rPr>
        <w:t xml:space="preserve">e </w:t>
      </w:r>
      <w:r w:rsidR="00DC735B">
        <w:rPr>
          <w:lang w:val="sq-AL"/>
        </w:rPr>
        <w:t>p</w:t>
      </w:r>
      <w:r w:rsidR="00C37299" w:rsidRPr="00C37299">
        <w:rPr>
          <w:lang w:val="sq-AL"/>
        </w:rPr>
        <w:t>unësimit</w:t>
      </w:r>
      <w:bookmarkEnd w:id="37"/>
    </w:p>
    <w:p w14:paraId="25458939" w14:textId="7474827D" w:rsidR="00EB5B12" w:rsidRPr="00E35625" w:rsidRDefault="00C37299" w:rsidP="00EE2FAC">
      <w:pPr>
        <w:spacing w:before="0" w:after="0"/>
        <w:rPr>
          <w:lang w:val="sq-AL"/>
        </w:rPr>
      </w:pPr>
      <w:r w:rsidRPr="00C37299">
        <w:rPr>
          <w:lang w:val="sq-AL"/>
        </w:rPr>
        <w:t>R</w:t>
      </w:r>
      <w:r>
        <w:rPr>
          <w:lang w:val="sq-AL"/>
        </w:rPr>
        <w:t>regullat e hyrj</w:t>
      </w:r>
      <w:r w:rsidR="00CB0BF9">
        <w:rPr>
          <w:lang w:val="sq-AL"/>
        </w:rPr>
        <w:t>e</w:t>
      </w:r>
      <w:r>
        <w:rPr>
          <w:lang w:val="sq-AL"/>
        </w:rPr>
        <w:t>s dhe dalj</w:t>
      </w:r>
      <w:r w:rsidR="009A2D8E">
        <w:rPr>
          <w:lang w:val="sq-AL"/>
        </w:rPr>
        <w:t>e</w:t>
      </w:r>
      <w:r>
        <w:rPr>
          <w:lang w:val="sq-AL"/>
        </w:rPr>
        <w:t xml:space="preserve">s nga </w:t>
      </w:r>
      <w:r w:rsidRPr="00C37299">
        <w:rPr>
          <w:lang w:val="sq-AL"/>
        </w:rPr>
        <w:t>pun</w:t>
      </w:r>
      <w:r>
        <w:rPr>
          <w:lang w:val="sq-AL"/>
        </w:rPr>
        <w:t>a</w:t>
      </w:r>
      <w:r w:rsidRPr="00C37299">
        <w:rPr>
          <w:lang w:val="sq-AL"/>
        </w:rPr>
        <w:t xml:space="preserve"> janë jetike për mirëqenien e punëtorëve pasi i mbron ata nga çdo formë e shfrytëzimi, diskriminimi dhe praktikave të padrejta të largimit nga puna. Megjithatë, është po aq e rëndësishme që </w:t>
      </w:r>
      <w:r w:rsidR="00C01D3F">
        <w:rPr>
          <w:lang w:val="sq-AL"/>
        </w:rPr>
        <w:t>k</w:t>
      </w:r>
      <w:r w:rsidR="00C01D3F" w:rsidRPr="007772CC">
        <w:rPr>
          <w:lang w:val="sq-AL"/>
        </w:rPr>
        <w:t>ë</w:t>
      </w:r>
      <w:r w:rsidR="00C01D3F">
        <w:rPr>
          <w:lang w:val="sq-AL"/>
        </w:rPr>
        <w:t xml:space="preserve">to </w:t>
      </w:r>
      <w:r w:rsidRPr="00C37299">
        <w:rPr>
          <w:lang w:val="sq-AL"/>
        </w:rPr>
        <w:t>rregull</w:t>
      </w:r>
      <w:r w:rsidR="00C01D3F">
        <w:rPr>
          <w:lang w:val="sq-AL"/>
        </w:rPr>
        <w:t xml:space="preserve">a </w:t>
      </w:r>
      <w:r w:rsidRPr="00C37299">
        <w:rPr>
          <w:lang w:val="sq-AL"/>
        </w:rPr>
        <w:t xml:space="preserve">t'u lejojnë kompanive fleksibilitet për të kryer biznesin e tyre bazuar në ndryshimin e kushteve. Kur rregullat </w:t>
      </w:r>
      <w:r>
        <w:rPr>
          <w:lang w:val="sq-AL"/>
        </w:rPr>
        <w:t>e hyrj</w:t>
      </w:r>
      <w:r w:rsidR="009A2D8E">
        <w:rPr>
          <w:lang w:val="sq-AL"/>
        </w:rPr>
        <w:t>e</w:t>
      </w:r>
      <w:r>
        <w:rPr>
          <w:lang w:val="sq-AL"/>
        </w:rPr>
        <w:t>s dhe dalj</w:t>
      </w:r>
      <w:r w:rsidR="009A2D8E">
        <w:rPr>
          <w:lang w:val="sq-AL"/>
        </w:rPr>
        <w:t>e</w:t>
      </w:r>
      <w:r>
        <w:rPr>
          <w:lang w:val="sq-AL"/>
        </w:rPr>
        <w:t xml:space="preserve">s nga </w:t>
      </w:r>
      <w:r w:rsidRPr="00C37299">
        <w:rPr>
          <w:lang w:val="sq-AL"/>
        </w:rPr>
        <w:t>pun</w:t>
      </w:r>
      <w:r>
        <w:rPr>
          <w:lang w:val="sq-AL"/>
        </w:rPr>
        <w:t>a</w:t>
      </w:r>
      <w:r w:rsidRPr="00C37299">
        <w:rPr>
          <w:lang w:val="sq-AL"/>
        </w:rPr>
        <w:t xml:space="preserve"> janë shumë të rrepta për sektorin privat, kjo mund të ndikojë në praktikat e tyre të punësimit. Rregullat e rrepta të punës mund të kontribuojnë gjithashtu në informalitet më të lartë i cili nuk ofron asnjë mbrojtje sociale për punëtorët. Për këto arsye, është shumë e rëndësishme të arrihet një ekuilibër midis mbrojtjes së punëtorëve dhe fleksibilitetit të tregut të punës.</w:t>
      </w:r>
      <w:r>
        <w:rPr>
          <w:lang w:val="sq-AL"/>
        </w:rPr>
        <w:t xml:space="preserve"> </w:t>
      </w:r>
      <w:r w:rsidR="00EB5B12" w:rsidRPr="00E35625">
        <w:rPr>
          <w:lang w:val="sq-AL"/>
        </w:rPr>
        <w:t>Kodi i Punës në Shqipëri garanton një balancë të mirë mes fleksibilitetit dhe sigurisë në punë (mbrojtja e të punësuarve), e cili ndikon pozitivisht në krijimin e vendeve të reja të punës, bizneseve të reja dhe rritjen e bizneseve ekzistuese.</w:t>
      </w:r>
      <w:r w:rsidR="00EB5B12" w:rsidRPr="00E35625">
        <w:rPr>
          <w:rStyle w:val="FootnoteReference"/>
          <w:lang w:val="sq-AL"/>
        </w:rPr>
        <w:footnoteReference w:id="47"/>
      </w:r>
      <w:r w:rsidR="00EB5B12" w:rsidRPr="00E35625">
        <w:rPr>
          <w:lang w:val="sq-AL"/>
        </w:rPr>
        <w:t xml:space="preserve"> </w:t>
      </w:r>
      <w:r w:rsidR="008040CC">
        <w:rPr>
          <w:lang w:val="sq-AL"/>
        </w:rPr>
        <w:t>V</w:t>
      </w:r>
      <w:r w:rsidR="00EB5B12" w:rsidRPr="00E35625">
        <w:rPr>
          <w:lang w:val="sq-AL"/>
        </w:rPr>
        <w:t>lerësimet tregojnë se Shqipëria, ngjashëm me vendet e rajonit, duhet të përmirësojë disa aspekte të legjislacionit të punës</w:t>
      </w:r>
      <w:r w:rsidR="00DD15E8">
        <w:rPr>
          <w:rStyle w:val="FootnoteReference"/>
          <w:lang w:val="sq-AL"/>
        </w:rPr>
        <w:footnoteReference w:id="48"/>
      </w:r>
      <w:r w:rsidR="00EB5B12" w:rsidRPr="00E35625">
        <w:rPr>
          <w:lang w:val="sq-AL"/>
        </w:rPr>
        <w:t xml:space="preserve">. </w:t>
      </w:r>
      <w:r w:rsidR="000F0857">
        <w:rPr>
          <w:lang w:val="sq-AL"/>
        </w:rPr>
        <w:t>P</w:t>
      </w:r>
      <w:r w:rsidR="00EB5B12" w:rsidRPr="00E35625">
        <w:rPr>
          <w:lang w:val="sq-AL"/>
        </w:rPr>
        <w:t xml:space="preserve">ër të reflektuar format e reja të punës, </w:t>
      </w:r>
      <w:r w:rsidR="000F0857">
        <w:rPr>
          <w:lang w:val="sq-AL"/>
        </w:rPr>
        <w:t>në disa sektorë si psh.</w:t>
      </w:r>
      <w:r w:rsidR="00EB5B12" w:rsidRPr="00E35625">
        <w:rPr>
          <w:lang w:val="sq-AL"/>
        </w:rPr>
        <w:t xml:space="preserve"> </w:t>
      </w:r>
      <w:r w:rsidR="00DC735B">
        <w:rPr>
          <w:lang w:val="sq-AL"/>
        </w:rPr>
        <w:t xml:space="preserve">në </w:t>
      </w:r>
      <w:r w:rsidR="00C46AE6" w:rsidRPr="00E35625">
        <w:rPr>
          <w:lang w:val="sq-AL"/>
        </w:rPr>
        <w:t>teknologji</w:t>
      </w:r>
      <w:r w:rsidR="00DC735B">
        <w:rPr>
          <w:lang w:val="sq-AL"/>
        </w:rPr>
        <w:t>n</w:t>
      </w:r>
      <w:r w:rsidR="00C46AE6" w:rsidRPr="00E35625">
        <w:rPr>
          <w:lang w:val="sq-AL"/>
        </w:rPr>
        <w:t xml:space="preserve">ë </w:t>
      </w:r>
      <w:r w:rsidR="00DC735B">
        <w:rPr>
          <w:lang w:val="sq-AL"/>
        </w:rPr>
        <w:t>e</w:t>
      </w:r>
      <w:r w:rsidR="00DC735B" w:rsidRPr="00E35625">
        <w:rPr>
          <w:lang w:val="sq-AL"/>
        </w:rPr>
        <w:t xml:space="preserve"> </w:t>
      </w:r>
      <w:r w:rsidR="00C46AE6" w:rsidRPr="00E35625">
        <w:rPr>
          <w:lang w:val="sq-AL"/>
        </w:rPr>
        <w:t>informacionit dhe komunikimit</w:t>
      </w:r>
      <w:r w:rsidR="00EB5B12" w:rsidRPr="00E35625">
        <w:rPr>
          <w:lang w:val="sq-AL"/>
        </w:rPr>
        <w:t>, është e nevojshme të propozohen instrumente kontraktuale të thjesh</w:t>
      </w:r>
      <w:r w:rsidR="00C46AE6" w:rsidRPr="00E35625">
        <w:rPr>
          <w:lang w:val="sq-AL"/>
        </w:rPr>
        <w:t>t</w:t>
      </w:r>
      <w:r w:rsidR="00EB5B12" w:rsidRPr="00E35625">
        <w:rPr>
          <w:lang w:val="sq-AL"/>
        </w:rPr>
        <w:t>uara për punë afatshkurtra apo të rastësishme, si n</w:t>
      </w:r>
      <w:r w:rsidR="00C46AE6" w:rsidRPr="00E35625">
        <w:rPr>
          <w:lang w:val="sq-AL"/>
        </w:rPr>
        <w:t>ë</w:t>
      </w:r>
      <w:r w:rsidR="00EB5B12" w:rsidRPr="00E35625">
        <w:rPr>
          <w:lang w:val="sq-AL"/>
        </w:rPr>
        <w:t xml:space="preserve"> rastin e të punësuarve sezonal</w:t>
      </w:r>
      <w:r w:rsidR="00C46AE6" w:rsidRPr="00E35625">
        <w:rPr>
          <w:lang w:val="sq-AL"/>
        </w:rPr>
        <w:t>ë</w:t>
      </w:r>
      <w:r w:rsidR="00EB5B12" w:rsidRPr="00E35625">
        <w:rPr>
          <w:lang w:val="sq-AL"/>
        </w:rPr>
        <w:t>.</w:t>
      </w:r>
    </w:p>
    <w:p w14:paraId="2BB63A34" w14:textId="0D306377" w:rsidR="00714845" w:rsidRPr="00E35625" w:rsidRDefault="00714845">
      <w:pPr>
        <w:spacing w:before="0" w:after="0" w:line="240" w:lineRule="auto"/>
        <w:jc w:val="left"/>
        <w:rPr>
          <w:rFonts w:asciiTheme="majorHAnsi" w:eastAsiaTheme="majorEastAsia" w:hAnsiTheme="majorHAnsi" w:cstheme="majorBidi"/>
          <w:color w:val="1F3763" w:themeColor="accent1" w:themeShade="7F"/>
          <w:lang w:val="sq-AL"/>
        </w:rPr>
      </w:pPr>
    </w:p>
    <w:p w14:paraId="42933982" w14:textId="2407BF22" w:rsidR="00E14B65" w:rsidRPr="00E35625" w:rsidRDefault="00E14B65" w:rsidP="00714845">
      <w:pPr>
        <w:pStyle w:val="Heading3"/>
        <w:spacing w:before="0" w:after="0"/>
        <w:rPr>
          <w:lang w:val="sq-AL"/>
        </w:rPr>
      </w:pPr>
      <w:bookmarkStart w:id="38" w:name="_Toc123165413"/>
      <w:r w:rsidRPr="00E35625">
        <w:rPr>
          <w:lang w:val="sq-AL"/>
        </w:rPr>
        <w:lastRenderedPageBreak/>
        <w:t>2.2.</w:t>
      </w:r>
      <w:r w:rsidR="00F95D9F">
        <w:rPr>
          <w:lang w:val="sq-AL"/>
        </w:rPr>
        <w:t>7</w:t>
      </w:r>
      <w:r w:rsidRPr="00E35625">
        <w:rPr>
          <w:lang w:val="sq-AL"/>
        </w:rPr>
        <w:t xml:space="preserve"> Paga minimale</w:t>
      </w:r>
      <w:bookmarkEnd w:id="38"/>
    </w:p>
    <w:p w14:paraId="239E8B65" w14:textId="1B4891A3" w:rsidR="001F2B61" w:rsidRDefault="000F0857" w:rsidP="00714845">
      <w:pPr>
        <w:spacing w:before="0" w:after="0"/>
        <w:rPr>
          <w:lang w:val="sq-AL"/>
        </w:rPr>
      </w:pPr>
      <w:r>
        <w:rPr>
          <w:lang w:val="sq-AL"/>
        </w:rPr>
        <w:t>Instrumenti i</w:t>
      </w:r>
      <w:r w:rsidR="001F2B61" w:rsidRPr="001F2B61">
        <w:rPr>
          <w:lang w:val="sq-AL"/>
        </w:rPr>
        <w:t xml:space="preserve"> pagës minimale</w:t>
      </w:r>
      <w:r w:rsidR="001F2B61">
        <w:rPr>
          <w:rStyle w:val="FootnoteReference"/>
          <w:lang w:val="sq-AL"/>
        </w:rPr>
        <w:footnoteReference w:id="49"/>
      </w:r>
      <w:r w:rsidR="001F2B61" w:rsidRPr="001F2B61">
        <w:rPr>
          <w:lang w:val="sq-AL"/>
        </w:rPr>
        <w:t xml:space="preserve"> është </w:t>
      </w:r>
      <w:r w:rsidR="001F2B61">
        <w:rPr>
          <w:lang w:val="sq-AL"/>
        </w:rPr>
        <w:t>krijuar</w:t>
      </w:r>
      <w:r w:rsidR="001F2B61" w:rsidRPr="001F2B61">
        <w:rPr>
          <w:lang w:val="sq-AL"/>
        </w:rPr>
        <w:t xml:space="preserve"> për mbrojtjen e punëtorëve </w:t>
      </w:r>
      <w:r w:rsidR="00DC735B">
        <w:rPr>
          <w:lang w:val="sq-AL"/>
        </w:rPr>
        <w:t>nga</w:t>
      </w:r>
      <w:r w:rsidR="001F2B61" w:rsidRPr="001F2B61">
        <w:rPr>
          <w:lang w:val="sq-AL"/>
        </w:rPr>
        <w:t xml:space="preserve"> paga</w:t>
      </w:r>
      <w:r w:rsidR="00DC735B">
        <w:rPr>
          <w:lang w:val="sq-AL"/>
        </w:rPr>
        <w:t>t</w:t>
      </w:r>
      <w:r w:rsidR="001F2B61" w:rsidRPr="001F2B61">
        <w:rPr>
          <w:lang w:val="sq-AL"/>
        </w:rPr>
        <w:t xml:space="preserve"> të ulëta </w:t>
      </w:r>
      <w:r w:rsidR="00DC735B">
        <w:rPr>
          <w:lang w:val="sq-AL"/>
        </w:rPr>
        <w:t xml:space="preserve">e </w:t>
      </w:r>
      <w:r w:rsidR="001F2B61" w:rsidRPr="001F2B61">
        <w:rPr>
          <w:lang w:val="sq-AL"/>
        </w:rPr>
        <w:t xml:space="preserve">të padrejta dhe </w:t>
      </w:r>
      <w:r w:rsidR="00DC735B">
        <w:rPr>
          <w:lang w:val="sq-AL"/>
        </w:rPr>
        <w:t xml:space="preserve">për </w:t>
      </w:r>
      <w:r w:rsidR="001F2B61" w:rsidRPr="001F2B61">
        <w:rPr>
          <w:lang w:val="sq-AL"/>
        </w:rPr>
        <w:t xml:space="preserve">reduktimin e pabarazisë në paga dhe varfërinë e punës. Megjithatë, </w:t>
      </w:r>
      <w:r>
        <w:rPr>
          <w:lang w:val="sq-AL"/>
        </w:rPr>
        <w:t>instrumente</w:t>
      </w:r>
      <w:r w:rsidR="001F2B61" w:rsidRPr="001F2B61">
        <w:rPr>
          <w:lang w:val="sq-AL"/>
        </w:rPr>
        <w:t xml:space="preserve"> të till</w:t>
      </w:r>
      <w:r w:rsidR="00DC735B">
        <w:rPr>
          <w:lang w:val="sq-AL"/>
        </w:rPr>
        <w:t>a,</w:t>
      </w:r>
      <w:r w:rsidR="001F2B61" w:rsidRPr="001F2B61">
        <w:rPr>
          <w:lang w:val="sq-AL"/>
        </w:rPr>
        <w:t xml:space="preserve"> kur </w:t>
      </w:r>
      <w:r w:rsidR="001F2B61">
        <w:rPr>
          <w:lang w:val="sq-AL"/>
        </w:rPr>
        <w:t>nuk hartohen</w:t>
      </w:r>
      <w:r w:rsidR="001F2B61" w:rsidRPr="001F2B61">
        <w:rPr>
          <w:lang w:val="sq-AL"/>
        </w:rPr>
        <w:t xml:space="preserve"> </w:t>
      </w:r>
      <w:r w:rsidR="001F2B61">
        <w:rPr>
          <w:lang w:val="sq-AL"/>
        </w:rPr>
        <w:t>mir</w:t>
      </w:r>
      <w:r w:rsidR="001F2B61" w:rsidRPr="001F2B61">
        <w:rPr>
          <w:lang w:val="sq-AL"/>
        </w:rPr>
        <w:t>ë</w:t>
      </w:r>
      <w:r w:rsidR="001F2B61">
        <w:rPr>
          <w:lang w:val="sq-AL"/>
        </w:rPr>
        <w:t>,</w:t>
      </w:r>
      <w:r w:rsidR="001F2B61" w:rsidRPr="001F2B61">
        <w:rPr>
          <w:lang w:val="sq-AL"/>
        </w:rPr>
        <w:t xml:space="preserve"> mund të kontribuojnë gjithashtu në nivele më të larta të papunësisë, veçanërisht </w:t>
      </w:r>
      <w:r w:rsidR="00DC735B">
        <w:rPr>
          <w:lang w:val="sq-AL"/>
        </w:rPr>
        <w:t>te</w:t>
      </w:r>
      <w:r w:rsidR="001F2B61" w:rsidRPr="001F2B61">
        <w:rPr>
          <w:lang w:val="sq-AL"/>
        </w:rPr>
        <w:t xml:space="preserve">  punëtorë</w:t>
      </w:r>
      <w:r>
        <w:rPr>
          <w:lang w:val="sq-AL"/>
        </w:rPr>
        <w:t>t</w:t>
      </w:r>
      <w:r w:rsidR="001F2B61" w:rsidRPr="001F2B61">
        <w:rPr>
          <w:lang w:val="sq-AL"/>
        </w:rPr>
        <w:t xml:space="preserve"> </w:t>
      </w:r>
      <w:r>
        <w:rPr>
          <w:lang w:val="sq-AL"/>
        </w:rPr>
        <w:t>e</w:t>
      </w:r>
      <w:r w:rsidR="001F2B61" w:rsidRPr="001F2B61">
        <w:rPr>
          <w:lang w:val="sq-AL"/>
        </w:rPr>
        <w:t xml:space="preserve"> pakualifikuar dhe të rinj</w:t>
      </w:r>
      <w:r>
        <w:rPr>
          <w:lang w:val="sq-AL"/>
        </w:rPr>
        <w:t>të</w:t>
      </w:r>
      <w:r w:rsidR="001F2B61" w:rsidRPr="001F2B61">
        <w:rPr>
          <w:lang w:val="sq-AL"/>
        </w:rPr>
        <w:t xml:space="preserve"> në një treg pune</w:t>
      </w:r>
      <w:r w:rsidR="00DC735B">
        <w:rPr>
          <w:lang w:val="sq-AL"/>
        </w:rPr>
        <w:t>,</w:t>
      </w:r>
      <w:r w:rsidR="001F2B61" w:rsidRPr="001F2B61">
        <w:rPr>
          <w:lang w:val="sq-AL"/>
        </w:rPr>
        <w:t xml:space="preserve"> që karakterizohet nga konkurrenca.</w:t>
      </w:r>
    </w:p>
    <w:p w14:paraId="401D3A21" w14:textId="5B005D3E" w:rsidR="00E636C9" w:rsidRDefault="00260FFF" w:rsidP="00714845">
      <w:pPr>
        <w:spacing w:before="0" w:after="0"/>
        <w:rPr>
          <w:lang w:val="sq-AL"/>
        </w:rPr>
      </w:pPr>
      <w:r w:rsidRPr="00E35625">
        <w:rPr>
          <w:lang w:val="sq-AL"/>
        </w:rPr>
        <w:t xml:space="preserve">Ne vitin 2022, paga minimale në vend është në vlerën 34,000 lekë, në vijim të disa rritjeve të njëpasnjëshme gjatë viteve të fundit. </w:t>
      </w:r>
      <w:r w:rsidR="00B322E1" w:rsidRPr="00E35625">
        <w:rPr>
          <w:lang w:val="sq-AL"/>
        </w:rPr>
        <w:t>V</w:t>
      </w:r>
      <w:r w:rsidRPr="00E35625">
        <w:rPr>
          <w:lang w:val="sq-AL"/>
        </w:rPr>
        <w:t xml:space="preserve">lera e pagës minimale </w:t>
      </w:r>
      <w:r w:rsidR="000715B8">
        <w:rPr>
          <w:lang w:val="sq-AL"/>
        </w:rPr>
        <w:t>n</w:t>
      </w:r>
      <w:r w:rsidR="000715B8" w:rsidRPr="00E35625">
        <w:rPr>
          <w:lang w:val="sq-AL"/>
        </w:rPr>
        <w:t>ë</w:t>
      </w:r>
      <w:r w:rsidR="000715B8">
        <w:rPr>
          <w:lang w:val="sq-AL"/>
        </w:rPr>
        <w:t xml:space="preserve"> parim </w:t>
      </w:r>
      <w:r w:rsidRPr="00E35625">
        <w:rPr>
          <w:lang w:val="sq-AL"/>
        </w:rPr>
        <w:t xml:space="preserve">duhet të reflektojë ndryshimet ekonomike, standardet e jetesës dhe rritjen e produktivitetit. </w:t>
      </w:r>
      <w:r w:rsidR="00005910" w:rsidRPr="00005910">
        <w:rPr>
          <w:lang w:val="sq-AL"/>
        </w:rPr>
        <w:t>Megjithatë</w:t>
      </w:r>
      <w:r w:rsidR="00005910">
        <w:rPr>
          <w:lang w:val="sq-AL"/>
        </w:rPr>
        <w:t xml:space="preserve">, </w:t>
      </w:r>
      <w:r w:rsidR="000F0857" w:rsidRPr="00E35625">
        <w:rPr>
          <w:lang w:val="sq-AL"/>
        </w:rPr>
        <w:t>indeksi Kaitz</w:t>
      </w:r>
      <w:r w:rsidR="000F0857">
        <w:rPr>
          <w:lang w:val="sq-AL"/>
        </w:rPr>
        <w:t>, matur si</w:t>
      </w:r>
      <w:r w:rsidR="0040525B">
        <w:rPr>
          <w:lang w:val="sq-AL"/>
        </w:rPr>
        <w:t xml:space="preserve"> </w:t>
      </w:r>
      <w:r w:rsidR="00005910">
        <w:rPr>
          <w:lang w:val="sq-AL"/>
        </w:rPr>
        <w:t>r</w:t>
      </w:r>
      <w:r w:rsidRPr="00E35625">
        <w:rPr>
          <w:lang w:val="sq-AL"/>
        </w:rPr>
        <w:t>aport</w:t>
      </w:r>
      <w:r w:rsidR="00DC735B">
        <w:rPr>
          <w:lang w:val="sq-AL"/>
        </w:rPr>
        <w:t xml:space="preserve"> i</w:t>
      </w:r>
      <w:r w:rsidRPr="00E35625">
        <w:rPr>
          <w:lang w:val="sq-AL"/>
        </w:rPr>
        <w:t xml:space="preserve"> pagës minimale nominale ligjore ndaj pagës mesatare në ekonomi, </w:t>
      </w:r>
      <w:r w:rsidR="001F2B61" w:rsidRPr="001F2B61">
        <w:rPr>
          <w:lang w:val="sq-AL"/>
        </w:rPr>
        <w:t>është një tregues që përdoret për të matur kufizimin e pagë</w:t>
      </w:r>
      <w:r w:rsidR="001F2B61">
        <w:rPr>
          <w:lang w:val="sq-AL"/>
        </w:rPr>
        <w:t>s</w:t>
      </w:r>
      <w:r w:rsidR="001F2B61" w:rsidRPr="001F2B61">
        <w:rPr>
          <w:lang w:val="sq-AL"/>
        </w:rPr>
        <w:t xml:space="preserve"> minimale</w:t>
      </w:r>
      <w:r w:rsidR="00005910">
        <w:rPr>
          <w:lang w:val="sq-AL"/>
        </w:rPr>
        <w:t xml:space="preserve"> </w:t>
      </w:r>
      <w:r w:rsidR="00005910" w:rsidRPr="00005910">
        <w:rPr>
          <w:lang w:val="sq-AL"/>
        </w:rPr>
        <w:t>në tregun e punës</w:t>
      </w:r>
      <w:r w:rsidR="00DC735B">
        <w:rPr>
          <w:lang w:val="sq-AL"/>
        </w:rPr>
        <w:t xml:space="preserve">. Vitet e fundit, ky indeks </w:t>
      </w:r>
      <w:r w:rsidRPr="00E35625">
        <w:rPr>
          <w:lang w:val="sq-AL"/>
        </w:rPr>
        <w:t>është rritur, i vlerësuar me rreth 0.59 ne 2021, nga 0.42 në 2017</w:t>
      </w:r>
      <w:r w:rsidR="00DC735B">
        <w:rPr>
          <w:lang w:val="sq-AL"/>
        </w:rPr>
        <w:t xml:space="preserve"> dhe</w:t>
      </w:r>
      <w:r w:rsidRPr="00E35625">
        <w:rPr>
          <w:lang w:val="sq-AL"/>
        </w:rPr>
        <w:t xml:space="preserve"> është më i lartë se mesatarja e vendeve </w:t>
      </w:r>
      <w:r w:rsidR="00846037">
        <w:rPr>
          <w:lang w:val="sq-AL"/>
        </w:rPr>
        <w:t>ev</w:t>
      </w:r>
      <w:r w:rsidR="00846037" w:rsidRPr="00E35625">
        <w:rPr>
          <w:lang w:val="sq-AL"/>
        </w:rPr>
        <w:t xml:space="preserve">ropiane </w:t>
      </w:r>
      <w:r w:rsidRPr="00E35625">
        <w:rPr>
          <w:lang w:val="sq-AL"/>
        </w:rPr>
        <w:t>(nga 0.33 deri në 0.48)</w:t>
      </w:r>
      <w:r w:rsidR="001F2B61">
        <w:rPr>
          <w:lang w:val="sq-AL"/>
        </w:rPr>
        <w:t>.</w:t>
      </w:r>
      <w:r w:rsidRPr="00E35625">
        <w:rPr>
          <w:lang w:val="sq-AL"/>
        </w:rPr>
        <w:t xml:space="preserve">  Ky raport është </w:t>
      </w:r>
      <w:r w:rsidR="00DC735B">
        <w:rPr>
          <w:lang w:val="sq-AL"/>
        </w:rPr>
        <w:t>edhe</w:t>
      </w:r>
      <w:r w:rsidR="00DC735B" w:rsidRPr="00E35625">
        <w:rPr>
          <w:lang w:val="sq-AL"/>
        </w:rPr>
        <w:t xml:space="preserve"> </w:t>
      </w:r>
      <w:r w:rsidRPr="00E35625">
        <w:rPr>
          <w:lang w:val="sq-AL"/>
        </w:rPr>
        <w:t xml:space="preserve">më </w:t>
      </w:r>
      <w:r w:rsidR="009B644A" w:rsidRPr="00E35625">
        <w:rPr>
          <w:lang w:val="sq-AL"/>
        </w:rPr>
        <w:t>i</w:t>
      </w:r>
      <w:r w:rsidRPr="00E35625">
        <w:rPr>
          <w:lang w:val="sq-AL"/>
        </w:rPr>
        <w:t xml:space="preserve"> lartë në disa sektorë, si</w:t>
      </w:r>
      <w:r w:rsidR="00DC735B">
        <w:rPr>
          <w:lang w:val="sq-AL"/>
        </w:rPr>
        <w:t>:</w:t>
      </w:r>
      <w:r w:rsidRPr="00E35625">
        <w:rPr>
          <w:lang w:val="sq-AL"/>
        </w:rPr>
        <w:t xml:space="preserve"> bujqësia,</w:t>
      </w:r>
      <w:r w:rsidR="00DC735B">
        <w:rPr>
          <w:lang w:val="sq-AL"/>
        </w:rPr>
        <w:t xml:space="preserve"> </w:t>
      </w:r>
      <w:r w:rsidRPr="00E35625">
        <w:rPr>
          <w:lang w:val="sq-AL"/>
        </w:rPr>
        <w:t>industria nxjerrëse, ndërtimi</w:t>
      </w:r>
      <w:r w:rsidR="00DC735B">
        <w:rPr>
          <w:lang w:val="sq-AL"/>
        </w:rPr>
        <w:t xml:space="preserve"> dhe </w:t>
      </w:r>
      <w:r w:rsidRPr="00E35625">
        <w:rPr>
          <w:lang w:val="sq-AL"/>
        </w:rPr>
        <w:t xml:space="preserve">tregtia. </w:t>
      </w:r>
      <w:r w:rsidR="00A04588" w:rsidRPr="00E35625">
        <w:rPr>
          <w:lang w:val="sq-AL"/>
        </w:rPr>
        <w:t>E nj</w:t>
      </w:r>
      <w:r w:rsidR="000F0857">
        <w:rPr>
          <w:lang w:val="sq-AL"/>
        </w:rPr>
        <w:t>ë</w:t>
      </w:r>
      <w:r w:rsidR="00A04588" w:rsidRPr="00E35625">
        <w:rPr>
          <w:lang w:val="sq-AL"/>
        </w:rPr>
        <w:t xml:space="preserve">jta </w:t>
      </w:r>
      <w:r w:rsidR="000F0857">
        <w:rPr>
          <w:lang w:val="sq-AL"/>
        </w:rPr>
        <w:t xml:space="preserve">gjë </w:t>
      </w:r>
      <w:r w:rsidR="00A04588" w:rsidRPr="00E35625">
        <w:rPr>
          <w:lang w:val="sq-AL"/>
        </w:rPr>
        <w:t>reflekto</w:t>
      </w:r>
      <w:r w:rsidR="00DC735B">
        <w:rPr>
          <w:lang w:val="sq-AL"/>
        </w:rPr>
        <w:t>het</w:t>
      </w:r>
      <w:r w:rsidR="00A04588" w:rsidRPr="00E35625">
        <w:rPr>
          <w:lang w:val="sq-AL"/>
        </w:rPr>
        <w:t xml:space="preserve"> edhe n</w:t>
      </w:r>
      <w:r w:rsidR="00DC735B">
        <w:rPr>
          <w:lang w:val="sq-AL"/>
        </w:rPr>
        <w:t>ë</w:t>
      </w:r>
      <w:r w:rsidR="00A04588" w:rsidRPr="00E35625">
        <w:rPr>
          <w:lang w:val="sq-AL"/>
        </w:rPr>
        <w:t xml:space="preserve"> grup </w:t>
      </w:r>
      <w:r w:rsidR="00DC735B">
        <w:rPr>
          <w:lang w:val="sq-AL"/>
        </w:rPr>
        <w:t xml:space="preserve">të caktuara </w:t>
      </w:r>
      <w:r w:rsidR="00A04588" w:rsidRPr="00E35625">
        <w:rPr>
          <w:lang w:val="sq-AL"/>
        </w:rPr>
        <w:t>profesiones</w:t>
      </w:r>
      <w:r w:rsidR="00DC735B">
        <w:rPr>
          <w:lang w:val="sq-AL"/>
        </w:rPr>
        <w:t xml:space="preserve">h, </w:t>
      </w:r>
      <w:r w:rsidR="00E636C9">
        <w:rPr>
          <w:lang w:val="sq-AL"/>
        </w:rPr>
        <w:t xml:space="preserve"> </w:t>
      </w:r>
      <w:r w:rsidR="00E636C9" w:rsidRPr="00E636C9">
        <w:rPr>
          <w:lang w:val="sq-AL"/>
        </w:rPr>
        <w:t>siç pasqyrohet në tabelën e mëposhtme</w:t>
      </w:r>
      <w:r w:rsidR="00A04588" w:rsidRPr="00E35625">
        <w:rPr>
          <w:lang w:val="sq-AL"/>
        </w:rPr>
        <w:t xml:space="preserve">. </w:t>
      </w:r>
      <w:r w:rsidRPr="00E35625">
        <w:rPr>
          <w:lang w:val="sq-AL"/>
        </w:rPr>
        <w:t>Në këtë analizë mund të vihe</w:t>
      </w:r>
      <w:r w:rsidR="00DC735B">
        <w:rPr>
          <w:lang w:val="sq-AL"/>
        </w:rPr>
        <w:t>t</w:t>
      </w:r>
      <w:r w:rsidRPr="00E35625">
        <w:rPr>
          <w:lang w:val="sq-AL"/>
        </w:rPr>
        <w:t xml:space="preserve"> re edhe hendeku gjinor në paga. Pagat </w:t>
      </w:r>
      <w:r w:rsidR="00DC735B">
        <w:rPr>
          <w:lang w:val="sq-AL"/>
        </w:rPr>
        <w:t>në</w:t>
      </w:r>
      <w:r w:rsidRPr="00E35625">
        <w:rPr>
          <w:lang w:val="sq-AL"/>
        </w:rPr>
        <w:t xml:space="preserve"> sektori</w:t>
      </w:r>
      <w:r w:rsidR="00DC735B">
        <w:rPr>
          <w:lang w:val="sq-AL"/>
        </w:rPr>
        <w:t>n</w:t>
      </w:r>
      <w:r w:rsidRPr="00E35625">
        <w:rPr>
          <w:lang w:val="sq-AL"/>
        </w:rPr>
        <w:t xml:space="preserve"> privat janë gjithashtu më të ul</w:t>
      </w:r>
      <w:r w:rsidR="00DC735B">
        <w:rPr>
          <w:lang w:val="sq-AL"/>
        </w:rPr>
        <w:t>ë</w:t>
      </w:r>
      <w:r w:rsidRPr="00E35625">
        <w:rPr>
          <w:lang w:val="sq-AL"/>
        </w:rPr>
        <w:t>ta</w:t>
      </w:r>
      <w:r w:rsidR="00DC735B">
        <w:rPr>
          <w:lang w:val="sq-AL"/>
        </w:rPr>
        <w:t>,</w:t>
      </w:r>
      <w:r w:rsidRPr="00E35625">
        <w:rPr>
          <w:lang w:val="sq-AL"/>
        </w:rPr>
        <w:t xml:space="preserve"> se pagat mesatare dhe pagat </w:t>
      </w:r>
      <w:r w:rsidR="00DC735B">
        <w:rPr>
          <w:lang w:val="sq-AL"/>
        </w:rPr>
        <w:t>në</w:t>
      </w:r>
      <w:r w:rsidRPr="00E35625">
        <w:rPr>
          <w:lang w:val="sq-AL"/>
        </w:rPr>
        <w:t xml:space="preserve"> sektorit publik.</w:t>
      </w:r>
    </w:p>
    <w:p w14:paraId="39440756" w14:textId="15AC8966" w:rsidR="00714845" w:rsidRPr="00CB0BF9" w:rsidRDefault="00260FFF" w:rsidP="00D73C86">
      <w:pPr>
        <w:spacing w:before="0" w:after="0"/>
        <w:rPr>
          <w:b/>
          <w:lang w:val="sq-AL"/>
        </w:rPr>
      </w:pPr>
      <w:r w:rsidRPr="00E35625">
        <w:rPr>
          <w:lang w:val="sq-AL"/>
        </w:rPr>
        <w:t xml:space="preserve"> </w:t>
      </w:r>
    </w:p>
    <w:p w14:paraId="67A5F2A2" w14:textId="222DFD4E" w:rsidR="00DC735B" w:rsidRDefault="00DC735B" w:rsidP="00D73C86">
      <w:pPr>
        <w:pStyle w:val="Caption"/>
        <w:keepNext/>
      </w:pPr>
      <w:bookmarkStart w:id="39" w:name="_Toc123166701"/>
      <w:r>
        <w:t xml:space="preserve">Tabela </w:t>
      </w:r>
      <w:r w:rsidR="004D4D2F">
        <w:fldChar w:fldCharType="begin"/>
      </w:r>
      <w:r w:rsidR="004D4D2F">
        <w:instrText xml:space="preserve"> SEQ Tabe</w:instrText>
      </w:r>
      <w:r w:rsidR="004D4D2F">
        <w:instrText xml:space="preserve">la \* ARABIC </w:instrText>
      </w:r>
      <w:r w:rsidR="004D4D2F">
        <w:fldChar w:fldCharType="separate"/>
      </w:r>
      <w:r w:rsidR="00342919">
        <w:rPr>
          <w:noProof/>
        </w:rPr>
        <w:t>2</w:t>
      </w:r>
      <w:r w:rsidR="004D4D2F">
        <w:rPr>
          <w:noProof/>
        </w:rPr>
        <w:fldChar w:fldCharType="end"/>
      </w:r>
      <w:r>
        <w:t xml:space="preserve">: </w:t>
      </w:r>
      <w:r w:rsidRPr="001B6005">
        <w:t>Tabela: Pagat mesatare dhe indeksi Kaitz sipas profesioneve të ndryshme</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017"/>
        <w:gridCol w:w="724"/>
        <w:gridCol w:w="1166"/>
        <w:gridCol w:w="1017"/>
        <w:gridCol w:w="1015"/>
        <w:gridCol w:w="1156"/>
      </w:tblGrid>
      <w:tr w:rsidR="00A04588" w:rsidRPr="00E35625" w14:paraId="451586CB" w14:textId="77777777" w:rsidTr="00A04588">
        <w:trPr>
          <w:trHeight w:val="300"/>
        </w:trPr>
        <w:tc>
          <w:tcPr>
            <w:tcW w:w="1769" w:type="pct"/>
            <w:vMerge w:val="restart"/>
            <w:shd w:val="clear" w:color="auto" w:fill="auto"/>
            <w:vAlign w:val="center"/>
            <w:hideMark/>
          </w:tcPr>
          <w:p w14:paraId="1F22BA89" w14:textId="4DF5DB51" w:rsidR="00A04588" w:rsidRPr="00E35625" w:rsidRDefault="00A04588"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Grup-profesionet (sipas ISCO-08 në nivel 2 shifror) – Instat, 2021</w:t>
            </w:r>
          </w:p>
        </w:tc>
        <w:tc>
          <w:tcPr>
            <w:tcW w:w="1541" w:type="pct"/>
            <w:gridSpan w:val="3"/>
            <w:shd w:val="clear" w:color="auto" w:fill="auto"/>
            <w:vAlign w:val="center"/>
            <w:hideMark/>
          </w:tcPr>
          <w:p w14:paraId="684A9204" w14:textId="4DEF9B70" w:rsidR="00A04588" w:rsidRPr="00E35625" w:rsidRDefault="00A04588" w:rsidP="00A04588">
            <w:pPr>
              <w:spacing w:before="0" w:after="0" w:line="240" w:lineRule="auto"/>
              <w:jc w:val="center"/>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Paga mesatare</w:t>
            </w:r>
          </w:p>
        </w:tc>
        <w:tc>
          <w:tcPr>
            <w:tcW w:w="1689" w:type="pct"/>
            <w:gridSpan w:val="3"/>
            <w:shd w:val="clear" w:color="auto" w:fill="auto"/>
            <w:vAlign w:val="center"/>
          </w:tcPr>
          <w:p w14:paraId="125AEBD2" w14:textId="4AE70563" w:rsidR="00A04588" w:rsidRPr="00E35625" w:rsidRDefault="00A04588" w:rsidP="00A04588">
            <w:pPr>
              <w:spacing w:before="0" w:after="0" w:line="240" w:lineRule="auto"/>
              <w:jc w:val="center"/>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Indeksi Kaitz</w:t>
            </w:r>
          </w:p>
        </w:tc>
      </w:tr>
      <w:tr w:rsidR="005263C7" w:rsidRPr="00E35625" w14:paraId="711904A7" w14:textId="77777777" w:rsidTr="00A04588">
        <w:trPr>
          <w:trHeight w:val="260"/>
        </w:trPr>
        <w:tc>
          <w:tcPr>
            <w:tcW w:w="1769" w:type="pct"/>
            <w:vMerge/>
            <w:vAlign w:val="center"/>
            <w:hideMark/>
          </w:tcPr>
          <w:p w14:paraId="65E0F9BA" w14:textId="77777777"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p>
        </w:tc>
        <w:tc>
          <w:tcPr>
            <w:tcW w:w="539" w:type="pct"/>
            <w:shd w:val="clear" w:color="auto" w:fill="auto"/>
            <w:vAlign w:val="center"/>
            <w:hideMark/>
          </w:tcPr>
          <w:p w14:paraId="02D94890" w14:textId="134C264E"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Gjithsej</w:t>
            </w:r>
          </w:p>
        </w:tc>
        <w:tc>
          <w:tcPr>
            <w:tcW w:w="384" w:type="pct"/>
            <w:shd w:val="clear" w:color="auto" w:fill="auto"/>
            <w:vAlign w:val="center"/>
            <w:hideMark/>
          </w:tcPr>
          <w:p w14:paraId="64C176AE" w14:textId="14ECA331"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Burra</w:t>
            </w:r>
          </w:p>
        </w:tc>
        <w:tc>
          <w:tcPr>
            <w:tcW w:w="618" w:type="pct"/>
            <w:shd w:val="clear" w:color="auto" w:fill="auto"/>
            <w:vAlign w:val="center"/>
            <w:hideMark/>
          </w:tcPr>
          <w:p w14:paraId="6CF2DE28" w14:textId="4FE08E6A"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Gra</w:t>
            </w:r>
          </w:p>
        </w:tc>
        <w:tc>
          <w:tcPr>
            <w:tcW w:w="539" w:type="pct"/>
            <w:shd w:val="clear" w:color="auto" w:fill="auto"/>
            <w:vAlign w:val="center"/>
            <w:hideMark/>
          </w:tcPr>
          <w:p w14:paraId="3C41996C" w14:textId="6B663867"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Gjithsej</w:t>
            </w:r>
          </w:p>
        </w:tc>
        <w:tc>
          <w:tcPr>
            <w:tcW w:w="538" w:type="pct"/>
            <w:shd w:val="clear" w:color="auto" w:fill="auto"/>
            <w:vAlign w:val="center"/>
            <w:hideMark/>
          </w:tcPr>
          <w:p w14:paraId="3BA7857F" w14:textId="430FF73C"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Burra</w:t>
            </w:r>
          </w:p>
        </w:tc>
        <w:tc>
          <w:tcPr>
            <w:tcW w:w="613" w:type="pct"/>
            <w:shd w:val="clear" w:color="auto" w:fill="auto"/>
            <w:vAlign w:val="center"/>
            <w:hideMark/>
          </w:tcPr>
          <w:p w14:paraId="24B93AFF" w14:textId="2A3C658B"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Gra</w:t>
            </w:r>
          </w:p>
        </w:tc>
      </w:tr>
      <w:tr w:rsidR="005263C7" w:rsidRPr="00E35625" w14:paraId="25ED1F9E" w14:textId="77777777" w:rsidTr="00A04588">
        <w:trPr>
          <w:trHeight w:val="260"/>
        </w:trPr>
        <w:tc>
          <w:tcPr>
            <w:tcW w:w="1769" w:type="pct"/>
            <w:shd w:val="clear" w:color="auto" w:fill="auto"/>
            <w:vAlign w:val="center"/>
            <w:hideMark/>
          </w:tcPr>
          <w:p w14:paraId="67D46776" w14:textId="77777777"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Gjithsej</w:t>
            </w:r>
          </w:p>
        </w:tc>
        <w:tc>
          <w:tcPr>
            <w:tcW w:w="539" w:type="pct"/>
            <w:shd w:val="clear" w:color="auto" w:fill="auto"/>
            <w:noWrap/>
            <w:vAlign w:val="center"/>
            <w:hideMark/>
          </w:tcPr>
          <w:p w14:paraId="5A92102D" w14:textId="3E3C9FB7"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57 191</w:t>
            </w:r>
          </w:p>
        </w:tc>
        <w:tc>
          <w:tcPr>
            <w:tcW w:w="384" w:type="pct"/>
            <w:shd w:val="clear" w:color="auto" w:fill="auto"/>
            <w:noWrap/>
            <w:vAlign w:val="center"/>
            <w:hideMark/>
          </w:tcPr>
          <w:p w14:paraId="30838748" w14:textId="32A485C4" w:rsidR="005263C7" w:rsidRPr="00E35625" w:rsidRDefault="005263C7" w:rsidP="00A04588">
            <w:pPr>
              <w:spacing w:before="0" w:after="0" w:line="240" w:lineRule="auto"/>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58 413</w:t>
            </w:r>
          </w:p>
        </w:tc>
        <w:tc>
          <w:tcPr>
            <w:tcW w:w="618" w:type="pct"/>
            <w:shd w:val="clear" w:color="auto" w:fill="auto"/>
            <w:noWrap/>
            <w:vAlign w:val="center"/>
            <w:hideMark/>
          </w:tcPr>
          <w:p w14:paraId="40E9B570" w14:textId="2EBAA1E4" w:rsidR="005263C7" w:rsidRPr="00E35625" w:rsidRDefault="005263C7" w:rsidP="00A04588">
            <w:pPr>
              <w:spacing w:before="0" w:after="0" w:line="240" w:lineRule="auto"/>
              <w:ind w:firstLineChars="200" w:firstLine="321"/>
              <w:jc w:val="left"/>
              <w:rPr>
                <w:rFonts w:ascii="Arial" w:eastAsia="Times New Roman" w:hAnsi="Arial" w:cs="Arial"/>
                <w:b/>
                <w:bCs/>
                <w:sz w:val="16"/>
                <w:szCs w:val="16"/>
                <w:lang w:val="sq-AL" w:eastAsia="en-GB"/>
              </w:rPr>
            </w:pPr>
            <w:r w:rsidRPr="00E35625">
              <w:rPr>
                <w:rFonts w:ascii="Arial" w:eastAsia="Times New Roman" w:hAnsi="Arial" w:cs="Arial"/>
                <w:b/>
                <w:bCs/>
                <w:sz w:val="16"/>
                <w:szCs w:val="16"/>
                <w:lang w:val="sq-AL" w:eastAsia="en-GB"/>
              </w:rPr>
              <w:t>55 760</w:t>
            </w:r>
          </w:p>
        </w:tc>
        <w:tc>
          <w:tcPr>
            <w:tcW w:w="539" w:type="pct"/>
            <w:shd w:val="clear" w:color="auto" w:fill="auto"/>
            <w:noWrap/>
            <w:vAlign w:val="center"/>
            <w:hideMark/>
          </w:tcPr>
          <w:p w14:paraId="60E2732F" w14:textId="0AC2F6A1"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0,59</w:t>
            </w:r>
          </w:p>
        </w:tc>
        <w:tc>
          <w:tcPr>
            <w:tcW w:w="538" w:type="pct"/>
            <w:shd w:val="clear" w:color="auto" w:fill="auto"/>
            <w:noWrap/>
            <w:vAlign w:val="center"/>
            <w:hideMark/>
          </w:tcPr>
          <w:p w14:paraId="6A69C8AF" w14:textId="5C02DD7D"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0,58</w:t>
            </w:r>
          </w:p>
        </w:tc>
        <w:tc>
          <w:tcPr>
            <w:tcW w:w="613" w:type="pct"/>
            <w:shd w:val="clear" w:color="auto" w:fill="auto"/>
            <w:noWrap/>
            <w:vAlign w:val="center"/>
            <w:hideMark/>
          </w:tcPr>
          <w:p w14:paraId="7744D004" w14:textId="638C1521"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0,61</w:t>
            </w:r>
          </w:p>
        </w:tc>
      </w:tr>
      <w:tr w:rsidR="005263C7" w:rsidRPr="00E35625" w14:paraId="412F1B2B" w14:textId="77777777" w:rsidTr="00A04588">
        <w:trPr>
          <w:trHeight w:val="260"/>
        </w:trPr>
        <w:tc>
          <w:tcPr>
            <w:tcW w:w="1769" w:type="pct"/>
            <w:shd w:val="clear" w:color="auto" w:fill="auto"/>
            <w:noWrap/>
            <w:vAlign w:val="center"/>
            <w:hideMark/>
          </w:tcPr>
          <w:p w14:paraId="14E2B51C"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Ligjvënës, nëpunës të lartë të administratës shtetërore dhe drejtorë ekzekutivë</w:t>
            </w:r>
          </w:p>
        </w:tc>
        <w:tc>
          <w:tcPr>
            <w:tcW w:w="539" w:type="pct"/>
            <w:shd w:val="clear" w:color="auto" w:fill="auto"/>
            <w:noWrap/>
            <w:vAlign w:val="center"/>
            <w:hideMark/>
          </w:tcPr>
          <w:p w14:paraId="584ABC4D" w14:textId="551D48DC"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98 505</w:t>
            </w:r>
          </w:p>
        </w:tc>
        <w:tc>
          <w:tcPr>
            <w:tcW w:w="384" w:type="pct"/>
            <w:shd w:val="clear" w:color="auto" w:fill="auto"/>
            <w:noWrap/>
            <w:vAlign w:val="center"/>
            <w:hideMark/>
          </w:tcPr>
          <w:p w14:paraId="4626BA9A" w14:textId="70F7CB26"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97 568</w:t>
            </w:r>
          </w:p>
        </w:tc>
        <w:tc>
          <w:tcPr>
            <w:tcW w:w="618" w:type="pct"/>
            <w:shd w:val="clear" w:color="auto" w:fill="auto"/>
            <w:noWrap/>
            <w:vAlign w:val="center"/>
            <w:hideMark/>
          </w:tcPr>
          <w:p w14:paraId="56D17D9C" w14:textId="4DB7423C"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100 061</w:t>
            </w:r>
          </w:p>
        </w:tc>
        <w:tc>
          <w:tcPr>
            <w:tcW w:w="539" w:type="pct"/>
            <w:shd w:val="clear" w:color="auto" w:fill="auto"/>
            <w:noWrap/>
            <w:vAlign w:val="center"/>
            <w:hideMark/>
          </w:tcPr>
          <w:p w14:paraId="3DCCB771" w14:textId="3F0E26B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0,35</w:t>
            </w:r>
          </w:p>
        </w:tc>
        <w:tc>
          <w:tcPr>
            <w:tcW w:w="538" w:type="pct"/>
            <w:shd w:val="clear" w:color="auto" w:fill="auto"/>
            <w:noWrap/>
            <w:vAlign w:val="center"/>
            <w:hideMark/>
          </w:tcPr>
          <w:p w14:paraId="71A647DC" w14:textId="3F8233E5"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0,35</w:t>
            </w:r>
          </w:p>
        </w:tc>
        <w:tc>
          <w:tcPr>
            <w:tcW w:w="613" w:type="pct"/>
            <w:shd w:val="clear" w:color="auto" w:fill="auto"/>
            <w:noWrap/>
            <w:vAlign w:val="center"/>
            <w:hideMark/>
          </w:tcPr>
          <w:p w14:paraId="131FACA6" w14:textId="053A312B"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0,34</w:t>
            </w:r>
          </w:p>
        </w:tc>
      </w:tr>
      <w:tr w:rsidR="005263C7" w:rsidRPr="00E35625" w14:paraId="4DA4E27A" w14:textId="77777777" w:rsidTr="00A04588">
        <w:trPr>
          <w:trHeight w:val="260"/>
        </w:trPr>
        <w:tc>
          <w:tcPr>
            <w:tcW w:w="1769" w:type="pct"/>
            <w:shd w:val="clear" w:color="auto" w:fill="auto"/>
            <w:noWrap/>
            <w:vAlign w:val="center"/>
            <w:hideMark/>
          </w:tcPr>
          <w:p w14:paraId="473229AC"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Specialistë me arsim të lartë (profesionistë)</w:t>
            </w:r>
          </w:p>
        </w:tc>
        <w:tc>
          <w:tcPr>
            <w:tcW w:w="539" w:type="pct"/>
            <w:shd w:val="clear" w:color="auto" w:fill="auto"/>
            <w:noWrap/>
            <w:vAlign w:val="center"/>
            <w:hideMark/>
          </w:tcPr>
          <w:p w14:paraId="6A757849" w14:textId="6929BD32"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76 879</w:t>
            </w:r>
          </w:p>
        </w:tc>
        <w:tc>
          <w:tcPr>
            <w:tcW w:w="384" w:type="pct"/>
            <w:shd w:val="clear" w:color="auto" w:fill="auto"/>
            <w:noWrap/>
            <w:vAlign w:val="center"/>
            <w:hideMark/>
          </w:tcPr>
          <w:p w14:paraId="37946954" w14:textId="5F8DF9F1"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85 136</w:t>
            </w:r>
          </w:p>
        </w:tc>
        <w:tc>
          <w:tcPr>
            <w:tcW w:w="618" w:type="pct"/>
            <w:shd w:val="clear" w:color="auto" w:fill="auto"/>
            <w:noWrap/>
            <w:vAlign w:val="center"/>
            <w:hideMark/>
          </w:tcPr>
          <w:p w14:paraId="53998911" w14:textId="6052C4A6"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72 303</w:t>
            </w:r>
          </w:p>
        </w:tc>
        <w:tc>
          <w:tcPr>
            <w:tcW w:w="539" w:type="pct"/>
            <w:shd w:val="clear" w:color="auto" w:fill="auto"/>
            <w:noWrap/>
            <w:vAlign w:val="center"/>
            <w:hideMark/>
          </w:tcPr>
          <w:p w14:paraId="442C2AF1" w14:textId="0DC17D30"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0,44</w:t>
            </w:r>
          </w:p>
        </w:tc>
        <w:tc>
          <w:tcPr>
            <w:tcW w:w="538" w:type="pct"/>
            <w:shd w:val="clear" w:color="auto" w:fill="auto"/>
            <w:noWrap/>
            <w:vAlign w:val="center"/>
            <w:hideMark/>
          </w:tcPr>
          <w:p w14:paraId="6D782A40" w14:textId="4F926EE0"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0,40</w:t>
            </w:r>
          </w:p>
        </w:tc>
        <w:tc>
          <w:tcPr>
            <w:tcW w:w="613" w:type="pct"/>
            <w:shd w:val="clear" w:color="auto" w:fill="auto"/>
            <w:noWrap/>
            <w:vAlign w:val="center"/>
            <w:hideMark/>
          </w:tcPr>
          <w:p w14:paraId="35F9DD20" w14:textId="080A9540"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0,47</w:t>
            </w:r>
          </w:p>
        </w:tc>
      </w:tr>
      <w:tr w:rsidR="005263C7" w:rsidRPr="00E35625" w14:paraId="5ED55964" w14:textId="77777777" w:rsidTr="00A04588">
        <w:trPr>
          <w:trHeight w:val="260"/>
        </w:trPr>
        <w:tc>
          <w:tcPr>
            <w:tcW w:w="1769" w:type="pct"/>
            <w:shd w:val="clear" w:color="auto" w:fill="auto"/>
            <w:noWrap/>
            <w:vAlign w:val="center"/>
            <w:hideMark/>
          </w:tcPr>
          <w:p w14:paraId="49913198"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Teknikë dhe specialistë në zbatim</w:t>
            </w:r>
          </w:p>
        </w:tc>
        <w:tc>
          <w:tcPr>
            <w:tcW w:w="539" w:type="pct"/>
            <w:shd w:val="clear" w:color="auto" w:fill="auto"/>
            <w:noWrap/>
            <w:vAlign w:val="center"/>
            <w:hideMark/>
          </w:tcPr>
          <w:p w14:paraId="622874CD" w14:textId="09EFCE61"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64 604</w:t>
            </w:r>
          </w:p>
        </w:tc>
        <w:tc>
          <w:tcPr>
            <w:tcW w:w="384" w:type="pct"/>
            <w:shd w:val="clear" w:color="auto" w:fill="auto"/>
            <w:noWrap/>
            <w:vAlign w:val="center"/>
            <w:hideMark/>
          </w:tcPr>
          <w:p w14:paraId="4515BB7B" w14:textId="096DA6FE"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67 108</w:t>
            </w:r>
          </w:p>
        </w:tc>
        <w:tc>
          <w:tcPr>
            <w:tcW w:w="618" w:type="pct"/>
            <w:shd w:val="clear" w:color="auto" w:fill="auto"/>
            <w:noWrap/>
            <w:vAlign w:val="center"/>
            <w:hideMark/>
          </w:tcPr>
          <w:p w14:paraId="6DC643CF" w14:textId="3A516300"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61 740</w:t>
            </w:r>
          </w:p>
        </w:tc>
        <w:tc>
          <w:tcPr>
            <w:tcW w:w="539" w:type="pct"/>
            <w:shd w:val="clear" w:color="auto" w:fill="auto"/>
            <w:noWrap/>
            <w:vAlign w:val="center"/>
            <w:hideMark/>
          </w:tcPr>
          <w:p w14:paraId="6A244C24" w14:textId="12EF0695"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0,53</w:t>
            </w:r>
          </w:p>
        </w:tc>
        <w:tc>
          <w:tcPr>
            <w:tcW w:w="538" w:type="pct"/>
            <w:shd w:val="clear" w:color="auto" w:fill="auto"/>
            <w:noWrap/>
            <w:vAlign w:val="center"/>
            <w:hideMark/>
          </w:tcPr>
          <w:p w14:paraId="0D89E94F" w14:textId="7C9643B9"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0,51</w:t>
            </w:r>
          </w:p>
        </w:tc>
        <w:tc>
          <w:tcPr>
            <w:tcW w:w="613" w:type="pct"/>
            <w:shd w:val="clear" w:color="auto" w:fill="auto"/>
            <w:noWrap/>
            <w:vAlign w:val="center"/>
            <w:hideMark/>
          </w:tcPr>
          <w:p w14:paraId="7EC82235" w14:textId="41373041"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0,55</w:t>
            </w:r>
          </w:p>
        </w:tc>
      </w:tr>
      <w:tr w:rsidR="005263C7" w:rsidRPr="00E35625" w14:paraId="75B94B90" w14:textId="77777777" w:rsidTr="00A04588">
        <w:trPr>
          <w:trHeight w:val="260"/>
        </w:trPr>
        <w:tc>
          <w:tcPr>
            <w:tcW w:w="1769" w:type="pct"/>
            <w:shd w:val="clear" w:color="auto" w:fill="auto"/>
            <w:noWrap/>
            <w:vAlign w:val="center"/>
            <w:hideMark/>
          </w:tcPr>
          <w:p w14:paraId="39D34132"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Nëpunësit</w:t>
            </w:r>
          </w:p>
        </w:tc>
        <w:tc>
          <w:tcPr>
            <w:tcW w:w="539" w:type="pct"/>
            <w:shd w:val="clear" w:color="auto" w:fill="auto"/>
            <w:noWrap/>
            <w:vAlign w:val="center"/>
            <w:hideMark/>
          </w:tcPr>
          <w:p w14:paraId="7878FC45" w14:textId="11F182C0"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59 633</w:t>
            </w:r>
          </w:p>
        </w:tc>
        <w:tc>
          <w:tcPr>
            <w:tcW w:w="384" w:type="pct"/>
            <w:shd w:val="clear" w:color="auto" w:fill="auto"/>
            <w:noWrap/>
            <w:vAlign w:val="center"/>
            <w:hideMark/>
          </w:tcPr>
          <w:p w14:paraId="5472CC7D" w14:textId="069DDCBE"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61 267</w:t>
            </w:r>
          </w:p>
        </w:tc>
        <w:tc>
          <w:tcPr>
            <w:tcW w:w="618" w:type="pct"/>
            <w:shd w:val="clear" w:color="auto" w:fill="auto"/>
            <w:noWrap/>
            <w:vAlign w:val="center"/>
            <w:hideMark/>
          </w:tcPr>
          <w:p w14:paraId="531BC721" w14:textId="74BBD209"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58 316</w:t>
            </w:r>
          </w:p>
        </w:tc>
        <w:tc>
          <w:tcPr>
            <w:tcW w:w="539" w:type="pct"/>
            <w:shd w:val="clear" w:color="auto" w:fill="auto"/>
            <w:noWrap/>
            <w:vAlign w:val="center"/>
            <w:hideMark/>
          </w:tcPr>
          <w:p w14:paraId="6BB31028" w14:textId="0D0ACD5E"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0,57</w:t>
            </w:r>
          </w:p>
        </w:tc>
        <w:tc>
          <w:tcPr>
            <w:tcW w:w="538" w:type="pct"/>
            <w:shd w:val="clear" w:color="auto" w:fill="auto"/>
            <w:noWrap/>
            <w:vAlign w:val="center"/>
            <w:hideMark/>
          </w:tcPr>
          <w:p w14:paraId="4F7FC032" w14:textId="174D6884"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0,55</w:t>
            </w:r>
          </w:p>
        </w:tc>
        <w:tc>
          <w:tcPr>
            <w:tcW w:w="613" w:type="pct"/>
            <w:shd w:val="clear" w:color="auto" w:fill="auto"/>
            <w:noWrap/>
            <w:vAlign w:val="center"/>
            <w:hideMark/>
          </w:tcPr>
          <w:p w14:paraId="72FD2D21" w14:textId="5324D456"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0,58</w:t>
            </w:r>
          </w:p>
        </w:tc>
      </w:tr>
      <w:tr w:rsidR="005263C7" w:rsidRPr="00E35625" w14:paraId="56F2A362" w14:textId="77777777" w:rsidTr="00A04588">
        <w:trPr>
          <w:trHeight w:val="260"/>
        </w:trPr>
        <w:tc>
          <w:tcPr>
            <w:tcW w:w="1769" w:type="pct"/>
            <w:shd w:val="clear" w:color="auto" w:fill="auto"/>
            <w:noWrap/>
            <w:vAlign w:val="center"/>
            <w:hideMark/>
          </w:tcPr>
          <w:p w14:paraId="6094C7D3"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Punonjës të shitjeve dhe të shërbimeve</w:t>
            </w:r>
          </w:p>
        </w:tc>
        <w:tc>
          <w:tcPr>
            <w:tcW w:w="539" w:type="pct"/>
            <w:shd w:val="clear" w:color="auto" w:fill="auto"/>
            <w:noWrap/>
            <w:vAlign w:val="center"/>
            <w:hideMark/>
          </w:tcPr>
          <w:p w14:paraId="46C2D4E0" w14:textId="6C80F64B"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43 466</w:t>
            </w:r>
          </w:p>
        </w:tc>
        <w:tc>
          <w:tcPr>
            <w:tcW w:w="384" w:type="pct"/>
            <w:shd w:val="clear" w:color="auto" w:fill="auto"/>
            <w:noWrap/>
            <w:vAlign w:val="center"/>
            <w:hideMark/>
          </w:tcPr>
          <w:p w14:paraId="3B6D6C71" w14:textId="7D3B1820"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48 331</w:t>
            </w:r>
          </w:p>
        </w:tc>
        <w:tc>
          <w:tcPr>
            <w:tcW w:w="618" w:type="pct"/>
            <w:shd w:val="clear" w:color="auto" w:fill="auto"/>
            <w:noWrap/>
            <w:vAlign w:val="center"/>
            <w:hideMark/>
          </w:tcPr>
          <w:p w14:paraId="6FE6076F" w14:textId="6E1D2DA1"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37 066</w:t>
            </w:r>
          </w:p>
        </w:tc>
        <w:tc>
          <w:tcPr>
            <w:tcW w:w="539" w:type="pct"/>
            <w:shd w:val="clear" w:color="auto" w:fill="auto"/>
            <w:noWrap/>
            <w:vAlign w:val="center"/>
            <w:hideMark/>
          </w:tcPr>
          <w:p w14:paraId="66B82C1A" w14:textId="09C50CD0"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0,78</w:t>
            </w:r>
          </w:p>
        </w:tc>
        <w:tc>
          <w:tcPr>
            <w:tcW w:w="538" w:type="pct"/>
            <w:shd w:val="clear" w:color="auto" w:fill="auto"/>
            <w:noWrap/>
            <w:vAlign w:val="center"/>
            <w:hideMark/>
          </w:tcPr>
          <w:p w14:paraId="4280C82C" w14:textId="14C7D609"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0,70</w:t>
            </w:r>
          </w:p>
        </w:tc>
        <w:tc>
          <w:tcPr>
            <w:tcW w:w="613" w:type="pct"/>
            <w:shd w:val="clear" w:color="auto" w:fill="auto"/>
            <w:noWrap/>
            <w:vAlign w:val="center"/>
            <w:hideMark/>
          </w:tcPr>
          <w:p w14:paraId="618C1AF2" w14:textId="092490BC"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0,92</w:t>
            </w:r>
          </w:p>
        </w:tc>
      </w:tr>
      <w:tr w:rsidR="005263C7" w:rsidRPr="00E35625" w14:paraId="7FA0EDED" w14:textId="77777777" w:rsidTr="00A04588">
        <w:trPr>
          <w:trHeight w:val="260"/>
        </w:trPr>
        <w:tc>
          <w:tcPr>
            <w:tcW w:w="1769" w:type="pct"/>
            <w:shd w:val="clear" w:color="auto" w:fill="auto"/>
            <w:noWrap/>
            <w:vAlign w:val="center"/>
            <w:hideMark/>
          </w:tcPr>
          <w:p w14:paraId="3572CEE7"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Punonjës të kualifikuar të bujqësisë pyjeve dhe peshkimit</w:t>
            </w:r>
          </w:p>
        </w:tc>
        <w:tc>
          <w:tcPr>
            <w:tcW w:w="539" w:type="pct"/>
            <w:shd w:val="clear" w:color="auto" w:fill="auto"/>
            <w:noWrap/>
            <w:vAlign w:val="center"/>
            <w:hideMark/>
          </w:tcPr>
          <w:p w14:paraId="107847C4" w14:textId="26730CFB"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35 826</w:t>
            </w:r>
          </w:p>
        </w:tc>
        <w:tc>
          <w:tcPr>
            <w:tcW w:w="384" w:type="pct"/>
            <w:shd w:val="clear" w:color="auto" w:fill="auto"/>
            <w:noWrap/>
            <w:vAlign w:val="center"/>
            <w:hideMark/>
          </w:tcPr>
          <w:p w14:paraId="7165E77E" w14:textId="0E20A026"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36 450</w:t>
            </w:r>
          </w:p>
        </w:tc>
        <w:tc>
          <w:tcPr>
            <w:tcW w:w="618" w:type="pct"/>
            <w:shd w:val="clear" w:color="auto" w:fill="auto"/>
            <w:noWrap/>
            <w:vAlign w:val="center"/>
            <w:hideMark/>
          </w:tcPr>
          <w:p w14:paraId="6D6EBCF0" w14:textId="39DDE8B1"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33 659</w:t>
            </w:r>
          </w:p>
        </w:tc>
        <w:tc>
          <w:tcPr>
            <w:tcW w:w="539" w:type="pct"/>
            <w:shd w:val="clear" w:color="auto" w:fill="auto"/>
            <w:noWrap/>
            <w:vAlign w:val="center"/>
            <w:hideMark/>
          </w:tcPr>
          <w:p w14:paraId="4C53403E" w14:textId="298E1C7F"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0,95</w:t>
            </w:r>
          </w:p>
        </w:tc>
        <w:tc>
          <w:tcPr>
            <w:tcW w:w="538" w:type="pct"/>
            <w:shd w:val="clear" w:color="auto" w:fill="auto"/>
            <w:noWrap/>
            <w:vAlign w:val="center"/>
            <w:hideMark/>
          </w:tcPr>
          <w:p w14:paraId="30D46A82" w14:textId="1EAC95AB"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0,93</w:t>
            </w:r>
          </w:p>
        </w:tc>
        <w:tc>
          <w:tcPr>
            <w:tcW w:w="613" w:type="pct"/>
            <w:shd w:val="clear" w:color="auto" w:fill="auto"/>
            <w:noWrap/>
            <w:vAlign w:val="center"/>
            <w:hideMark/>
          </w:tcPr>
          <w:p w14:paraId="6006CADA" w14:textId="572DF1DA"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1,01</w:t>
            </w:r>
          </w:p>
        </w:tc>
      </w:tr>
      <w:tr w:rsidR="005263C7" w:rsidRPr="00E35625" w14:paraId="15D8BECC" w14:textId="77777777" w:rsidTr="00A04588">
        <w:trPr>
          <w:trHeight w:val="260"/>
        </w:trPr>
        <w:tc>
          <w:tcPr>
            <w:tcW w:w="1769" w:type="pct"/>
            <w:shd w:val="clear" w:color="auto" w:fill="auto"/>
            <w:noWrap/>
            <w:vAlign w:val="center"/>
            <w:hideMark/>
          </w:tcPr>
          <w:p w14:paraId="5BD48A0B"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Zejtarë, artizanë dhe profesione të lidhura me to</w:t>
            </w:r>
          </w:p>
        </w:tc>
        <w:tc>
          <w:tcPr>
            <w:tcW w:w="539" w:type="pct"/>
            <w:shd w:val="clear" w:color="auto" w:fill="auto"/>
            <w:noWrap/>
            <w:vAlign w:val="center"/>
            <w:hideMark/>
          </w:tcPr>
          <w:p w14:paraId="03C0A609" w14:textId="690FB80B"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39 918</w:t>
            </w:r>
          </w:p>
        </w:tc>
        <w:tc>
          <w:tcPr>
            <w:tcW w:w="384" w:type="pct"/>
            <w:shd w:val="clear" w:color="auto" w:fill="auto"/>
            <w:noWrap/>
            <w:vAlign w:val="center"/>
            <w:hideMark/>
          </w:tcPr>
          <w:p w14:paraId="10AE592D" w14:textId="79BC18E8"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42 662</w:t>
            </w:r>
          </w:p>
        </w:tc>
        <w:tc>
          <w:tcPr>
            <w:tcW w:w="618" w:type="pct"/>
            <w:shd w:val="clear" w:color="auto" w:fill="auto"/>
            <w:noWrap/>
            <w:vAlign w:val="center"/>
            <w:hideMark/>
          </w:tcPr>
          <w:p w14:paraId="0B9FC5C7" w14:textId="6C06FDA8"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34 327</w:t>
            </w:r>
          </w:p>
        </w:tc>
        <w:tc>
          <w:tcPr>
            <w:tcW w:w="539" w:type="pct"/>
            <w:shd w:val="clear" w:color="auto" w:fill="auto"/>
            <w:noWrap/>
            <w:vAlign w:val="center"/>
            <w:hideMark/>
          </w:tcPr>
          <w:p w14:paraId="0B732023" w14:textId="5B44A30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0,85</w:t>
            </w:r>
          </w:p>
        </w:tc>
        <w:tc>
          <w:tcPr>
            <w:tcW w:w="538" w:type="pct"/>
            <w:shd w:val="clear" w:color="auto" w:fill="auto"/>
            <w:noWrap/>
            <w:vAlign w:val="center"/>
            <w:hideMark/>
          </w:tcPr>
          <w:p w14:paraId="5AA4A512" w14:textId="75A5FACF"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0,80</w:t>
            </w:r>
          </w:p>
        </w:tc>
        <w:tc>
          <w:tcPr>
            <w:tcW w:w="613" w:type="pct"/>
            <w:shd w:val="clear" w:color="auto" w:fill="auto"/>
            <w:noWrap/>
            <w:vAlign w:val="center"/>
            <w:hideMark/>
          </w:tcPr>
          <w:p w14:paraId="795D92E1" w14:textId="6F3D38DF"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0,99</w:t>
            </w:r>
          </w:p>
        </w:tc>
      </w:tr>
      <w:tr w:rsidR="005263C7" w:rsidRPr="00E35625" w14:paraId="769B0E67" w14:textId="77777777" w:rsidTr="00A04588">
        <w:trPr>
          <w:trHeight w:val="260"/>
        </w:trPr>
        <w:tc>
          <w:tcPr>
            <w:tcW w:w="1769" w:type="pct"/>
            <w:shd w:val="clear" w:color="auto" w:fill="auto"/>
            <w:noWrap/>
            <w:vAlign w:val="center"/>
            <w:hideMark/>
          </w:tcPr>
          <w:p w14:paraId="371C51BB"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Punonjës të montimit dhe përdorimit të makinerive dhe pajisjeve</w:t>
            </w:r>
          </w:p>
        </w:tc>
        <w:tc>
          <w:tcPr>
            <w:tcW w:w="539" w:type="pct"/>
            <w:shd w:val="clear" w:color="auto" w:fill="auto"/>
            <w:noWrap/>
            <w:vAlign w:val="center"/>
            <w:hideMark/>
          </w:tcPr>
          <w:p w14:paraId="5478408F" w14:textId="3059A56F"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40 363</w:t>
            </w:r>
          </w:p>
        </w:tc>
        <w:tc>
          <w:tcPr>
            <w:tcW w:w="384" w:type="pct"/>
            <w:shd w:val="clear" w:color="auto" w:fill="auto"/>
            <w:noWrap/>
            <w:vAlign w:val="center"/>
            <w:hideMark/>
          </w:tcPr>
          <w:p w14:paraId="24518EAF" w14:textId="15F18F98"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43 716</w:t>
            </w:r>
          </w:p>
        </w:tc>
        <w:tc>
          <w:tcPr>
            <w:tcW w:w="618" w:type="pct"/>
            <w:shd w:val="clear" w:color="auto" w:fill="auto"/>
            <w:noWrap/>
            <w:vAlign w:val="center"/>
            <w:hideMark/>
          </w:tcPr>
          <w:p w14:paraId="67DB9628" w14:textId="0190673B"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35 515</w:t>
            </w:r>
          </w:p>
        </w:tc>
        <w:tc>
          <w:tcPr>
            <w:tcW w:w="539" w:type="pct"/>
            <w:shd w:val="clear" w:color="auto" w:fill="auto"/>
            <w:noWrap/>
            <w:vAlign w:val="center"/>
            <w:hideMark/>
          </w:tcPr>
          <w:p w14:paraId="6E1C5A6A" w14:textId="5418BB3F"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0,84</w:t>
            </w:r>
          </w:p>
        </w:tc>
        <w:tc>
          <w:tcPr>
            <w:tcW w:w="538" w:type="pct"/>
            <w:shd w:val="clear" w:color="auto" w:fill="auto"/>
            <w:noWrap/>
            <w:vAlign w:val="center"/>
            <w:hideMark/>
          </w:tcPr>
          <w:p w14:paraId="50C58533" w14:textId="12FD5096"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0,78</w:t>
            </w:r>
          </w:p>
        </w:tc>
        <w:tc>
          <w:tcPr>
            <w:tcW w:w="613" w:type="pct"/>
            <w:shd w:val="clear" w:color="auto" w:fill="auto"/>
            <w:noWrap/>
            <w:vAlign w:val="center"/>
            <w:hideMark/>
          </w:tcPr>
          <w:p w14:paraId="4493D68F" w14:textId="4B423449"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0,96</w:t>
            </w:r>
          </w:p>
        </w:tc>
      </w:tr>
      <w:tr w:rsidR="005263C7" w:rsidRPr="00E35625" w14:paraId="3BC22393" w14:textId="77777777" w:rsidTr="00A04588">
        <w:trPr>
          <w:trHeight w:val="260"/>
        </w:trPr>
        <w:tc>
          <w:tcPr>
            <w:tcW w:w="1769" w:type="pct"/>
            <w:shd w:val="clear" w:color="auto" w:fill="auto"/>
            <w:noWrap/>
            <w:vAlign w:val="center"/>
            <w:hideMark/>
          </w:tcPr>
          <w:p w14:paraId="3584792F"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Punëtorë (Profesione elementare)</w:t>
            </w:r>
          </w:p>
        </w:tc>
        <w:tc>
          <w:tcPr>
            <w:tcW w:w="539" w:type="pct"/>
            <w:shd w:val="clear" w:color="auto" w:fill="auto"/>
            <w:noWrap/>
            <w:vAlign w:val="center"/>
            <w:hideMark/>
          </w:tcPr>
          <w:p w14:paraId="3629CBFA" w14:textId="3D67991D"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35 115</w:t>
            </w:r>
          </w:p>
        </w:tc>
        <w:tc>
          <w:tcPr>
            <w:tcW w:w="384" w:type="pct"/>
            <w:shd w:val="clear" w:color="auto" w:fill="auto"/>
            <w:noWrap/>
            <w:vAlign w:val="center"/>
            <w:hideMark/>
          </w:tcPr>
          <w:p w14:paraId="7C830FBB" w14:textId="550D16D3"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35 778</w:t>
            </w:r>
          </w:p>
        </w:tc>
        <w:tc>
          <w:tcPr>
            <w:tcW w:w="618" w:type="pct"/>
            <w:shd w:val="clear" w:color="auto" w:fill="auto"/>
            <w:noWrap/>
            <w:vAlign w:val="center"/>
            <w:hideMark/>
          </w:tcPr>
          <w:p w14:paraId="4AFF77F0" w14:textId="7078BBF9"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34 028</w:t>
            </w:r>
          </w:p>
        </w:tc>
        <w:tc>
          <w:tcPr>
            <w:tcW w:w="539" w:type="pct"/>
            <w:shd w:val="clear" w:color="auto" w:fill="auto"/>
            <w:noWrap/>
            <w:vAlign w:val="center"/>
            <w:hideMark/>
          </w:tcPr>
          <w:p w14:paraId="45A90788" w14:textId="6B0CFDCB"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0,97</w:t>
            </w:r>
          </w:p>
        </w:tc>
        <w:tc>
          <w:tcPr>
            <w:tcW w:w="538" w:type="pct"/>
            <w:shd w:val="clear" w:color="auto" w:fill="auto"/>
            <w:noWrap/>
            <w:vAlign w:val="center"/>
            <w:hideMark/>
          </w:tcPr>
          <w:p w14:paraId="0092C1FB" w14:textId="5064FC29"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0,95</w:t>
            </w:r>
          </w:p>
        </w:tc>
        <w:tc>
          <w:tcPr>
            <w:tcW w:w="613" w:type="pct"/>
            <w:shd w:val="clear" w:color="auto" w:fill="auto"/>
            <w:noWrap/>
            <w:vAlign w:val="center"/>
            <w:hideMark/>
          </w:tcPr>
          <w:p w14:paraId="192857EF" w14:textId="77EA73FF"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1,00</w:t>
            </w:r>
          </w:p>
        </w:tc>
      </w:tr>
      <w:tr w:rsidR="005263C7" w:rsidRPr="00E35625" w14:paraId="785B4DAB" w14:textId="77777777" w:rsidTr="00A04588">
        <w:trPr>
          <w:trHeight w:val="260"/>
        </w:trPr>
        <w:tc>
          <w:tcPr>
            <w:tcW w:w="1769" w:type="pct"/>
            <w:shd w:val="clear" w:color="auto" w:fill="auto"/>
            <w:noWrap/>
            <w:vAlign w:val="center"/>
            <w:hideMark/>
          </w:tcPr>
          <w:p w14:paraId="21DB82C7" w14:textId="7777777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Forcat e armatosura</w:t>
            </w:r>
          </w:p>
        </w:tc>
        <w:tc>
          <w:tcPr>
            <w:tcW w:w="539" w:type="pct"/>
            <w:shd w:val="clear" w:color="auto" w:fill="auto"/>
            <w:noWrap/>
            <w:vAlign w:val="center"/>
            <w:hideMark/>
          </w:tcPr>
          <w:p w14:paraId="7D34C948" w14:textId="1EB3564A"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66 698</w:t>
            </w:r>
          </w:p>
        </w:tc>
        <w:tc>
          <w:tcPr>
            <w:tcW w:w="384" w:type="pct"/>
            <w:shd w:val="clear" w:color="auto" w:fill="auto"/>
            <w:noWrap/>
            <w:vAlign w:val="center"/>
            <w:hideMark/>
          </w:tcPr>
          <w:p w14:paraId="6D1AC9D0" w14:textId="29829B01"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67 095</w:t>
            </w:r>
          </w:p>
        </w:tc>
        <w:tc>
          <w:tcPr>
            <w:tcW w:w="618" w:type="pct"/>
            <w:shd w:val="clear" w:color="auto" w:fill="auto"/>
            <w:noWrap/>
            <w:vAlign w:val="center"/>
            <w:hideMark/>
          </w:tcPr>
          <w:p w14:paraId="37BD17BD" w14:textId="03FC6442" w:rsidR="005263C7" w:rsidRPr="00E35625" w:rsidRDefault="005263C7" w:rsidP="00A04588">
            <w:pPr>
              <w:spacing w:before="0" w:after="0" w:line="240" w:lineRule="auto"/>
              <w:ind w:firstLineChars="200" w:firstLine="320"/>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63 673</w:t>
            </w:r>
          </w:p>
        </w:tc>
        <w:tc>
          <w:tcPr>
            <w:tcW w:w="539" w:type="pct"/>
            <w:shd w:val="clear" w:color="auto" w:fill="auto"/>
            <w:noWrap/>
            <w:vAlign w:val="center"/>
            <w:hideMark/>
          </w:tcPr>
          <w:p w14:paraId="6C448C24" w14:textId="60BE472C"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0,51</w:t>
            </w:r>
          </w:p>
        </w:tc>
        <w:tc>
          <w:tcPr>
            <w:tcW w:w="538" w:type="pct"/>
            <w:shd w:val="clear" w:color="auto" w:fill="auto"/>
            <w:noWrap/>
            <w:vAlign w:val="center"/>
            <w:hideMark/>
          </w:tcPr>
          <w:p w14:paraId="1CC14328" w14:textId="3EAAA71D"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0,51</w:t>
            </w:r>
          </w:p>
        </w:tc>
        <w:tc>
          <w:tcPr>
            <w:tcW w:w="613" w:type="pct"/>
            <w:shd w:val="clear" w:color="auto" w:fill="auto"/>
            <w:noWrap/>
            <w:vAlign w:val="center"/>
            <w:hideMark/>
          </w:tcPr>
          <w:p w14:paraId="3D3A1598" w14:textId="4A3664B7" w:rsidR="005263C7" w:rsidRPr="00E35625" w:rsidRDefault="005263C7" w:rsidP="00A04588">
            <w:pPr>
              <w:spacing w:before="0" w:after="0" w:line="240" w:lineRule="auto"/>
              <w:jc w:val="left"/>
              <w:rPr>
                <w:rFonts w:ascii="Arial" w:eastAsia="Times New Roman" w:hAnsi="Arial" w:cs="Arial"/>
                <w:sz w:val="16"/>
                <w:szCs w:val="16"/>
                <w:lang w:val="sq-AL" w:eastAsia="en-GB"/>
              </w:rPr>
            </w:pPr>
            <w:r w:rsidRPr="00E35625">
              <w:rPr>
                <w:rFonts w:ascii="Arial" w:eastAsia="Times New Roman" w:hAnsi="Arial" w:cs="Arial"/>
                <w:sz w:val="16"/>
                <w:szCs w:val="16"/>
                <w:lang w:val="sq-AL" w:eastAsia="en-GB"/>
              </w:rPr>
              <w:t>0,53</w:t>
            </w:r>
          </w:p>
        </w:tc>
      </w:tr>
    </w:tbl>
    <w:p w14:paraId="17C250BF" w14:textId="77777777" w:rsidR="00D73C86" w:rsidRDefault="00D73C86" w:rsidP="00714845">
      <w:pPr>
        <w:spacing w:before="0" w:after="0"/>
        <w:rPr>
          <w:lang w:val="sq-AL"/>
        </w:rPr>
      </w:pPr>
    </w:p>
    <w:p w14:paraId="0C005FE1" w14:textId="65155242" w:rsidR="009B644A" w:rsidRPr="00E35625" w:rsidRDefault="00852446" w:rsidP="00714845">
      <w:pPr>
        <w:spacing w:before="0" w:after="0"/>
        <w:rPr>
          <w:lang w:val="sq-AL"/>
        </w:rPr>
      </w:pPr>
      <w:r w:rsidRPr="00852446">
        <w:rPr>
          <w:lang w:val="sq-AL"/>
        </w:rPr>
        <w:t>Shqipëria</w:t>
      </w:r>
      <w:r w:rsidR="00372B35">
        <w:rPr>
          <w:lang w:val="sq-AL"/>
        </w:rPr>
        <w:t xml:space="preserve">, </w:t>
      </w:r>
      <w:r w:rsidR="00372B35" w:rsidRPr="00372B35">
        <w:rPr>
          <w:lang w:val="sq-AL"/>
        </w:rPr>
        <w:t>nga njëra anë</w:t>
      </w:r>
      <w:r w:rsidR="00CB52ED">
        <w:rPr>
          <w:lang w:val="sq-AL"/>
        </w:rPr>
        <w:t>,</w:t>
      </w:r>
      <w:r w:rsidR="00372B35" w:rsidRPr="00372B35">
        <w:rPr>
          <w:lang w:val="sq-AL"/>
        </w:rPr>
        <w:t xml:space="preserve"> </w:t>
      </w:r>
      <w:r w:rsidRPr="00852446">
        <w:rPr>
          <w:lang w:val="sq-AL"/>
        </w:rPr>
        <w:t xml:space="preserve">duhet të marrë në konsideratë indeksin Kaitz </w:t>
      </w:r>
      <w:r>
        <w:rPr>
          <w:lang w:val="sq-AL"/>
        </w:rPr>
        <w:t>dhe</w:t>
      </w:r>
      <w:r w:rsidRPr="00852446">
        <w:rPr>
          <w:lang w:val="sq-AL"/>
        </w:rPr>
        <w:t xml:space="preserve"> vlerën e tij relative në krahasim me vendet e rajonit dhe BE-në</w:t>
      </w:r>
      <w:r w:rsidR="00CB52ED">
        <w:rPr>
          <w:lang w:val="sq-AL"/>
        </w:rPr>
        <w:t xml:space="preserve"> </w:t>
      </w:r>
      <w:r w:rsidR="00CB52ED" w:rsidRPr="00CB52ED">
        <w:rPr>
          <w:lang w:val="sq-AL"/>
        </w:rPr>
        <w:t>dhe nga ana tjetër</w:t>
      </w:r>
      <w:r w:rsidR="00D73C86">
        <w:rPr>
          <w:lang w:val="sq-AL"/>
        </w:rPr>
        <w:t>,</w:t>
      </w:r>
      <w:r>
        <w:rPr>
          <w:lang w:val="sq-AL"/>
        </w:rPr>
        <w:t xml:space="preserve"> </w:t>
      </w:r>
      <w:r w:rsidR="00005910">
        <w:rPr>
          <w:lang w:val="sq-AL"/>
        </w:rPr>
        <w:t>p</w:t>
      </w:r>
      <w:r w:rsidR="00260FFF" w:rsidRPr="00E35625">
        <w:rPr>
          <w:lang w:val="sq-AL"/>
        </w:rPr>
        <w:t>artnerët social</w:t>
      </w:r>
      <w:r w:rsidR="00714845" w:rsidRPr="00E35625">
        <w:rPr>
          <w:lang w:val="sq-AL"/>
        </w:rPr>
        <w:t>ë</w:t>
      </w:r>
      <w:r w:rsidR="00260FFF" w:rsidRPr="00E35625">
        <w:rPr>
          <w:lang w:val="sq-AL"/>
        </w:rPr>
        <w:t xml:space="preserve"> dhe Këshilli </w:t>
      </w:r>
      <w:r w:rsidR="00714845" w:rsidRPr="00E35625">
        <w:rPr>
          <w:lang w:val="sq-AL"/>
        </w:rPr>
        <w:t>K</w:t>
      </w:r>
      <w:r w:rsidR="00260FFF" w:rsidRPr="00E35625">
        <w:rPr>
          <w:lang w:val="sq-AL"/>
        </w:rPr>
        <w:t xml:space="preserve">ombëtar i </w:t>
      </w:r>
      <w:r w:rsidR="00714845" w:rsidRPr="00E35625">
        <w:rPr>
          <w:lang w:val="sq-AL"/>
        </w:rPr>
        <w:t>P</w:t>
      </w:r>
      <w:r w:rsidR="00260FFF" w:rsidRPr="00E35625">
        <w:rPr>
          <w:lang w:val="sq-AL"/>
        </w:rPr>
        <w:t>unës duhet të qëndrojnë proaktiv</w:t>
      </w:r>
      <w:r w:rsidR="009B644A" w:rsidRPr="00E35625">
        <w:rPr>
          <w:lang w:val="sq-AL"/>
        </w:rPr>
        <w:t>ë</w:t>
      </w:r>
      <w:r w:rsidR="00260FFF" w:rsidRPr="00E35625">
        <w:rPr>
          <w:lang w:val="sq-AL"/>
        </w:rPr>
        <w:t xml:space="preserve"> në vlerësimin e dinamikës së tregut të punës dhe të drejtojnë dialog të vazhdueshëm për përmirësimin e politikës së pagës minimale në Shqipëri.</w:t>
      </w:r>
    </w:p>
    <w:p w14:paraId="308B6DB2" w14:textId="77777777" w:rsidR="00714845" w:rsidRPr="00E35625" w:rsidRDefault="00714845" w:rsidP="00714845">
      <w:pPr>
        <w:spacing w:before="0" w:after="0"/>
        <w:rPr>
          <w:lang w:val="sq-AL"/>
        </w:rPr>
      </w:pPr>
    </w:p>
    <w:p w14:paraId="5B201F34" w14:textId="4C268D64" w:rsidR="00260FFF" w:rsidRPr="00E35625" w:rsidRDefault="00260FFF" w:rsidP="00714845">
      <w:pPr>
        <w:pStyle w:val="Heading3"/>
        <w:spacing w:before="0" w:after="0"/>
        <w:rPr>
          <w:lang w:val="sq-AL"/>
        </w:rPr>
      </w:pPr>
      <w:bookmarkStart w:id="40" w:name="_Toc123165414"/>
      <w:r w:rsidRPr="00E35625">
        <w:rPr>
          <w:lang w:val="sq-AL"/>
        </w:rPr>
        <w:lastRenderedPageBreak/>
        <w:t>2.2.</w:t>
      </w:r>
      <w:r w:rsidR="00F95D9F">
        <w:rPr>
          <w:lang w:val="sq-AL"/>
        </w:rPr>
        <w:t>8</w:t>
      </w:r>
      <w:r w:rsidRPr="00E35625">
        <w:rPr>
          <w:lang w:val="sq-AL"/>
        </w:rPr>
        <w:t xml:space="preserve"> </w:t>
      </w:r>
      <w:r w:rsidR="00D349D7" w:rsidRPr="00D349D7">
        <w:rPr>
          <w:lang w:val="sq-AL"/>
        </w:rPr>
        <w:t>Politika pasive e tregut të punës</w:t>
      </w:r>
      <w:bookmarkEnd w:id="40"/>
    </w:p>
    <w:p w14:paraId="06DDFA96" w14:textId="0CBE6CF8" w:rsidR="00A72207" w:rsidRPr="00A72207" w:rsidRDefault="00A72207" w:rsidP="00CE78CD">
      <w:pPr>
        <w:rPr>
          <w:lang w:val="sq-AL"/>
        </w:rPr>
      </w:pPr>
      <w:bookmarkStart w:id="41" w:name="_Toc119598194"/>
      <w:r w:rsidRPr="00CE78CD">
        <w:t xml:space="preserve">Pagesat e papunësisë ofrojnë një </w:t>
      </w:r>
      <w:r w:rsidR="00CE78CD">
        <w:t>nivel të caktuar</w:t>
      </w:r>
      <w:r w:rsidR="00CE78CD" w:rsidRPr="00CE78CD">
        <w:t xml:space="preserve"> </w:t>
      </w:r>
      <w:r w:rsidR="00CE78CD">
        <w:t>mbrojtjeje</w:t>
      </w:r>
      <w:r w:rsidRPr="00CE78CD">
        <w:t xml:space="preserve"> </w:t>
      </w:r>
      <w:r w:rsidR="00CE78CD">
        <w:t>t</w:t>
      </w:r>
      <w:r w:rsidRPr="00CE78CD">
        <w:t>ë të ardhurave gjatë papunësisë</w:t>
      </w:r>
      <w:r w:rsidR="00CE78CD">
        <w:t>,</w:t>
      </w:r>
      <w:r w:rsidRPr="00CE78CD">
        <w:t xml:space="preserve"> </w:t>
      </w:r>
      <w:r w:rsidR="004C0665" w:rsidRPr="00CE78CD">
        <w:t>në mënyrë që</w:t>
      </w:r>
      <w:r w:rsidR="004C0665" w:rsidRPr="004C0665">
        <w:rPr>
          <w:lang w:val="sq-AL"/>
        </w:rPr>
        <w:t xml:space="preserve"> </w:t>
      </w:r>
      <w:r w:rsidR="00CE78CD">
        <w:rPr>
          <w:lang w:val="sq-AL"/>
        </w:rPr>
        <w:t>personi i</w:t>
      </w:r>
      <w:r w:rsidR="004C0665" w:rsidRPr="004C0665">
        <w:rPr>
          <w:lang w:val="sq-AL"/>
        </w:rPr>
        <w:t xml:space="preserve"> papunë</w:t>
      </w:r>
      <w:r w:rsidR="00CE78CD">
        <w:rPr>
          <w:lang w:val="sq-AL"/>
        </w:rPr>
        <w:t xml:space="preserve"> të ketë </w:t>
      </w:r>
      <w:r w:rsidR="004C0665" w:rsidRPr="004C0665">
        <w:rPr>
          <w:lang w:val="sq-AL"/>
        </w:rPr>
        <w:t>kohë të mjaftueshme për të kërkuar dhe gjetur punë të përshtatshme</w:t>
      </w:r>
      <w:r w:rsidR="00F50F4E">
        <w:rPr>
          <w:lang w:val="sq-AL"/>
        </w:rPr>
        <w:t xml:space="preserve"> </w:t>
      </w:r>
      <w:r w:rsidR="00F50F4E" w:rsidRPr="00F50F4E">
        <w:rPr>
          <w:lang w:val="sq-AL"/>
        </w:rPr>
        <w:t xml:space="preserve">që </w:t>
      </w:r>
      <w:r w:rsidR="00CE78CD">
        <w:rPr>
          <w:lang w:val="sq-AL"/>
        </w:rPr>
        <w:t>u</w:t>
      </w:r>
      <w:r w:rsidR="0020574B">
        <w:rPr>
          <w:lang w:val="sq-AL"/>
        </w:rPr>
        <w:t xml:space="preserve"> </w:t>
      </w:r>
      <w:r w:rsidR="00F50F4E" w:rsidRPr="00F50F4E">
        <w:rPr>
          <w:lang w:val="sq-AL"/>
        </w:rPr>
        <w:t>për</w:t>
      </w:r>
      <w:r w:rsidR="00F50F4E">
        <w:rPr>
          <w:lang w:val="sq-AL"/>
        </w:rPr>
        <w:t>gjigjet</w:t>
      </w:r>
      <w:r w:rsidR="00F50F4E" w:rsidRPr="00F50F4E">
        <w:rPr>
          <w:lang w:val="sq-AL"/>
        </w:rPr>
        <w:t xml:space="preserve"> aftësi</w:t>
      </w:r>
      <w:r w:rsidR="0020574B">
        <w:rPr>
          <w:lang w:val="sq-AL"/>
        </w:rPr>
        <w:t xml:space="preserve">ve </w:t>
      </w:r>
      <w:r w:rsidR="00CE78CD">
        <w:rPr>
          <w:lang w:val="sq-AL"/>
        </w:rPr>
        <w:t>të tij</w:t>
      </w:r>
      <w:r w:rsidRPr="00A72207">
        <w:rPr>
          <w:lang w:val="sq-AL"/>
        </w:rPr>
        <w:t xml:space="preserve">. Për </w:t>
      </w:r>
      <w:r w:rsidR="0020574B">
        <w:rPr>
          <w:lang w:val="sq-AL"/>
        </w:rPr>
        <w:t>të përfituar</w:t>
      </w:r>
      <w:r w:rsidRPr="00A72207">
        <w:rPr>
          <w:lang w:val="sq-AL"/>
        </w:rPr>
        <w:t xml:space="preserve"> </w:t>
      </w:r>
      <w:r w:rsidR="004C0665">
        <w:rPr>
          <w:lang w:val="sq-AL"/>
        </w:rPr>
        <w:t>pages</w:t>
      </w:r>
      <w:r w:rsidR="004C0665" w:rsidRPr="00A72207">
        <w:rPr>
          <w:lang w:val="sq-AL"/>
        </w:rPr>
        <w:t>ë</w:t>
      </w:r>
      <w:r w:rsidR="004C0665">
        <w:rPr>
          <w:lang w:val="sq-AL"/>
        </w:rPr>
        <w:t>n e papun</w:t>
      </w:r>
      <w:r w:rsidR="004C0665" w:rsidRPr="00A72207">
        <w:rPr>
          <w:lang w:val="sq-AL"/>
        </w:rPr>
        <w:t>ë</w:t>
      </w:r>
      <w:r w:rsidR="004C0665">
        <w:rPr>
          <w:lang w:val="sq-AL"/>
        </w:rPr>
        <w:t>sis</w:t>
      </w:r>
      <w:r w:rsidR="00CE78CD">
        <w:rPr>
          <w:lang w:val="sq-AL"/>
        </w:rPr>
        <w:t>ë</w:t>
      </w:r>
      <w:r w:rsidRPr="00A72207">
        <w:rPr>
          <w:lang w:val="sq-AL"/>
        </w:rPr>
        <w:t xml:space="preserve">, punëkërkuesi </w:t>
      </w:r>
      <w:r w:rsidR="00CE78CD">
        <w:rPr>
          <w:lang w:val="sq-AL"/>
        </w:rPr>
        <w:t xml:space="preserve">duhet të ketë kontribuar në skemën e </w:t>
      </w:r>
      <w:r w:rsidR="004C0665">
        <w:rPr>
          <w:lang w:val="sq-AL"/>
        </w:rPr>
        <w:t>sigu</w:t>
      </w:r>
      <w:r w:rsidR="00E06960">
        <w:rPr>
          <w:lang w:val="sq-AL"/>
        </w:rPr>
        <w:t>r</w:t>
      </w:r>
      <w:r w:rsidR="004C0665">
        <w:rPr>
          <w:lang w:val="sq-AL"/>
        </w:rPr>
        <w:t>imeve shoq</w:t>
      </w:r>
      <w:r w:rsidR="004C0665" w:rsidRPr="00A72207">
        <w:rPr>
          <w:lang w:val="sq-AL"/>
        </w:rPr>
        <w:t>ë</w:t>
      </w:r>
      <w:r w:rsidR="004C0665">
        <w:rPr>
          <w:lang w:val="sq-AL"/>
        </w:rPr>
        <w:t>rore</w:t>
      </w:r>
      <w:r w:rsidR="00CE78CD">
        <w:rPr>
          <w:lang w:val="sq-AL"/>
        </w:rPr>
        <w:t>,</w:t>
      </w:r>
      <w:r w:rsidR="004C0665">
        <w:rPr>
          <w:lang w:val="sq-AL"/>
        </w:rPr>
        <w:t xml:space="preserve"> </w:t>
      </w:r>
      <w:r w:rsidRPr="00A72207">
        <w:rPr>
          <w:lang w:val="sq-AL"/>
        </w:rPr>
        <w:t>të paktën 12 muaj</w:t>
      </w:r>
      <w:r w:rsidR="00CE78CD">
        <w:rPr>
          <w:lang w:val="sq-AL"/>
        </w:rPr>
        <w:t xml:space="preserve">, </w:t>
      </w:r>
      <w:r w:rsidRPr="00A72207">
        <w:rPr>
          <w:lang w:val="sq-AL"/>
        </w:rPr>
        <w:t xml:space="preserve">të </w:t>
      </w:r>
      <w:r w:rsidR="00E06960">
        <w:rPr>
          <w:lang w:val="sq-AL"/>
        </w:rPr>
        <w:t>j</w:t>
      </w:r>
      <w:r w:rsidR="0020574B">
        <w:rPr>
          <w:lang w:val="sq-AL"/>
        </w:rPr>
        <w:t>et</w:t>
      </w:r>
      <w:r w:rsidR="00E06960" w:rsidRPr="00A72207">
        <w:rPr>
          <w:lang w:val="sq-AL"/>
        </w:rPr>
        <w:t>ë</w:t>
      </w:r>
      <w:r w:rsidRPr="00A72207">
        <w:rPr>
          <w:lang w:val="sq-AL"/>
        </w:rPr>
        <w:t xml:space="preserve"> i papunë në mënyrë të pavullnetshme, </w:t>
      </w:r>
      <w:r w:rsidR="00CE78CD">
        <w:rPr>
          <w:lang w:val="sq-AL"/>
        </w:rPr>
        <w:t>të jetë i</w:t>
      </w:r>
      <w:r w:rsidRPr="00A72207">
        <w:rPr>
          <w:lang w:val="sq-AL"/>
        </w:rPr>
        <w:t xml:space="preserve"> regjistruar si i papunë në </w:t>
      </w:r>
      <w:r w:rsidR="00CE78CD">
        <w:rPr>
          <w:lang w:val="sq-AL"/>
        </w:rPr>
        <w:t>z</w:t>
      </w:r>
      <w:r w:rsidRPr="00A72207">
        <w:rPr>
          <w:lang w:val="sq-AL"/>
        </w:rPr>
        <w:t xml:space="preserve">yrën e </w:t>
      </w:r>
      <w:r w:rsidR="00CE78CD">
        <w:rPr>
          <w:lang w:val="sq-AL"/>
        </w:rPr>
        <w:t>p</w:t>
      </w:r>
      <w:r w:rsidRPr="00A72207">
        <w:rPr>
          <w:lang w:val="sq-AL"/>
        </w:rPr>
        <w:t>unës</w:t>
      </w:r>
      <w:r w:rsidR="00CE78CD">
        <w:rPr>
          <w:lang w:val="sq-AL"/>
        </w:rPr>
        <w:t xml:space="preserve">, </w:t>
      </w:r>
      <w:r w:rsidRPr="00A72207">
        <w:rPr>
          <w:lang w:val="sq-AL"/>
        </w:rPr>
        <w:t xml:space="preserve">të </w:t>
      </w:r>
      <w:r w:rsidR="0020574B">
        <w:rPr>
          <w:lang w:val="sq-AL"/>
        </w:rPr>
        <w:t xml:space="preserve">jetë i </w:t>
      </w:r>
      <w:r w:rsidRPr="00A72207">
        <w:rPr>
          <w:lang w:val="sq-AL"/>
        </w:rPr>
        <w:t xml:space="preserve">gatshëm për </w:t>
      </w:r>
      <w:r w:rsidR="00CE78CD">
        <w:rPr>
          <w:lang w:val="sq-AL"/>
        </w:rPr>
        <w:t>t’u angazhuar ne trajnim dhe rikualifikim dhe të mos ketë të drejtë për përfitime të tjera nga sigurimet shoqërore</w:t>
      </w:r>
      <w:r w:rsidRPr="00A72207">
        <w:rPr>
          <w:lang w:val="sq-AL"/>
        </w:rPr>
        <w:t>, përveç pensionit të pjesshëm të invaliditetit.</w:t>
      </w:r>
    </w:p>
    <w:p w14:paraId="7C4EB595" w14:textId="424E9CCD" w:rsidR="00A72207" w:rsidRPr="00A72207" w:rsidRDefault="00A72207" w:rsidP="00CE78CD">
      <w:pPr>
        <w:rPr>
          <w:lang w:val="sq-AL"/>
        </w:rPr>
      </w:pPr>
      <w:r w:rsidRPr="00A72207">
        <w:rPr>
          <w:lang w:val="sq-AL"/>
        </w:rPr>
        <w:t xml:space="preserve">Mbulimi i përfitimeve të papunësisë në Shqipëri është shumë i ulët. Në vitin 2021, vetëm 680 punëkërkues morën përfitimin, ose 0.8 </w:t>
      </w:r>
      <w:r w:rsidR="004A16A4">
        <w:rPr>
          <w:lang w:val="sq-AL"/>
        </w:rPr>
        <w:t xml:space="preserve"> përqind</w:t>
      </w:r>
      <w:r w:rsidRPr="00A72207">
        <w:rPr>
          <w:lang w:val="sq-AL"/>
        </w:rPr>
        <w:t xml:space="preserve"> e totalit të të papunëve të regjistruar (ose pothuajse 0.4 </w:t>
      </w:r>
      <w:r w:rsidR="004A16A4">
        <w:rPr>
          <w:lang w:val="sq-AL"/>
        </w:rPr>
        <w:t xml:space="preserve"> përqind</w:t>
      </w:r>
      <w:r w:rsidRPr="00A72207">
        <w:rPr>
          <w:lang w:val="sq-AL"/>
        </w:rPr>
        <w:t xml:space="preserve"> e totalit të të papunëve sipas </w:t>
      </w:r>
      <w:r w:rsidR="009D52BD">
        <w:rPr>
          <w:lang w:val="sq-AL"/>
        </w:rPr>
        <w:t>Anketës së Forcës së Punës</w:t>
      </w:r>
      <w:r w:rsidRPr="00A72207">
        <w:rPr>
          <w:lang w:val="sq-AL"/>
        </w:rPr>
        <w:t>) – një nga raportet më të ulëta të përfituesve të papunësisë në rajon dhe BE.</w:t>
      </w:r>
    </w:p>
    <w:p w14:paraId="0C3FCB72" w14:textId="623413D8" w:rsidR="00A72207" w:rsidRPr="00170E66" w:rsidRDefault="00A72207" w:rsidP="00170E66">
      <w:r w:rsidRPr="00A72207">
        <w:rPr>
          <w:lang w:val="sq-AL"/>
        </w:rPr>
        <w:t>Niveli i p</w:t>
      </w:r>
      <w:r w:rsidR="008D28FC">
        <w:rPr>
          <w:lang w:val="sq-AL"/>
        </w:rPr>
        <w:t>ages</w:t>
      </w:r>
      <w:r w:rsidR="008D28FC" w:rsidRPr="00A72207">
        <w:rPr>
          <w:lang w:val="sq-AL"/>
        </w:rPr>
        <w:t>ë</w:t>
      </w:r>
      <w:r w:rsidR="008D28FC">
        <w:rPr>
          <w:lang w:val="sq-AL"/>
        </w:rPr>
        <w:t>s</w:t>
      </w:r>
      <w:r w:rsidRPr="00A72207">
        <w:rPr>
          <w:lang w:val="sq-AL"/>
        </w:rPr>
        <w:t xml:space="preserve"> </w:t>
      </w:r>
      <w:r w:rsidR="008D28FC">
        <w:rPr>
          <w:lang w:val="sq-AL"/>
        </w:rPr>
        <w:t>s</w:t>
      </w:r>
      <w:r w:rsidRPr="00A72207">
        <w:rPr>
          <w:lang w:val="sq-AL"/>
        </w:rPr>
        <w:t>ë papunësisë është gjithashtu i ulët</w:t>
      </w:r>
      <w:r w:rsidR="008D28FC" w:rsidRPr="008D28FC">
        <w:rPr>
          <w:lang w:val="sq-AL"/>
        </w:rPr>
        <w:t xml:space="preserve">, </w:t>
      </w:r>
      <w:r w:rsidR="0020574B">
        <w:rPr>
          <w:lang w:val="sq-AL"/>
        </w:rPr>
        <w:t xml:space="preserve">i </w:t>
      </w:r>
      <w:r w:rsidR="008D28FC" w:rsidRPr="008D28FC">
        <w:rPr>
          <w:lang w:val="sq-AL"/>
        </w:rPr>
        <w:t xml:space="preserve">vendosur në normë fikse dhe </w:t>
      </w:r>
      <w:r w:rsidR="008D28FC">
        <w:rPr>
          <w:lang w:val="sq-AL"/>
        </w:rPr>
        <w:t xml:space="preserve">i </w:t>
      </w:r>
      <w:r w:rsidR="0020574B">
        <w:rPr>
          <w:lang w:val="sq-AL"/>
        </w:rPr>
        <w:t>pa</w:t>
      </w:r>
      <w:r w:rsidR="008D28FC">
        <w:rPr>
          <w:lang w:val="sq-AL"/>
        </w:rPr>
        <w:t>lidhur</w:t>
      </w:r>
      <w:r w:rsidR="008D28FC" w:rsidRPr="008D28FC">
        <w:rPr>
          <w:lang w:val="sq-AL"/>
        </w:rPr>
        <w:t xml:space="preserve"> me </w:t>
      </w:r>
      <w:r w:rsidR="004E6884">
        <w:rPr>
          <w:lang w:val="sq-AL"/>
        </w:rPr>
        <w:t>nivelin e pag</w:t>
      </w:r>
      <w:r w:rsidR="004E6884" w:rsidRPr="008D28FC">
        <w:rPr>
          <w:lang w:val="sq-AL"/>
        </w:rPr>
        <w:t>ë</w:t>
      </w:r>
      <w:r w:rsidR="004E6884">
        <w:rPr>
          <w:lang w:val="sq-AL"/>
        </w:rPr>
        <w:t>s</w:t>
      </w:r>
      <w:r w:rsidR="008D28FC" w:rsidRPr="008D28FC">
        <w:rPr>
          <w:lang w:val="sq-AL"/>
        </w:rPr>
        <w:t xml:space="preserve"> </w:t>
      </w:r>
      <w:r w:rsidR="004E6884">
        <w:rPr>
          <w:lang w:val="sq-AL"/>
        </w:rPr>
        <w:t>s</w:t>
      </w:r>
      <w:r w:rsidR="004E6884" w:rsidRPr="008D28FC">
        <w:rPr>
          <w:lang w:val="sq-AL"/>
        </w:rPr>
        <w:t>ë</w:t>
      </w:r>
      <w:r w:rsidR="008D28FC" w:rsidRPr="008D28FC">
        <w:rPr>
          <w:lang w:val="sq-AL"/>
        </w:rPr>
        <w:t xml:space="preserve"> mëparshme</w:t>
      </w:r>
      <w:r w:rsidRPr="00A72207">
        <w:rPr>
          <w:lang w:val="sq-AL"/>
        </w:rPr>
        <w:t xml:space="preserve">. </w:t>
      </w:r>
      <w:r w:rsidR="008D28FC" w:rsidRPr="00E35625">
        <w:rPr>
          <w:lang w:val="sq-AL"/>
        </w:rPr>
        <w:t>Niveli i pagesës së papunësisë është i vendosur në shkallën 50</w:t>
      </w:r>
      <w:r w:rsidR="002D06AB">
        <w:rPr>
          <w:lang w:val="sq-AL"/>
        </w:rPr>
        <w:t xml:space="preserve"> përqind</w:t>
      </w:r>
      <w:r w:rsidR="008D28FC" w:rsidRPr="00E35625">
        <w:rPr>
          <w:lang w:val="sq-AL"/>
        </w:rPr>
        <w:t xml:space="preserve"> të pagës minimale, të paguara gjatë </w:t>
      </w:r>
      <w:r w:rsidR="009D52BD">
        <w:rPr>
          <w:lang w:val="sq-AL"/>
        </w:rPr>
        <w:t xml:space="preserve">një periudhe </w:t>
      </w:r>
      <w:r w:rsidR="008D28FC" w:rsidRPr="00E35625">
        <w:rPr>
          <w:lang w:val="sq-AL"/>
        </w:rPr>
        <w:t>3 deri në 12 muaj. Praktika rajonale e lidh nivelin e pagesës me nivelin e pagës gjatë punësimit, e cila ka një nivel zëvendësimi prej 50-90</w:t>
      </w:r>
      <w:r w:rsidR="002D06AB">
        <w:rPr>
          <w:lang w:val="sq-AL"/>
        </w:rPr>
        <w:t xml:space="preserve"> përqind</w:t>
      </w:r>
      <w:r w:rsidR="008D28FC">
        <w:rPr>
          <w:lang w:val="sq-AL"/>
        </w:rPr>
        <w:t>, ndersa niveli</w:t>
      </w:r>
      <w:r w:rsidR="008D28FC" w:rsidRPr="00E54A3B">
        <w:rPr>
          <w:lang w:val="sq-AL"/>
        </w:rPr>
        <w:t xml:space="preserve"> minimal i rekomanduar nga ILO ë</w:t>
      </w:r>
      <w:r w:rsidR="008D28FC">
        <w:rPr>
          <w:lang w:val="sq-AL"/>
        </w:rPr>
        <w:t>sht</w:t>
      </w:r>
      <w:r w:rsidR="008D28FC" w:rsidRPr="00E54A3B">
        <w:rPr>
          <w:lang w:val="sq-AL"/>
        </w:rPr>
        <w:t>ë 50</w:t>
      </w:r>
      <w:r w:rsidR="002D06AB">
        <w:rPr>
          <w:lang w:val="sq-AL"/>
        </w:rPr>
        <w:t xml:space="preserve"> përqind</w:t>
      </w:r>
      <w:r w:rsidR="004E6884">
        <w:rPr>
          <w:lang w:val="sq-AL"/>
        </w:rPr>
        <w:t xml:space="preserve"> </w:t>
      </w:r>
      <w:r w:rsidR="008D28FC" w:rsidRPr="00E54A3B">
        <w:rPr>
          <w:lang w:val="sq-AL"/>
        </w:rPr>
        <w:t>të pag</w:t>
      </w:r>
      <w:r w:rsidR="004E6884" w:rsidRPr="008D28FC">
        <w:rPr>
          <w:lang w:val="sq-AL"/>
        </w:rPr>
        <w:t>ë</w:t>
      </w:r>
      <w:r w:rsidR="004E6884">
        <w:rPr>
          <w:lang w:val="sq-AL"/>
        </w:rPr>
        <w:t>s</w:t>
      </w:r>
      <w:r w:rsidR="008D28FC" w:rsidRPr="00E54A3B">
        <w:rPr>
          <w:lang w:val="sq-AL"/>
        </w:rPr>
        <w:t xml:space="preserve"> </w:t>
      </w:r>
      <w:r w:rsidR="004E6884">
        <w:rPr>
          <w:lang w:val="sq-AL"/>
        </w:rPr>
        <w:t>s</w:t>
      </w:r>
      <w:r w:rsidR="008D28FC" w:rsidRPr="00E54A3B">
        <w:rPr>
          <w:lang w:val="sq-AL"/>
        </w:rPr>
        <w:t>ë mëparshme referuese</w:t>
      </w:r>
      <w:r w:rsidRPr="00A72207">
        <w:rPr>
          <w:lang w:val="sq-AL"/>
        </w:rPr>
        <w:t>.</w:t>
      </w:r>
    </w:p>
    <w:p w14:paraId="4A39770E" w14:textId="01FA3FBD" w:rsidR="004E6884" w:rsidRPr="00E35625" w:rsidRDefault="00A72207" w:rsidP="00A72207">
      <w:pPr>
        <w:spacing w:before="0" w:after="0"/>
        <w:rPr>
          <w:lang w:val="sq-AL"/>
        </w:rPr>
      </w:pPr>
      <w:r w:rsidRPr="00A72207">
        <w:rPr>
          <w:lang w:val="sq-AL"/>
        </w:rPr>
        <w:t xml:space="preserve">Për këtë arsye, </w:t>
      </w:r>
      <w:r w:rsidR="004E6884" w:rsidRPr="004E6884">
        <w:rPr>
          <w:lang w:val="sq-AL"/>
        </w:rPr>
        <w:t>duhe</w:t>
      </w:r>
      <w:r w:rsidR="0020574B">
        <w:rPr>
          <w:lang w:val="sq-AL"/>
        </w:rPr>
        <w:t>n</w:t>
      </w:r>
      <w:r w:rsidR="004E6884" w:rsidRPr="004E6884">
        <w:rPr>
          <w:lang w:val="sq-AL"/>
        </w:rPr>
        <w:t xml:space="preserve"> bërë analiza më </w:t>
      </w:r>
      <w:r w:rsidR="00A12BC0">
        <w:rPr>
          <w:lang w:val="sq-AL"/>
        </w:rPr>
        <w:t>t</w:t>
      </w:r>
      <w:r w:rsidR="00A12BC0" w:rsidRPr="004E6884">
        <w:rPr>
          <w:lang w:val="sq-AL"/>
        </w:rPr>
        <w:t>ë</w:t>
      </w:r>
      <w:r w:rsidR="004E6884" w:rsidRPr="004E6884">
        <w:rPr>
          <w:lang w:val="sq-AL"/>
        </w:rPr>
        <w:t xml:space="preserve"> detajuar</w:t>
      </w:r>
      <w:r w:rsidR="0020574B">
        <w:rPr>
          <w:lang w:val="sq-AL"/>
        </w:rPr>
        <w:t>a</w:t>
      </w:r>
      <w:r w:rsidR="004E6884" w:rsidRPr="004E6884">
        <w:rPr>
          <w:lang w:val="sq-AL"/>
        </w:rPr>
        <w:t xml:space="preserve"> për të rishikuar </w:t>
      </w:r>
      <w:r w:rsidR="0020574B">
        <w:rPr>
          <w:lang w:val="sq-AL"/>
        </w:rPr>
        <w:t>mundësitë</w:t>
      </w:r>
      <w:r w:rsidR="004E6884" w:rsidRPr="004E6884">
        <w:rPr>
          <w:lang w:val="sq-AL"/>
        </w:rPr>
        <w:t xml:space="preserve"> </w:t>
      </w:r>
      <w:r w:rsidRPr="00A72207">
        <w:rPr>
          <w:lang w:val="sq-AL"/>
        </w:rPr>
        <w:t>për t</w:t>
      </w:r>
      <w:r w:rsidR="0020574B">
        <w:rPr>
          <w:lang w:val="sq-AL"/>
        </w:rPr>
        <w:t>ë</w:t>
      </w:r>
      <w:r w:rsidRPr="00A72207">
        <w:rPr>
          <w:lang w:val="sq-AL"/>
        </w:rPr>
        <w:t xml:space="preserve"> rritur gradualisht </w:t>
      </w:r>
      <w:r w:rsidR="004E6884">
        <w:rPr>
          <w:lang w:val="sq-AL"/>
        </w:rPr>
        <w:t>nivelin e pages</w:t>
      </w:r>
      <w:r w:rsidR="004E6884" w:rsidRPr="00A72207">
        <w:rPr>
          <w:lang w:val="sq-AL"/>
        </w:rPr>
        <w:t>ë</w:t>
      </w:r>
      <w:r w:rsidR="004E6884">
        <w:rPr>
          <w:lang w:val="sq-AL"/>
        </w:rPr>
        <w:t>s s</w:t>
      </w:r>
      <w:r w:rsidR="004E6884" w:rsidRPr="00A72207">
        <w:rPr>
          <w:lang w:val="sq-AL"/>
        </w:rPr>
        <w:t>ë</w:t>
      </w:r>
      <w:r w:rsidR="004E6884">
        <w:rPr>
          <w:lang w:val="sq-AL"/>
        </w:rPr>
        <w:t xml:space="preserve"> papun</w:t>
      </w:r>
      <w:r w:rsidR="004E6884" w:rsidRPr="00A72207">
        <w:rPr>
          <w:lang w:val="sq-AL"/>
        </w:rPr>
        <w:t>ë</w:t>
      </w:r>
      <w:r w:rsidR="004E6884">
        <w:rPr>
          <w:lang w:val="sq-AL"/>
        </w:rPr>
        <w:t>sis</w:t>
      </w:r>
      <w:r w:rsidR="004E6884" w:rsidRPr="00A72207">
        <w:rPr>
          <w:lang w:val="sq-AL"/>
        </w:rPr>
        <w:t>ë</w:t>
      </w:r>
      <w:r w:rsidR="004E6884">
        <w:rPr>
          <w:lang w:val="sq-AL"/>
        </w:rPr>
        <w:t xml:space="preserve"> </w:t>
      </w:r>
      <w:r w:rsidR="005C3AF4">
        <w:rPr>
          <w:lang w:val="sq-AL"/>
        </w:rPr>
        <w:t>në</w:t>
      </w:r>
      <w:r w:rsidRPr="00A72207">
        <w:rPr>
          <w:lang w:val="sq-AL"/>
        </w:rPr>
        <w:t xml:space="preserve"> nivelin minimal të rekomanduar nga ILO</w:t>
      </w:r>
      <w:r w:rsidR="004E6884">
        <w:rPr>
          <w:lang w:val="sq-AL"/>
        </w:rPr>
        <w:t xml:space="preserve">. </w:t>
      </w:r>
      <w:r w:rsidR="004E6884" w:rsidRPr="004E6884">
        <w:rPr>
          <w:lang w:val="sq-AL"/>
        </w:rPr>
        <w:t xml:space="preserve">Kjo do të kërkonte zhvillimin e politikave për </w:t>
      </w:r>
      <w:r w:rsidR="00EE263A">
        <w:rPr>
          <w:lang w:val="sq-AL"/>
        </w:rPr>
        <w:t>pages</w:t>
      </w:r>
      <w:r w:rsidR="00EE263A" w:rsidRPr="004E6884">
        <w:rPr>
          <w:lang w:val="sq-AL"/>
        </w:rPr>
        <w:t>ë</w:t>
      </w:r>
      <w:r w:rsidR="0020574B">
        <w:rPr>
          <w:lang w:val="sq-AL"/>
        </w:rPr>
        <w:t>n</w:t>
      </w:r>
      <w:r w:rsidR="00EE263A">
        <w:rPr>
          <w:lang w:val="sq-AL"/>
        </w:rPr>
        <w:t xml:space="preserve"> </w:t>
      </w:r>
      <w:r w:rsidR="0020574B">
        <w:rPr>
          <w:lang w:val="sq-AL"/>
        </w:rPr>
        <w:t>e</w:t>
      </w:r>
      <w:r w:rsidR="00EE263A">
        <w:rPr>
          <w:lang w:val="sq-AL"/>
        </w:rPr>
        <w:t xml:space="preserve"> papun</w:t>
      </w:r>
      <w:r w:rsidR="00EE263A" w:rsidRPr="004E6884">
        <w:rPr>
          <w:lang w:val="sq-AL"/>
        </w:rPr>
        <w:t>ë</w:t>
      </w:r>
      <w:r w:rsidR="00EE263A">
        <w:rPr>
          <w:lang w:val="sq-AL"/>
        </w:rPr>
        <w:t>sis</w:t>
      </w:r>
      <w:r w:rsidR="00EE263A" w:rsidRPr="004E6884">
        <w:rPr>
          <w:lang w:val="sq-AL"/>
        </w:rPr>
        <w:t>ë</w:t>
      </w:r>
      <w:r w:rsidR="00EE263A">
        <w:rPr>
          <w:lang w:val="sq-AL"/>
        </w:rPr>
        <w:t xml:space="preserve"> </w:t>
      </w:r>
      <w:r w:rsidR="00EE263A" w:rsidRPr="00EE263A">
        <w:rPr>
          <w:lang w:val="sq-AL"/>
        </w:rPr>
        <w:t>dhe lidhj</w:t>
      </w:r>
      <w:r w:rsidR="0020574B">
        <w:rPr>
          <w:lang w:val="sq-AL"/>
        </w:rPr>
        <w:t>e</w:t>
      </w:r>
      <w:r w:rsidR="00EE263A">
        <w:rPr>
          <w:lang w:val="sq-AL"/>
        </w:rPr>
        <w:t>n</w:t>
      </w:r>
      <w:r w:rsidR="00EE263A" w:rsidRPr="00EE263A">
        <w:rPr>
          <w:lang w:val="sq-AL"/>
        </w:rPr>
        <w:t xml:space="preserve"> e</w:t>
      </w:r>
      <w:r w:rsidR="00EE263A">
        <w:rPr>
          <w:lang w:val="sq-AL"/>
        </w:rPr>
        <w:t xml:space="preserve"> saj</w:t>
      </w:r>
      <w:r w:rsidR="00EE263A" w:rsidRPr="00EE263A">
        <w:rPr>
          <w:lang w:val="sq-AL"/>
        </w:rPr>
        <w:t xml:space="preserve"> </w:t>
      </w:r>
      <w:r w:rsidR="004E6884" w:rsidRPr="004E6884">
        <w:rPr>
          <w:lang w:val="sq-AL"/>
        </w:rPr>
        <w:t xml:space="preserve">me historinë </w:t>
      </w:r>
      <w:r w:rsidR="00EE263A">
        <w:rPr>
          <w:lang w:val="sq-AL"/>
        </w:rPr>
        <w:t xml:space="preserve">dhe </w:t>
      </w:r>
      <w:r w:rsidR="004E6884" w:rsidRPr="004E6884">
        <w:rPr>
          <w:lang w:val="sq-AL"/>
        </w:rPr>
        <w:t xml:space="preserve">nivelet e kontributeve </w:t>
      </w:r>
      <w:r w:rsidR="00DB7ABE">
        <w:rPr>
          <w:lang w:val="sq-AL"/>
        </w:rPr>
        <w:t xml:space="preserve">si </w:t>
      </w:r>
      <w:r w:rsidR="004E6884" w:rsidRPr="004E6884">
        <w:rPr>
          <w:lang w:val="sq-AL"/>
        </w:rPr>
        <w:t xml:space="preserve">dhe për të rishikuar </w:t>
      </w:r>
      <w:r w:rsidR="00EE263A">
        <w:rPr>
          <w:lang w:val="sq-AL"/>
        </w:rPr>
        <w:t>koh</w:t>
      </w:r>
      <w:r w:rsidR="00EE263A" w:rsidRPr="004E6884">
        <w:rPr>
          <w:lang w:val="sq-AL"/>
        </w:rPr>
        <w:t>ë</w:t>
      </w:r>
      <w:r w:rsidR="00EE263A">
        <w:rPr>
          <w:lang w:val="sq-AL"/>
        </w:rPr>
        <w:t>zgjatjen e pages</w:t>
      </w:r>
      <w:r w:rsidR="00EE263A" w:rsidRPr="004E6884">
        <w:rPr>
          <w:lang w:val="sq-AL"/>
        </w:rPr>
        <w:t>ë</w:t>
      </w:r>
      <w:r w:rsidR="00EE263A">
        <w:rPr>
          <w:lang w:val="sq-AL"/>
        </w:rPr>
        <w:t xml:space="preserve">s, </w:t>
      </w:r>
      <w:r w:rsidR="004E6884" w:rsidRPr="004E6884">
        <w:rPr>
          <w:lang w:val="sq-AL"/>
        </w:rPr>
        <w:t xml:space="preserve">periudhën minimale të </w:t>
      </w:r>
      <w:r w:rsidR="004E6884">
        <w:rPr>
          <w:lang w:val="sq-AL"/>
        </w:rPr>
        <w:t>pages</w:t>
      </w:r>
      <w:r w:rsidR="004E6884" w:rsidRPr="004E6884">
        <w:rPr>
          <w:lang w:val="sq-AL"/>
        </w:rPr>
        <w:t>ë</w:t>
      </w:r>
      <w:r w:rsidR="004E6884">
        <w:rPr>
          <w:lang w:val="sq-AL"/>
        </w:rPr>
        <w:t>s s</w:t>
      </w:r>
      <w:r w:rsidR="004E6884" w:rsidRPr="004E6884">
        <w:rPr>
          <w:lang w:val="sq-AL"/>
        </w:rPr>
        <w:t>ë</w:t>
      </w:r>
      <w:r w:rsidR="004E6884">
        <w:rPr>
          <w:lang w:val="sq-AL"/>
        </w:rPr>
        <w:t xml:space="preserve"> </w:t>
      </w:r>
      <w:r w:rsidR="00EE263A">
        <w:rPr>
          <w:lang w:val="sq-AL"/>
        </w:rPr>
        <w:t>kontributeve dhe norm</w:t>
      </w:r>
      <w:r w:rsidR="00EE263A" w:rsidRPr="004E6884">
        <w:rPr>
          <w:lang w:val="sq-AL"/>
        </w:rPr>
        <w:t>ë</w:t>
      </w:r>
      <w:r w:rsidR="00EE263A">
        <w:rPr>
          <w:lang w:val="sq-AL"/>
        </w:rPr>
        <w:t>n e kontributeve</w:t>
      </w:r>
      <w:r w:rsidR="004E6884" w:rsidRPr="004E6884">
        <w:rPr>
          <w:lang w:val="sq-AL"/>
        </w:rPr>
        <w:t xml:space="preserve"> </w:t>
      </w:r>
      <w:r w:rsidR="00EE263A">
        <w:rPr>
          <w:lang w:val="sq-AL"/>
        </w:rPr>
        <w:t>t</w:t>
      </w:r>
      <w:r w:rsidR="00EE263A" w:rsidRPr="004E6884">
        <w:rPr>
          <w:lang w:val="sq-AL"/>
        </w:rPr>
        <w:t>ë</w:t>
      </w:r>
      <w:r w:rsidR="00EE263A">
        <w:rPr>
          <w:lang w:val="sq-AL"/>
        </w:rPr>
        <w:t xml:space="preserve"> </w:t>
      </w:r>
      <w:r w:rsidR="004E6884" w:rsidRPr="004E6884">
        <w:rPr>
          <w:lang w:val="sq-AL"/>
        </w:rPr>
        <w:t>bazuar në konsideratat fiskale, në mënyrë që sistemi i sigurimit të papunësisë të jetë i qëndrueshëm financiarisht.</w:t>
      </w:r>
      <w:r w:rsidR="002D06AB">
        <w:rPr>
          <w:lang w:val="sq-AL"/>
        </w:rPr>
        <w:t xml:space="preserve"> </w:t>
      </w:r>
    </w:p>
    <w:p w14:paraId="197DDACE" w14:textId="3E94EEB7" w:rsidR="00170E66" w:rsidRDefault="00C90F95" w:rsidP="00714845">
      <w:pPr>
        <w:spacing w:before="0" w:after="0"/>
        <w:rPr>
          <w:lang w:val="sq-AL"/>
        </w:rPr>
      </w:pPr>
      <w:r w:rsidRPr="00C90F95">
        <w:rPr>
          <w:lang w:val="sq-AL"/>
        </w:rPr>
        <w:t>Ndihma Ekonomike (NE) është programi që ofron mbështetje për familjet e varf</w:t>
      </w:r>
      <w:r w:rsidR="00536B25">
        <w:rPr>
          <w:lang w:val="sq-AL"/>
        </w:rPr>
        <w:t>ë</w:t>
      </w:r>
      <w:r w:rsidRPr="00C90F95">
        <w:rPr>
          <w:lang w:val="sq-AL"/>
        </w:rPr>
        <w:t>ra</w:t>
      </w:r>
      <w:r>
        <w:rPr>
          <w:rStyle w:val="FootnoteReference"/>
          <w:lang w:val="sq-AL"/>
        </w:rPr>
        <w:footnoteReference w:id="50"/>
      </w:r>
      <w:r w:rsidRPr="00C90F95">
        <w:rPr>
          <w:lang w:val="sq-AL"/>
        </w:rPr>
        <w:t xml:space="preserve">. </w:t>
      </w:r>
      <w:r w:rsidR="00536B25">
        <w:rPr>
          <w:lang w:val="sq-AL"/>
        </w:rPr>
        <w:t>M</w:t>
      </w:r>
      <w:r w:rsidRPr="00C90F95">
        <w:rPr>
          <w:lang w:val="sq-AL"/>
        </w:rPr>
        <w:t>bështetja për NE është e kufizuar në një periudhë prej pesë v</w:t>
      </w:r>
      <w:r w:rsidR="00536B25">
        <w:rPr>
          <w:lang w:val="sq-AL"/>
        </w:rPr>
        <w:t>i</w:t>
      </w:r>
      <w:r w:rsidRPr="00C90F95">
        <w:rPr>
          <w:lang w:val="sq-AL"/>
        </w:rPr>
        <w:t>t</w:t>
      </w:r>
      <w:r w:rsidR="00536B25">
        <w:rPr>
          <w:lang w:val="sq-AL"/>
        </w:rPr>
        <w:t>e</w:t>
      </w:r>
      <w:r w:rsidRPr="00C90F95">
        <w:rPr>
          <w:lang w:val="sq-AL"/>
        </w:rPr>
        <w:t xml:space="preserve">sh, gjatë kësaj periudhe, përfituesit </w:t>
      </w:r>
      <w:r w:rsidR="00A12948">
        <w:rPr>
          <w:lang w:val="sq-AL"/>
        </w:rPr>
        <w:t>n</w:t>
      </w:r>
      <w:r w:rsidR="00A12948" w:rsidRPr="00C90F95">
        <w:rPr>
          <w:lang w:val="sq-AL"/>
        </w:rPr>
        <w:t>ë</w:t>
      </w:r>
      <w:r w:rsidR="00A12948">
        <w:rPr>
          <w:lang w:val="sq-AL"/>
        </w:rPr>
        <w:t xml:space="preserve"> mosh</w:t>
      </w:r>
      <w:r w:rsidR="00A12948" w:rsidRPr="00C90F95">
        <w:rPr>
          <w:lang w:val="sq-AL"/>
        </w:rPr>
        <w:t>ë</w:t>
      </w:r>
      <w:r w:rsidR="00A12948">
        <w:rPr>
          <w:lang w:val="sq-AL"/>
        </w:rPr>
        <w:t xml:space="preserve"> aktive pune </w:t>
      </w:r>
      <w:r w:rsidRPr="00C90F95">
        <w:rPr>
          <w:lang w:val="sq-AL"/>
        </w:rPr>
        <w:t>duhet të regjistrohen</w:t>
      </w:r>
      <w:r>
        <w:rPr>
          <w:lang w:val="sq-AL"/>
        </w:rPr>
        <w:t xml:space="preserve"> </w:t>
      </w:r>
      <w:r w:rsidRPr="00C90F95">
        <w:rPr>
          <w:lang w:val="sq-AL"/>
        </w:rPr>
        <w:t xml:space="preserve">në zyrën e punës dhe të </w:t>
      </w:r>
      <w:r w:rsidR="00A12948">
        <w:rPr>
          <w:lang w:val="sq-AL"/>
        </w:rPr>
        <w:t>pranoj</w:t>
      </w:r>
      <w:r w:rsidR="00536B25">
        <w:rPr>
          <w:lang w:val="sq-AL"/>
        </w:rPr>
        <w:t>n</w:t>
      </w:r>
      <w:r w:rsidR="00A12948" w:rsidRPr="00C90F95">
        <w:rPr>
          <w:lang w:val="sq-AL"/>
        </w:rPr>
        <w:t>ë</w:t>
      </w:r>
      <w:r w:rsidR="00A12948">
        <w:rPr>
          <w:lang w:val="sq-AL"/>
        </w:rPr>
        <w:t xml:space="preserve"> ofertat p</w:t>
      </w:r>
      <w:r w:rsidR="00A12948" w:rsidRPr="00C90F95">
        <w:rPr>
          <w:lang w:val="sq-AL"/>
        </w:rPr>
        <w:t>ë</w:t>
      </w:r>
      <w:r w:rsidR="00A12948">
        <w:rPr>
          <w:lang w:val="sq-AL"/>
        </w:rPr>
        <w:t>rshtatshme p</w:t>
      </w:r>
      <w:r w:rsidR="00A12948" w:rsidRPr="00C90F95">
        <w:rPr>
          <w:lang w:val="sq-AL"/>
        </w:rPr>
        <w:t>ë</w:t>
      </w:r>
      <w:r w:rsidR="00A12948">
        <w:rPr>
          <w:lang w:val="sq-AL"/>
        </w:rPr>
        <w:t>r pun</w:t>
      </w:r>
      <w:r w:rsidR="00A12948" w:rsidRPr="00C90F95">
        <w:rPr>
          <w:lang w:val="sq-AL"/>
        </w:rPr>
        <w:t>ë</w:t>
      </w:r>
      <w:r w:rsidR="00536B25">
        <w:rPr>
          <w:lang w:val="sq-AL"/>
        </w:rPr>
        <w:t>,</w:t>
      </w:r>
      <w:r w:rsidR="00A12948">
        <w:rPr>
          <w:lang w:val="sq-AL"/>
        </w:rPr>
        <w:t xml:space="preserve"> ose kurset p</w:t>
      </w:r>
      <w:r w:rsidR="00A12948" w:rsidRPr="00C90F95">
        <w:rPr>
          <w:lang w:val="sq-AL"/>
        </w:rPr>
        <w:t>ë</w:t>
      </w:r>
      <w:r w:rsidR="00A12948">
        <w:rPr>
          <w:lang w:val="sq-AL"/>
        </w:rPr>
        <w:t>r formim profesional</w:t>
      </w:r>
      <w:r w:rsidRPr="00C90F95">
        <w:rPr>
          <w:lang w:val="sq-AL"/>
        </w:rPr>
        <w:t xml:space="preserve">. </w:t>
      </w:r>
      <w:r w:rsidR="005C3AF4">
        <w:rPr>
          <w:lang w:val="sq-AL"/>
        </w:rPr>
        <w:t xml:space="preserve">Kufizimi i përfitimit të </w:t>
      </w:r>
      <w:r w:rsidR="00D87F9C">
        <w:rPr>
          <w:lang w:val="sq-AL"/>
        </w:rPr>
        <w:t xml:space="preserve">ndihmës ekonomike </w:t>
      </w:r>
      <w:r w:rsidR="005C3AF4">
        <w:rPr>
          <w:lang w:val="sq-AL"/>
        </w:rPr>
        <w:t xml:space="preserve">për 5 vjet dhe kushtet e tjera të përfitimeve nga ky program theksojnë </w:t>
      </w:r>
      <w:r w:rsidRPr="00C90F95">
        <w:rPr>
          <w:lang w:val="sq-AL"/>
        </w:rPr>
        <w:t xml:space="preserve">nevojën për mekanizma ndërinstitucionalë që kërkojnë </w:t>
      </w:r>
      <w:r w:rsidR="00EB41A3" w:rsidRPr="00EB41A3">
        <w:rPr>
          <w:lang w:val="sq-AL"/>
        </w:rPr>
        <w:t xml:space="preserve">ofrimin e mbështetjes </w:t>
      </w:r>
      <w:r w:rsidR="005C3AF4">
        <w:rPr>
          <w:lang w:val="sq-AL"/>
        </w:rPr>
        <w:t>së pagesës së</w:t>
      </w:r>
      <w:r w:rsidR="0093582E">
        <w:rPr>
          <w:lang w:val="sq-AL"/>
        </w:rPr>
        <w:t xml:space="preserve"> NE, të koordinuar</w:t>
      </w:r>
      <w:r w:rsidRPr="00C90F95">
        <w:rPr>
          <w:lang w:val="sq-AL"/>
        </w:rPr>
        <w:t xml:space="preserve"> me shërbimet sociale dhe </w:t>
      </w:r>
      <w:r w:rsidR="00EB41A3" w:rsidRPr="00EB41A3">
        <w:rPr>
          <w:lang w:val="sq-AL"/>
        </w:rPr>
        <w:t>shërbimet e punësimit</w:t>
      </w:r>
      <w:r w:rsidR="00EB41A3">
        <w:rPr>
          <w:lang w:val="sq-AL"/>
        </w:rPr>
        <w:t xml:space="preserve"> </w:t>
      </w:r>
      <w:r w:rsidRPr="00C90F95">
        <w:rPr>
          <w:lang w:val="sq-AL"/>
        </w:rPr>
        <w:t xml:space="preserve">për të adresuar </w:t>
      </w:r>
      <w:r w:rsidR="00EB41A3">
        <w:rPr>
          <w:lang w:val="sq-AL"/>
        </w:rPr>
        <w:t>nevojat</w:t>
      </w:r>
      <w:r w:rsidRPr="00C90F95">
        <w:rPr>
          <w:lang w:val="sq-AL"/>
        </w:rPr>
        <w:t xml:space="preserve"> e tyre komplekse. Edhe pse bashkëpunimi me </w:t>
      </w:r>
      <w:r w:rsidR="00EB41A3">
        <w:rPr>
          <w:lang w:val="sq-AL"/>
        </w:rPr>
        <w:t>MSHMS</w:t>
      </w:r>
      <w:r w:rsidR="009A3B34">
        <w:rPr>
          <w:lang w:val="sq-AL"/>
        </w:rPr>
        <w:t>-në</w:t>
      </w:r>
      <w:r w:rsidR="00E06960">
        <w:rPr>
          <w:lang w:val="sq-AL"/>
        </w:rPr>
        <w:t xml:space="preserve">, </w:t>
      </w:r>
      <w:r w:rsidR="00E06960" w:rsidRPr="00E06960">
        <w:rPr>
          <w:lang w:val="sq-AL"/>
        </w:rPr>
        <w:t>strukturat lokale</w:t>
      </w:r>
      <w:r w:rsidR="00EB41A3" w:rsidRPr="00C90F95">
        <w:rPr>
          <w:lang w:val="sq-AL"/>
        </w:rPr>
        <w:t xml:space="preserve"> </w:t>
      </w:r>
      <w:r w:rsidRPr="00C90F95">
        <w:rPr>
          <w:lang w:val="sq-AL"/>
        </w:rPr>
        <w:t xml:space="preserve">dhe shërbimet e punësimit është përmirësuar, duhet të zgjerohen përpjekjet nga </w:t>
      </w:r>
      <w:r w:rsidR="00E06960" w:rsidRPr="00E06960">
        <w:rPr>
          <w:lang w:val="sq-AL"/>
        </w:rPr>
        <w:t>këto institucione</w:t>
      </w:r>
      <w:r w:rsidR="00E06960">
        <w:rPr>
          <w:lang w:val="sq-AL"/>
        </w:rPr>
        <w:t xml:space="preserve"> </w:t>
      </w:r>
      <w:r w:rsidRPr="00C90F95">
        <w:rPr>
          <w:lang w:val="sq-AL"/>
        </w:rPr>
        <w:t xml:space="preserve">për të zbatuar strategjinë e daljes së NE </w:t>
      </w:r>
      <w:r w:rsidR="00EB41A3" w:rsidRPr="00EB41A3">
        <w:rPr>
          <w:lang w:val="sq-AL"/>
        </w:rPr>
        <w:t>duke adresuar nevojat komplekse të këtij grupi me mbështetje të integruar, të cilat kërkojnë fokus të veçantë</w:t>
      </w:r>
      <w:r w:rsidR="00EB41A3">
        <w:rPr>
          <w:lang w:val="sq-AL"/>
        </w:rPr>
        <w:t xml:space="preserve"> </w:t>
      </w:r>
      <w:r w:rsidR="00EB41A3" w:rsidRPr="00EB41A3">
        <w:rPr>
          <w:lang w:val="sq-AL"/>
        </w:rPr>
        <w:t>dhe një koordinim edhe më i fortë</w:t>
      </w:r>
      <w:r w:rsidR="00EB41A3">
        <w:rPr>
          <w:lang w:val="sq-AL"/>
        </w:rPr>
        <w:t xml:space="preserve"> n</w:t>
      </w:r>
      <w:r w:rsidR="00EB41A3" w:rsidRPr="00EB41A3">
        <w:rPr>
          <w:lang w:val="sq-AL"/>
        </w:rPr>
        <w:t>dërmjet këtyre institucioneve</w:t>
      </w:r>
      <w:r w:rsidRPr="00C90F95">
        <w:rPr>
          <w:lang w:val="sq-AL"/>
        </w:rPr>
        <w:t>.</w:t>
      </w:r>
    </w:p>
    <w:p w14:paraId="71F3EF0E" w14:textId="77777777" w:rsidR="00815497" w:rsidRDefault="00815497" w:rsidP="00714845">
      <w:pPr>
        <w:spacing w:before="0" w:after="0"/>
        <w:rPr>
          <w:lang w:val="sq-AL"/>
        </w:rPr>
      </w:pPr>
    </w:p>
    <w:p w14:paraId="01A18B1A" w14:textId="6DEACF02" w:rsidR="002951C4" w:rsidRDefault="002951C4" w:rsidP="002951C4">
      <w:pPr>
        <w:pStyle w:val="Heading3"/>
        <w:spacing w:before="0" w:after="0"/>
        <w:rPr>
          <w:lang w:val="sq-AL"/>
        </w:rPr>
      </w:pPr>
      <w:bookmarkStart w:id="42" w:name="_Toc123165415"/>
      <w:r>
        <w:rPr>
          <w:lang w:val="sq-AL"/>
        </w:rPr>
        <w:t>2.2.9.</w:t>
      </w:r>
      <w:r w:rsidRPr="002951C4">
        <w:rPr>
          <w:lang w:val="sq-AL"/>
        </w:rPr>
        <w:t>Tatimi i punës</w:t>
      </w:r>
      <w:bookmarkEnd w:id="42"/>
      <w:r w:rsidRPr="002951C4">
        <w:rPr>
          <w:lang w:val="sq-AL"/>
        </w:rPr>
        <w:t xml:space="preserve"> </w:t>
      </w:r>
    </w:p>
    <w:p w14:paraId="61389F6C" w14:textId="60A40435" w:rsidR="007C2EA9" w:rsidRDefault="00846037" w:rsidP="003A14FB">
      <w:pPr>
        <w:pStyle w:val="FootnoteText"/>
        <w:rPr>
          <w:sz w:val="22"/>
          <w:szCs w:val="24"/>
          <w:lang w:val="sq-AL"/>
        </w:rPr>
      </w:pPr>
      <w:r>
        <w:rPr>
          <w:sz w:val="22"/>
          <w:szCs w:val="24"/>
          <w:lang w:val="sq-AL"/>
        </w:rPr>
        <w:t>Barra fiskale nga të ardhurat e punës e</w:t>
      </w:r>
      <w:r w:rsidR="007C2EA9">
        <w:rPr>
          <w:sz w:val="22"/>
          <w:szCs w:val="24"/>
          <w:lang w:val="sq-AL"/>
        </w:rPr>
        <w:t xml:space="preserve"> shprehur si raport ndërmjet</w:t>
      </w:r>
      <w:r w:rsidR="00B17BB8" w:rsidRPr="003A14FB">
        <w:rPr>
          <w:sz w:val="22"/>
          <w:szCs w:val="24"/>
          <w:lang w:val="sq-AL"/>
        </w:rPr>
        <w:t xml:space="preserve"> kostove të punës për punëdhënësin dhe pagës neto që </w:t>
      </w:r>
      <w:r w:rsidR="00536B25">
        <w:rPr>
          <w:sz w:val="22"/>
          <w:szCs w:val="24"/>
          <w:lang w:val="sq-AL"/>
        </w:rPr>
        <w:t xml:space="preserve">përfiton </w:t>
      </w:r>
      <w:r w:rsidR="007C2EA9">
        <w:rPr>
          <w:sz w:val="22"/>
          <w:szCs w:val="24"/>
          <w:lang w:val="sq-AL"/>
        </w:rPr>
        <w:t>punëmarrësi</w:t>
      </w:r>
      <w:r w:rsidR="00FD3ADD">
        <w:rPr>
          <w:sz w:val="22"/>
          <w:szCs w:val="24"/>
          <w:lang w:val="sq-AL"/>
        </w:rPr>
        <w:t xml:space="preserve">, </w:t>
      </w:r>
      <w:r w:rsidR="00B17BB8" w:rsidRPr="003A14FB">
        <w:rPr>
          <w:sz w:val="22"/>
          <w:szCs w:val="24"/>
          <w:lang w:val="sq-AL"/>
        </w:rPr>
        <w:t xml:space="preserve">veçanërisht </w:t>
      </w:r>
      <w:r w:rsidR="00C508C4">
        <w:rPr>
          <w:sz w:val="22"/>
          <w:szCs w:val="24"/>
          <w:lang w:val="sq-AL"/>
        </w:rPr>
        <w:t>në rastin e pagave të ulëta</w:t>
      </w:r>
      <w:r w:rsidR="00B17BB8" w:rsidRPr="003A14FB">
        <w:rPr>
          <w:sz w:val="22"/>
          <w:szCs w:val="24"/>
          <w:lang w:val="sq-AL"/>
        </w:rPr>
        <w:t xml:space="preserve">, mund të ofrojë stimuj </w:t>
      </w:r>
      <w:r w:rsidR="00892E8B">
        <w:rPr>
          <w:sz w:val="22"/>
          <w:szCs w:val="24"/>
          <w:lang w:val="sq-AL"/>
        </w:rPr>
        <w:t>që</w:t>
      </w:r>
      <w:r w:rsidR="00892E8B" w:rsidRPr="003A14FB">
        <w:rPr>
          <w:sz w:val="22"/>
          <w:szCs w:val="24"/>
          <w:lang w:val="sq-AL"/>
        </w:rPr>
        <w:t xml:space="preserve"> </w:t>
      </w:r>
      <w:r w:rsidR="002E09D9">
        <w:rPr>
          <w:sz w:val="22"/>
          <w:szCs w:val="24"/>
          <w:lang w:val="sq-AL"/>
        </w:rPr>
        <w:t>i punësuari</w:t>
      </w:r>
      <w:r w:rsidR="002E09D9" w:rsidRPr="003A14FB">
        <w:rPr>
          <w:sz w:val="22"/>
          <w:szCs w:val="24"/>
          <w:lang w:val="sq-AL"/>
        </w:rPr>
        <w:t xml:space="preserve"> </w:t>
      </w:r>
      <w:r w:rsidR="002E09D9">
        <w:rPr>
          <w:sz w:val="22"/>
          <w:szCs w:val="24"/>
          <w:lang w:val="sq-AL"/>
        </w:rPr>
        <w:t>të</w:t>
      </w:r>
      <w:r w:rsidR="00B17BB8" w:rsidRPr="003A14FB">
        <w:rPr>
          <w:sz w:val="22"/>
          <w:szCs w:val="24"/>
          <w:lang w:val="sq-AL"/>
        </w:rPr>
        <w:t xml:space="preserve"> qëndr</w:t>
      </w:r>
      <w:r w:rsidR="002E09D9">
        <w:rPr>
          <w:sz w:val="22"/>
          <w:szCs w:val="24"/>
          <w:lang w:val="sq-AL"/>
        </w:rPr>
        <w:t>ojë</w:t>
      </w:r>
      <w:r w:rsidR="00B17BB8" w:rsidRPr="003A14FB">
        <w:rPr>
          <w:sz w:val="22"/>
          <w:szCs w:val="24"/>
          <w:lang w:val="sq-AL"/>
        </w:rPr>
        <w:t xml:space="preserve"> jashtë punësimit formal. Në Shqipëri niveli i </w:t>
      </w:r>
      <w:r>
        <w:rPr>
          <w:sz w:val="22"/>
          <w:szCs w:val="24"/>
          <w:lang w:val="sq-AL"/>
        </w:rPr>
        <w:t>barrës fiskale nga të ardhurat e punës</w:t>
      </w:r>
      <w:r w:rsidR="00B17BB8" w:rsidRPr="003A14FB">
        <w:rPr>
          <w:sz w:val="22"/>
          <w:szCs w:val="24"/>
          <w:lang w:val="sq-AL"/>
        </w:rPr>
        <w:t xml:space="preserve"> mbi pagat mesatare</w:t>
      </w:r>
      <w:r>
        <w:rPr>
          <w:sz w:val="22"/>
          <w:szCs w:val="24"/>
          <w:lang w:val="sq-AL"/>
        </w:rPr>
        <w:t>,</w:t>
      </w:r>
      <w:r w:rsidR="00B17BB8" w:rsidRPr="003A14FB">
        <w:rPr>
          <w:sz w:val="22"/>
          <w:szCs w:val="24"/>
          <w:lang w:val="sq-AL"/>
        </w:rPr>
        <w:t xml:space="preserve"> në vitin 2021</w:t>
      </w:r>
      <w:r>
        <w:rPr>
          <w:sz w:val="22"/>
          <w:szCs w:val="24"/>
          <w:lang w:val="sq-AL"/>
        </w:rPr>
        <w:t xml:space="preserve">, </w:t>
      </w:r>
      <w:r w:rsidR="00B17BB8" w:rsidRPr="003A14FB">
        <w:rPr>
          <w:sz w:val="22"/>
          <w:szCs w:val="24"/>
          <w:lang w:val="sq-AL"/>
        </w:rPr>
        <w:t>ishte rreth 30</w:t>
      </w:r>
      <w:r w:rsidR="002D06AB">
        <w:rPr>
          <w:sz w:val="22"/>
          <w:szCs w:val="24"/>
          <w:lang w:val="sq-AL"/>
        </w:rPr>
        <w:t xml:space="preserve"> përqind</w:t>
      </w:r>
      <w:r w:rsidR="00B17BB8" w:rsidRPr="003A14FB">
        <w:rPr>
          <w:szCs w:val="24"/>
          <w:vertAlign w:val="superscript"/>
        </w:rPr>
        <w:footnoteReference w:id="51"/>
      </w:r>
      <w:r w:rsidR="00B17BB8" w:rsidRPr="003A14FB">
        <w:rPr>
          <w:sz w:val="22"/>
          <w:szCs w:val="24"/>
          <w:lang w:val="sq-AL"/>
        </w:rPr>
        <w:t xml:space="preserve"> që është </w:t>
      </w:r>
      <w:r w:rsidR="003A14FB">
        <w:rPr>
          <w:sz w:val="22"/>
          <w:szCs w:val="24"/>
          <w:lang w:val="sq-AL"/>
        </w:rPr>
        <w:t>i</w:t>
      </w:r>
      <w:r w:rsidR="00B17BB8" w:rsidRPr="003A14FB">
        <w:rPr>
          <w:sz w:val="22"/>
          <w:szCs w:val="24"/>
          <w:lang w:val="sq-AL"/>
        </w:rPr>
        <w:t xml:space="preserve"> lart</w:t>
      </w:r>
      <w:r w:rsidR="003A14FB" w:rsidRPr="003A14FB">
        <w:rPr>
          <w:sz w:val="22"/>
          <w:szCs w:val="24"/>
          <w:lang w:val="sq-AL"/>
        </w:rPr>
        <w:t>ë</w:t>
      </w:r>
      <w:r w:rsidR="00B17BB8" w:rsidRPr="003A14FB">
        <w:rPr>
          <w:sz w:val="22"/>
          <w:szCs w:val="24"/>
          <w:lang w:val="sq-AL"/>
        </w:rPr>
        <w:t xml:space="preserve"> për </w:t>
      </w:r>
      <w:r w:rsidR="00B17BB8" w:rsidRPr="003A14FB">
        <w:rPr>
          <w:sz w:val="22"/>
          <w:szCs w:val="24"/>
          <w:lang w:val="sq-AL"/>
        </w:rPr>
        <w:lastRenderedPageBreak/>
        <w:t xml:space="preserve">një vend me të ardhura </w:t>
      </w:r>
      <w:r>
        <w:rPr>
          <w:sz w:val="22"/>
          <w:szCs w:val="24"/>
          <w:lang w:val="sq-AL"/>
        </w:rPr>
        <w:t>mesatare</w:t>
      </w:r>
      <w:r w:rsidR="00B17BB8" w:rsidRPr="003A14FB">
        <w:rPr>
          <w:sz w:val="22"/>
          <w:szCs w:val="24"/>
          <w:lang w:val="sq-AL"/>
        </w:rPr>
        <w:t xml:space="preserve">, por relativisht </w:t>
      </w:r>
      <w:r w:rsidR="007C2EA9">
        <w:rPr>
          <w:sz w:val="22"/>
          <w:szCs w:val="24"/>
          <w:lang w:val="sq-AL"/>
        </w:rPr>
        <w:t>i</w:t>
      </w:r>
      <w:r w:rsidR="007C2EA9" w:rsidRPr="003A14FB">
        <w:rPr>
          <w:sz w:val="22"/>
          <w:szCs w:val="24"/>
          <w:lang w:val="sq-AL"/>
        </w:rPr>
        <w:t xml:space="preserve"> </w:t>
      </w:r>
      <w:r w:rsidR="00B17BB8" w:rsidRPr="003A14FB">
        <w:rPr>
          <w:sz w:val="22"/>
          <w:szCs w:val="24"/>
          <w:lang w:val="sq-AL"/>
        </w:rPr>
        <w:t>ulët</w:t>
      </w:r>
      <w:r w:rsidR="007C2EA9">
        <w:rPr>
          <w:sz w:val="22"/>
          <w:szCs w:val="24"/>
          <w:lang w:val="sq-AL"/>
        </w:rPr>
        <w:t>,</w:t>
      </w:r>
      <w:r w:rsidR="00B17BB8" w:rsidRPr="003A14FB">
        <w:rPr>
          <w:sz w:val="22"/>
          <w:szCs w:val="24"/>
          <w:lang w:val="sq-AL"/>
        </w:rPr>
        <w:t xml:space="preserve"> në krahasim me vendet me të ardhura të larta. Për Shqipërinë, </w:t>
      </w:r>
      <w:r w:rsidR="007C2EA9">
        <w:rPr>
          <w:sz w:val="22"/>
          <w:szCs w:val="24"/>
          <w:lang w:val="sq-AL"/>
        </w:rPr>
        <w:t xml:space="preserve">rënia e nivelit të </w:t>
      </w:r>
      <w:r>
        <w:rPr>
          <w:sz w:val="22"/>
          <w:szCs w:val="24"/>
          <w:lang w:val="sq-AL"/>
        </w:rPr>
        <w:t>barrës fiskale nga të ardhurat e punës,</w:t>
      </w:r>
      <w:r w:rsidR="007C2EA9">
        <w:rPr>
          <w:sz w:val="22"/>
          <w:szCs w:val="24"/>
          <w:lang w:val="sq-AL"/>
        </w:rPr>
        <w:t xml:space="preserve"> në rastin e</w:t>
      </w:r>
      <w:r w:rsidR="00B17BB8" w:rsidRPr="003A14FB">
        <w:rPr>
          <w:sz w:val="22"/>
          <w:szCs w:val="24"/>
          <w:lang w:val="sq-AL"/>
        </w:rPr>
        <w:t xml:space="preserve"> </w:t>
      </w:r>
      <w:r w:rsidR="00FD3ADD">
        <w:rPr>
          <w:sz w:val="22"/>
          <w:szCs w:val="24"/>
          <w:lang w:val="sq-AL"/>
        </w:rPr>
        <w:t>punëmarrësve</w:t>
      </w:r>
      <w:r w:rsidR="00B17BB8" w:rsidRPr="003A14FB">
        <w:rPr>
          <w:sz w:val="22"/>
          <w:szCs w:val="24"/>
          <w:lang w:val="sq-AL"/>
        </w:rPr>
        <w:t xml:space="preserve"> me të ardhura të ulëta </w:t>
      </w:r>
      <w:r w:rsidR="00FD3ADD">
        <w:rPr>
          <w:sz w:val="22"/>
          <w:szCs w:val="24"/>
          <w:lang w:val="sq-AL"/>
        </w:rPr>
        <w:t>ndodh</w:t>
      </w:r>
      <w:r w:rsidR="00B17BB8" w:rsidRPr="003A14FB">
        <w:rPr>
          <w:sz w:val="22"/>
          <w:szCs w:val="24"/>
          <w:lang w:val="sq-AL"/>
        </w:rPr>
        <w:t xml:space="preserve"> kryesisht për shkak të normës </w:t>
      </w:r>
      <w:r w:rsidR="007C2EA9">
        <w:rPr>
          <w:sz w:val="22"/>
          <w:szCs w:val="24"/>
          <w:lang w:val="sq-AL"/>
        </w:rPr>
        <w:t xml:space="preserve">së ulët të </w:t>
      </w:r>
      <w:r w:rsidR="00B17BB8" w:rsidRPr="003A14FB">
        <w:rPr>
          <w:sz w:val="22"/>
          <w:szCs w:val="24"/>
          <w:lang w:val="sq-AL"/>
        </w:rPr>
        <w:t xml:space="preserve">kontributeve </w:t>
      </w:r>
      <w:r w:rsidR="007C2EA9">
        <w:rPr>
          <w:sz w:val="22"/>
          <w:szCs w:val="24"/>
          <w:lang w:val="sq-AL"/>
        </w:rPr>
        <w:t>të</w:t>
      </w:r>
      <w:r w:rsidR="007C2EA9" w:rsidRPr="003A14FB">
        <w:rPr>
          <w:sz w:val="22"/>
          <w:szCs w:val="24"/>
          <w:lang w:val="sq-AL"/>
        </w:rPr>
        <w:t xml:space="preserve"> </w:t>
      </w:r>
      <w:r w:rsidR="00B17BB8" w:rsidRPr="003A14FB">
        <w:rPr>
          <w:sz w:val="22"/>
          <w:szCs w:val="24"/>
          <w:lang w:val="sq-AL"/>
        </w:rPr>
        <w:t xml:space="preserve">sigurimeve shoqërore. </w:t>
      </w:r>
    </w:p>
    <w:p w14:paraId="1D29CF2A" w14:textId="133F3445" w:rsidR="009B644A" w:rsidRPr="003A14FB" w:rsidRDefault="007C2EA9" w:rsidP="003A14FB">
      <w:pPr>
        <w:pStyle w:val="FootnoteText"/>
        <w:rPr>
          <w:sz w:val="22"/>
          <w:szCs w:val="24"/>
          <w:lang w:val="sq-AL"/>
        </w:rPr>
      </w:pPr>
      <w:r>
        <w:rPr>
          <w:sz w:val="22"/>
          <w:szCs w:val="24"/>
          <w:lang w:val="sq-AL"/>
        </w:rPr>
        <w:t>Ndaj</w:t>
      </w:r>
      <w:r w:rsidR="00056080" w:rsidRPr="003A14FB">
        <w:rPr>
          <w:sz w:val="22"/>
          <w:szCs w:val="24"/>
          <w:lang w:val="sq-AL"/>
        </w:rPr>
        <w:t xml:space="preserve">, </w:t>
      </w:r>
      <w:r>
        <w:rPr>
          <w:sz w:val="22"/>
          <w:szCs w:val="24"/>
          <w:lang w:val="sq-AL"/>
        </w:rPr>
        <w:t xml:space="preserve">për të kuptuar më qartë ndikimin dhe efektet, duhen kryer </w:t>
      </w:r>
      <w:r w:rsidR="00056080" w:rsidRPr="003A14FB">
        <w:rPr>
          <w:sz w:val="22"/>
          <w:szCs w:val="24"/>
          <w:lang w:val="sq-AL"/>
        </w:rPr>
        <w:t>analiza më të detajuara</w:t>
      </w:r>
      <w:r>
        <w:rPr>
          <w:sz w:val="22"/>
          <w:szCs w:val="24"/>
          <w:lang w:val="sq-AL"/>
        </w:rPr>
        <w:t xml:space="preserve">, si dhe </w:t>
      </w:r>
      <w:r w:rsidR="00056080" w:rsidRPr="003A14FB">
        <w:rPr>
          <w:sz w:val="22"/>
          <w:szCs w:val="24"/>
          <w:lang w:val="sq-AL"/>
        </w:rPr>
        <w:t xml:space="preserve">të analizohet ndikimi fiskal për të identifikuar </w:t>
      </w:r>
      <w:r>
        <w:rPr>
          <w:sz w:val="22"/>
          <w:szCs w:val="24"/>
          <w:lang w:val="sq-AL"/>
        </w:rPr>
        <w:t>alternativa</w:t>
      </w:r>
      <w:r w:rsidRPr="003A14FB">
        <w:rPr>
          <w:sz w:val="22"/>
          <w:szCs w:val="24"/>
          <w:lang w:val="sq-AL"/>
        </w:rPr>
        <w:t xml:space="preserve"> </w:t>
      </w:r>
      <w:r w:rsidR="00056080" w:rsidRPr="003A14FB">
        <w:rPr>
          <w:sz w:val="22"/>
          <w:szCs w:val="24"/>
          <w:lang w:val="sq-AL"/>
        </w:rPr>
        <w:t xml:space="preserve">të ndryshme politikash për të ulur </w:t>
      </w:r>
      <w:r>
        <w:rPr>
          <w:sz w:val="22"/>
          <w:szCs w:val="24"/>
          <w:lang w:val="sq-AL"/>
        </w:rPr>
        <w:t>ulur nivelin e taksimit të krahut të punës</w:t>
      </w:r>
      <w:r w:rsidR="00B17BB8" w:rsidRPr="003A14FB">
        <w:rPr>
          <w:sz w:val="22"/>
          <w:szCs w:val="24"/>
          <w:lang w:val="sq-AL"/>
        </w:rPr>
        <w:t xml:space="preserve">, veçanërisht normat e kontributeve për sigurimeve shoqërore për </w:t>
      </w:r>
      <w:r w:rsidR="003A14FB">
        <w:rPr>
          <w:sz w:val="22"/>
          <w:szCs w:val="24"/>
          <w:lang w:val="sq-AL"/>
        </w:rPr>
        <w:t>punonj</w:t>
      </w:r>
      <w:r w:rsidR="003A14FB" w:rsidRPr="003A14FB">
        <w:rPr>
          <w:sz w:val="22"/>
          <w:szCs w:val="24"/>
          <w:lang w:val="sq-AL"/>
        </w:rPr>
        <w:t>ë</w:t>
      </w:r>
      <w:r w:rsidR="003A14FB">
        <w:rPr>
          <w:sz w:val="22"/>
          <w:szCs w:val="24"/>
          <w:lang w:val="sq-AL"/>
        </w:rPr>
        <w:t>sit</w:t>
      </w:r>
      <w:r w:rsidR="00B17BB8" w:rsidRPr="003A14FB">
        <w:rPr>
          <w:sz w:val="22"/>
          <w:szCs w:val="24"/>
          <w:lang w:val="sq-AL"/>
        </w:rPr>
        <w:t xml:space="preserve"> me paga të ulëta.</w:t>
      </w:r>
      <w:r w:rsidR="009B644A" w:rsidRPr="003A14FB">
        <w:rPr>
          <w:sz w:val="22"/>
          <w:szCs w:val="24"/>
          <w:lang w:val="sq-AL"/>
        </w:rPr>
        <w:br w:type="page"/>
      </w:r>
    </w:p>
    <w:p w14:paraId="337D4883" w14:textId="11A88EC0" w:rsidR="006B559E" w:rsidRPr="00E35625" w:rsidRDefault="006B559E" w:rsidP="00E14B65">
      <w:pPr>
        <w:pStyle w:val="Heading1"/>
        <w:rPr>
          <w:lang w:val="sq-AL"/>
        </w:rPr>
      </w:pPr>
      <w:bookmarkStart w:id="43" w:name="_Toc123165416"/>
      <w:r w:rsidRPr="00E35625">
        <w:rPr>
          <w:lang w:val="sq-AL"/>
        </w:rPr>
        <w:lastRenderedPageBreak/>
        <w:t>Vizioni, Shtyllat ose Fushat Strategjike dhe Qëllimet e Politikave</w:t>
      </w:r>
      <w:bookmarkEnd w:id="41"/>
      <w:bookmarkEnd w:id="43"/>
    </w:p>
    <w:p w14:paraId="685394BE" w14:textId="77777777" w:rsidR="006B559E" w:rsidRPr="00E35625" w:rsidRDefault="006B559E" w:rsidP="00E14B65">
      <w:pPr>
        <w:pStyle w:val="Heading2"/>
        <w:numPr>
          <w:ilvl w:val="1"/>
          <w:numId w:val="4"/>
        </w:numPr>
        <w:rPr>
          <w:lang w:val="sq-AL"/>
        </w:rPr>
      </w:pPr>
      <w:bookmarkStart w:id="44" w:name="_Toc119598195"/>
      <w:bookmarkStart w:id="45" w:name="_Toc123165417"/>
      <w:r w:rsidRPr="00E35625">
        <w:rPr>
          <w:lang w:val="sq-AL"/>
        </w:rPr>
        <w:t>Vizioni</w:t>
      </w:r>
      <w:bookmarkEnd w:id="44"/>
      <w:bookmarkEnd w:id="45"/>
    </w:p>
    <w:p w14:paraId="697E1DFA" w14:textId="77777777" w:rsidR="006B559E" w:rsidRPr="009316CE" w:rsidRDefault="006B559E" w:rsidP="00E14B65">
      <w:pPr>
        <w:rPr>
          <w:i/>
          <w:lang w:val="sq-AL"/>
        </w:rPr>
      </w:pPr>
      <w:r w:rsidRPr="009316CE">
        <w:rPr>
          <w:i/>
          <w:lang w:val="sq-AL"/>
        </w:rPr>
        <w:t>Punësim cilësor dhe aftësim gjatë të gjithë jetës për të gjithë.</w:t>
      </w:r>
    </w:p>
    <w:p w14:paraId="265101AC" w14:textId="36705582" w:rsidR="006B559E" w:rsidRPr="00E35625" w:rsidRDefault="006B559E" w:rsidP="00E14B65">
      <w:pPr>
        <w:pStyle w:val="Heading2"/>
        <w:numPr>
          <w:ilvl w:val="1"/>
          <w:numId w:val="4"/>
        </w:numPr>
        <w:rPr>
          <w:lang w:val="sq-AL"/>
        </w:rPr>
      </w:pPr>
      <w:bookmarkStart w:id="46" w:name="_Toc119598196"/>
      <w:bookmarkStart w:id="47" w:name="_Toc123165418"/>
      <w:r w:rsidRPr="00E35625">
        <w:rPr>
          <w:lang w:val="sq-AL"/>
        </w:rPr>
        <w:t>Qëllimet e politikës</w:t>
      </w:r>
      <w:bookmarkEnd w:id="46"/>
      <w:bookmarkEnd w:id="47"/>
    </w:p>
    <w:p w14:paraId="0CB9F503" w14:textId="77777777" w:rsidR="006B559E" w:rsidRPr="00E35625" w:rsidRDefault="006B559E" w:rsidP="00E14B65">
      <w:pPr>
        <w:pStyle w:val="Heading3"/>
        <w:numPr>
          <w:ilvl w:val="2"/>
          <w:numId w:val="4"/>
        </w:numPr>
        <w:rPr>
          <w:lang w:val="sq-AL"/>
        </w:rPr>
      </w:pPr>
      <w:bookmarkStart w:id="48" w:name="_Toc123165419"/>
      <w:bookmarkStart w:id="49" w:name="_Toc119598197"/>
      <w:r w:rsidRPr="00E35625">
        <w:rPr>
          <w:lang w:val="sq-AL"/>
        </w:rPr>
        <w:t>Qëllimi i politikës 1: Zhvillimi i aftësive dhe lidhje më e mirë e kërkesës me ofertën në tregun e punës për më shumë punësim</w:t>
      </w:r>
      <w:bookmarkEnd w:id="48"/>
      <w:r w:rsidRPr="00E35625">
        <w:rPr>
          <w:lang w:val="sq-AL"/>
        </w:rPr>
        <w:t xml:space="preserve"> </w:t>
      </w:r>
      <w:bookmarkEnd w:id="49"/>
    </w:p>
    <w:p w14:paraId="54F9192E" w14:textId="67918073" w:rsidR="006B559E" w:rsidRPr="00E35625" w:rsidRDefault="005853FA" w:rsidP="00E14B65">
      <w:pPr>
        <w:rPr>
          <w:lang w:val="sq-AL"/>
        </w:rPr>
      </w:pPr>
      <w:r>
        <w:rPr>
          <w:u w:val="single"/>
          <w:lang w:val="sq-AL"/>
        </w:rPr>
        <w:t>Objektivi strategjik</w:t>
      </w:r>
      <w:r w:rsidR="006B559E" w:rsidRPr="00E35625">
        <w:rPr>
          <w:u w:val="single"/>
          <w:lang w:val="sq-AL"/>
        </w:rPr>
        <w:t xml:space="preserve"> 1.1:</w:t>
      </w:r>
      <w:r w:rsidR="006B559E" w:rsidRPr="00E35625">
        <w:rPr>
          <w:lang w:val="sq-AL"/>
        </w:rPr>
        <w:t xml:space="preserve"> Reduktimi i mospërputhjes së aftësive për të gjitha profesionet </w:t>
      </w:r>
    </w:p>
    <w:p w14:paraId="7347D02D" w14:textId="53F99AB6" w:rsidR="006B559E" w:rsidRPr="00E35625" w:rsidRDefault="005853FA" w:rsidP="00E14B65">
      <w:pPr>
        <w:rPr>
          <w:u w:val="single"/>
          <w:lang w:val="sq-AL"/>
        </w:rPr>
      </w:pPr>
      <w:r>
        <w:rPr>
          <w:u w:val="single"/>
          <w:lang w:val="sq-AL"/>
        </w:rPr>
        <w:t>Objektivi strategjik</w:t>
      </w:r>
      <w:r w:rsidR="006B559E" w:rsidRPr="00E35625">
        <w:rPr>
          <w:u w:val="single"/>
          <w:lang w:val="sq-AL"/>
        </w:rPr>
        <w:t xml:space="preserve"> 1.2: </w:t>
      </w:r>
      <w:r w:rsidR="006B559E" w:rsidRPr="00E35625">
        <w:rPr>
          <w:lang w:val="sq-AL"/>
        </w:rPr>
        <w:t>Rritja e nivelit të aftësive të grave dhe burrave në moshë pune</w:t>
      </w:r>
    </w:p>
    <w:p w14:paraId="250A3FB7" w14:textId="09D6CC7F" w:rsidR="006B559E" w:rsidRPr="00E35625" w:rsidRDefault="005853FA" w:rsidP="00E14B65">
      <w:pPr>
        <w:rPr>
          <w:lang w:val="sq-AL"/>
        </w:rPr>
      </w:pPr>
      <w:r>
        <w:rPr>
          <w:u w:val="single"/>
          <w:lang w:val="sq-AL"/>
        </w:rPr>
        <w:t>Objektivi strategjik</w:t>
      </w:r>
      <w:r w:rsidR="006B559E" w:rsidRPr="00E35625">
        <w:rPr>
          <w:u w:val="single"/>
          <w:lang w:val="sq-AL"/>
        </w:rPr>
        <w:t xml:space="preserve"> 1.3:</w:t>
      </w:r>
      <w:r w:rsidR="006B559E" w:rsidRPr="00E35625">
        <w:rPr>
          <w:lang w:val="sq-AL"/>
        </w:rPr>
        <w:t xml:space="preserve"> Funksionimi më i mirë i tregut të punës për të gjithë</w:t>
      </w:r>
    </w:p>
    <w:p w14:paraId="153B2294" w14:textId="77777777" w:rsidR="006B559E" w:rsidRPr="00E35625" w:rsidRDefault="006B559E" w:rsidP="00E14B65">
      <w:pPr>
        <w:rPr>
          <w:lang w:val="sq-AL"/>
        </w:rPr>
      </w:pPr>
      <w:r w:rsidRPr="00E35625">
        <w:rPr>
          <w:b/>
          <w:bCs/>
          <w:lang w:val="sq-AL"/>
        </w:rPr>
        <w:t>Masat prioritare</w:t>
      </w:r>
      <w:r w:rsidRPr="00E35625">
        <w:rPr>
          <w:rStyle w:val="apple-converted-space"/>
          <w:rFonts w:ascii="Calibri" w:hAnsi="Calibri" w:cs="Calibri"/>
          <w:lang w:val="sq-AL"/>
        </w:rPr>
        <w:t xml:space="preserve"> </w:t>
      </w:r>
      <w:r w:rsidRPr="00E35625">
        <w:rPr>
          <w:lang w:val="sq-AL"/>
        </w:rPr>
        <w:t>që do të kontribuojnë në arritjen e objektivave specifike/strategjike janë:</w:t>
      </w:r>
    </w:p>
    <w:p w14:paraId="18AA4C1A" w14:textId="32295C57" w:rsidR="006B559E" w:rsidRPr="00E35625" w:rsidRDefault="006B559E" w:rsidP="00E14B65">
      <w:pPr>
        <w:pStyle w:val="Heading4"/>
        <w:rPr>
          <w:lang w:val="sq-AL"/>
        </w:rPr>
      </w:pPr>
      <w:bookmarkStart w:id="50" w:name="_Toc119598198"/>
      <w:r w:rsidRPr="00E35625">
        <w:rPr>
          <w:lang w:val="sq-AL"/>
        </w:rPr>
        <w:t xml:space="preserve">1. Zhvillimi i ofertës së AFP-së më </w:t>
      </w:r>
      <w:r w:rsidR="009A73B3">
        <w:rPr>
          <w:lang w:val="sq-AL"/>
        </w:rPr>
        <w:t>relevant</w:t>
      </w:r>
      <w:r w:rsidRPr="00E35625">
        <w:rPr>
          <w:lang w:val="sq-AL"/>
        </w:rPr>
        <w:t xml:space="preserve">, </w:t>
      </w:r>
      <w:r w:rsidR="009A73B3">
        <w:rPr>
          <w:lang w:val="sq-AL"/>
        </w:rPr>
        <w:t>fleksibël</w:t>
      </w:r>
      <w:r w:rsidRPr="00E35625">
        <w:rPr>
          <w:lang w:val="sq-AL"/>
        </w:rPr>
        <w:t xml:space="preserve">, qeverisur bazuar në </w:t>
      </w:r>
      <w:r w:rsidR="00944C37">
        <w:rPr>
          <w:lang w:val="sq-AL"/>
        </w:rPr>
        <w:t>fakte</w:t>
      </w:r>
      <w:r w:rsidR="00944C37" w:rsidRPr="00E35625">
        <w:rPr>
          <w:lang w:val="sq-AL"/>
        </w:rPr>
        <w:t xml:space="preserve"> </w:t>
      </w:r>
      <w:r w:rsidR="00944C37">
        <w:rPr>
          <w:lang w:val="sq-AL"/>
        </w:rPr>
        <w:t>e</w:t>
      </w:r>
      <w:r w:rsidRPr="00E35625">
        <w:rPr>
          <w:lang w:val="sq-AL"/>
        </w:rPr>
        <w:t xml:space="preserve"> q</w:t>
      </w:r>
      <w:r w:rsidR="00944C37">
        <w:rPr>
          <w:lang w:val="sq-AL"/>
        </w:rPr>
        <w:t>ë</w:t>
      </w:r>
      <w:r w:rsidRPr="00E35625">
        <w:rPr>
          <w:lang w:val="sq-AL"/>
        </w:rPr>
        <w:t xml:space="preserve"> garanton viju</w:t>
      </w:r>
      <w:r w:rsidR="00944C37">
        <w:rPr>
          <w:lang w:val="sq-AL"/>
        </w:rPr>
        <w:t>e</w:t>
      </w:r>
      <w:r w:rsidRPr="00E35625">
        <w:rPr>
          <w:lang w:val="sq-AL"/>
        </w:rPr>
        <w:t>shmëri</w:t>
      </w:r>
      <w:bookmarkEnd w:id="50"/>
    </w:p>
    <w:p w14:paraId="58364E19" w14:textId="07D0E4C3" w:rsidR="006B559E" w:rsidRPr="00E35625" w:rsidRDefault="006B559E" w:rsidP="00E14B65">
      <w:pPr>
        <w:rPr>
          <w:lang w:val="sq-AL"/>
        </w:rPr>
      </w:pPr>
      <w:r w:rsidRPr="00E35625">
        <w:rPr>
          <w:lang w:val="sq-AL"/>
        </w:rPr>
        <w:t xml:space="preserve">Informacioni i </w:t>
      </w:r>
      <w:r w:rsidR="00944C37">
        <w:rPr>
          <w:lang w:val="sq-AL"/>
        </w:rPr>
        <w:t>nxjerrë</w:t>
      </w:r>
      <w:r w:rsidR="00944C37" w:rsidRPr="00E35625">
        <w:rPr>
          <w:lang w:val="sq-AL"/>
        </w:rPr>
        <w:t xml:space="preserve"> </w:t>
      </w:r>
      <w:r w:rsidRPr="00E35625">
        <w:rPr>
          <w:lang w:val="sq-AL"/>
        </w:rPr>
        <w:t xml:space="preserve">nga sistemi i inteligjencës së aftësive do të përdoret për përshtatjen dhe përditësimin e ofertës së AFP-së dhe zgjerimin e ofertës së AFP-së pas </w:t>
      </w:r>
      <w:r w:rsidRPr="009A73B3">
        <w:rPr>
          <w:lang w:val="sq-AL"/>
        </w:rPr>
        <w:t>të mesme</w:t>
      </w:r>
      <w:r w:rsidR="009A73B3" w:rsidRPr="009A73B3">
        <w:rPr>
          <w:lang w:val="sq-AL"/>
        </w:rPr>
        <w:t>s</w:t>
      </w:r>
      <w:r w:rsidRPr="00E35625">
        <w:rPr>
          <w:lang w:val="sq-AL"/>
        </w:rPr>
        <w:t>. K</w:t>
      </w:r>
      <w:r w:rsidR="00944C37">
        <w:rPr>
          <w:lang w:val="sq-AL"/>
        </w:rPr>
        <w:t>y proces</w:t>
      </w:r>
      <w:r w:rsidRPr="00E35625">
        <w:rPr>
          <w:lang w:val="sq-AL"/>
        </w:rPr>
        <w:t xml:space="preserve"> do të realizohet nëpërmjet një metodologjie që kombinon informacionin e tregut të punës dhe analizën e nevojave për aftësi me zhvillimin dhe zbatimin e Kornizës Shqiptare të Kualifikimeve. Në këtë kuadër do të vijojë zhvillimi dhe zbatimi i mëtejshëm i KSHK-së / Katalogut Kombëtar të Kualifikimeve Profesionale, nëpërmjet hartimit të kualifikimeve të reja profesionale apo përditësimit të atyre ekzistuese. </w:t>
      </w:r>
    </w:p>
    <w:p w14:paraId="365EE7F4" w14:textId="77777777" w:rsidR="006B559E" w:rsidRPr="00E35625" w:rsidRDefault="006B559E" w:rsidP="00E14B65">
      <w:pPr>
        <w:rPr>
          <w:lang w:val="sq-AL"/>
        </w:rPr>
      </w:pPr>
      <w:r w:rsidRPr="00E35625">
        <w:rPr>
          <w:lang w:val="sq-AL"/>
        </w:rPr>
        <w:t xml:space="preserve">Vëmendje e veçantë do t'i kushtohet integrimit të të nxënit nëpërmjet punës në të gjitha programet e AFP-së të të gjitha niveleve. </w:t>
      </w:r>
    </w:p>
    <w:p w14:paraId="71F5516E" w14:textId="306C5287" w:rsidR="006B559E" w:rsidRPr="00E35625" w:rsidRDefault="006B559E" w:rsidP="00E14B65">
      <w:pPr>
        <w:rPr>
          <w:b/>
          <w:bCs/>
          <w:lang w:val="sq-AL"/>
        </w:rPr>
      </w:pPr>
      <w:r w:rsidRPr="00E35625">
        <w:rPr>
          <w:lang w:val="sq-AL"/>
        </w:rPr>
        <w:t xml:space="preserve">Me qëllim </w:t>
      </w:r>
      <w:r w:rsidR="006B1536">
        <w:rPr>
          <w:lang w:val="sq-AL"/>
        </w:rPr>
        <w:t>rritjen</w:t>
      </w:r>
      <w:r w:rsidR="006B1536" w:rsidRPr="00E35625">
        <w:rPr>
          <w:lang w:val="sq-AL"/>
        </w:rPr>
        <w:t xml:space="preserve"> </w:t>
      </w:r>
      <w:r w:rsidRPr="00E35625">
        <w:rPr>
          <w:lang w:val="sq-AL"/>
        </w:rPr>
        <w:t xml:space="preserve">e </w:t>
      </w:r>
      <w:r w:rsidR="006B1536">
        <w:rPr>
          <w:lang w:val="sq-AL"/>
        </w:rPr>
        <w:t>interesit</w:t>
      </w:r>
      <w:r w:rsidR="006B1536" w:rsidRPr="00E35625">
        <w:rPr>
          <w:lang w:val="sq-AL"/>
        </w:rPr>
        <w:t xml:space="preserve"> </w:t>
      </w:r>
      <w:r w:rsidRPr="00E35625">
        <w:rPr>
          <w:lang w:val="sq-AL"/>
        </w:rPr>
        <w:t xml:space="preserve">dhe </w:t>
      </w:r>
      <w:r w:rsidR="00944C37">
        <w:rPr>
          <w:lang w:val="sq-AL"/>
        </w:rPr>
        <w:t>përshtatje</w:t>
      </w:r>
      <w:r w:rsidR="006B1536">
        <w:rPr>
          <w:lang w:val="sq-AL"/>
        </w:rPr>
        <w:t>n e</w:t>
      </w:r>
      <w:r w:rsidRPr="00E35625">
        <w:rPr>
          <w:lang w:val="sq-AL"/>
        </w:rPr>
        <w:t xml:space="preserve"> sistemit të AFP-së për të rinjtë dhe të rriturit, si pjesë e ekosistemit të të nxënit gjatë gjithë jetës, sistemi i AFP-së do të garantojë vijueshmëri në ofrimin e programeve të arsimit </w:t>
      </w:r>
      <w:r w:rsidR="006B1536" w:rsidRPr="00E35625">
        <w:rPr>
          <w:lang w:val="sq-AL"/>
        </w:rPr>
        <w:t xml:space="preserve">të mesëm </w:t>
      </w:r>
      <w:r w:rsidRPr="00E35625">
        <w:rPr>
          <w:lang w:val="sq-AL"/>
        </w:rPr>
        <w:t>profesional me kohë të pjesshme</w:t>
      </w:r>
      <w:r w:rsidR="009A73B3">
        <w:rPr>
          <w:lang w:val="sq-AL"/>
        </w:rPr>
        <w:t xml:space="preserve">, </w:t>
      </w:r>
      <w:r w:rsidRPr="00E35625">
        <w:rPr>
          <w:lang w:val="sq-AL"/>
        </w:rPr>
        <w:t>në forma hibride</w:t>
      </w:r>
      <w:r w:rsidR="009A73B3">
        <w:rPr>
          <w:lang w:val="sq-AL"/>
        </w:rPr>
        <w:t>, si</w:t>
      </w:r>
      <w:r w:rsidRPr="00E35625">
        <w:rPr>
          <w:lang w:val="sq-AL"/>
        </w:rPr>
        <w:t xml:space="preserve"> dhe</w:t>
      </w:r>
      <w:r w:rsidR="009A73B3">
        <w:rPr>
          <w:lang w:val="sq-AL"/>
        </w:rPr>
        <w:t xml:space="preserve"> në</w:t>
      </w:r>
      <w:r w:rsidRPr="00E35625">
        <w:rPr>
          <w:lang w:val="sq-AL"/>
        </w:rPr>
        <w:t xml:space="preserve"> ofrimin e programeve të AFP-së pas të mesme</w:t>
      </w:r>
      <w:r w:rsidR="009A73B3">
        <w:rPr>
          <w:lang w:val="sq-AL"/>
        </w:rPr>
        <w:t>s</w:t>
      </w:r>
      <w:r w:rsidRPr="00E35625">
        <w:rPr>
          <w:lang w:val="sq-AL"/>
        </w:rPr>
        <w:t>.</w:t>
      </w:r>
      <w:r w:rsidR="006B1536">
        <w:rPr>
          <w:lang w:val="sq-AL"/>
        </w:rPr>
        <w:t xml:space="preserve"> Në një periudhë afatmesme d</w:t>
      </w:r>
      <w:r w:rsidRPr="00E35625">
        <w:rPr>
          <w:rFonts w:ascii="Calibri" w:hAnsi="Calibri" w:cs="Calibri"/>
          <w:lang w:val="sq-AL"/>
        </w:rPr>
        <w:t xml:space="preserve">o të rishikohet </w:t>
      </w:r>
      <w:r w:rsidRPr="00E35625">
        <w:rPr>
          <w:lang w:val="sq-AL"/>
        </w:rPr>
        <w:t>o</w:t>
      </w:r>
      <w:r w:rsidRPr="00E35625">
        <w:rPr>
          <w:rFonts w:ascii="Calibri" w:hAnsi="Calibri" w:cs="Calibri"/>
          <w:lang w:val="sq-AL"/>
        </w:rPr>
        <w:t xml:space="preserve">ferta aktuale e AFP-së për t’u </w:t>
      </w:r>
      <w:r w:rsidR="00944C37">
        <w:rPr>
          <w:rFonts w:ascii="Calibri" w:hAnsi="Calibri" w:cs="Calibri"/>
          <w:lang w:val="sq-AL"/>
        </w:rPr>
        <w:t>përshtatur</w:t>
      </w:r>
      <w:r w:rsidRPr="00E35625">
        <w:rPr>
          <w:rFonts w:ascii="Calibri" w:hAnsi="Calibri" w:cs="Calibri"/>
          <w:lang w:val="sq-AL"/>
        </w:rPr>
        <w:t xml:space="preserve"> nga perspektiva e kohëzgjatjes, vendit, burimeve, formave të organizimit dhe zbatimit. Do të përdoren qasje të tilla</w:t>
      </w:r>
      <w:r w:rsidR="006B1536">
        <w:rPr>
          <w:rFonts w:ascii="Calibri" w:hAnsi="Calibri" w:cs="Calibri"/>
          <w:lang w:val="sq-AL"/>
        </w:rPr>
        <w:t>,</w:t>
      </w:r>
      <w:r w:rsidRPr="00E35625">
        <w:rPr>
          <w:rFonts w:ascii="Calibri" w:hAnsi="Calibri" w:cs="Calibri"/>
          <w:lang w:val="sq-AL"/>
        </w:rPr>
        <w:t xml:space="preserve"> që rrisin pjesëmarrjen e të rriturve në përputhje me nevojat e tyre.</w:t>
      </w:r>
    </w:p>
    <w:p w14:paraId="6B41E856" w14:textId="24E913B0" w:rsidR="006B559E" w:rsidRPr="00E35625" w:rsidRDefault="006B1536" w:rsidP="00E14B65">
      <w:pPr>
        <w:rPr>
          <w:lang w:val="sq-AL"/>
        </w:rPr>
      </w:pPr>
      <w:r>
        <w:rPr>
          <w:lang w:val="sq-AL"/>
        </w:rPr>
        <w:t>Në fazën e parë të zbatimit të strategjisë d</w:t>
      </w:r>
      <w:r w:rsidR="006B559E" w:rsidRPr="00E35625">
        <w:rPr>
          <w:lang w:val="sq-AL"/>
        </w:rPr>
        <w:t>o të përfundojë riorganizimi i ofruesve të AFP-së sipas planit të optimizimit të rrjetit të ofruesve publikë dhe në përputhje me zhvillimin e ekosistemit, si dhe do të ndërmerren veprime për rritjen e autonomisë së ofruesve publikë të AFP-së. Për këtë qëllim, do të rishiko</w:t>
      </w:r>
      <w:r w:rsidR="00944C37">
        <w:rPr>
          <w:lang w:val="sq-AL"/>
        </w:rPr>
        <w:t>het</w:t>
      </w:r>
      <w:r w:rsidR="006B559E" w:rsidRPr="00E35625">
        <w:rPr>
          <w:lang w:val="sq-AL"/>
        </w:rPr>
        <w:t xml:space="preserve"> metodologji</w:t>
      </w:r>
      <w:r w:rsidR="00944C37">
        <w:rPr>
          <w:lang w:val="sq-AL"/>
        </w:rPr>
        <w:t>a</w:t>
      </w:r>
      <w:r w:rsidR="006B559E" w:rsidRPr="00E35625">
        <w:rPr>
          <w:lang w:val="sq-AL"/>
        </w:rPr>
        <w:t xml:space="preserve"> e alokimit dhe disbursimit të buxhetit, me qëllim shpërndarjen </w:t>
      </w:r>
      <w:r w:rsidR="00944C37">
        <w:rPr>
          <w:lang w:val="sq-AL"/>
        </w:rPr>
        <w:t>optimale</w:t>
      </w:r>
      <w:r w:rsidR="00944C37" w:rsidRPr="00E35625">
        <w:rPr>
          <w:lang w:val="sq-AL"/>
        </w:rPr>
        <w:t xml:space="preserve"> </w:t>
      </w:r>
      <w:r w:rsidR="006B559E" w:rsidRPr="00E35625">
        <w:rPr>
          <w:lang w:val="sq-AL"/>
        </w:rPr>
        <w:t xml:space="preserve">të mekanizmave financiare për ofruesit publikë të AFP-së, por edhe për t’i nxitur </w:t>
      </w:r>
      <w:r w:rsidR="00944C37">
        <w:rPr>
          <w:lang w:val="sq-AL"/>
        </w:rPr>
        <w:t xml:space="preserve">ata </w:t>
      </w:r>
      <w:r w:rsidR="006B559E" w:rsidRPr="00E35625">
        <w:rPr>
          <w:lang w:val="sq-AL"/>
        </w:rPr>
        <w:t>të kërkojnë burime të tjera të gjenerimit të të ardhurave për të adresuar m</w:t>
      </w:r>
      <w:r w:rsidR="00944C37">
        <w:rPr>
          <w:lang w:val="sq-AL"/>
        </w:rPr>
        <w:t>angësitë</w:t>
      </w:r>
      <w:r w:rsidR="006B559E" w:rsidRPr="00E35625">
        <w:rPr>
          <w:lang w:val="sq-AL"/>
        </w:rPr>
        <w:t xml:space="preserve"> në infrastrukturë, teknologji moderne dhe metoda inovative të mësimdhënies e mësimnxënies.  </w:t>
      </w:r>
    </w:p>
    <w:p w14:paraId="5A7B235A" w14:textId="77777777" w:rsidR="006B559E" w:rsidRPr="00E35625" w:rsidRDefault="006B559E" w:rsidP="00E14B65">
      <w:pPr>
        <w:pStyle w:val="Heading4"/>
        <w:rPr>
          <w:lang w:val="sq-AL"/>
        </w:rPr>
      </w:pPr>
      <w:bookmarkStart w:id="51" w:name="_Toc119598199"/>
      <w:r w:rsidRPr="00E35625">
        <w:rPr>
          <w:lang w:val="sq-AL"/>
        </w:rPr>
        <w:t>2. Forcimi i mekanizmave të garantimit dhe zhvillimit të cilësisë në sistemin e AFP-së</w:t>
      </w:r>
      <w:bookmarkEnd w:id="51"/>
    </w:p>
    <w:p w14:paraId="41081421" w14:textId="29C0FEF8" w:rsidR="006B559E" w:rsidRPr="00E35625" w:rsidRDefault="006B559E" w:rsidP="00E14B65">
      <w:pPr>
        <w:rPr>
          <w:lang w:val="sq-AL"/>
        </w:rPr>
      </w:pPr>
      <w:r w:rsidRPr="00E35625">
        <w:rPr>
          <w:lang w:val="sq-AL"/>
        </w:rPr>
        <w:t xml:space="preserve">Rritja e rëndësisë dhe </w:t>
      </w:r>
      <w:r w:rsidR="006B1536">
        <w:rPr>
          <w:lang w:val="sq-AL"/>
        </w:rPr>
        <w:t>interesit për të ndjekur</w:t>
      </w:r>
      <w:r w:rsidR="00944C37" w:rsidRPr="00E35625">
        <w:rPr>
          <w:lang w:val="sq-AL"/>
        </w:rPr>
        <w:t xml:space="preserve"> </w:t>
      </w:r>
      <w:r w:rsidRPr="00E35625">
        <w:rPr>
          <w:lang w:val="sq-AL"/>
        </w:rPr>
        <w:t>AFP-</w:t>
      </w:r>
      <w:r w:rsidR="006B1536">
        <w:rPr>
          <w:lang w:val="sq-AL"/>
        </w:rPr>
        <w:t>n</w:t>
      </w:r>
      <w:r w:rsidR="006B1536" w:rsidRPr="00E35625">
        <w:rPr>
          <w:lang w:val="sq-AL"/>
        </w:rPr>
        <w:t xml:space="preserve">ë </w:t>
      </w:r>
      <w:r w:rsidR="00944C37">
        <w:rPr>
          <w:lang w:val="sq-AL"/>
        </w:rPr>
        <w:t>arrihen</w:t>
      </w:r>
      <w:r w:rsidR="00944C37" w:rsidRPr="00E35625">
        <w:rPr>
          <w:lang w:val="sq-AL"/>
        </w:rPr>
        <w:t xml:space="preserve"> </w:t>
      </w:r>
      <w:r w:rsidRPr="00E35625">
        <w:rPr>
          <w:lang w:val="sq-AL"/>
        </w:rPr>
        <w:t>nëpërmjet zbatimit dhe zhvillimit të mëtejshëm të kornizës dhe mekanizmave të garantimit të cilësisë, duke përfshirë (i) zhvillimin e kualifikimeve profesionale bazuar në metodologji që mbështeten tek rezultatet e të nxënit dhe në kontributin e sektorit privat; (ii) zbatimin e vetëvlerësimit si instrument plotësues dhe efektiv për identifikimin e fushave për përmirësim (përfshirë gatishmërinë institucionale për digjitalizim); (iii) zbatimin e plotë të procesit të akreditimit për të gjithë ofruesit publikë të AFP-së</w:t>
      </w:r>
      <w:r w:rsidR="006B1536">
        <w:rPr>
          <w:lang w:val="sq-AL"/>
        </w:rPr>
        <w:t xml:space="preserve">, </w:t>
      </w:r>
      <w:r w:rsidRPr="00E35625">
        <w:rPr>
          <w:lang w:val="sq-AL"/>
        </w:rPr>
        <w:t>akreditimin e ofruesve privat</w:t>
      </w:r>
      <w:r w:rsidR="006B1536">
        <w:rPr>
          <w:lang w:val="sq-AL"/>
        </w:rPr>
        <w:t>ë</w:t>
      </w:r>
      <w:r w:rsidRPr="00E35625">
        <w:rPr>
          <w:lang w:val="sq-AL"/>
        </w:rPr>
        <w:t xml:space="preserve">, që ofrojnë kualifikime profesionale të niveleve 2-5 të KSHK-së, si dhe akreditimin e </w:t>
      </w:r>
      <w:r w:rsidRPr="00E35625">
        <w:rPr>
          <w:lang w:val="sq-AL"/>
        </w:rPr>
        <w:lastRenderedPageBreak/>
        <w:t>qendrave të njohjes së të nxënit të mëparshëm joformal dhe informal; (iv) zhvillimin e qasjes dhe modelit të inspektimi</w:t>
      </w:r>
      <w:r w:rsidR="00944C37">
        <w:rPr>
          <w:lang w:val="sq-AL"/>
        </w:rPr>
        <w:t>t</w:t>
      </w:r>
      <w:r w:rsidRPr="00E35625">
        <w:rPr>
          <w:lang w:val="sq-AL"/>
        </w:rPr>
        <w:t>, përfshirë inspektimi</w:t>
      </w:r>
      <w:r w:rsidR="00944C37">
        <w:rPr>
          <w:lang w:val="sq-AL"/>
        </w:rPr>
        <w:t>n</w:t>
      </w:r>
      <w:r w:rsidRPr="00E35625">
        <w:rPr>
          <w:lang w:val="sq-AL"/>
        </w:rPr>
        <w:t xml:space="preserve"> në AFP si dhe (v) zbatimin e kornizës së monitorimit dhe vlerësimit të ofrues</w:t>
      </w:r>
      <w:r w:rsidR="00944C37">
        <w:rPr>
          <w:lang w:val="sq-AL"/>
        </w:rPr>
        <w:t>ë</w:t>
      </w:r>
      <w:r w:rsidRPr="00E35625">
        <w:rPr>
          <w:lang w:val="sq-AL"/>
        </w:rPr>
        <w:t xml:space="preserve">ve publikë të AFP-së. </w:t>
      </w:r>
    </w:p>
    <w:p w14:paraId="6DF9070F" w14:textId="237E8FF4" w:rsidR="006B559E" w:rsidRPr="00E35625" w:rsidRDefault="006B559E" w:rsidP="00E14B65">
      <w:pPr>
        <w:rPr>
          <w:lang w:val="sq-AL"/>
        </w:rPr>
      </w:pPr>
      <w:r w:rsidRPr="00E35625">
        <w:rPr>
          <w:lang w:val="sq-AL"/>
        </w:rPr>
        <w:t>Të gjith</w:t>
      </w:r>
      <w:r w:rsidR="00F4599C">
        <w:rPr>
          <w:lang w:val="sq-AL"/>
        </w:rPr>
        <w:t>a</w:t>
      </w:r>
      <w:r w:rsidRPr="00E35625">
        <w:rPr>
          <w:lang w:val="sq-AL"/>
        </w:rPr>
        <w:t xml:space="preserve"> </w:t>
      </w:r>
      <w:r w:rsidR="006B1536" w:rsidRPr="00E35625">
        <w:rPr>
          <w:lang w:val="sq-AL"/>
        </w:rPr>
        <w:t>element</w:t>
      </w:r>
      <w:r w:rsidR="00F4599C">
        <w:rPr>
          <w:lang w:val="sq-AL"/>
        </w:rPr>
        <w:t>e</w:t>
      </w:r>
      <w:r w:rsidR="006B1536" w:rsidRPr="00E35625">
        <w:rPr>
          <w:lang w:val="sq-AL"/>
        </w:rPr>
        <w:t xml:space="preserve">t </w:t>
      </w:r>
      <w:r w:rsidRPr="00E35625">
        <w:rPr>
          <w:lang w:val="sq-AL"/>
        </w:rPr>
        <w:t xml:space="preserve">dhe mekanizmat e zhvillimit dhe garantimit të cilësisë </w:t>
      </w:r>
      <w:r w:rsidR="00944C37">
        <w:rPr>
          <w:lang w:val="sq-AL"/>
        </w:rPr>
        <w:t xml:space="preserve">do </w:t>
      </w:r>
      <w:r w:rsidRPr="00E35625">
        <w:rPr>
          <w:lang w:val="sq-AL"/>
        </w:rPr>
        <w:t xml:space="preserve">të jenë të harmonizuara dhe </w:t>
      </w:r>
      <w:r w:rsidR="00944C37">
        <w:rPr>
          <w:lang w:val="sq-AL"/>
        </w:rPr>
        <w:t>do</w:t>
      </w:r>
      <w:r w:rsidR="00944C37" w:rsidRPr="00E35625">
        <w:rPr>
          <w:lang w:val="sq-AL"/>
        </w:rPr>
        <w:t xml:space="preserve"> </w:t>
      </w:r>
      <w:r w:rsidR="006B1536">
        <w:rPr>
          <w:lang w:val="sq-AL"/>
        </w:rPr>
        <w:t xml:space="preserve">të </w:t>
      </w:r>
      <w:r w:rsidRPr="00E35625">
        <w:rPr>
          <w:lang w:val="sq-AL"/>
        </w:rPr>
        <w:t>bazohen në të njëjtat parime e standarde. Kjo do të rrisë ndjeshëm cilësinë dhe rëndësinë e ofertës së AFP-së. Me qëllim rritje</w:t>
      </w:r>
      <w:r w:rsidR="00A87F54">
        <w:rPr>
          <w:lang w:val="sq-AL"/>
        </w:rPr>
        <w:t>n</w:t>
      </w:r>
      <w:r w:rsidRPr="00E35625">
        <w:rPr>
          <w:lang w:val="sq-AL"/>
        </w:rPr>
        <w:t xml:space="preserve"> </w:t>
      </w:r>
      <w:r w:rsidR="00A87F54">
        <w:rPr>
          <w:lang w:val="sq-AL"/>
        </w:rPr>
        <w:t>e</w:t>
      </w:r>
      <w:r w:rsidRPr="00E35625">
        <w:rPr>
          <w:lang w:val="sq-AL"/>
        </w:rPr>
        <w:t xml:space="preserve"> </w:t>
      </w:r>
      <w:r w:rsidR="00F4599C">
        <w:rPr>
          <w:lang w:val="sq-AL"/>
        </w:rPr>
        <w:t>interesit te të rinjtë dhe të rriturit</w:t>
      </w:r>
      <w:r w:rsidRPr="00E35625">
        <w:rPr>
          <w:lang w:val="sq-AL"/>
        </w:rPr>
        <w:t xml:space="preserve">, si pjesë e ekosistemit të të nxënit gjatë gjithë jetës, sistemi i AFP-së (fillestar dhe i vazhduar) do të ofrojë </w:t>
      </w:r>
      <w:r w:rsidR="00A87F54">
        <w:rPr>
          <w:lang w:val="sq-AL"/>
        </w:rPr>
        <w:t>përshtatshmëri</w:t>
      </w:r>
      <w:r w:rsidR="00A87F54" w:rsidRPr="00E35625">
        <w:rPr>
          <w:lang w:val="sq-AL"/>
        </w:rPr>
        <w:t xml:space="preserve"> </w:t>
      </w:r>
      <w:r w:rsidRPr="00E35625">
        <w:rPr>
          <w:lang w:val="sq-AL"/>
        </w:rPr>
        <w:t xml:space="preserve">dhe </w:t>
      </w:r>
      <w:r w:rsidR="00A87F54">
        <w:rPr>
          <w:lang w:val="sq-AL"/>
        </w:rPr>
        <w:t>sigur</w:t>
      </w:r>
      <w:r w:rsidRPr="00E35625">
        <w:rPr>
          <w:lang w:val="sq-AL"/>
        </w:rPr>
        <w:t xml:space="preserve">ojë vijueshmëri, nëpërmjet ofrimit të programeve të AFP-së në mjedise inovative të të nxënit (digjitale dhe të kombinuara) me infrastrukturë, pajisje dhe teknologji. </w:t>
      </w:r>
    </w:p>
    <w:p w14:paraId="0590B8D3" w14:textId="097404DE" w:rsidR="006B559E" w:rsidRPr="00E35625" w:rsidRDefault="00F4599C" w:rsidP="00E14B65">
      <w:pPr>
        <w:rPr>
          <w:lang w:val="sq-AL"/>
        </w:rPr>
      </w:pPr>
      <w:r>
        <w:rPr>
          <w:lang w:val="sq-AL"/>
        </w:rPr>
        <w:t>Do të zhvillohet e lëvrohet</w:t>
      </w:r>
      <w:r w:rsidR="006B559E" w:rsidRPr="00E35625">
        <w:rPr>
          <w:lang w:val="sq-AL"/>
        </w:rPr>
        <w:t xml:space="preserve"> sistem</w:t>
      </w:r>
      <w:r>
        <w:rPr>
          <w:lang w:val="sq-AL"/>
        </w:rPr>
        <w:t>i</w:t>
      </w:r>
      <w:r w:rsidR="006B559E" w:rsidRPr="00E35625">
        <w:rPr>
          <w:lang w:val="sq-AL"/>
        </w:rPr>
        <w:t xml:space="preserve"> për zhvillim</w:t>
      </w:r>
      <w:r>
        <w:rPr>
          <w:lang w:val="sq-AL"/>
        </w:rPr>
        <w:t>in</w:t>
      </w:r>
      <w:r w:rsidR="006B559E" w:rsidRPr="00E35625">
        <w:rPr>
          <w:lang w:val="sq-AL"/>
        </w:rPr>
        <w:t xml:space="preserve"> </w:t>
      </w:r>
      <w:r>
        <w:rPr>
          <w:lang w:val="sq-AL"/>
        </w:rPr>
        <w:t>e kapaciteteve të mësimdhënësve dhe njësive të zhvillimit,</w:t>
      </w:r>
      <w:r w:rsidRPr="00E35625">
        <w:rPr>
          <w:lang w:val="sq-AL"/>
        </w:rPr>
        <w:t xml:space="preserve"> </w:t>
      </w:r>
      <w:r w:rsidR="006B559E" w:rsidRPr="00E35625">
        <w:rPr>
          <w:lang w:val="sq-AL"/>
        </w:rPr>
        <w:t xml:space="preserve">me mekanizma të kualifikimit fillestar dhe zhvillimit të vazhduar profesional të mësimdhënësve, për të përmirësuar aftësitë teknike (profesionale) dhe digjitale, në shërbim të mësimdhënies cilësore. Këto sisteme do të shoqërohen me politika </w:t>
      </w:r>
      <w:r w:rsidR="00A87F54">
        <w:rPr>
          <w:lang w:val="sq-AL"/>
        </w:rPr>
        <w:t>mbështetëse</w:t>
      </w:r>
      <w:r w:rsidR="00A87F54" w:rsidRPr="00E35625">
        <w:rPr>
          <w:lang w:val="sq-AL"/>
        </w:rPr>
        <w:t xml:space="preserve"> </w:t>
      </w:r>
      <w:r w:rsidR="00A87F54">
        <w:rPr>
          <w:lang w:val="sq-AL"/>
        </w:rPr>
        <w:t xml:space="preserve">për </w:t>
      </w:r>
      <w:r w:rsidR="006B559E" w:rsidRPr="00E35625">
        <w:rPr>
          <w:lang w:val="sq-AL"/>
        </w:rPr>
        <w:t>rekrutim</w:t>
      </w:r>
      <w:r w:rsidR="00A87F54">
        <w:rPr>
          <w:lang w:val="sq-AL"/>
        </w:rPr>
        <w:t>in</w:t>
      </w:r>
      <w:r w:rsidR="006B559E" w:rsidRPr="00E35625">
        <w:rPr>
          <w:lang w:val="sq-AL"/>
        </w:rPr>
        <w:t xml:space="preserve"> </w:t>
      </w:r>
      <w:r w:rsidR="00A87F54">
        <w:rPr>
          <w:lang w:val="sq-AL"/>
        </w:rPr>
        <w:t>e</w:t>
      </w:r>
      <w:r w:rsidR="006B559E" w:rsidRPr="00E35625">
        <w:rPr>
          <w:lang w:val="sq-AL"/>
        </w:rPr>
        <w:t xml:space="preserve"> </w:t>
      </w:r>
      <w:r>
        <w:rPr>
          <w:lang w:val="sq-AL"/>
        </w:rPr>
        <w:t>personelit</w:t>
      </w:r>
      <w:r w:rsidRPr="00E35625">
        <w:rPr>
          <w:lang w:val="sq-AL"/>
        </w:rPr>
        <w:t xml:space="preserve"> </w:t>
      </w:r>
      <w:r w:rsidR="006B559E" w:rsidRPr="00E35625">
        <w:rPr>
          <w:lang w:val="sq-AL"/>
        </w:rPr>
        <w:t xml:space="preserve">mësimdhënës. Gjithashtu, do të zhvillohen mekanizma për ngritje kapacitetesh të stafeve drejtuese dhe mbështetëse </w:t>
      </w:r>
      <w:r w:rsidR="00A87F54">
        <w:rPr>
          <w:lang w:val="sq-AL"/>
        </w:rPr>
        <w:t>për</w:t>
      </w:r>
      <w:r w:rsidR="00A87F54" w:rsidRPr="00E35625">
        <w:rPr>
          <w:lang w:val="sq-AL"/>
        </w:rPr>
        <w:t xml:space="preserve"> </w:t>
      </w:r>
      <w:r w:rsidR="006B559E" w:rsidRPr="00E35625">
        <w:rPr>
          <w:lang w:val="sq-AL"/>
        </w:rPr>
        <w:t xml:space="preserve">ofruesit publik të AFP-së. </w:t>
      </w:r>
    </w:p>
    <w:p w14:paraId="1C0F1932" w14:textId="78B7D122" w:rsidR="006B559E" w:rsidRPr="00E35625" w:rsidRDefault="006B559E" w:rsidP="00E14B65">
      <w:pPr>
        <w:pStyle w:val="Heading4"/>
        <w:rPr>
          <w:lang w:val="sq-AL"/>
        </w:rPr>
      </w:pPr>
      <w:bookmarkStart w:id="52" w:name="_Toc119598200"/>
      <w:r w:rsidRPr="00E35625">
        <w:rPr>
          <w:lang w:val="sq-AL"/>
        </w:rPr>
        <w:t xml:space="preserve">3. Përfshirja në mënyrë sistemike dhe sistematike e sektorit privat në qeverisjen, </w:t>
      </w:r>
      <w:r w:rsidR="00347097">
        <w:rPr>
          <w:lang w:val="sq-AL"/>
        </w:rPr>
        <w:t>zhvillimin</w:t>
      </w:r>
      <w:r w:rsidR="00A87F54" w:rsidRPr="00E35625">
        <w:rPr>
          <w:lang w:val="sq-AL"/>
        </w:rPr>
        <w:t xml:space="preserve"> </w:t>
      </w:r>
      <w:r w:rsidRPr="00E35625">
        <w:rPr>
          <w:lang w:val="sq-AL"/>
        </w:rPr>
        <w:t>dhe ofrimin e AFP-së</w:t>
      </w:r>
      <w:bookmarkEnd w:id="52"/>
      <w:r w:rsidRPr="00E35625">
        <w:rPr>
          <w:lang w:val="sq-AL"/>
        </w:rPr>
        <w:t xml:space="preserve"> </w:t>
      </w:r>
    </w:p>
    <w:p w14:paraId="0A4662E4" w14:textId="43887209" w:rsidR="006B559E" w:rsidRPr="00E35625" w:rsidRDefault="006B559E" w:rsidP="00E14B65">
      <w:pPr>
        <w:rPr>
          <w:lang w:val="sq-AL"/>
        </w:rPr>
      </w:pPr>
      <w:r w:rsidRPr="00E35625">
        <w:rPr>
          <w:lang w:val="sq-AL"/>
        </w:rPr>
        <w:t>Angazhimi i sektorit privat është domosdoshmëri për sistem</w:t>
      </w:r>
      <w:r w:rsidR="00A87F54">
        <w:rPr>
          <w:lang w:val="sq-AL"/>
        </w:rPr>
        <w:t>in</w:t>
      </w:r>
      <w:r w:rsidRPr="00E35625">
        <w:rPr>
          <w:lang w:val="sq-AL"/>
        </w:rPr>
        <w:t xml:space="preserve"> </w:t>
      </w:r>
      <w:r w:rsidR="00A87F54">
        <w:rPr>
          <w:lang w:val="sq-AL"/>
        </w:rPr>
        <w:t>e</w:t>
      </w:r>
      <w:r w:rsidRPr="00E35625">
        <w:rPr>
          <w:lang w:val="sq-AL"/>
        </w:rPr>
        <w:t xml:space="preserve"> AFP-së, që </w:t>
      </w:r>
      <w:r w:rsidR="00A87F54">
        <w:rPr>
          <w:lang w:val="sq-AL"/>
        </w:rPr>
        <w:t>t’</w:t>
      </w:r>
      <w:r w:rsidR="003C15AF">
        <w:rPr>
          <w:lang w:val="sq-AL"/>
        </w:rPr>
        <w:t>u</w:t>
      </w:r>
      <w:r w:rsidR="00A87F54">
        <w:rPr>
          <w:lang w:val="sq-AL"/>
        </w:rPr>
        <w:t xml:space="preserve"> </w:t>
      </w:r>
      <w:r w:rsidRPr="00E35625">
        <w:rPr>
          <w:lang w:val="sq-AL"/>
        </w:rPr>
        <w:t xml:space="preserve">përgjigjet </w:t>
      </w:r>
      <w:r w:rsidR="00A87F54">
        <w:rPr>
          <w:lang w:val="sq-AL"/>
        </w:rPr>
        <w:t xml:space="preserve">si duhet </w:t>
      </w:r>
      <w:r w:rsidRPr="00E35625">
        <w:rPr>
          <w:lang w:val="sq-AL"/>
        </w:rPr>
        <w:t>nevojave të tregut të punës për aftësi. Angazhimi i sektorit privat do të shihet në disa nivele. Niveli i parë lidhet me përfshirjen e sektorit privat në ofrimin e AFP-së, ku prioritet do t’i jepet a) forcimit të rolit vendimmarrës të përfaqësuesve të sektorit privat në bordet drejtuese të ofrues</w:t>
      </w:r>
      <w:r w:rsidR="00A87F54">
        <w:rPr>
          <w:lang w:val="sq-AL"/>
        </w:rPr>
        <w:t>ë</w:t>
      </w:r>
      <w:r w:rsidRPr="00E35625">
        <w:rPr>
          <w:lang w:val="sq-AL"/>
        </w:rPr>
        <w:t xml:space="preserve">ve publikë të AFP-së; b)  formalizimit të strukturave të bashkëpunimit me bizneset për ofrimin e mësimit të bazuar në punë (praktikë në punë dhe/ose edukimi dual); c) krijimit të </w:t>
      </w:r>
      <w:r w:rsidR="00A87F54" w:rsidRPr="003C15AF">
        <w:rPr>
          <w:iCs/>
          <w:lang w:val="sq-AL"/>
        </w:rPr>
        <w:t>grupimeve</w:t>
      </w:r>
      <w:r w:rsidR="003C15AF">
        <w:rPr>
          <w:iCs/>
          <w:lang w:val="sq-AL"/>
        </w:rPr>
        <w:t xml:space="preserve"> </w:t>
      </w:r>
      <w:r w:rsidR="003C15AF" w:rsidRPr="003C15AF">
        <w:rPr>
          <w:i/>
          <w:lang w:val="sq-AL"/>
        </w:rPr>
        <w:t>(clusters)</w:t>
      </w:r>
      <w:r w:rsidR="00A87F54" w:rsidRPr="003C15AF">
        <w:rPr>
          <w:i/>
          <w:lang w:val="sq-AL"/>
        </w:rPr>
        <w:t xml:space="preserve"> </w:t>
      </w:r>
      <w:r w:rsidRPr="00E35625">
        <w:rPr>
          <w:lang w:val="sq-AL"/>
        </w:rPr>
        <w:t xml:space="preserve">të bashkëpunimit të ofruesve të AFP-së me biznese </w:t>
      </w:r>
      <w:r w:rsidR="00A87F54">
        <w:rPr>
          <w:lang w:val="sq-AL"/>
        </w:rPr>
        <w:t>pararojë</w:t>
      </w:r>
      <w:r w:rsidR="00A87F54" w:rsidRPr="00E35625">
        <w:rPr>
          <w:lang w:val="sq-AL"/>
        </w:rPr>
        <w:t xml:space="preserve"> </w:t>
      </w:r>
      <w:r w:rsidRPr="00E35625">
        <w:rPr>
          <w:lang w:val="sq-AL"/>
        </w:rPr>
        <w:t xml:space="preserve">në sektorë të caktuar të ekonomisë; d) ngritjen e kapaciteteve të bizneseve për zbatimin e mësimit të bazuar në punë; e) ekspozimin dhe trajnimin në vendin e punës të mësimdhënësve të sistemit të AFP-së si dhe f) forcimin e njësive të zhvillimit brenda ofruesit të AFP-së për të ngritur bashkëpunimin me bizneset. </w:t>
      </w:r>
    </w:p>
    <w:p w14:paraId="494C827E" w14:textId="45DE2115" w:rsidR="006B559E" w:rsidRPr="00E35625" w:rsidRDefault="006B559E" w:rsidP="00E14B65">
      <w:pPr>
        <w:rPr>
          <w:lang w:val="sq-AL"/>
        </w:rPr>
      </w:pPr>
      <w:r w:rsidRPr="00E35625">
        <w:rPr>
          <w:lang w:val="sq-AL"/>
        </w:rPr>
        <w:t xml:space="preserve">Niveli i dytë përfshin angazhimin e sektorit privat në zhvillimin e ofertës së AFP-së nëpërmjet a) Komiteteve të Aftësive Sektoriale, ku kontributi i bizneseve do të përdoret në përshtatjen e përmbajtjes së AFP-së dhe programeve të trajnimit duke përfshirë zhvillimin dhe </w:t>
      </w:r>
      <w:r w:rsidR="003C15AF">
        <w:rPr>
          <w:lang w:val="sq-AL"/>
        </w:rPr>
        <w:t>validimin</w:t>
      </w:r>
      <w:r w:rsidR="00A87F54" w:rsidRPr="00E35625">
        <w:rPr>
          <w:lang w:val="sq-AL"/>
        </w:rPr>
        <w:t xml:space="preserve"> </w:t>
      </w:r>
      <w:r w:rsidRPr="00E35625">
        <w:rPr>
          <w:lang w:val="sq-AL"/>
        </w:rPr>
        <w:t>e standardeve profesionale në sektorët prioritarë; b) krijimit të kanaleve të reja të komunikimit me sektorin privat në mbështetje të promovimit të sistemit të AFP-së dhe angazhimit të kompanive në zbatimin e praktikave profesionale. Në nivel makro do të aktivizohen komitetet dhe këshillat statutor</w:t>
      </w:r>
      <w:r w:rsidR="004F421F">
        <w:rPr>
          <w:lang w:val="sq-AL"/>
        </w:rPr>
        <w:t>ë</w:t>
      </w:r>
      <w:r w:rsidRPr="00E35625">
        <w:rPr>
          <w:lang w:val="sq-AL"/>
        </w:rPr>
        <w:t xml:space="preserve"> </w:t>
      </w:r>
      <w:r w:rsidR="004F421F" w:rsidRPr="00E35625">
        <w:rPr>
          <w:lang w:val="sq-AL"/>
        </w:rPr>
        <w:t>tr</w:t>
      </w:r>
      <w:r w:rsidR="004F421F">
        <w:rPr>
          <w:lang w:val="sq-AL"/>
        </w:rPr>
        <w:t>i</w:t>
      </w:r>
      <w:r w:rsidR="004F421F" w:rsidRPr="00E35625">
        <w:rPr>
          <w:lang w:val="sq-AL"/>
        </w:rPr>
        <w:t xml:space="preserve">palësh </w:t>
      </w:r>
      <w:r w:rsidRPr="00E35625">
        <w:rPr>
          <w:lang w:val="sq-AL"/>
        </w:rPr>
        <w:t>për të lehtësuar kontributin aktiv të komunitetit të biznesit dhe partnerëve socialë në reformën e AFP-së. Për të siguruar mundësi cilësore të të nxënit në vendin e punës për nx</w:t>
      </w:r>
      <w:r w:rsidR="00A87F54">
        <w:rPr>
          <w:lang w:val="sq-AL"/>
        </w:rPr>
        <w:t>ë</w:t>
      </w:r>
      <w:r w:rsidRPr="00E35625">
        <w:rPr>
          <w:lang w:val="sq-AL"/>
        </w:rPr>
        <w:t xml:space="preserve">nësit, do të harmonizohen e konsolidohen mekanizmat e sigurimit të cilësisë që përcaktojnë standardet minimale për të garantuar arritjen e rezultateve të të nxënit, së bashku me standardizimin e mekanizmave të zbatimit të të nxënit në vendin e punës, bazuar në përvojat e suksesshme fillestare nga të gjithë aktorët e përfshirë, sipas roleve dhe përgjegjësive të përcaktuara në legjislacionin për AFP-në. </w:t>
      </w:r>
    </w:p>
    <w:p w14:paraId="1737086C" w14:textId="75A8065B" w:rsidR="006B559E" w:rsidRPr="00E35625" w:rsidRDefault="006B559E" w:rsidP="00E14B65">
      <w:pPr>
        <w:rPr>
          <w:lang w:val="sq-AL"/>
        </w:rPr>
      </w:pPr>
      <w:r w:rsidRPr="00E35625">
        <w:rPr>
          <w:lang w:val="sq-AL"/>
        </w:rPr>
        <w:t xml:space="preserve">Për të arritur angazhimin e sektorit privat në nivele të ndryshme të AFP-së do të planifikohen e zbatohen fushata informimi e ndërgjegjësimi, instrumente </w:t>
      </w:r>
      <w:r w:rsidR="00A87F54">
        <w:rPr>
          <w:lang w:val="sq-AL"/>
        </w:rPr>
        <w:t>mbështetës</w:t>
      </w:r>
      <w:r w:rsidR="004F421F">
        <w:rPr>
          <w:lang w:val="sq-AL"/>
        </w:rPr>
        <w:t>e</w:t>
      </w:r>
      <w:r w:rsidR="00A87F54" w:rsidRPr="00E35625">
        <w:rPr>
          <w:lang w:val="sq-AL"/>
        </w:rPr>
        <w:t xml:space="preserve"> </w:t>
      </w:r>
      <w:r w:rsidRPr="00E35625">
        <w:rPr>
          <w:lang w:val="sq-AL"/>
        </w:rPr>
        <w:t>dhe motiv</w:t>
      </w:r>
      <w:r w:rsidR="00A87F54">
        <w:rPr>
          <w:lang w:val="sq-AL"/>
        </w:rPr>
        <w:t>ues</w:t>
      </w:r>
      <w:r w:rsidR="004F421F">
        <w:rPr>
          <w:lang w:val="sq-AL"/>
        </w:rPr>
        <w:t>e</w:t>
      </w:r>
      <w:r w:rsidRPr="00E35625">
        <w:rPr>
          <w:lang w:val="sq-AL"/>
        </w:rPr>
        <w:t>, si dhe aktivitete të zhvillimit të kapaciteteve të biznesit sipas roleve specifike që ai ka në lëvrimin e AFP-së.</w:t>
      </w:r>
    </w:p>
    <w:p w14:paraId="354AD93F" w14:textId="77777777" w:rsidR="006B559E" w:rsidRPr="00E35625" w:rsidRDefault="006B559E" w:rsidP="00E14B65">
      <w:pPr>
        <w:pStyle w:val="Heading4"/>
        <w:rPr>
          <w:lang w:val="sq-AL"/>
        </w:rPr>
      </w:pPr>
      <w:bookmarkStart w:id="53" w:name="_Toc119598201"/>
      <w:r w:rsidRPr="00E35625">
        <w:rPr>
          <w:lang w:val="sq-AL"/>
        </w:rPr>
        <w:lastRenderedPageBreak/>
        <w:t xml:space="preserve">4. Nxitja e mundësive gjithëpërfshirëse për të nxënit </w:t>
      </w:r>
      <w:bookmarkEnd w:id="53"/>
      <w:r w:rsidRPr="00E35625">
        <w:rPr>
          <w:lang w:val="sq-AL"/>
        </w:rPr>
        <w:t>gjatë gjithë jetës</w:t>
      </w:r>
    </w:p>
    <w:p w14:paraId="137D20B4" w14:textId="34A5369F" w:rsidR="006B559E" w:rsidRPr="00E35625" w:rsidRDefault="006B559E" w:rsidP="00E14B65">
      <w:pPr>
        <w:rPr>
          <w:lang w:val="sq-AL"/>
        </w:rPr>
      </w:pPr>
      <w:r w:rsidRPr="00E35625">
        <w:rPr>
          <w:lang w:val="sq-AL"/>
        </w:rPr>
        <w:t>Kjo masë prioritare do të synojë të përmirësojë ofrimin dhe përdorimin e mundësive të të nxënit gjatë gjithë jetës. Së pari, do të analizohet niveli i aftësive të të rriturve në Shqipëri për të zhvilluar e ofruar paketa të përshtatura sipas nevojës. Bazuar në këto analiza dhe prioritete të zhvillimit social dhe ekonomik do të reformohet oferta e të nxënit gjatë gjithë jetës, duke diversifikuar ofertën publike të formimit profesional dhe aftësive për jetën, duke mbështetur zhvillimin e ofertës private të të nxënit gjatë gjithë jetës, si dhe duke angazhuar sektorin privat si ofrues të zhvillimit të aftësive. Në bashkëpunim mes partnerëve publikë dhe privatë do të zhvillohen platforma e-learning të të nxënit të të rriturve. Në fokus të diversifikimit të ofertës së të nxënit për të rriturit dhe vajzat, me një p</w:t>
      </w:r>
      <w:r w:rsidR="00A87F54">
        <w:rPr>
          <w:lang w:val="sq-AL"/>
        </w:rPr>
        <w:t>e</w:t>
      </w:r>
      <w:r w:rsidRPr="00E35625">
        <w:rPr>
          <w:lang w:val="sq-AL"/>
        </w:rPr>
        <w:t>rspektivë me ndjeshmëri gjinore, do të jenë zhvillimi i aftësive për tranzicionin e dyfishtë (aftësitë e gjelbra dhe digjitale), si dhe rritja e aftësive në sektorët ekonomikë me vlerë të shtuar. Në këtë kontekst, vëmendje e veçantë do t’u kushtohet masave të rikualifikimit dhe ngritjes së aftësive të punonjësve duke bashk</w:t>
      </w:r>
      <w:r w:rsidR="00A87F54">
        <w:rPr>
          <w:lang w:val="sq-AL"/>
        </w:rPr>
        <w:t>ëpunuar</w:t>
      </w:r>
      <w:r w:rsidRPr="00E35625">
        <w:rPr>
          <w:lang w:val="sq-AL"/>
        </w:rPr>
        <w:t xml:space="preserve"> me </w:t>
      </w:r>
      <w:r w:rsidR="00A87F54">
        <w:rPr>
          <w:lang w:val="sq-AL"/>
        </w:rPr>
        <w:t>bizneset</w:t>
      </w:r>
      <w:r w:rsidRPr="00E35625">
        <w:rPr>
          <w:lang w:val="sq-AL"/>
        </w:rPr>
        <w:t xml:space="preserve">, siç parashikohet edhe në Strategjinë e Zhvillimit të Biznesit dhe Investimeve 2021-2027. </w:t>
      </w:r>
    </w:p>
    <w:p w14:paraId="425C5290" w14:textId="17B9A9BC" w:rsidR="006B559E" w:rsidRPr="00E35625" w:rsidRDefault="006B559E" w:rsidP="00E14B65">
      <w:pPr>
        <w:rPr>
          <w:lang w:val="sq-AL"/>
        </w:rPr>
      </w:pPr>
      <w:r w:rsidRPr="00E35625">
        <w:rPr>
          <w:lang w:val="sq-AL"/>
        </w:rPr>
        <w:t xml:space="preserve">Në vijim, me qëllim rritjen e pjesëmarrjes në këto oferta, fokusi </w:t>
      </w:r>
      <w:r w:rsidR="00A87F54">
        <w:rPr>
          <w:lang w:val="sq-AL"/>
        </w:rPr>
        <w:t xml:space="preserve">i punës </w:t>
      </w:r>
      <w:r w:rsidRPr="00E35625">
        <w:rPr>
          <w:lang w:val="sq-AL"/>
        </w:rPr>
        <w:t>do të jetë në promovimin e të nxënit gjatë gjithë jetës tek qytetarët, ngritjes së këshillimit të karrierës për të mbështetur kulturën e të nxënit gjatë gjithë jetës që në moshë të hershme</w:t>
      </w:r>
      <w:r w:rsidR="00A02C77">
        <w:rPr>
          <w:lang w:val="sq-AL"/>
        </w:rPr>
        <w:t>,</w:t>
      </w:r>
      <w:r w:rsidRPr="00E35625">
        <w:rPr>
          <w:lang w:val="sq-AL"/>
        </w:rPr>
        <w:t xml:space="preserve"> dhe rritjen e aksesit të të rriturve në trajnim, nëpërmjet zbatimit të qasjes së mikro-kredencialeve</w:t>
      </w:r>
      <w:r w:rsidRPr="00E35625">
        <w:rPr>
          <w:rStyle w:val="FootnoteReference"/>
          <w:rFonts w:ascii="Calibri" w:hAnsi="Calibri" w:cs="Calibri"/>
          <w:szCs w:val="22"/>
          <w:lang w:val="sq-AL"/>
        </w:rPr>
        <w:footnoteReference w:id="52"/>
      </w:r>
      <w:r w:rsidRPr="00E35625">
        <w:rPr>
          <w:lang w:val="sq-AL"/>
        </w:rPr>
        <w:t xml:space="preserve">, eksplorimit të qasjeve për financim siç janë llogaritë individuale të të nxënit, modularizimit dhe përfshirjes në KShK të kualifikimeve gjatë gjithë jetës, përfshirë edhe kurset e formimit profesional. </w:t>
      </w:r>
    </w:p>
    <w:p w14:paraId="6AD8287D" w14:textId="77777777" w:rsidR="006B559E" w:rsidRPr="00E35625" w:rsidRDefault="006B559E" w:rsidP="002F5E2C">
      <w:pPr>
        <w:pStyle w:val="Heading4"/>
        <w:rPr>
          <w:lang w:val="sq-AL"/>
        </w:rPr>
      </w:pPr>
      <w:r w:rsidRPr="00E35625">
        <w:rPr>
          <w:lang w:val="sq-AL"/>
        </w:rPr>
        <w:t>5. Njohja e të nxënit të mëparshëm joformal dhe informal</w:t>
      </w:r>
    </w:p>
    <w:p w14:paraId="01963CE0" w14:textId="25338EEA" w:rsidR="006B559E" w:rsidRPr="00E35625" w:rsidRDefault="006B559E" w:rsidP="002F5E2C">
      <w:pPr>
        <w:rPr>
          <w:lang w:val="sq-AL"/>
        </w:rPr>
      </w:pPr>
      <w:r w:rsidRPr="00E35625">
        <w:rPr>
          <w:lang w:val="sq-AL"/>
        </w:rPr>
        <w:t xml:space="preserve">Njohja e të nxënit të mëparshëm joformal dhe informal synon t’u japë japë vlerë njohurive, shprehive dhe kompetencave të individit, për të mundësuar punësim ose pjesëmarrje në procese të mëtejshme të </w:t>
      </w:r>
      <w:r w:rsidR="00A02C77" w:rsidRPr="00E35625">
        <w:rPr>
          <w:lang w:val="sq-AL"/>
        </w:rPr>
        <w:t xml:space="preserve">të </w:t>
      </w:r>
      <w:r w:rsidRPr="00E35625">
        <w:rPr>
          <w:lang w:val="sq-AL"/>
        </w:rPr>
        <w:t xml:space="preserve">nxëni. Bazuar në kornizën ligjore për arsimin dhe formimin profesional dhe Kornizën Shqiptare të Kualifikimeve, institucionet do të ngrenë sistemin e njohjes së të nxënit të mëparshëm joformal dhe informal. Plotësimi i kuadrit ligjor do të kryhet paralelisht dhe do t’i shërbejë </w:t>
      </w:r>
      <w:r w:rsidR="00A02C77">
        <w:rPr>
          <w:lang w:val="sq-AL"/>
        </w:rPr>
        <w:t>organizimit</w:t>
      </w:r>
      <w:r w:rsidR="00A02C77" w:rsidRPr="00E35625">
        <w:rPr>
          <w:lang w:val="sq-AL"/>
        </w:rPr>
        <w:t xml:space="preserve"> </w:t>
      </w:r>
      <w:r w:rsidRPr="00E35625">
        <w:rPr>
          <w:lang w:val="sq-AL"/>
        </w:rPr>
        <w:t xml:space="preserve">dhe zbatimit të të gjitha fazave të procesit të njohjes së të nxënit të mëparshëm: identifikimit, dokumentimit, vlerësimit dhe certifikimit të njohurive, shprehive dhe kompetencave (rezultateve të të nxënit). Njëkohësisht, do të mbështetet procesi i zbatimit nëpërmjet përcaktimit të modaliteteve të financimit, duke </w:t>
      </w:r>
      <w:r w:rsidR="00A02C77">
        <w:rPr>
          <w:lang w:val="sq-AL"/>
        </w:rPr>
        <w:t>konsideruar</w:t>
      </w:r>
      <w:r w:rsidR="00A02C77" w:rsidRPr="00E35625">
        <w:rPr>
          <w:lang w:val="sq-AL"/>
        </w:rPr>
        <w:t xml:space="preserve"> </w:t>
      </w:r>
      <w:r w:rsidR="00A02C77">
        <w:rPr>
          <w:lang w:val="sq-AL"/>
        </w:rPr>
        <w:t>mundësi</w:t>
      </w:r>
      <w:r w:rsidR="00A02C77" w:rsidRPr="00E35625">
        <w:rPr>
          <w:lang w:val="sq-AL"/>
        </w:rPr>
        <w:t xml:space="preserve"> </w:t>
      </w:r>
      <w:r w:rsidRPr="00E35625">
        <w:rPr>
          <w:lang w:val="sq-AL"/>
        </w:rPr>
        <w:t xml:space="preserve">për të nxitur ndërmarrjet private ose individët për të investuar, nëpërmjet </w:t>
      </w:r>
      <w:r w:rsidR="00A02C77">
        <w:rPr>
          <w:lang w:val="sq-AL"/>
        </w:rPr>
        <w:t>angazhimit</w:t>
      </w:r>
      <w:r w:rsidR="00A02C77" w:rsidRPr="00E35625">
        <w:rPr>
          <w:lang w:val="sq-AL"/>
        </w:rPr>
        <w:t xml:space="preserve"> </w:t>
      </w:r>
      <w:r w:rsidRPr="00E35625">
        <w:rPr>
          <w:lang w:val="sq-AL"/>
        </w:rPr>
        <w:t xml:space="preserve">të burimeve </w:t>
      </w:r>
      <w:r w:rsidR="00A02C77">
        <w:rPr>
          <w:lang w:val="sq-AL"/>
        </w:rPr>
        <w:t xml:space="preserve">të duhura </w:t>
      </w:r>
      <w:r w:rsidRPr="00E35625">
        <w:rPr>
          <w:lang w:val="sq-AL"/>
        </w:rPr>
        <w:t>njerëzore të, krijimit dhe ngritjes së kapaciteteve të profesionistëve, si dhe mbështetjen e individëve që do të marrin pjesë</w:t>
      </w:r>
      <w:r w:rsidR="004F421F">
        <w:rPr>
          <w:lang w:val="sq-AL"/>
        </w:rPr>
        <w:t xml:space="preserve"> në procesin e njohjes së të nxënit të mëparshëm</w:t>
      </w:r>
      <w:r w:rsidRPr="00E35625">
        <w:rPr>
          <w:lang w:val="sq-AL"/>
        </w:rPr>
        <w:t xml:space="preserve">. </w:t>
      </w:r>
    </w:p>
    <w:p w14:paraId="7BA9FB6B" w14:textId="0C70DA81" w:rsidR="006B559E" w:rsidRPr="00E35625" w:rsidRDefault="006B559E" w:rsidP="002F5E2C">
      <w:pPr>
        <w:rPr>
          <w:lang w:val="sq-AL"/>
        </w:rPr>
      </w:pPr>
      <w:r w:rsidRPr="00E35625">
        <w:rPr>
          <w:lang w:val="sq-AL"/>
        </w:rPr>
        <w:t xml:space="preserve">Ndërgjegjësimi dhe informimi për njohjen e të nxënit të mëparshëm joformal dhe informal do të jetë pjesë e promovimit të të nxënit gjatë gjithë jetës, që do të realizohet edhe nëpërmjet fushatave të </w:t>
      </w:r>
      <w:r w:rsidR="00A02C77">
        <w:rPr>
          <w:lang w:val="sq-AL"/>
        </w:rPr>
        <w:t xml:space="preserve">posaçme </w:t>
      </w:r>
      <w:r w:rsidRPr="00E35625">
        <w:rPr>
          <w:lang w:val="sq-AL"/>
        </w:rPr>
        <w:t xml:space="preserve">të komunikimit e informimit. </w:t>
      </w:r>
    </w:p>
    <w:p w14:paraId="431F31DB" w14:textId="724BEF58" w:rsidR="006B559E" w:rsidRPr="00E35625" w:rsidRDefault="006B559E" w:rsidP="002F5E2C">
      <w:pPr>
        <w:rPr>
          <w:lang w:val="sq-AL"/>
        </w:rPr>
      </w:pPr>
      <w:r w:rsidRPr="00E35625">
        <w:rPr>
          <w:lang w:val="sq-AL"/>
        </w:rPr>
        <w:t>Mekanizmat e garantimit dhe zhvillimit të cilësisë do të ndërtohen në bazë të kornizës së garantimit të cilësisë në AFP, duke pa</w:t>
      </w:r>
      <w:r w:rsidR="004F421F">
        <w:rPr>
          <w:lang w:val="sq-AL"/>
        </w:rPr>
        <w:t>s</w:t>
      </w:r>
      <w:r w:rsidRPr="00E35625">
        <w:rPr>
          <w:lang w:val="sq-AL"/>
        </w:rPr>
        <w:t>ur parasysh specifikën e procesit të njohjes së të nxënit të mëparshëm.</w:t>
      </w:r>
    </w:p>
    <w:p w14:paraId="1EC878D9" w14:textId="77777777" w:rsidR="006B559E" w:rsidRPr="00E35625" w:rsidRDefault="006B559E" w:rsidP="002F5E2C">
      <w:pPr>
        <w:pStyle w:val="Heading4"/>
        <w:rPr>
          <w:b/>
          <w:lang w:val="sq-AL"/>
        </w:rPr>
      </w:pPr>
      <w:bookmarkStart w:id="54" w:name="_Toc119598202"/>
      <w:r w:rsidRPr="00E35625">
        <w:rPr>
          <w:lang w:val="sq-AL"/>
        </w:rPr>
        <w:t>6. Transformimi digjital i shërbimeve të punësimit dhe i sistemit të AFP-së</w:t>
      </w:r>
      <w:bookmarkEnd w:id="54"/>
    </w:p>
    <w:p w14:paraId="0BD0F1F4" w14:textId="58390331" w:rsidR="006B559E" w:rsidRPr="00E35625" w:rsidRDefault="006B559E" w:rsidP="002F5E2C">
      <w:pPr>
        <w:rPr>
          <w:lang w:val="sq-AL"/>
        </w:rPr>
      </w:pPr>
      <w:r w:rsidRPr="00E35625">
        <w:rPr>
          <w:lang w:val="sq-AL"/>
        </w:rPr>
        <w:t xml:space="preserve">Kjo masë prioritare do të sigurojë që shërbimet digjitale për punësim dhe AFP janë të disponueshme dhe këto shërbime përdoren nga punëkërkuesit, punëdhënësit, nxënësit/kursantët e AFP-së dhe </w:t>
      </w:r>
      <w:r w:rsidRPr="00E35625">
        <w:rPr>
          <w:lang w:val="sq-AL"/>
        </w:rPr>
        <w:lastRenderedPageBreak/>
        <w:t>ofruesit e AFP-së. Për këtë</w:t>
      </w:r>
      <w:r w:rsidR="003654BE">
        <w:rPr>
          <w:lang w:val="sq-AL"/>
        </w:rPr>
        <w:t xml:space="preserve"> gjë</w:t>
      </w:r>
      <w:r w:rsidRPr="00E35625">
        <w:rPr>
          <w:lang w:val="sq-AL"/>
        </w:rPr>
        <w:t xml:space="preserve">, institucionet do të vijojnë përpjekjet për digjitalizimin e proceseve të brendshme, produkteve digjitale për klientët dhe ndërlidhjen e sistemeve, në linjë edhe me platformat Europiane, si EURES. </w:t>
      </w:r>
    </w:p>
    <w:p w14:paraId="69DEDE4D" w14:textId="23C882DC" w:rsidR="006B559E" w:rsidRPr="00E35625" w:rsidRDefault="006B559E" w:rsidP="002F5E2C">
      <w:pPr>
        <w:rPr>
          <w:lang w:val="sq-AL"/>
        </w:rPr>
      </w:pPr>
      <w:r w:rsidRPr="00E35625">
        <w:rPr>
          <w:lang w:val="sq-AL"/>
        </w:rPr>
        <w:t xml:space="preserve">Institucionet do të </w:t>
      </w:r>
      <w:r w:rsidR="003654BE">
        <w:rPr>
          <w:lang w:val="sq-AL"/>
        </w:rPr>
        <w:t>mbështesin</w:t>
      </w:r>
      <w:r w:rsidRPr="00E35625">
        <w:rPr>
          <w:lang w:val="sq-AL"/>
        </w:rPr>
        <w:t xml:space="preserve"> digjitalizimin e proceseve dhe shërbimeve të brendshme të punësimit dhe AFP-së si dhe avancimin e sistemeve të informacionit, sigur</w:t>
      </w:r>
      <w:r w:rsidR="003654BE">
        <w:rPr>
          <w:lang w:val="sq-AL"/>
        </w:rPr>
        <w:t>imin</w:t>
      </w:r>
      <w:r w:rsidRPr="00E35625">
        <w:rPr>
          <w:lang w:val="sq-AL"/>
        </w:rPr>
        <w:t xml:space="preserve"> </w:t>
      </w:r>
      <w:r w:rsidR="003654BE">
        <w:rPr>
          <w:lang w:val="sq-AL"/>
        </w:rPr>
        <w:t xml:space="preserve">e </w:t>
      </w:r>
      <w:r w:rsidRPr="00E35625">
        <w:rPr>
          <w:lang w:val="sq-AL"/>
        </w:rPr>
        <w:t>ndërlidhje</w:t>
      </w:r>
      <w:r w:rsidR="003654BE">
        <w:rPr>
          <w:lang w:val="sq-AL"/>
        </w:rPr>
        <w:t>s</w:t>
      </w:r>
      <w:r w:rsidRPr="00E35625">
        <w:rPr>
          <w:lang w:val="sq-AL"/>
        </w:rPr>
        <w:t xml:space="preserve"> me ofruesit e jashtëm të punësimit dhe AFP-së për të </w:t>
      </w:r>
      <w:r w:rsidR="003654BE">
        <w:rPr>
          <w:lang w:val="sq-AL"/>
        </w:rPr>
        <w:t>mundësuar</w:t>
      </w:r>
      <w:r w:rsidR="003654BE" w:rsidRPr="00E35625">
        <w:rPr>
          <w:lang w:val="sq-AL"/>
        </w:rPr>
        <w:t xml:space="preserve"> </w:t>
      </w:r>
      <w:r w:rsidRPr="00E35625">
        <w:rPr>
          <w:lang w:val="sq-AL"/>
        </w:rPr>
        <w:t>që shërbimet e tyre të integr</w:t>
      </w:r>
      <w:r w:rsidR="003654BE">
        <w:rPr>
          <w:lang w:val="sq-AL"/>
        </w:rPr>
        <w:t>ohen</w:t>
      </w:r>
      <w:r w:rsidRPr="00E35625">
        <w:rPr>
          <w:lang w:val="sq-AL"/>
        </w:rPr>
        <w:t xml:space="preserve"> në sistem. Kjo do të kërkojë edhe automatizimin e proceseve të punës në ofruesit publik</w:t>
      </w:r>
      <w:r w:rsidR="003654BE">
        <w:rPr>
          <w:lang w:val="sq-AL"/>
        </w:rPr>
        <w:t>ë</w:t>
      </w:r>
      <w:r w:rsidRPr="00E35625">
        <w:rPr>
          <w:lang w:val="sq-AL"/>
        </w:rPr>
        <w:t xml:space="preserve"> të shërbimeve të punësimit dhe AFP-së, si dhe proceseve të garantimit të cilësisë. </w:t>
      </w:r>
    </w:p>
    <w:p w14:paraId="260326D0" w14:textId="774B592A" w:rsidR="006B559E" w:rsidRPr="00E35625" w:rsidRDefault="006B559E" w:rsidP="002F5E2C">
      <w:pPr>
        <w:rPr>
          <w:lang w:val="sq-AL"/>
        </w:rPr>
      </w:pPr>
      <w:r w:rsidRPr="00E35625">
        <w:rPr>
          <w:lang w:val="sq-AL"/>
        </w:rPr>
        <w:t xml:space="preserve">Institucionet do të </w:t>
      </w:r>
      <w:r w:rsidR="003654BE">
        <w:rPr>
          <w:lang w:val="sq-AL"/>
        </w:rPr>
        <w:t>mbështesin zhvillimin e</w:t>
      </w:r>
      <w:r w:rsidRPr="00E35625">
        <w:rPr>
          <w:lang w:val="sq-AL"/>
        </w:rPr>
        <w:t xml:space="preserve"> një gam</w:t>
      </w:r>
      <w:r w:rsidR="003654BE">
        <w:rPr>
          <w:lang w:val="sq-AL"/>
        </w:rPr>
        <w:t>e</w:t>
      </w:r>
      <w:r w:rsidRPr="00E35625">
        <w:rPr>
          <w:lang w:val="sq-AL"/>
        </w:rPr>
        <w:t xml:space="preserve"> të gjerë produkte</w:t>
      </w:r>
      <w:r w:rsidR="004F421F">
        <w:rPr>
          <w:lang w:val="sq-AL"/>
        </w:rPr>
        <w:t>sh</w:t>
      </w:r>
      <w:r w:rsidRPr="00E35625">
        <w:rPr>
          <w:lang w:val="sq-AL"/>
        </w:rPr>
        <w:t xml:space="preserve"> digjitale për punëdhënësin dhe punëkërkuesin, si: regjistrimi dhe shpallja e vendeve të lira të interesit për punë ose praktikë në pune, përputhjet automatike për punësim dhe praktikë profesionale, gjurmimi i punësueshmërisë për shërbime punësimi dhe formimi, orientimi në karrierë, zhvillimi i aftësive të buta duke përfshirë aftësitë themelore digjitale, të cilat mund të aksesohen edhe përmes celularit. Institucionet do të zhvillojnë profile digjitale për punëkërkuesit (CV digjitale), të cilat do të ndihmojnë në optimizimin e modelit të ofrimit të shërbimeve të punësimit</w:t>
      </w:r>
      <w:r w:rsidR="00337660">
        <w:rPr>
          <w:lang w:val="sq-AL"/>
        </w:rPr>
        <w:t>.</w:t>
      </w:r>
    </w:p>
    <w:p w14:paraId="61F4B02F" w14:textId="270A1895" w:rsidR="006B559E" w:rsidRPr="00E35625" w:rsidRDefault="006B559E" w:rsidP="002F5E2C">
      <w:pPr>
        <w:rPr>
          <w:lang w:val="sq-AL"/>
        </w:rPr>
      </w:pPr>
      <w:r w:rsidRPr="00E35625">
        <w:rPr>
          <w:lang w:val="sq-AL"/>
        </w:rPr>
        <w:t xml:space="preserve">Paralelisht, institucionet do të zhvillojnë dhe administrojnë platforma interaktive online të AFP-së dhe do të ofrojnë mbështetje të targetuar të ofruesve të AFP-së për të përmirësuar dhe përforcuar lëvrimin e ofertës së tyre arsimore apo trajnuese në </w:t>
      </w:r>
      <w:r w:rsidR="004F421F">
        <w:rPr>
          <w:lang w:val="sq-AL"/>
        </w:rPr>
        <w:t>mësimdhënien</w:t>
      </w:r>
      <w:r w:rsidR="004F421F" w:rsidRPr="00E35625">
        <w:rPr>
          <w:lang w:val="sq-AL"/>
        </w:rPr>
        <w:t xml:space="preserve"> </w:t>
      </w:r>
      <w:r w:rsidRPr="00E35625">
        <w:rPr>
          <w:lang w:val="sq-AL"/>
        </w:rPr>
        <w:t xml:space="preserve">e </w:t>
      </w:r>
      <w:r w:rsidR="004F421F">
        <w:rPr>
          <w:lang w:val="sq-AL"/>
        </w:rPr>
        <w:t>kombinuar</w:t>
      </w:r>
      <w:r w:rsidRPr="00E35625">
        <w:rPr>
          <w:lang w:val="sq-AL"/>
        </w:rPr>
        <w:t>, mësimin online, e-praktika. K</w:t>
      </w:r>
      <w:r w:rsidR="003654BE">
        <w:rPr>
          <w:lang w:val="sq-AL"/>
        </w:rPr>
        <w:t>ë</w:t>
      </w:r>
      <w:r w:rsidRPr="00E35625">
        <w:rPr>
          <w:lang w:val="sq-AL"/>
        </w:rPr>
        <w:t xml:space="preserve">to produkte digjitale do të vlerësohen dhe do të zgjerohen gradualisht për përdorim nga të gjithë ofruesit deri në vitin 2030. </w:t>
      </w:r>
    </w:p>
    <w:p w14:paraId="0317E4E1" w14:textId="7FD29908" w:rsidR="006B559E" w:rsidRPr="00E35625" w:rsidRDefault="006B559E" w:rsidP="002F5E2C">
      <w:pPr>
        <w:rPr>
          <w:lang w:val="sq-AL"/>
        </w:rPr>
      </w:pPr>
      <w:r w:rsidRPr="00E35625">
        <w:rPr>
          <w:lang w:val="sq-AL"/>
        </w:rPr>
        <w:t xml:space="preserve">Për këtë qëllim, </w:t>
      </w:r>
      <w:r w:rsidR="00D46D9C">
        <w:rPr>
          <w:lang w:val="sq-AL"/>
        </w:rPr>
        <w:t>ofruesit e AFP-së</w:t>
      </w:r>
      <w:r w:rsidR="00D46D9C" w:rsidRPr="00E35625">
        <w:rPr>
          <w:lang w:val="sq-AL"/>
        </w:rPr>
        <w:t xml:space="preserve"> </w:t>
      </w:r>
      <w:r w:rsidRPr="00E35625">
        <w:rPr>
          <w:lang w:val="sq-AL"/>
        </w:rPr>
        <w:t>profesionale do të mbështeten</w:t>
      </w:r>
      <w:r w:rsidR="00D46D9C">
        <w:rPr>
          <w:lang w:val="sq-AL"/>
        </w:rPr>
        <w:t xml:space="preserve"> me infrastrutkurën e duhur dhe </w:t>
      </w:r>
      <w:r w:rsidRPr="00E35625">
        <w:rPr>
          <w:lang w:val="sq-AL"/>
        </w:rPr>
        <w:t xml:space="preserve"> </w:t>
      </w:r>
      <w:r w:rsidR="00D46D9C">
        <w:rPr>
          <w:lang w:val="sq-AL"/>
        </w:rPr>
        <w:t xml:space="preserve"> aftësitë e nevojshme didaktike për mësimdhënien e kombinuar dhe zhvillimin e materialeve mësimore digjitale. </w:t>
      </w:r>
    </w:p>
    <w:p w14:paraId="46B42B22" w14:textId="233B4A01" w:rsidR="006B559E" w:rsidRPr="00E35625" w:rsidRDefault="006B559E" w:rsidP="002F5E2C">
      <w:pPr>
        <w:pStyle w:val="Heading4"/>
        <w:rPr>
          <w:lang w:val="sq-AL"/>
        </w:rPr>
      </w:pPr>
      <w:bookmarkStart w:id="55" w:name="_Toc119598203"/>
      <w:r w:rsidRPr="00E35625">
        <w:rPr>
          <w:lang w:val="sq-AL"/>
        </w:rPr>
        <w:t xml:space="preserve">7. Krijimi i sistemit i inteligjencës së aftësive që </w:t>
      </w:r>
      <w:r w:rsidR="000D270A">
        <w:rPr>
          <w:lang w:val="sq-AL"/>
        </w:rPr>
        <w:t>prodhon informacion</w:t>
      </w:r>
      <w:r w:rsidRPr="00E35625">
        <w:rPr>
          <w:lang w:val="sq-AL"/>
        </w:rPr>
        <w:t xml:space="preserve"> mbi zhvillimet e tregut të punës dhe të AFP-së</w:t>
      </w:r>
      <w:bookmarkEnd w:id="55"/>
      <w:r w:rsidRPr="00E35625">
        <w:rPr>
          <w:lang w:val="sq-AL"/>
        </w:rPr>
        <w:t xml:space="preserve"> </w:t>
      </w:r>
    </w:p>
    <w:p w14:paraId="08E79551" w14:textId="0D348E67" w:rsidR="006B559E" w:rsidRPr="00E35625" w:rsidRDefault="006B559E" w:rsidP="002F5E2C">
      <w:pPr>
        <w:rPr>
          <w:lang w:val="sq-AL"/>
        </w:rPr>
      </w:pPr>
      <w:r w:rsidRPr="00E35625">
        <w:rPr>
          <w:bCs/>
          <w:iCs/>
          <w:lang w:val="sq-AL"/>
        </w:rPr>
        <w:t>Kjo masë prioritare</w:t>
      </w:r>
      <w:r w:rsidRPr="00E35625">
        <w:rPr>
          <w:bCs/>
          <w:i/>
          <w:iCs/>
          <w:lang w:val="sq-AL"/>
        </w:rPr>
        <w:t xml:space="preserve"> </w:t>
      </w:r>
      <w:r w:rsidRPr="00E35625">
        <w:rPr>
          <w:lang w:val="sq-AL"/>
        </w:rPr>
        <w:t xml:space="preserve">përfshin krijimin dhe zhvillimin gradual të sistemit të inteligjencës së aftësive, nëpërmjet zhvillimit dhe zbatimit të një sistemi të brendshëm të quajtur </w:t>
      </w:r>
      <w:r w:rsidRPr="00E35625">
        <w:rPr>
          <w:bCs/>
          <w:lang w:val="sq-AL"/>
        </w:rPr>
        <w:t>Observatori i Informacionit të Tregut të Punës (OITP</w:t>
      </w:r>
      <w:r w:rsidRPr="00E35625">
        <w:rPr>
          <w:lang w:val="sq-AL"/>
        </w:rPr>
        <w:t xml:space="preserve">). OITP do të mbledhë dhe analizojë informacione nga të dhëna administrative, të dhëna nga kërkesa dhe oferta të tregut të punës dhe të dhëna ekonomike nga INSTAT, DPT, AKPA, institucione të tjera dhe agjenci private punësimi, nëpërmjet analizave sektoriale për aftësi sipas kërkesave të Komiteteve Sektoriale të Aftësive, analizave kombëtare e rajonale të nevojave për aftësi, analiza të </w:t>
      </w:r>
      <w:r w:rsidR="000D270A">
        <w:rPr>
          <w:lang w:val="sq-AL"/>
        </w:rPr>
        <w:t>efekteve</w:t>
      </w:r>
      <w:r w:rsidR="000D270A" w:rsidRPr="00E35625">
        <w:rPr>
          <w:lang w:val="sq-AL"/>
        </w:rPr>
        <w:t xml:space="preserve"> </w:t>
      </w:r>
      <w:r w:rsidRPr="00E35625">
        <w:rPr>
          <w:lang w:val="sq-AL"/>
        </w:rPr>
        <w:t xml:space="preserve">në punësim dhe aftësi të investimeve strategjike, si dhe nëpërmjet </w:t>
      </w:r>
      <w:r w:rsidR="000D270A">
        <w:rPr>
          <w:lang w:val="sq-AL"/>
        </w:rPr>
        <w:t>organizimit</w:t>
      </w:r>
      <w:r w:rsidRPr="00E35625">
        <w:rPr>
          <w:lang w:val="sq-AL"/>
        </w:rPr>
        <w:t xml:space="preserve">, zhvillimit dhe zbatimit të një </w:t>
      </w:r>
      <w:r w:rsidR="000D270A">
        <w:rPr>
          <w:lang w:val="sq-AL"/>
        </w:rPr>
        <w:t>mekanizmi</w:t>
      </w:r>
      <w:r w:rsidR="000D270A" w:rsidRPr="00E35625">
        <w:rPr>
          <w:lang w:val="sq-AL"/>
        </w:rPr>
        <w:t xml:space="preserve"> </w:t>
      </w:r>
      <w:r w:rsidRPr="00E35625">
        <w:rPr>
          <w:lang w:val="sq-AL"/>
        </w:rPr>
        <w:t xml:space="preserve">për parashikimin e </w:t>
      </w:r>
      <w:r w:rsidR="000D270A">
        <w:rPr>
          <w:lang w:val="sq-AL"/>
        </w:rPr>
        <w:t xml:space="preserve">nevojave për </w:t>
      </w:r>
      <w:r w:rsidRPr="00E35625">
        <w:rPr>
          <w:lang w:val="sq-AL"/>
        </w:rPr>
        <w:t xml:space="preserve">aftësi. </w:t>
      </w:r>
    </w:p>
    <w:p w14:paraId="3758065D" w14:textId="3C28181F" w:rsidR="006B559E" w:rsidRPr="00E35625" w:rsidRDefault="006B559E" w:rsidP="002F5E2C">
      <w:pPr>
        <w:rPr>
          <w:lang w:val="sq-AL"/>
        </w:rPr>
      </w:pPr>
      <w:r w:rsidRPr="00E35625">
        <w:rPr>
          <w:lang w:val="sq-AL"/>
        </w:rPr>
        <w:t xml:space="preserve">OITP </w:t>
      </w:r>
      <w:r w:rsidR="000D270A">
        <w:rPr>
          <w:lang w:val="sq-AL"/>
        </w:rPr>
        <w:t>do</w:t>
      </w:r>
      <w:r w:rsidR="000D270A" w:rsidRPr="00E35625">
        <w:rPr>
          <w:lang w:val="sq-AL"/>
        </w:rPr>
        <w:t xml:space="preserve"> </w:t>
      </w:r>
      <w:r w:rsidRPr="00E35625">
        <w:rPr>
          <w:lang w:val="sq-AL"/>
        </w:rPr>
        <w:t>të gjenerojë informacion mbi aftësitë (teknike dhe të buta) që kërk</w:t>
      </w:r>
      <w:r w:rsidR="000D270A">
        <w:rPr>
          <w:lang w:val="sq-AL"/>
        </w:rPr>
        <w:t>ohen në treg</w:t>
      </w:r>
      <w:r w:rsidRPr="00E35625">
        <w:rPr>
          <w:lang w:val="sq-AL"/>
        </w:rPr>
        <w:t xml:space="preserve"> dhe aftësitë që mung</w:t>
      </w:r>
      <w:r w:rsidR="000D270A">
        <w:rPr>
          <w:lang w:val="sq-AL"/>
        </w:rPr>
        <w:t>ojnë në të</w:t>
      </w:r>
      <w:r w:rsidRPr="00E35625">
        <w:rPr>
          <w:lang w:val="sq-AL"/>
        </w:rPr>
        <w:t xml:space="preserve">, por edhe aftësitë që do të kërkohen në të ardhmen e afërt për profesione të ndryshme </w:t>
      </w:r>
      <w:r w:rsidR="000D270A">
        <w:rPr>
          <w:lang w:val="sq-AL"/>
        </w:rPr>
        <w:t>duke mbështetur</w:t>
      </w:r>
      <w:r w:rsidR="000D270A" w:rsidRPr="00E35625">
        <w:rPr>
          <w:lang w:val="sq-AL"/>
        </w:rPr>
        <w:t xml:space="preserve"> </w:t>
      </w:r>
      <w:r w:rsidRPr="00E35625">
        <w:rPr>
          <w:lang w:val="sq-AL"/>
        </w:rPr>
        <w:t>nevoja</w:t>
      </w:r>
      <w:r w:rsidR="000D270A">
        <w:rPr>
          <w:lang w:val="sq-AL"/>
        </w:rPr>
        <w:t>t</w:t>
      </w:r>
      <w:r w:rsidRPr="00E35625">
        <w:rPr>
          <w:lang w:val="sq-AL"/>
        </w:rPr>
        <w:t xml:space="preserve"> </w:t>
      </w:r>
      <w:r w:rsidR="000D270A">
        <w:rPr>
          <w:lang w:val="sq-AL"/>
        </w:rPr>
        <w:t>e</w:t>
      </w:r>
      <w:r w:rsidRPr="00E35625">
        <w:rPr>
          <w:lang w:val="sq-AL"/>
        </w:rPr>
        <w:t xml:space="preserve"> këshillimit në kar</w:t>
      </w:r>
      <w:r w:rsidR="000D270A">
        <w:rPr>
          <w:lang w:val="sq-AL"/>
        </w:rPr>
        <w:t>r</w:t>
      </w:r>
      <w:r w:rsidRPr="00E35625">
        <w:rPr>
          <w:lang w:val="sq-AL"/>
        </w:rPr>
        <w:t xml:space="preserve">ierë. </w:t>
      </w:r>
    </w:p>
    <w:p w14:paraId="46F8F1A1" w14:textId="50A7488A" w:rsidR="006B559E" w:rsidRPr="00E35625" w:rsidRDefault="006B559E" w:rsidP="002F5E2C">
      <w:pPr>
        <w:rPr>
          <w:lang w:val="sq-AL"/>
        </w:rPr>
      </w:pPr>
      <w:r w:rsidRPr="00E35625">
        <w:rPr>
          <w:lang w:val="sq-AL"/>
        </w:rPr>
        <w:t>OITP do të ofrojë informacion për profesione</w:t>
      </w:r>
      <w:r w:rsidR="000D270A">
        <w:rPr>
          <w:lang w:val="sq-AL"/>
        </w:rPr>
        <w:t>t</w:t>
      </w:r>
      <w:r w:rsidRPr="00E35625">
        <w:rPr>
          <w:lang w:val="sq-AL"/>
        </w:rPr>
        <w:t xml:space="preserve"> </w:t>
      </w:r>
      <w:r w:rsidR="000D270A">
        <w:rPr>
          <w:lang w:val="sq-AL"/>
        </w:rPr>
        <w:t>e</w:t>
      </w:r>
      <w:r w:rsidRPr="00E35625">
        <w:rPr>
          <w:lang w:val="sq-AL"/>
        </w:rPr>
        <w:t xml:space="preserve"> kërk</w:t>
      </w:r>
      <w:r w:rsidR="000D270A">
        <w:rPr>
          <w:lang w:val="sq-AL"/>
        </w:rPr>
        <w:t>uara</w:t>
      </w:r>
      <w:r w:rsidRPr="00E35625">
        <w:rPr>
          <w:lang w:val="sq-AL"/>
        </w:rPr>
        <w:t xml:space="preserve"> si dhe të </w:t>
      </w:r>
      <w:r w:rsidR="000D270A">
        <w:rPr>
          <w:lang w:val="sq-AL"/>
        </w:rPr>
        <w:t>japë</w:t>
      </w:r>
      <w:r w:rsidR="000D270A" w:rsidRPr="00E35625">
        <w:rPr>
          <w:lang w:val="sq-AL"/>
        </w:rPr>
        <w:t xml:space="preserve"> </w:t>
      </w:r>
      <w:r w:rsidR="000D270A">
        <w:rPr>
          <w:lang w:val="sq-AL"/>
        </w:rPr>
        <w:t>informacion</w:t>
      </w:r>
      <w:r w:rsidR="000D270A" w:rsidRPr="00E35625">
        <w:rPr>
          <w:lang w:val="sq-AL"/>
        </w:rPr>
        <w:t xml:space="preserve"> </w:t>
      </w:r>
      <w:r w:rsidRPr="00E35625">
        <w:rPr>
          <w:lang w:val="sq-AL"/>
        </w:rPr>
        <w:t>të rëndësish</w:t>
      </w:r>
      <w:r w:rsidR="000D270A">
        <w:rPr>
          <w:lang w:val="sq-AL"/>
        </w:rPr>
        <w:t>ë</w:t>
      </w:r>
      <w:r w:rsidRPr="00E35625">
        <w:rPr>
          <w:lang w:val="sq-AL"/>
        </w:rPr>
        <w:t>m mbi cilësinë dhe rëndësinë e sistemeve të AFP-së</w:t>
      </w:r>
      <w:r w:rsidR="000D270A">
        <w:rPr>
          <w:lang w:val="sq-AL"/>
        </w:rPr>
        <w:t>,</w:t>
      </w:r>
      <w:r w:rsidRPr="00E35625">
        <w:rPr>
          <w:lang w:val="sq-AL"/>
        </w:rPr>
        <w:t xml:space="preserve"> në mënyrë shumë të kuptueshme, të rregullt dhe të përshtatshme jo vetëm për politikëbërësit, në mënyrë që të mundësohet realizimi i politikëbërjes në kohë dhe bazuar në fakte, por edhe për ofruesit e AFP-së dhe publikun e gjerë. OITP do të ofrojë analiza për </w:t>
      </w:r>
      <w:r w:rsidR="000D270A">
        <w:rPr>
          <w:lang w:val="sq-AL"/>
        </w:rPr>
        <w:t>efektet</w:t>
      </w:r>
      <w:r w:rsidR="000D270A" w:rsidRPr="00E35625">
        <w:rPr>
          <w:lang w:val="sq-AL"/>
        </w:rPr>
        <w:t xml:space="preserve"> </w:t>
      </w:r>
      <w:r w:rsidRPr="00E35625">
        <w:rPr>
          <w:lang w:val="sq-AL"/>
        </w:rPr>
        <w:t>në punësim të investime</w:t>
      </w:r>
      <w:r w:rsidR="000D270A">
        <w:rPr>
          <w:lang w:val="sq-AL"/>
        </w:rPr>
        <w:t>ve</w:t>
      </w:r>
      <w:r w:rsidRPr="00E35625">
        <w:rPr>
          <w:lang w:val="sq-AL"/>
        </w:rPr>
        <w:t xml:space="preserve"> strategjike.</w:t>
      </w:r>
    </w:p>
    <w:p w14:paraId="575A9124" w14:textId="77777777" w:rsidR="006B559E" w:rsidRPr="00E35625" w:rsidRDefault="006B559E" w:rsidP="002F5E2C">
      <w:pPr>
        <w:rPr>
          <w:lang w:val="sq-AL"/>
        </w:rPr>
      </w:pPr>
      <w:r w:rsidRPr="00E35625">
        <w:rPr>
          <w:lang w:val="sq-AL"/>
        </w:rPr>
        <w:t>Së fundi, nëpërmjet OITP dhe bazuar në përvoja e modele të njohura, do të punohet për zhvillimin dhe aplikimin e një instrumenti të parashikimit afatgjatë të nevojave për aftësi.</w:t>
      </w:r>
    </w:p>
    <w:p w14:paraId="487F023F" w14:textId="495BB360" w:rsidR="006B559E" w:rsidRPr="00E35625" w:rsidRDefault="006B559E" w:rsidP="002F5E2C">
      <w:pPr>
        <w:pStyle w:val="Heading4"/>
        <w:rPr>
          <w:lang w:val="sq-AL"/>
        </w:rPr>
      </w:pPr>
      <w:bookmarkStart w:id="56" w:name="_Toc119598204"/>
      <w:r w:rsidRPr="00E35625">
        <w:rPr>
          <w:lang w:val="sq-AL"/>
        </w:rPr>
        <w:lastRenderedPageBreak/>
        <w:t xml:space="preserve">8. </w:t>
      </w:r>
      <w:r w:rsidR="004E167B">
        <w:rPr>
          <w:lang w:val="sq-AL"/>
        </w:rPr>
        <w:t>Z</w:t>
      </w:r>
      <w:r w:rsidR="004E167B" w:rsidRPr="00E35625">
        <w:rPr>
          <w:lang w:val="sq-AL"/>
        </w:rPr>
        <w:t xml:space="preserve">gjerimi </w:t>
      </w:r>
      <w:r w:rsidR="004E167B">
        <w:rPr>
          <w:lang w:val="sq-AL"/>
        </w:rPr>
        <w:t>dhe k</w:t>
      </w:r>
      <w:r w:rsidRPr="00E35625">
        <w:rPr>
          <w:lang w:val="sq-AL"/>
        </w:rPr>
        <w:t>onsolidimi i shërbimeve për punëdhënësit e punëkërkuesit dhe përshtatja e vazhdueshme e tyre bazuar në praktikat e monitorimit dhe vlerësimit</w:t>
      </w:r>
      <w:bookmarkEnd w:id="56"/>
      <w:r w:rsidRPr="00E35625">
        <w:rPr>
          <w:lang w:val="sq-AL"/>
        </w:rPr>
        <w:t xml:space="preserve"> </w:t>
      </w:r>
    </w:p>
    <w:p w14:paraId="4B860181" w14:textId="3A063AA9" w:rsidR="006B559E" w:rsidRPr="00E35625" w:rsidRDefault="006B559E" w:rsidP="00E14B65">
      <w:pPr>
        <w:rPr>
          <w:lang w:val="sq-AL"/>
        </w:rPr>
      </w:pPr>
      <w:r w:rsidRPr="00E35625">
        <w:rPr>
          <w:lang w:val="sq-AL"/>
        </w:rPr>
        <w:t>Përveç zgjerimit të shërbimeve digjitale, do të konsolido</w:t>
      </w:r>
      <w:r w:rsidR="004E167B">
        <w:rPr>
          <w:lang w:val="sq-AL"/>
        </w:rPr>
        <w:t>hen</w:t>
      </w:r>
      <w:r w:rsidRPr="00E35625">
        <w:rPr>
          <w:lang w:val="sq-AL"/>
        </w:rPr>
        <w:t xml:space="preserve"> dhe optimizo</w:t>
      </w:r>
      <w:r w:rsidR="004E167B">
        <w:rPr>
          <w:lang w:val="sq-AL"/>
        </w:rPr>
        <w:t>hen</w:t>
      </w:r>
      <w:r w:rsidRPr="00E35625">
        <w:rPr>
          <w:lang w:val="sq-AL"/>
        </w:rPr>
        <w:t xml:space="preserve"> shërbimet e punësimit për klientët ballë për ballë</w:t>
      </w:r>
      <w:r w:rsidR="00F95461">
        <w:rPr>
          <w:lang w:val="sq-AL"/>
        </w:rPr>
        <w:t>,</w:t>
      </w:r>
      <w:r w:rsidRPr="00E35625">
        <w:rPr>
          <w:lang w:val="sq-AL"/>
        </w:rPr>
        <w:t xml:space="preserve"> bazuar në modelin e ofrimit të shërbimeve të punësimit me tre nivele dhe do të monitoro</w:t>
      </w:r>
      <w:r w:rsidR="004E167B">
        <w:rPr>
          <w:lang w:val="sq-AL"/>
        </w:rPr>
        <w:t>het</w:t>
      </w:r>
      <w:r w:rsidRPr="00E35625">
        <w:rPr>
          <w:lang w:val="sq-AL"/>
        </w:rPr>
        <w:t xml:space="preserve"> nga afër ofrimi dhe cilësi</w:t>
      </w:r>
      <w:r w:rsidR="004E167B">
        <w:rPr>
          <w:lang w:val="sq-AL"/>
        </w:rPr>
        <w:t>a</w:t>
      </w:r>
      <w:r w:rsidRPr="00E35625">
        <w:rPr>
          <w:lang w:val="sq-AL"/>
        </w:rPr>
        <w:t xml:space="preserve"> e këtyre shërbimeve. Institucionet do të ofrojnë shërbime të punësimit me qasje të individualizuar të ofrimit të shërbimeve, duke vënë në përdorim edhe produktet digjitale, </w:t>
      </w:r>
      <w:r w:rsidR="004E167B">
        <w:rPr>
          <w:lang w:val="sq-AL"/>
        </w:rPr>
        <w:t xml:space="preserve">si </w:t>
      </w:r>
      <w:r w:rsidRPr="00E35625">
        <w:rPr>
          <w:lang w:val="sq-AL"/>
        </w:rPr>
        <w:t xml:space="preserve">dhe duke përmirësuar shërbimet e specializuara për punëkërkuesit e papunë duke përdorur </w:t>
      </w:r>
      <w:r w:rsidR="004E167B">
        <w:rPr>
          <w:lang w:val="sq-AL"/>
        </w:rPr>
        <w:t xml:space="preserve">mekanizmat e </w:t>
      </w:r>
      <w:r w:rsidRPr="00E35625">
        <w:rPr>
          <w:lang w:val="sq-AL"/>
        </w:rPr>
        <w:t>ekosistemi</w:t>
      </w:r>
      <w:r w:rsidR="004E167B">
        <w:rPr>
          <w:lang w:val="sq-AL"/>
        </w:rPr>
        <w:t>t</w:t>
      </w:r>
      <w:r w:rsidRPr="00E35625">
        <w:rPr>
          <w:lang w:val="sq-AL"/>
        </w:rPr>
        <w:t xml:space="preserve">. </w:t>
      </w:r>
    </w:p>
    <w:p w14:paraId="6EF48ACD" w14:textId="2A9833A3" w:rsidR="006B559E" w:rsidRPr="00E35625" w:rsidRDefault="006B559E" w:rsidP="00E14B65">
      <w:pPr>
        <w:rPr>
          <w:lang w:val="sq-AL"/>
        </w:rPr>
      </w:pPr>
      <w:r w:rsidRPr="00E35625">
        <w:rPr>
          <w:lang w:val="sq-AL"/>
        </w:rPr>
        <w:t>Në mënyrë që të zgjerojnë shërbimet e tyre, ofruesit publik</w:t>
      </w:r>
      <w:r w:rsidR="004E167B">
        <w:rPr>
          <w:lang w:val="sq-AL"/>
        </w:rPr>
        <w:t>ë</w:t>
      </w:r>
      <w:r w:rsidRPr="00E35625">
        <w:rPr>
          <w:lang w:val="sq-AL"/>
        </w:rPr>
        <w:t xml:space="preserve"> të shërbimeve të punësimit duhet të përmirësojnë mekanizmat dhe kanalet e informimit dhe kontakt</w:t>
      </w:r>
      <w:r w:rsidR="004E167B">
        <w:rPr>
          <w:lang w:val="sq-AL"/>
        </w:rPr>
        <w:t>e</w:t>
      </w:r>
      <w:r w:rsidRPr="00E35625">
        <w:rPr>
          <w:lang w:val="sq-AL"/>
        </w:rPr>
        <w:t xml:space="preserve">t me punëdhënësit për të </w:t>
      </w:r>
      <w:r w:rsidR="004E167B">
        <w:rPr>
          <w:lang w:val="sq-AL"/>
        </w:rPr>
        <w:t>regjistruar</w:t>
      </w:r>
      <w:r w:rsidR="004E167B" w:rsidRPr="00E35625">
        <w:rPr>
          <w:lang w:val="sq-AL"/>
        </w:rPr>
        <w:t xml:space="preserve"> </w:t>
      </w:r>
      <w:r w:rsidR="004E167B">
        <w:rPr>
          <w:lang w:val="sq-AL"/>
        </w:rPr>
        <w:t xml:space="preserve">sa </w:t>
      </w:r>
      <w:r w:rsidRPr="00E35625">
        <w:rPr>
          <w:lang w:val="sq-AL"/>
        </w:rPr>
        <w:t xml:space="preserve">më shumë vende të lira pune. Institucionet </w:t>
      </w:r>
      <w:r w:rsidR="004E167B">
        <w:rPr>
          <w:lang w:val="sq-AL"/>
        </w:rPr>
        <w:t>do</w:t>
      </w:r>
      <w:r w:rsidR="004E167B" w:rsidRPr="00E35625">
        <w:rPr>
          <w:lang w:val="sq-AL"/>
        </w:rPr>
        <w:t xml:space="preserve"> </w:t>
      </w:r>
      <w:r w:rsidRPr="00E35625">
        <w:rPr>
          <w:lang w:val="sq-AL"/>
        </w:rPr>
        <w:t xml:space="preserve">të zgjerojnë dhe forcojnë partneritetin me punëdhënës për zbatimin e programeve të ndryshme të nxitjes për punësim dhe trajnimin e punëkërkuesve të papunë, punëkërkuesve dhe stafeve të </w:t>
      </w:r>
      <w:r w:rsidR="004E167B">
        <w:rPr>
          <w:lang w:val="sq-AL"/>
        </w:rPr>
        <w:t>tyre</w:t>
      </w:r>
      <w:r w:rsidRPr="00E35625">
        <w:rPr>
          <w:lang w:val="sq-AL"/>
        </w:rPr>
        <w:t xml:space="preserve">.  </w:t>
      </w:r>
    </w:p>
    <w:p w14:paraId="367DCB9E" w14:textId="4534238B" w:rsidR="006B559E" w:rsidRPr="00E35625" w:rsidRDefault="004E167B" w:rsidP="00E14B65">
      <w:pPr>
        <w:rPr>
          <w:lang w:val="sq-AL"/>
        </w:rPr>
      </w:pPr>
      <w:r>
        <w:rPr>
          <w:lang w:val="sq-AL"/>
        </w:rPr>
        <w:t>D</w:t>
      </w:r>
      <w:r w:rsidR="006B559E" w:rsidRPr="00E35625">
        <w:rPr>
          <w:lang w:val="sq-AL"/>
        </w:rPr>
        <w:t xml:space="preserve">o të zhvillohet mekanizmi i bashkëpunimit dhe do të vendosen veprime mbështetëse </w:t>
      </w:r>
      <w:r>
        <w:rPr>
          <w:lang w:val="sq-AL"/>
        </w:rPr>
        <w:t>me agjen</w:t>
      </w:r>
      <w:r w:rsidR="00F95461">
        <w:rPr>
          <w:lang w:val="sq-AL"/>
        </w:rPr>
        <w:t>c</w:t>
      </w:r>
      <w:r>
        <w:rPr>
          <w:lang w:val="sq-AL"/>
        </w:rPr>
        <w:t xml:space="preserve">itë private të punësimit </w:t>
      </w:r>
      <w:r w:rsidR="006B559E" w:rsidRPr="00E35625">
        <w:rPr>
          <w:lang w:val="sq-AL"/>
        </w:rPr>
        <w:t xml:space="preserve">për t'i përfshirë </w:t>
      </w:r>
      <w:r>
        <w:rPr>
          <w:lang w:val="sq-AL"/>
        </w:rPr>
        <w:t>ato</w:t>
      </w:r>
      <w:r w:rsidR="00F95461">
        <w:rPr>
          <w:lang w:val="sq-AL"/>
        </w:rPr>
        <w:t xml:space="preserve"> -</w:t>
      </w:r>
      <w:r>
        <w:rPr>
          <w:lang w:val="sq-AL"/>
        </w:rPr>
        <w:t xml:space="preserve"> </w:t>
      </w:r>
      <w:r w:rsidR="006B559E" w:rsidRPr="00E35625">
        <w:rPr>
          <w:lang w:val="sq-AL"/>
        </w:rPr>
        <w:t>si pjesë e ekosistemit</w:t>
      </w:r>
      <w:r w:rsidR="00F95461">
        <w:rPr>
          <w:lang w:val="sq-AL"/>
        </w:rPr>
        <w:t xml:space="preserve"> -</w:t>
      </w:r>
      <w:r w:rsidR="006B559E" w:rsidRPr="00E35625">
        <w:rPr>
          <w:lang w:val="sq-AL"/>
        </w:rPr>
        <w:t xml:space="preserve"> </w:t>
      </w:r>
      <w:r w:rsidR="00F95461">
        <w:rPr>
          <w:lang w:val="sq-AL"/>
        </w:rPr>
        <w:t>n</w:t>
      </w:r>
      <w:r w:rsidR="006B559E" w:rsidRPr="00E35625">
        <w:rPr>
          <w:lang w:val="sq-AL"/>
        </w:rPr>
        <w:t>ë ofrimin e shërbimeve të punësimit</w:t>
      </w:r>
      <w:r w:rsidR="00F95461">
        <w:rPr>
          <w:lang w:val="sq-AL"/>
        </w:rPr>
        <w:t>,</w:t>
      </w:r>
      <w:r w:rsidR="006B559E" w:rsidRPr="00E35625">
        <w:rPr>
          <w:lang w:val="sq-AL"/>
        </w:rPr>
        <w:t xml:space="preserve"> duk</w:t>
      </w:r>
      <w:r>
        <w:rPr>
          <w:lang w:val="sq-AL"/>
        </w:rPr>
        <w:t>e</w:t>
      </w:r>
      <w:r w:rsidR="006B559E" w:rsidRPr="00E35625">
        <w:rPr>
          <w:lang w:val="sq-AL"/>
        </w:rPr>
        <w:t xml:space="preserve"> rishikuar</w:t>
      </w:r>
      <w:r w:rsidR="00F95461">
        <w:rPr>
          <w:lang w:val="sq-AL"/>
        </w:rPr>
        <w:t xml:space="preserve">, </w:t>
      </w:r>
      <w:r>
        <w:rPr>
          <w:lang w:val="sq-AL"/>
        </w:rPr>
        <w:t>ku është e nevojshme</w:t>
      </w:r>
      <w:r w:rsidR="00F95461">
        <w:rPr>
          <w:lang w:val="sq-AL"/>
        </w:rPr>
        <w:t>,</w:t>
      </w:r>
      <w:r>
        <w:rPr>
          <w:lang w:val="sq-AL"/>
        </w:rPr>
        <w:t xml:space="preserve"> e</w:t>
      </w:r>
      <w:r w:rsidR="006B559E" w:rsidRPr="00E35625">
        <w:rPr>
          <w:lang w:val="sq-AL"/>
        </w:rPr>
        <w:t>dhe kuadrin ligjor për këtë</w:t>
      </w:r>
      <w:r>
        <w:rPr>
          <w:lang w:val="sq-AL"/>
        </w:rPr>
        <w:t xml:space="preserve"> qëllim</w:t>
      </w:r>
      <w:r w:rsidR="006B559E" w:rsidRPr="00E35625">
        <w:rPr>
          <w:lang w:val="sq-AL"/>
        </w:rPr>
        <w:t xml:space="preserve">. Institucionet do të </w:t>
      </w:r>
      <w:r>
        <w:rPr>
          <w:lang w:val="sq-AL"/>
        </w:rPr>
        <w:t>bashkë</w:t>
      </w:r>
      <w:r w:rsidR="006B559E" w:rsidRPr="00E35625">
        <w:rPr>
          <w:lang w:val="sq-AL"/>
        </w:rPr>
        <w:t xml:space="preserve">punojnë me agjencitë private të punësimit për të lehtësuar integrimin e punëtorëve të huaj të rekrutuar në territorin e Shqipërisë. </w:t>
      </w:r>
    </w:p>
    <w:p w14:paraId="12F92AAB" w14:textId="663E2DEE" w:rsidR="006B559E" w:rsidRPr="00E35625" w:rsidRDefault="006B559E" w:rsidP="00E14B65">
      <w:pPr>
        <w:rPr>
          <w:lang w:val="sq-AL"/>
        </w:rPr>
      </w:pPr>
      <w:r w:rsidRPr="00E35625">
        <w:rPr>
          <w:lang w:val="sq-AL"/>
        </w:rPr>
        <w:t xml:space="preserve">Për të mbështetur këto ndryshime, institucionet do të iniciojnë një sistem për zhvillim të vazhdueshëm profesional të punonjësve dhe stafit mbështetës në zyrat e punës për të përmirësuar aftësitë teknike, të buta dhe digjitale për ofrimin e shërbimeve të punësimit si dhe do të zbatojnë një qasje </w:t>
      </w:r>
      <w:r w:rsidR="004E167B">
        <w:rPr>
          <w:lang w:val="sq-AL"/>
        </w:rPr>
        <w:t>tërheqëse</w:t>
      </w:r>
      <w:r w:rsidR="004E167B" w:rsidRPr="00E35625">
        <w:rPr>
          <w:lang w:val="sq-AL"/>
        </w:rPr>
        <w:t xml:space="preserve"> </w:t>
      </w:r>
      <w:r w:rsidRPr="00E35625">
        <w:rPr>
          <w:lang w:val="sq-AL"/>
        </w:rPr>
        <w:t xml:space="preserve">në politikat e rekrutimit dhe mundësive për karrierë të stafit. </w:t>
      </w:r>
    </w:p>
    <w:p w14:paraId="7BE6936C" w14:textId="1C0DF7B9" w:rsidR="006B559E" w:rsidRPr="00E35625" w:rsidRDefault="004E167B" w:rsidP="00E14B65">
      <w:pPr>
        <w:rPr>
          <w:lang w:val="sq-AL"/>
        </w:rPr>
      </w:pPr>
      <w:r>
        <w:rPr>
          <w:lang w:val="sq-AL"/>
        </w:rPr>
        <w:t>Gjithashtu</w:t>
      </w:r>
      <w:r w:rsidR="006B559E" w:rsidRPr="00E35625">
        <w:rPr>
          <w:lang w:val="sq-AL"/>
        </w:rPr>
        <w:t>, institucionet do të konsolidojnë sistemin e menaxhimit të performancës duke vendosur objektiva të performancës vjetore të ofruesve publik</w:t>
      </w:r>
      <w:r>
        <w:rPr>
          <w:lang w:val="sq-AL"/>
        </w:rPr>
        <w:t>ë</w:t>
      </w:r>
      <w:r w:rsidR="006B559E" w:rsidRPr="00E35625">
        <w:rPr>
          <w:lang w:val="sq-AL"/>
        </w:rPr>
        <w:t xml:space="preserve"> të shërbimeve të punësimit, duke monitoruar performancën e tyre dhe duke ofruar mbështetje me synim për të përmirësuar ndjeshëm nivelin dhe efikasitetin e ofrimit të shërbimeve si për punëdhënësit ashtu edhe për punëkërkuesit. </w:t>
      </w:r>
    </w:p>
    <w:p w14:paraId="57B28401" w14:textId="47BB0CFA" w:rsidR="006B559E" w:rsidRPr="00E35625" w:rsidRDefault="001D51B7" w:rsidP="00E14B65">
      <w:pPr>
        <w:rPr>
          <w:lang w:val="sq-AL"/>
        </w:rPr>
      </w:pPr>
      <w:r>
        <w:rPr>
          <w:lang w:val="sq-AL"/>
        </w:rPr>
        <w:t>I</w:t>
      </w:r>
      <w:r w:rsidR="006B559E" w:rsidRPr="00E35625">
        <w:rPr>
          <w:lang w:val="sq-AL"/>
        </w:rPr>
        <w:t xml:space="preserve">nstitucionet planifikojnë të zgjerojnë përdorimin e kapaciteteve të monitorimit dhe vlerësimit (M&amp;V) përmes përmirësimit të mjeteve të M&amp;V dhe ngritjes së kapaciteteve tek stafi për të gjurmuar shërbimet dhe programet aktive të tregut të punës (PATP) të ofruara për punëkërkuesit dhe punëdhënësit të ndryshëm dhe cilësinë dhe efektivitetin për të udhëzuar se cili lloj shërbimi dhe PATP funksionon më mirë dhe </w:t>
      </w:r>
      <w:r>
        <w:rPr>
          <w:lang w:val="sq-AL"/>
        </w:rPr>
        <w:t>sipas</w:t>
      </w:r>
      <w:r w:rsidR="006B559E" w:rsidRPr="00E35625">
        <w:rPr>
          <w:lang w:val="sq-AL"/>
        </w:rPr>
        <w:t xml:space="preserve"> </w:t>
      </w:r>
      <w:r>
        <w:rPr>
          <w:lang w:val="sq-AL"/>
        </w:rPr>
        <w:t>kategorive të</w:t>
      </w:r>
      <w:r w:rsidR="006B559E" w:rsidRPr="00E35625">
        <w:rPr>
          <w:lang w:val="sq-AL"/>
        </w:rPr>
        <w:t xml:space="preserve"> përfitues</w:t>
      </w:r>
      <w:r>
        <w:rPr>
          <w:lang w:val="sq-AL"/>
        </w:rPr>
        <w:t>ëve</w:t>
      </w:r>
      <w:r w:rsidR="006B559E" w:rsidRPr="00E35625">
        <w:rPr>
          <w:lang w:val="sq-AL"/>
        </w:rPr>
        <w:t xml:space="preserve">. </w:t>
      </w:r>
    </w:p>
    <w:p w14:paraId="767EF83F" w14:textId="206B10ED" w:rsidR="006B559E" w:rsidRDefault="001D51B7" w:rsidP="00E14B65">
      <w:pPr>
        <w:rPr>
          <w:lang w:val="sq-AL"/>
        </w:rPr>
      </w:pPr>
      <w:r>
        <w:rPr>
          <w:lang w:val="sq-AL"/>
        </w:rPr>
        <w:t>Së</w:t>
      </w:r>
      <w:r w:rsidRPr="00E35625">
        <w:rPr>
          <w:lang w:val="sq-AL"/>
        </w:rPr>
        <w:t xml:space="preserve"> </w:t>
      </w:r>
      <w:r w:rsidR="006B559E" w:rsidRPr="00E35625">
        <w:rPr>
          <w:lang w:val="sq-AL"/>
        </w:rPr>
        <w:t xml:space="preserve">fundi, si pjesë e strategjisë rajonale (Strategjia e Evropës Juglindore) institucionet do të punojnë në identifikimin e </w:t>
      </w:r>
      <w:r>
        <w:rPr>
          <w:lang w:val="sq-AL"/>
        </w:rPr>
        <w:t>mangësive</w:t>
      </w:r>
      <w:r w:rsidRPr="00E35625">
        <w:rPr>
          <w:lang w:val="sq-AL"/>
        </w:rPr>
        <w:t xml:space="preserve"> </w:t>
      </w:r>
      <w:r w:rsidR="006B559E" w:rsidRPr="00E35625">
        <w:rPr>
          <w:lang w:val="sq-AL"/>
        </w:rPr>
        <w:t xml:space="preserve">të aftësive në nivel rajonal, por gjithashtu do të </w:t>
      </w:r>
      <w:r w:rsidR="00F95461">
        <w:rPr>
          <w:lang w:val="sq-AL"/>
        </w:rPr>
        <w:t>nxi</w:t>
      </w:r>
      <w:r w:rsidR="00CF5CE8">
        <w:rPr>
          <w:lang w:val="sq-AL"/>
        </w:rPr>
        <w:t>t</w:t>
      </w:r>
      <w:r w:rsidR="00F95461">
        <w:rPr>
          <w:lang w:val="sq-AL"/>
        </w:rPr>
        <w:t>in</w:t>
      </w:r>
      <w:r w:rsidR="00F95461" w:rsidRPr="00E35625">
        <w:rPr>
          <w:lang w:val="sq-AL"/>
        </w:rPr>
        <w:t xml:space="preserve"> </w:t>
      </w:r>
      <w:r w:rsidR="006B559E" w:rsidRPr="00E35625">
        <w:rPr>
          <w:lang w:val="sq-AL"/>
        </w:rPr>
        <w:t>lëvizjen e fuqisë punëtore të kualifikuar brenda Rajonit të Evropës Juglindore për të adresuar mungesën e aftësive të nevojshme si dhe promovimin e imigrimit të rregullt dhe të organizuar mire në Rajonin e Evropës Juglindore për aftësitë që nuk plotësohen nga burimet rajonale ose të diasporës.</w:t>
      </w:r>
    </w:p>
    <w:p w14:paraId="15FFBFDC" w14:textId="440CF2CB" w:rsidR="00480CBD" w:rsidRPr="00480CBD" w:rsidRDefault="00CF5CE8" w:rsidP="00480CBD">
      <w:pPr>
        <w:rPr>
          <w:rFonts w:asciiTheme="majorHAnsi" w:eastAsiaTheme="majorEastAsia" w:hAnsiTheme="majorHAnsi" w:cstheme="majorBidi"/>
          <w:i/>
          <w:iCs/>
          <w:color w:val="2F5496" w:themeColor="accent1" w:themeShade="BF"/>
          <w:lang w:val="sq-AL"/>
        </w:rPr>
      </w:pPr>
      <w:r w:rsidRPr="00480CBD">
        <w:rPr>
          <w:rFonts w:asciiTheme="majorHAnsi" w:eastAsiaTheme="majorEastAsia" w:hAnsiTheme="majorHAnsi" w:cstheme="majorBidi"/>
          <w:i/>
          <w:iCs/>
          <w:color w:val="2F5496" w:themeColor="accent1" w:themeShade="BF"/>
          <w:lang w:val="sq-AL"/>
        </w:rPr>
        <w:t xml:space="preserve">9. </w:t>
      </w:r>
      <w:r w:rsidR="00480CBD" w:rsidRPr="00480CBD">
        <w:rPr>
          <w:rFonts w:asciiTheme="majorHAnsi" w:eastAsiaTheme="majorEastAsia" w:hAnsiTheme="majorHAnsi" w:cstheme="majorBidi"/>
          <w:i/>
          <w:iCs/>
          <w:color w:val="2F5496" w:themeColor="accent1" w:themeShade="BF"/>
          <w:lang w:val="sq-AL"/>
        </w:rPr>
        <w:t>Lehtësimi i lëvizshmërisë së fuqisë punëtore</w:t>
      </w:r>
    </w:p>
    <w:p w14:paraId="1F32B39B" w14:textId="47ED0A29" w:rsidR="00480CBD" w:rsidRPr="00480CBD" w:rsidRDefault="00480CBD" w:rsidP="00480CBD">
      <w:pPr>
        <w:rPr>
          <w:lang w:val="sq-AL"/>
        </w:rPr>
      </w:pPr>
      <w:r w:rsidRPr="00480CBD">
        <w:rPr>
          <w:lang w:val="sq-AL"/>
        </w:rPr>
        <w:t xml:space="preserve">Kjo masë do të fokusohet në promovimin e lëvizshmërisë së fuqisë punëtore brenda vendit në funksion të zhvillimeve të tregut të punës dhe mangësive të aftësive. Për këtë qëllim, institucionet e tregut të punës do të përdorin analizat nga sistemi i inteligjencës së aftësive për lëvizshmërinë e fuqisë punëtore, nevojat e tregut të punës dhe mungesat e mundshme të aftësive ose mangësive që mund të lidhen me lëvizshmërinë e fuqisë punëtore dhe të orientojë politikat me masat e duhura, bazuar në </w:t>
      </w:r>
      <w:r w:rsidRPr="00480CBD">
        <w:rPr>
          <w:lang w:val="sq-AL"/>
        </w:rPr>
        <w:lastRenderedPageBreak/>
        <w:t>këto nevoja. Lidhja me platforma të tjera për aftësitë, lëvizshmëri dhe punësim, si platformat Europiane EURES do të jetë veprimi prioritar i kësaj mase.</w:t>
      </w:r>
    </w:p>
    <w:p w14:paraId="4924749E" w14:textId="6BABAF44" w:rsidR="00480CBD" w:rsidRPr="00480CBD" w:rsidRDefault="00480CBD" w:rsidP="00480CBD">
      <w:pPr>
        <w:rPr>
          <w:lang w:val="sq-AL"/>
        </w:rPr>
      </w:pPr>
      <w:r w:rsidRPr="00480CBD">
        <w:rPr>
          <w:lang w:val="sq-AL"/>
        </w:rPr>
        <w:t>Në mënyrë që të lehtësohet lëvizshmëria e fuqisë punëtore brenda vendit, institucionet e tregut të punës do t'i mundësojnë të gjitha vendet të lira të punës të aksesueshme për të gjithë punëkërkuesit, punëdhënesit si dhe specialistët e punësimit që janë përgjegjës për ndërmjetësim në punësim. Zgjerimi i grupit të punëkërkuesve ndihmon ndërmjetësimin efikas për punësim. Për të reduktuar barrierat ndaj lëvizshmërisë gjeografike të fuqisë punëtore, institucionet e tregut të punës do të përshtatin shërbimet e tyre si dhe do t'u mundësojnë të papunëve të fitojnë aftësi të buta dhe dixhitale, si dhe akses në formim profesional në të gjithë territorin e Shqipërisë.</w:t>
      </w:r>
    </w:p>
    <w:p w14:paraId="48AD7D8E" w14:textId="346FC4E1" w:rsidR="00480CBD" w:rsidRPr="00480CBD" w:rsidRDefault="00480CBD" w:rsidP="00480CBD">
      <w:pPr>
        <w:rPr>
          <w:lang w:val="sq-AL"/>
        </w:rPr>
      </w:pPr>
      <w:r w:rsidRPr="00480CBD">
        <w:rPr>
          <w:lang w:val="sq-AL"/>
        </w:rPr>
        <w:t xml:space="preserve">Nga ana tjetër, për të lehtësuar lëvizshmërinë përtej kufirit të fuqisë punëtore në rajon, si pjesë e strategjisë rajonale (Strategjia e Europës Juglindore) institucionet do të punojnë për identifikimin e mungesave të aftësive në nivel rajonal dhe do të promovojnë lëvizjen e fuqisë punëtore të kualifikuar brenda Rajonit të Evropës Juglindore për të adresuar mungesën e aftësive të nevojshme si dhe promovimin e imigrimit të rregullt dhe të organizuar në Rajonin e Evropës Juglindore për aftësitë që nuk plotësohen nga burimet rajonale ose të diasporës. Lëvizshmëria përtej kufirit e punës do të promovohet më tej duke siguruar që kuadri ligjor, rregullativ dhe mekanizmet zbatuese promovojnë rekrutimin e drejtë (fair recruitment) nga vendet e tjera dhe nga aktorët e tregut të punës, e cila respekton, mbron dhe përmbush të drejtat e njeriut të njohura ndërkombëtarisht, duke përfshirë ato të shprehura në standardet ndërkombëtare të punës. Kjo mund të kërkojë rishikimin e kuadrit ligjor dhe rregullator dhe ta bëjë atë në përputhje me direktivat përkatëse të BE-së, rritjen e kapaciteteve të inspektoratit të punës si dhe rritjen e ndërgjegjësimit të ndërmjetësve të tregut të punës (agjencitë private dhe publike të punësimit), punëkërkuesve dhe punëdhënesve mbi standardet e rekrutimit të drejtë nga vendet e huaja me ndarjen e informacionit të shënjestuar dhe shërbime të përmirësuara. Për më tepër, do të mbështetet dialogu konstruktiv dhe në bashkëpunim me kornizat shumëpalëshe dhe dypalëshe për të promovuar sisteme të drejta, të sigurta, të rregullta dhe të mirë-qeverisura të migrimit për motive punësimi.  </w:t>
      </w:r>
    </w:p>
    <w:p w14:paraId="42B67D16" w14:textId="77777777" w:rsidR="00480CBD" w:rsidRPr="00480CBD" w:rsidRDefault="00480CBD" w:rsidP="00480CBD">
      <w:pPr>
        <w:rPr>
          <w:lang w:val="sq-AL"/>
        </w:rPr>
      </w:pPr>
      <w:r w:rsidRPr="00480CBD">
        <w:rPr>
          <w:lang w:val="sq-AL"/>
        </w:rPr>
        <w:t>Si pjesë e lëvizshmërisë së fuqisë punëtore dhe ri-integrimit të migrantëve shqiptarë, institucionet do të forcojnë protokollet për të nxitur koordinimin ndërmjet aktorëve të ndryshëm të qeverisë, me objektivin për të përmirësuar informacionin e disponueshëm për të kthyerit nga emigracioni dhe për të përshtatur shërbimet përkatëse për të adresuar nevojat specifike me të cilat përballet  kjo pjesë e shoqërisë shqiptare. Në këtë drejtim institucionet e tregut të punës do të përshtatin shërbimet e tyre të punësimit dhe programet e nxitjes së punësimit, krahas  njohjes së aftësive dhe kualifikimeve të fituara formalisht dhe joformalisht, ofrimit të kurseve të gjuhës etj. Me këto ndërhyrje, migrantët e kthyer do të kontribuojnë në plotësimin e fuqisë punëtore, duke sjellë në njëkohësisht në vend aftësi teknike, diversitet kulturor, mendim inovativ dhe gjuhë të reja.</w:t>
      </w:r>
    </w:p>
    <w:p w14:paraId="46752A44" w14:textId="6DE9A049" w:rsidR="00CF5CE8" w:rsidRPr="00E35625" w:rsidRDefault="00CF5CE8" w:rsidP="00E14B65">
      <w:pPr>
        <w:rPr>
          <w:lang w:val="sq-AL"/>
        </w:rPr>
      </w:pPr>
    </w:p>
    <w:p w14:paraId="00067995" w14:textId="77777777" w:rsidR="006B559E" w:rsidRPr="00E35625" w:rsidRDefault="006B559E" w:rsidP="002F5E2C">
      <w:pPr>
        <w:pStyle w:val="Heading3"/>
        <w:rPr>
          <w:sz w:val="24"/>
          <w:lang w:val="sq-AL"/>
        </w:rPr>
      </w:pPr>
      <w:bookmarkStart w:id="57" w:name="_Toc119598205"/>
      <w:bookmarkStart w:id="58" w:name="_Toc123165420"/>
      <w:r w:rsidRPr="00E35625">
        <w:rPr>
          <w:lang w:val="sq-AL"/>
        </w:rPr>
        <w:t>Qëllimi i politikës 2: Mundësimi i punësimit të denjë për gra dhe burra nëpërmjet zbatimit të politikave gjithëpërfshirëse të tregut të punës</w:t>
      </w:r>
      <w:bookmarkEnd w:id="57"/>
      <w:bookmarkEnd w:id="58"/>
    </w:p>
    <w:p w14:paraId="137303CD" w14:textId="67299857" w:rsidR="006B559E" w:rsidRPr="00E35625" w:rsidRDefault="006A2472" w:rsidP="002F5E2C">
      <w:pPr>
        <w:rPr>
          <w:lang w:val="sq-AL"/>
        </w:rPr>
      </w:pPr>
      <w:r>
        <w:rPr>
          <w:lang w:val="sq-AL"/>
        </w:rPr>
        <w:t>Objektivi strategjik</w:t>
      </w:r>
      <w:r w:rsidR="006B559E" w:rsidRPr="00E35625">
        <w:rPr>
          <w:lang w:val="sq-AL"/>
        </w:rPr>
        <w:t xml:space="preserve"> 2.1: Ndërmjetësimi dhe lëvrimi i programeve mbështetëse për punësim efektiv dhe gjithëpërfshirës</w:t>
      </w:r>
    </w:p>
    <w:p w14:paraId="3E658B91" w14:textId="41C625EF" w:rsidR="006B559E" w:rsidRPr="00E35625" w:rsidRDefault="006A2472" w:rsidP="002F5E2C">
      <w:pPr>
        <w:rPr>
          <w:lang w:val="sq-AL"/>
        </w:rPr>
      </w:pPr>
      <w:r>
        <w:rPr>
          <w:lang w:val="sq-AL"/>
        </w:rPr>
        <w:t>Objektivi strategjik</w:t>
      </w:r>
      <w:r w:rsidR="006B559E" w:rsidRPr="00E35625">
        <w:rPr>
          <w:lang w:val="sq-AL"/>
        </w:rPr>
        <w:t xml:space="preserve"> 2.2: Sigurimi i punës së denjë për të gjithë dhe kudo</w:t>
      </w:r>
    </w:p>
    <w:p w14:paraId="58A814BB" w14:textId="77777777" w:rsidR="006B559E" w:rsidRPr="00E35625" w:rsidRDefault="006B559E" w:rsidP="002F5E2C">
      <w:pPr>
        <w:rPr>
          <w:lang w:val="sq-AL"/>
        </w:rPr>
      </w:pPr>
      <w:r w:rsidRPr="00E35625">
        <w:rPr>
          <w:b/>
          <w:bCs/>
          <w:lang w:val="sq-AL"/>
        </w:rPr>
        <w:t>Masat prioritare</w:t>
      </w:r>
      <w:r w:rsidRPr="00E35625">
        <w:rPr>
          <w:rStyle w:val="apple-converted-space"/>
          <w:rFonts w:ascii="Calibri" w:hAnsi="Calibri" w:cs="Calibri"/>
          <w:lang w:val="sq-AL"/>
        </w:rPr>
        <w:t xml:space="preserve"> </w:t>
      </w:r>
      <w:r w:rsidRPr="00E35625">
        <w:rPr>
          <w:lang w:val="sq-AL"/>
        </w:rPr>
        <w:t>që do të kontribuojnë në arritjen e objektivave specifikë/strategjike janë:</w:t>
      </w:r>
    </w:p>
    <w:p w14:paraId="43303681" w14:textId="2E93C704" w:rsidR="006B559E" w:rsidRPr="00E35625" w:rsidRDefault="006B559E" w:rsidP="002F5E2C">
      <w:pPr>
        <w:pStyle w:val="Heading4"/>
        <w:rPr>
          <w:rFonts w:ascii="Calibri" w:hAnsi="Calibri" w:cs="Calibri"/>
          <w:szCs w:val="22"/>
          <w:lang w:val="sq-AL"/>
        </w:rPr>
      </w:pPr>
      <w:bookmarkStart w:id="59" w:name="_Toc119598206"/>
      <w:r w:rsidRPr="00E35625">
        <w:rPr>
          <w:rFonts w:ascii="Calibri" w:hAnsi="Calibri" w:cs="Calibri"/>
          <w:szCs w:val="22"/>
          <w:lang w:val="sq-AL"/>
        </w:rPr>
        <w:lastRenderedPageBreak/>
        <w:t xml:space="preserve">1. </w:t>
      </w:r>
      <w:r w:rsidR="0036475F">
        <w:rPr>
          <w:lang w:val="sq-AL"/>
        </w:rPr>
        <w:t>Ofrimi i shërbimeve dhe programeve të nxitjes s</w:t>
      </w:r>
      <w:r w:rsidRPr="00E35625">
        <w:rPr>
          <w:lang w:val="sq-AL"/>
        </w:rPr>
        <w:t xml:space="preserve">ë punësimit e aftësimit </w:t>
      </w:r>
      <w:r w:rsidR="0036475F">
        <w:rPr>
          <w:lang w:val="sq-AL"/>
        </w:rPr>
        <w:t>nëpërmjet</w:t>
      </w:r>
      <w:r w:rsidR="0036475F" w:rsidRPr="00E35625">
        <w:rPr>
          <w:lang w:val="sq-AL"/>
        </w:rPr>
        <w:t xml:space="preserve"> </w:t>
      </w:r>
      <w:r w:rsidRPr="00E35625">
        <w:rPr>
          <w:lang w:val="sq-AL"/>
        </w:rPr>
        <w:t>ekosistemi</w:t>
      </w:r>
      <w:r w:rsidR="0036475F">
        <w:rPr>
          <w:lang w:val="sq-AL"/>
        </w:rPr>
        <w:t>t</w:t>
      </w:r>
      <w:r w:rsidRPr="00E35625">
        <w:rPr>
          <w:lang w:val="sq-AL"/>
        </w:rPr>
        <w:t xml:space="preserve"> </w:t>
      </w:r>
      <w:r w:rsidR="0036475F">
        <w:rPr>
          <w:lang w:val="sq-AL"/>
        </w:rPr>
        <w:t>të</w:t>
      </w:r>
      <w:r w:rsidRPr="00E35625">
        <w:rPr>
          <w:lang w:val="sq-AL"/>
        </w:rPr>
        <w:t xml:space="preserve"> tregut të punës</w:t>
      </w:r>
      <w:bookmarkEnd w:id="59"/>
    </w:p>
    <w:p w14:paraId="2BA7D446" w14:textId="72C862A9" w:rsidR="006B559E" w:rsidRPr="00E35625" w:rsidRDefault="005853FA" w:rsidP="002F5E2C">
      <w:pPr>
        <w:rPr>
          <w:lang w:val="sq-AL"/>
        </w:rPr>
      </w:pPr>
      <w:r>
        <w:rPr>
          <w:lang w:val="sq-AL"/>
        </w:rPr>
        <w:t>S</w:t>
      </w:r>
      <w:r w:rsidR="006B559E" w:rsidRPr="00E35625">
        <w:rPr>
          <w:lang w:val="sq-AL"/>
        </w:rPr>
        <w:t>trategji</w:t>
      </w:r>
      <w:r>
        <w:rPr>
          <w:lang w:val="sq-AL"/>
        </w:rPr>
        <w:t>a</w:t>
      </w:r>
      <w:r w:rsidR="006B559E" w:rsidRPr="00E35625">
        <w:rPr>
          <w:lang w:val="sq-AL"/>
        </w:rPr>
        <w:t xml:space="preserve"> synon të përmirësojë efektivitetin e modelit të shërbimeve të punësimit me tre nivele</w:t>
      </w:r>
      <w:r w:rsidR="006B559E" w:rsidRPr="00E35625">
        <w:rPr>
          <w:rStyle w:val="FootnoteReference"/>
          <w:rFonts w:cstheme="minorHAnsi"/>
          <w:color w:val="000000" w:themeColor="text1"/>
          <w:szCs w:val="22"/>
          <w:lang w:val="sq-AL"/>
        </w:rPr>
        <w:footnoteReference w:id="53"/>
      </w:r>
      <w:r w:rsidR="006B559E" w:rsidRPr="00E35625">
        <w:rPr>
          <w:lang w:val="sq-AL"/>
        </w:rPr>
        <w:t xml:space="preserve">. Institucionet do të zhvillojnë </w:t>
      </w:r>
      <w:r w:rsidR="006B559E" w:rsidRPr="00914A41">
        <w:rPr>
          <w:lang w:val="sq-AL"/>
        </w:rPr>
        <w:t>modele dhe qasje të menaxhimit të specializuar</w:t>
      </w:r>
      <w:r w:rsidR="006B559E" w:rsidRPr="00E35625">
        <w:rPr>
          <w:lang w:val="sq-AL"/>
        </w:rPr>
        <w:t xml:space="preserve"> të rasteve të nivelit të tretë dhe do të ofrojnë shërbime për punëkërkuesit në partneritet me aktorët e tjerë të tregut të punës</w:t>
      </w:r>
      <w:r>
        <w:rPr>
          <w:lang w:val="sq-AL"/>
        </w:rPr>
        <w:t>,</w:t>
      </w:r>
      <w:r w:rsidR="006B559E" w:rsidRPr="00E35625">
        <w:rPr>
          <w:lang w:val="sq-AL"/>
        </w:rPr>
        <w:t xml:space="preserve"> me mbështetjen e të cilëve do të trajtohen në mënyrë të specializuar pengesat në tregun e punës. </w:t>
      </w:r>
      <w:r>
        <w:rPr>
          <w:lang w:val="sq-AL"/>
        </w:rPr>
        <w:t>Ky p</w:t>
      </w:r>
      <w:r w:rsidR="006B559E" w:rsidRPr="00E35625">
        <w:rPr>
          <w:lang w:val="sq-AL"/>
        </w:rPr>
        <w:t xml:space="preserve">artneritet do të mundësojë aktivizimin e </w:t>
      </w:r>
      <w:r>
        <w:rPr>
          <w:lang w:val="sq-AL"/>
        </w:rPr>
        <w:t>përvojave</w:t>
      </w:r>
      <w:r w:rsidRPr="00E35625">
        <w:rPr>
          <w:lang w:val="sq-AL"/>
        </w:rPr>
        <w:t xml:space="preserve"> </w:t>
      </w:r>
      <w:r w:rsidR="006B559E" w:rsidRPr="00E35625">
        <w:rPr>
          <w:lang w:val="sq-AL"/>
        </w:rPr>
        <w:t xml:space="preserve">dhe kapaciteteve të aktorëve të ndryshëm në nivel qendror dhe lokal si organizatat joqeveritare, </w:t>
      </w:r>
      <w:r>
        <w:rPr>
          <w:lang w:val="sq-AL"/>
        </w:rPr>
        <w:t xml:space="preserve">organizatat ndërkombëtare, </w:t>
      </w:r>
      <w:r w:rsidR="006B559E" w:rsidRPr="00E35625">
        <w:rPr>
          <w:lang w:val="sq-AL"/>
        </w:rPr>
        <w:t xml:space="preserve">ofruesit publikë dhe privatë të trajnimeve, ofruesit e shërbimeve mbështetëse, ofruesit e arsimit bazë dhe të mesëm profesional për të rritur, dhomat e tregtisë, industrisë dhe zejeve, organizatat e punëdhënësve, agjencitë private të punësimit, grupe të tjera formale  dhe jo-formale. </w:t>
      </w:r>
    </w:p>
    <w:p w14:paraId="60873A00" w14:textId="569C2914" w:rsidR="006B559E" w:rsidRPr="00E35625" w:rsidRDefault="00914A41" w:rsidP="002F5E2C">
      <w:pPr>
        <w:rPr>
          <w:lang w:val="sq-AL"/>
        </w:rPr>
      </w:pPr>
      <w:r>
        <w:rPr>
          <w:color w:val="000000" w:themeColor="text1"/>
          <w:lang w:val="sq-AL"/>
        </w:rPr>
        <w:t xml:space="preserve">Vëmendje e posaçme do t’i kushtohet </w:t>
      </w:r>
      <w:r w:rsidR="006B559E" w:rsidRPr="00E35625">
        <w:rPr>
          <w:color w:val="000000" w:themeColor="text1"/>
          <w:lang w:val="sq-AL"/>
        </w:rPr>
        <w:t>zgjerimi</w:t>
      </w:r>
      <w:r>
        <w:rPr>
          <w:color w:val="000000" w:themeColor="text1"/>
          <w:lang w:val="sq-AL"/>
        </w:rPr>
        <w:t>t</w:t>
      </w:r>
      <w:r w:rsidR="006B559E" w:rsidRPr="00E35625">
        <w:rPr>
          <w:color w:val="000000" w:themeColor="text1"/>
          <w:lang w:val="sq-AL"/>
        </w:rPr>
        <w:t xml:space="preserve"> </w:t>
      </w:r>
      <w:r>
        <w:rPr>
          <w:color w:val="000000" w:themeColor="text1"/>
          <w:lang w:val="sq-AL"/>
        </w:rPr>
        <w:t xml:space="preserve">të </w:t>
      </w:r>
      <w:r w:rsidR="006B559E" w:rsidRPr="00E35625">
        <w:rPr>
          <w:color w:val="000000" w:themeColor="text1"/>
          <w:lang w:val="sq-AL"/>
        </w:rPr>
        <w:t xml:space="preserve">mekanizmave të vlerësimit dhe referimit të rastit </w:t>
      </w:r>
      <w:r w:rsidR="006B559E" w:rsidRPr="00E35625">
        <w:rPr>
          <w:lang w:val="sq-AL"/>
        </w:rPr>
        <w:t>në bashkëpunim me Njësitë e Vlerësimit të Nevojave dhe Referimit në njësitë administrative në nivel vendor</w:t>
      </w:r>
      <w:r w:rsidR="005853FA">
        <w:rPr>
          <w:lang w:val="sq-AL"/>
        </w:rPr>
        <w:t xml:space="preserve"> </w:t>
      </w:r>
      <w:r w:rsidR="006B559E" w:rsidRPr="00E35625">
        <w:rPr>
          <w:lang w:val="sq-AL"/>
        </w:rPr>
        <w:t>dhe forcimi</w:t>
      </w:r>
      <w:r>
        <w:rPr>
          <w:lang w:val="sq-AL"/>
        </w:rPr>
        <w:t>t</w:t>
      </w:r>
      <w:r w:rsidR="006B559E" w:rsidRPr="00E35625">
        <w:rPr>
          <w:lang w:val="sq-AL"/>
        </w:rPr>
        <w:t xml:space="preserve"> </w:t>
      </w:r>
      <w:r>
        <w:rPr>
          <w:lang w:val="sq-AL"/>
        </w:rPr>
        <w:t>të</w:t>
      </w:r>
      <w:r w:rsidR="006B559E" w:rsidRPr="00E35625">
        <w:rPr>
          <w:lang w:val="sq-AL"/>
        </w:rPr>
        <w:t xml:space="preserve"> bashkërendimit institucional për ofrimin e shërbimeve mbështetëse sociale, shëndetësore e arsimore që mundëso</w:t>
      </w:r>
      <w:r w:rsidR="005853FA">
        <w:rPr>
          <w:lang w:val="sq-AL"/>
        </w:rPr>
        <w:t>j</w:t>
      </w:r>
      <w:r w:rsidR="006B559E" w:rsidRPr="00E35625">
        <w:rPr>
          <w:lang w:val="sq-AL"/>
        </w:rPr>
        <w:t>n</w:t>
      </w:r>
      <w:r w:rsidR="005853FA">
        <w:rPr>
          <w:lang w:val="sq-AL"/>
        </w:rPr>
        <w:t>ë</w:t>
      </w:r>
      <w:r w:rsidR="006B559E" w:rsidRPr="00E35625">
        <w:rPr>
          <w:lang w:val="sq-AL"/>
        </w:rPr>
        <w:t xml:space="preserve"> krijimin e kushteve për punësim. </w:t>
      </w:r>
    </w:p>
    <w:p w14:paraId="3EC8F129" w14:textId="323C5505" w:rsidR="006B559E" w:rsidRPr="00914A41" w:rsidRDefault="006B559E" w:rsidP="002F5E2C">
      <w:pPr>
        <w:rPr>
          <w:lang w:val="sq-AL"/>
        </w:rPr>
      </w:pPr>
      <w:r w:rsidRPr="00914A41">
        <w:rPr>
          <w:lang w:val="sq-AL"/>
        </w:rPr>
        <w:t xml:space="preserve">Në bashkëpunim me ofrues publikë, jopublikë dhe privatë do të  </w:t>
      </w:r>
      <w:r w:rsidR="00914A41" w:rsidRPr="00914A41">
        <w:rPr>
          <w:lang w:val="sq-AL"/>
        </w:rPr>
        <w:t>konceptohen</w:t>
      </w:r>
      <w:r w:rsidR="005853FA" w:rsidRPr="00914A41">
        <w:rPr>
          <w:lang w:val="sq-AL"/>
        </w:rPr>
        <w:t xml:space="preserve"> </w:t>
      </w:r>
      <w:r w:rsidR="00914A41" w:rsidRPr="00914A41">
        <w:rPr>
          <w:lang w:val="sq-AL"/>
        </w:rPr>
        <w:t xml:space="preserve">e </w:t>
      </w:r>
      <w:r w:rsidRPr="00914A41">
        <w:rPr>
          <w:lang w:val="sq-AL"/>
        </w:rPr>
        <w:t>zbatohen programe të nxitjes së punësimit dhe aftësimit për grupet e c</w:t>
      </w:r>
      <w:r w:rsidR="005853FA" w:rsidRPr="00914A41">
        <w:rPr>
          <w:lang w:val="sq-AL"/>
        </w:rPr>
        <w:t>ë</w:t>
      </w:r>
      <w:r w:rsidRPr="00914A41">
        <w:rPr>
          <w:lang w:val="sq-AL"/>
        </w:rPr>
        <w:t xml:space="preserve">nueshme, si të rinjtë (si pjesë e skemës së </w:t>
      </w:r>
      <w:r w:rsidR="00BF4CFA">
        <w:rPr>
          <w:lang w:val="sq-AL"/>
        </w:rPr>
        <w:t>Garancisë për të Rinore</w:t>
      </w:r>
      <w:r w:rsidRPr="00914A41">
        <w:rPr>
          <w:lang w:val="sq-AL"/>
        </w:rPr>
        <w:t xml:space="preserve">), personat me aftësi të kufizuara (si pjesë e Fondit Social të </w:t>
      </w:r>
      <w:r w:rsidR="00914A41">
        <w:rPr>
          <w:lang w:val="sq-AL"/>
        </w:rPr>
        <w:t>P</w:t>
      </w:r>
      <w:r w:rsidRPr="00914A41">
        <w:rPr>
          <w:lang w:val="sq-AL"/>
        </w:rPr>
        <w:t xml:space="preserve">unësimit), përfituesit në moshë pune nga familjet e mbështetura me ndihmë ekonomike, punëkërkuesit afatgjatë, pakicat etnike, </w:t>
      </w:r>
      <w:r w:rsidR="005853FA" w:rsidRPr="00914A41">
        <w:rPr>
          <w:lang w:val="sq-AL"/>
        </w:rPr>
        <w:t xml:space="preserve">personat </w:t>
      </w:r>
      <w:r w:rsidRPr="00914A41">
        <w:rPr>
          <w:lang w:val="sq-AL"/>
        </w:rPr>
        <w:t xml:space="preserve">me arsim e kualifikim të ulët (si pjesë e ndërmarrjeve sociale, programeve të punës në komunitet, aktivizimit në punët publike të financuara nga bashkitë etj.). Programet do të zgjerohen gradualisht, duke konsideruar rekomandimet nga procesi vlerësues mbi efektivitetin dhe efikasitetin e tyre. </w:t>
      </w:r>
    </w:p>
    <w:p w14:paraId="3DD87F98" w14:textId="77777777" w:rsidR="006B559E" w:rsidRPr="00914A41" w:rsidRDefault="006B559E" w:rsidP="002F5E2C">
      <w:pPr>
        <w:rPr>
          <w:lang w:val="sq-AL"/>
        </w:rPr>
      </w:pPr>
      <w:r w:rsidRPr="00914A41">
        <w:rPr>
          <w:lang w:val="sq-AL"/>
        </w:rPr>
        <w:t>Institucionet do të vlerësojnë mundësinë e zgjerimit dhe të rritjes së fleksibilitetit të ofertës dhe modaliteteve për trajnim të vazhduar në sistemin AFP publik dhe privat. Nëpërmjet trajnimit të vazhduar do të synohet rritja e eficiencës së masave aktive të punësimit si dhe diversifikimi i burimeve të financimit në sistemet e trajnimit.  Forma të subvencionimit të punësimit në ekonominë sociale "</w:t>
      </w:r>
      <w:r w:rsidRPr="00914A41">
        <w:rPr>
          <w:i/>
          <w:lang w:val="sq-AL"/>
        </w:rPr>
        <w:t>care economy</w:t>
      </w:r>
      <w:r w:rsidRPr="00914A41">
        <w:rPr>
          <w:lang w:val="sq-AL"/>
        </w:rPr>
        <w:t xml:space="preserve">" do të shoqërohen me politika për trajnimin dhe këshillimin e vazhdueshëm për të siguruar integrimin e qëndrueshëm në tregun e punës në periudhë afatgjatë, si dhe nxitjen e angazhimit nëpërmjet ndërgjegjësimit dhe informimit. </w:t>
      </w:r>
    </w:p>
    <w:p w14:paraId="35A3D1EC" w14:textId="77777777" w:rsidR="006B559E" w:rsidRPr="00E35625" w:rsidRDefault="006B559E" w:rsidP="002F5E2C">
      <w:pPr>
        <w:pStyle w:val="Heading4"/>
        <w:rPr>
          <w:lang w:val="sq-AL"/>
        </w:rPr>
      </w:pPr>
      <w:bookmarkStart w:id="60" w:name="_Toc119598207"/>
      <w:r w:rsidRPr="00E35625">
        <w:rPr>
          <w:lang w:val="sq-AL"/>
        </w:rPr>
        <w:t>2. Tranzicion i mbështetur dhe gjithëpërfshirës nga shkolla në punë për të rinjtë (NEET) nëpërmjet zbatimit të skemës së Garancisë Rinore</w:t>
      </w:r>
      <w:bookmarkEnd w:id="60"/>
    </w:p>
    <w:p w14:paraId="68B90D32" w14:textId="75E2DE2F" w:rsidR="006B559E" w:rsidRPr="00914A41" w:rsidRDefault="006B559E" w:rsidP="002F5E2C">
      <w:pPr>
        <w:rPr>
          <w:lang w:val="sq-AL"/>
        </w:rPr>
      </w:pPr>
      <w:r w:rsidRPr="00914A41">
        <w:rPr>
          <w:lang w:val="sq-AL"/>
        </w:rPr>
        <w:t>Qeveria shqiptare dhe institucionet e lidhura me punësimin, arsimin dhe aftësimin do të garantojnë që çdo i ri nën moshën 29 vjeç (NEET) të ketë një ofertë të denjë punësimi, trajnimi apo arsimi, brenda një periudhe të arsyeshme kohore nga momenti i identifikimit, në linjë më rekomandimet e Komisionit Europian. Për këtë, në bashkëpunim me ministr</w:t>
      </w:r>
      <w:r w:rsidR="006E0E46">
        <w:rPr>
          <w:lang w:val="sq-AL"/>
        </w:rPr>
        <w:t>itë e linjës është hartuar një P</w:t>
      </w:r>
      <w:r w:rsidRPr="00914A41">
        <w:rPr>
          <w:lang w:val="sq-AL"/>
        </w:rPr>
        <w:t xml:space="preserve">lan Zbatimi </w:t>
      </w:r>
      <w:r w:rsidR="006E0E46">
        <w:rPr>
          <w:lang w:val="sq-AL"/>
        </w:rPr>
        <w:t>për</w:t>
      </w:r>
      <w:r w:rsidRPr="00914A41">
        <w:rPr>
          <w:lang w:val="sq-AL"/>
        </w:rPr>
        <w:t xml:space="preserve"> </w:t>
      </w:r>
      <w:r w:rsidRPr="00914A41">
        <w:rPr>
          <w:lang w:val="sq-AL"/>
        </w:rPr>
        <w:lastRenderedPageBreak/>
        <w:t>Garanci</w:t>
      </w:r>
      <w:r w:rsidR="006E0E46">
        <w:rPr>
          <w:lang w:val="sq-AL"/>
        </w:rPr>
        <w:t>n</w:t>
      </w:r>
      <w:r w:rsidRPr="00914A41">
        <w:rPr>
          <w:lang w:val="sq-AL"/>
        </w:rPr>
        <w:t>ë Rinore</w:t>
      </w:r>
      <w:r w:rsidRPr="00914A41">
        <w:rPr>
          <w:rStyle w:val="FootnoteReference"/>
          <w:szCs w:val="22"/>
          <w:lang w:val="sq-AL"/>
        </w:rPr>
        <w:footnoteReference w:id="54"/>
      </w:r>
      <w:r w:rsidRPr="00914A41">
        <w:rPr>
          <w:lang w:val="sq-AL"/>
        </w:rPr>
        <w:t xml:space="preserve">, i cili parashikon disa reforma të ndara në katër faza: hartëzimi, angazhimi, përgatitja dhe ofrimi. </w:t>
      </w:r>
    </w:p>
    <w:p w14:paraId="1E3C156D" w14:textId="4EA8F92A" w:rsidR="006B559E" w:rsidRPr="00E35625" w:rsidRDefault="006B559E" w:rsidP="002F5E2C">
      <w:pPr>
        <w:rPr>
          <w:lang w:val="sq-AL"/>
        </w:rPr>
      </w:pPr>
      <w:r w:rsidRPr="00E35625">
        <w:rPr>
          <w:lang w:val="sq-AL"/>
        </w:rPr>
        <w:t xml:space="preserve">Për fazën e hartëzimit do të zhvillohen programe dhe instrumente për të parandaluar rritjen e numrit të </w:t>
      </w:r>
      <w:r w:rsidR="005853FA">
        <w:rPr>
          <w:lang w:val="sq-AL"/>
        </w:rPr>
        <w:t xml:space="preserve">të rinjve </w:t>
      </w:r>
      <w:r w:rsidRPr="00E35625">
        <w:rPr>
          <w:lang w:val="sq-AL"/>
        </w:rPr>
        <w:t>NEET duke u bazuar në informacionin e gjeneruar nga sistemi i AFP-së, do të ngrihet një sistem monitorimi për braktisjen e hershme të shkollës dhe do të përforcohet shërbimi i këshillimit në ka</w:t>
      </w:r>
      <w:r w:rsidR="005853FA">
        <w:rPr>
          <w:lang w:val="sq-AL"/>
        </w:rPr>
        <w:t>r</w:t>
      </w:r>
      <w:r w:rsidRPr="00E35625">
        <w:rPr>
          <w:lang w:val="sq-AL"/>
        </w:rPr>
        <w:t xml:space="preserve">rierë brenda institucioneve arsimore. </w:t>
      </w:r>
    </w:p>
    <w:p w14:paraId="020EBD69" w14:textId="2EC97F0B" w:rsidR="006B559E" w:rsidRPr="00E35625" w:rsidRDefault="006B559E" w:rsidP="002F5E2C">
      <w:pPr>
        <w:rPr>
          <w:lang w:val="sq-AL"/>
        </w:rPr>
      </w:pPr>
      <w:r w:rsidRPr="00E35625">
        <w:rPr>
          <w:lang w:val="sq-AL"/>
        </w:rPr>
        <w:t>Gjatë fazës së angazhimit, për të shpërndarë informacionin sa më afër vend</w:t>
      </w:r>
      <w:r w:rsidR="00876CCC">
        <w:rPr>
          <w:lang w:val="sq-AL"/>
        </w:rPr>
        <w:t>nd</w:t>
      </w:r>
      <w:r w:rsidRPr="00E35625">
        <w:rPr>
          <w:lang w:val="sq-AL"/>
        </w:rPr>
        <w:t xml:space="preserve">odhjes të të rinjve, në bashkëpunim me partnerë dhe grupe interesi do të ndërmerren fushata informuese të bazuara në komunitet dhe fushata duke përdorur metoda inovatore angazhimi në rrjete sociale. </w:t>
      </w:r>
    </w:p>
    <w:p w14:paraId="0A850B36" w14:textId="212F9261" w:rsidR="006B559E" w:rsidRPr="00E35625" w:rsidRDefault="00876CCC" w:rsidP="002F5E2C">
      <w:pPr>
        <w:rPr>
          <w:lang w:val="sq-AL"/>
        </w:rPr>
      </w:pPr>
      <w:r>
        <w:rPr>
          <w:lang w:val="sq-AL"/>
        </w:rPr>
        <w:t>Gjatë</w:t>
      </w:r>
      <w:r w:rsidRPr="00E35625">
        <w:rPr>
          <w:lang w:val="sq-AL"/>
        </w:rPr>
        <w:t xml:space="preserve"> </w:t>
      </w:r>
      <w:r w:rsidR="006B559E" w:rsidRPr="00E35625">
        <w:rPr>
          <w:lang w:val="sq-AL"/>
        </w:rPr>
        <w:t>fazë</w:t>
      </w:r>
      <w:r>
        <w:rPr>
          <w:lang w:val="sq-AL"/>
        </w:rPr>
        <w:t>s</w:t>
      </w:r>
      <w:r w:rsidR="006B559E" w:rsidRPr="00E35625">
        <w:rPr>
          <w:lang w:val="sq-AL"/>
        </w:rPr>
        <w:t xml:space="preserve"> </w:t>
      </w:r>
      <w:r>
        <w:rPr>
          <w:lang w:val="sq-AL"/>
        </w:rPr>
        <w:t>së</w:t>
      </w:r>
      <w:r w:rsidR="006B559E" w:rsidRPr="00E35625">
        <w:rPr>
          <w:lang w:val="sq-AL"/>
        </w:rPr>
        <w:t xml:space="preserve"> përgatitjes, do të zhvillohen instrumente të reja regjistrimi në portalin e AKPA-s, do t</w:t>
      </w:r>
      <w:r>
        <w:rPr>
          <w:lang w:val="sq-AL"/>
        </w:rPr>
        <w:t>ë</w:t>
      </w:r>
      <w:r w:rsidR="006B559E" w:rsidRPr="00E35625">
        <w:rPr>
          <w:lang w:val="sq-AL"/>
        </w:rPr>
        <w:t xml:space="preserve"> rriten kapacitetet e stafeve të zyrave të punës për t’u shërbyer punëkërkuesve të rinj, si dhe do të përdoren partneritetet e krijuara ndërmjet atyre që ofrojnë shërbime individuale me autoritete të tjera të ndryshme publike dhe organizata jo-publike për realizimin e shërbimeve më të specializuara për </w:t>
      </w:r>
      <w:r>
        <w:rPr>
          <w:lang w:val="sq-AL"/>
        </w:rPr>
        <w:t xml:space="preserve">të rinjtë </w:t>
      </w:r>
      <w:r w:rsidR="006B559E" w:rsidRPr="00E35625">
        <w:rPr>
          <w:lang w:val="sq-AL"/>
        </w:rPr>
        <w:t xml:space="preserve">NEET. Për të </w:t>
      </w:r>
      <w:r>
        <w:rPr>
          <w:lang w:val="sq-AL"/>
        </w:rPr>
        <w:t>administruar</w:t>
      </w:r>
      <w:r w:rsidRPr="00E35625">
        <w:rPr>
          <w:lang w:val="sq-AL"/>
        </w:rPr>
        <w:t xml:space="preserve"> </w:t>
      </w:r>
      <w:r w:rsidR="006B559E" w:rsidRPr="00E35625">
        <w:rPr>
          <w:lang w:val="sq-AL"/>
        </w:rPr>
        <w:t xml:space="preserve">dhe monitoruar Garancinë Rinore do të zgjerohet sistemi i menaxhimit të informacionit të tregut të punës për të gjurmuar rrugëtimin e të rinjve NEET para, gjatë dhe pas përfshirjes në skemën e Garancisë Rinore. </w:t>
      </w:r>
    </w:p>
    <w:p w14:paraId="2D0BD496" w14:textId="1D5D2685" w:rsidR="006B559E" w:rsidRPr="00E35625" w:rsidRDefault="006B559E" w:rsidP="002F5E2C">
      <w:pPr>
        <w:rPr>
          <w:rFonts w:cstheme="minorHAnsi"/>
          <w:lang w:val="sq-AL"/>
        </w:rPr>
      </w:pPr>
      <w:r w:rsidRPr="00E35625">
        <w:rPr>
          <w:lang w:val="sq-AL"/>
        </w:rPr>
        <w:t>Për fazën e ofrimit, do të zhvillohen dhe përshtaten programe për nxitjen e punësimit dhe trajnimit</w:t>
      </w:r>
      <w:r w:rsidR="00876CCC">
        <w:rPr>
          <w:lang w:val="sq-AL"/>
        </w:rPr>
        <w:t>,</w:t>
      </w:r>
      <w:r w:rsidRPr="00E35625">
        <w:rPr>
          <w:lang w:val="sq-AL"/>
        </w:rPr>
        <w:t xml:space="preserve"> si programe që mbështesin punësimin, programe që ofrojnë arsim të mesëm profesional, pas të mesëm dhe arsim me kohë të pjesshëm dhe programe për trajnim të vazhduar dhe praktika profesionale për rritje të aftësive bazë dhe atyre profesionale.</w:t>
      </w:r>
    </w:p>
    <w:p w14:paraId="39E75147" w14:textId="77777777" w:rsidR="006B559E" w:rsidRPr="00E35625" w:rsidRDefault="006B559E" w:rsidP="002F5E2C">
      <w:pPr>
        <w:pStyle w:val="Heading4"/>
        <w:rPr>
          <w:lang w:val="sq-AL"/>
        </w:rPr>
      </w:pPr>
      <w:bookmarkStart w:id="61" w:name="_Toc119598208"/>
      <w:r w:rsidRPr="00E35625">
        <w:rPr>
          <w:lang w:val="sq-AL"/>
        </w:rPr>
        <w:t>3. Integrimi në rritje i personave me aftësi të kufizuara në sistemet e zhvillimit të aftësive dhe të tregut të punës</w:t>
      </w:r>
      <w:bookmarkEnd w:id="61"/>
    </w:p>
    <w:p w14:paraId="7A25F6BB" w14:textId="11742C3A" w:rsidR="006B559E" w:rsidRPr="00E35625" w:rsidRDefault="006B559E" w:rsidP="002F5E2C">
      <w:pPr>
        <w:rPr>
          <w:lang w:val="sq-AL"/>
        </w:rPr>
      </w:pPr>
      <w:r w:rsidRPr="00E35625">
        <w:rPr>
          <w:lang w:val="sq-AL"/>
        </w:rPr>
        <w:t>Rritja e mundësive për punësimin</w:t>
      </w:r>
      <w:r w:rsidR="00D73C86">
        <w:rPr>
          <w:lang w:val="sq-AL"/>
        </w:rPr>
        <w:t xml:space="preserve"> dhe trajnimin</w:t>
      </w:r>
      <w:r w:rsidRPr="00E35625">
        <w:rPr>
          <w:lang w:val="sq-AL"/>
        </w:rPr>
        <w:t xml:space="preserve"> e personave me aftësi të kufizuara do të mbështetet nëpërmjet ndërgjegjësimit më të lartë për angazhimin në jetën aktive; rritjes së kapaciteteve të strukturave të institucioneve për ofrimin e shërbimeve të përshtatura, përgatitjes së sektorit privat dhe punëdhënesve për përfshirjen e personave me aftësi të kufizuar dhe operacionalizimit të Fondit Social të Punësimit. Institucionet do zhvillojnë instrumente të reja për vlerësimin e nevojave për punësim dhe trajnim të personave me aftësi të kufizuara, në koordinim me institucionet e tjera. Institucionet do të sigurojnë përshtatjen e arsyeshme të hapësirave të shërbimeve të punësimit dhe institucioneve të arsimit dhe formimit profesional, duke bërë ndërhyrje në infrastrukturë, teknologji dhe zhvillim kapacitetesh për stafin. Fondi Social i Punësimit do të bëhet operacional duke vënë në funksion mekanizmin e mbledhjes se kontributeve nga punëdhënësit në bashkëpunim me agjentin e deleguar për mbledhjen e kontributit (Drejtoria e Pergjithshme e Tatimeve). </w:t>
      </w:r>
    </w:p>
    <w:p w14:paraId="1D7755AD" w14:textId="40AA98D3" w:rsidR="006B559E" w:rsidRPr="00E35625" w:rsidRDefault="006B559E" w:rsidP="002F5E2C">
      <w:pPr>
        <w:rPr>
          <w:lang w:val="sq-AL"/>
        </w:rPr>
      </w:pPr>
      <w:r w:rsidRPr="00E35625">
        <w:rPr>
          <w:lang w:val="sq-AL"/>
        </w:rPr>
        <w:lastRenderedPageBreak/>
        <w:t xml:space="preserve">Në bashkëpunim me partnerët dhe grupet e interesit do të </w:t>
      </w:r>
      <w:r w:rsidR="00876CCC">
        <w:rPr>
          <w:lang w:val="sq-AL"/>
        </w:rPr>
        <w:t>ndërtohen</w:t>
      </w:r>
      <w:r w:rsidR="00876CCC" w:rsidRPr="00E35625">
        <w:rPr>
          <w:lang w:val="sq-AL"/>
        </w:rPr>
        <w:t xml:space="preserve"> </w:t>
      </w:r>
      <w:r w:rsidRPr="00E35625">
        <w:rPr>
          <w:lang w:val="sq-AL"/>
        </w:rPr>
        <w:t xml:space="preserve">programe te reja dhe të përshtatura qe nxisin punësimin dhe zhvillimin e kapaciteteve të personave me aftësi të kufizuara në vendin e punës; si dhe instrumente të reja për mbështetjen e sektorit privat dhe publik për të </w:t>
      </w:r>
      <w:r w:rsidR="00876CCC">
        <w:rPr>
          <w:lang w:val="sq-AL"/>
        </w:rPr>
        <w:t>përfshirë</w:t>
      </w:r>
      <w:r w:rsidR="00876CCC" w:rsidRPr="00E35625">
        <w:rPr>
          <w:lang w:val="sq-AL"/>
        </w:rPr>
        <w:t xml:space="preserve"> </w:t>
      </w:r>
      <w:r w:rsidRPr="00E35625">
        <w:rPr>
          <w:lang w:val="sq-AL"/>
        </w:rPr>
        <w:t>personat me aftësi të kufizuara në vendin e punës duke sigur</w:t>
      </w:r>
      <w:r w:rsidR="00876CCC">
        <w:rPr>
          <w:lang w:val="sq-AL"/>
        </w:rPr>
        <w:t>uar</w:t>
      </w:r>
      <w:r w:rsidRPr="00E35625">
        <w:rPr>
          <w:lang w:val="sq-AL"/>
        </w:rPr>
        <w:t xml:space="preserve"> pajisje</w:t>
      </w:r>
      <w:r w:rsidR="00876CCC">
        <w:rPr>
          <w:lang w:val="sq-AL"/>
        </w:rPr>
        <w:t>t</w:t>
      </w:r>
      <w:r w:rsidRPr="00E35625">
        <w:rPr>
          <w:lang w:val="sq-AL"/>
        </w:rPr>
        <w:t xml:space="preserve"> dhe shërbime</w:t>
      </w:r>
      <w:r w:rsidR="00876CCC">
        <w:rPr>
          <w:lang w:val="sq-AL"/>
        </w:rPr>
        <w:t>t</w:t>
      </w:r>
      <w:r w:rsidRPr="00E35625">
        <w:rPr>
          <w:lang w:val="sq-AL"/>
        </w:rPr>
        <w:t xml:space="preserve"> personale të vazhdueshme (përshtatje e arsyeshme)</w:t>
      </w:r>
      <w:r w:rsidR="00673D73">
        <w:rPr>
          <w:lang w:val="sq-AL"/>
        </w:rPr>
        <w:t>,</w:t>
      </w:r>
      <w:r w:rsidRPr="00E35625">
        <w:rPr>
          <w:lang w:val="sq-AL"/>
        </w:rPr>
        <w:t xml:space="preserve"> të financuara nga Fondi Social i Punësimit. Institucionet do të ndërmarrin fushata informuese dhe ndërgjegjësuese për punëdhënësit dhe sektorin privat me qëllim </w:t>
      </w:r>
      <w:r w:rsidR="00876CCC">
        <w:rPr>
          <w:lang w:val="sq-AL"/>
        </w:rPr>
        <w:t>zhvillimin</w:t>
      </w:r>
      <w:r w:rsidR="00876CCC" w:rsidRPr="00E35625">
        <w:rPr>
          <w:lang w:val="sq-AL"/>
        </w:rPr>
        <w:t xml:space="preserve"> </w:t>
      </w:r>
      <w:r w:rsidRPr="00E35625">
        <w:rPr>
          <w:lang w:val="sq-AL"/>
        </w:rPr>
        <w:t>e kulturës gjithëpërfshirëse në vendet e punës dhe ato trajnuese ose arsimore.</w:t>
      </w:r>
    </w:p>
    <w:p w14:paraId="061E9D80" w14:textId="77777777" w:rsidR="006B559E" w:rsidRPr="00E35625" w:rsidRDefault="006B559E" w:rsidP="002F5E2C">
      <w:pPr>
        <w:pStyle w:val="Heading4"/>
        <w:rPr>
          <w:lang w:val="sq-AL"/>
        </w:rPr>
      </w:pPr>
      <w:bookmarkStart w:id="62" w:name="_Toc119598209"/>
      <w:r w:rsidRPr="00E35625">
        <w:rPr>
          <w:lang w:val="sq-AL"/>
        </w:rPr>
        <w:t>4. Rritja e përfshirjes së grave në tregun e punës</w:t>
      </w:r>
      <w:bookmarkEnd w:id="62"/>
    </w:p>
    <w:p w14:paraId="5F8CEE32" w14:textId="6950BA9B" w:rsidR="006B559E" w:rsidRPr="00E35625" w:rsidRDefault="006B559E" w:rsidP="002F5E2C">
      <w:pPr>
        <w:rPr>
          <w:lang w:val="sq-AL"/>
        </w:rPr>
      </w:pPr>
      <w:r w:rsidRPr="00E35625">
        <w:rPr>
          <w:lang w:val="sq-AL"/>
        </w:rPr>
        <w:t>Kjo masë prioritare do të synojë rritjen e pjesëmarrjes së grave në tregun e punës, me fokus të veçant</w:t>
      </w:r>
      <w:r w:rsidR="00876CCC">
        <w:rPr>
          <w:lang w:val="sq-AL"/>
        </w:rPr>
        <w:t>ë</w:t>
      </w:r>
      <w:r w:rsidRPr="00E35625">
        <w:rPr>
          <w:lang w:val="sq-AL"/>
        </w:rPr>
        <w:t xml:space="preserve"> integrimin e grave joaktive, duke promovuar politika të aftësimit, punësimit fleksibël dhe vetëpunësimit me perspektivë gjinore</w:t>
      </w:r>
      <w:r w:rsidR="00876CCC">
        <w:rPr>
          <w:lang w:val="sq-AL"/>
        </w:rPr>
        <w:t>,</w:t>
      </w:r>
      <w:r w:rsidRPr="00E35625">
        <w:rPr>
          <w:lang w:val="sq-AL"/>
        </w:rPr>
        <w:t xml:space="preserve"> si dhe duke ofruar </w:t>
      </w:r>
      <w:r w:rsidR="00876CCC">
        <w:rPr>
          <w:lang w:val="sq-AL"/>
        </w:rPr>
        <w:t>mbështetje specifike</w:t>
      </w:r>
      <w:r w:rsidRPr="00E35625">
        <w:rPr>
          <w:lang w:val="sq-AL"/>
        </w:rPr>
        <w:t xml:space="preserve"> për aktivizimin e tyre.</w:t>
      </w:r>
    </w:p>
    <w:p w14:paraId="3C9AE4EF" w14:textId="7DBA1FB0" w:rsidR="006B559E" w:rsidRPr="00E35625" w:rsidRDefault="006B559E" w:rsidP="002F5E2C">
      <w:pPr>
        <w:rPr>
          <w:lang w:val="sq-AL"/>
        </w:rPr>
      </w:pPr>
      <w:r w:rsidRPr="00E35625">
        <w:rPr>
          <w:lang w:val="sq-AL"/>
        </w:rPr>
        <w:t xml:space="preserve">Për këtë qëllim, do të ndërtohen mekanizma për identifikimin e nevojave dhe profileve të grave joaktive nëpërmjet administratorëve socialë </w:t>
      </w:r>
      <w:r w:rsidR="00347097">
        <w:rPr>
          <w:lang w:val="sq-AL"/>
        </w:rPr>
        <w:t xml:space="preserve">dhe nëpunësve/nëpunëseve gjinore </w:t>
      </w:r>
      <w:r w:rsidRPr="00E35625">
        <w:rPr>
          <w:lang w:val="sq-AL"/>
        </w:rPr>
        <w:t xml:space="preserve">në nivel vendor si dhe mekanizma për të ofruar mundësi aftësimi dhe punësimi në sektorë të ndryshëm ekonomikë, përfshirë </w:t>
      </w:r>
      <w:r w:rsidR="00876CCC">
        <w:rPr>
          <w:lang w:val="sq-AL"/>
        </w:rPr>
        <w:t>dhe atë të</w:t>
      </w:r>
      <w:r w:rsidRPr="00E35625">
        <w:rPr>
          <w:lang w:val="sq-AL"/>
        </w:rPr>
        <w:t xml:space="preserve"> përkujdesjes. </w:t>
      </w:r>
    </w:p>
    <w:p w14:paraId="1D4D6677" w14:textId="73735B62" w:rsidR="006B559E" w:rsidRPr="00E35625" w:rsidRDefault="006B559E" w:rsidP="002F5E2C">
      <w:pPr>
        <w:rPr>
          <w:lang w:val="sq-AL"/>
        </w:rPr>
      </w:pPr>
      <w:r w:rsidRPr="00E35625">
        <w:rPr>
          <w:lang w:val="sq-AL"/>
        </w:rPr>
        <w:t xml:space="preserve">Institucionet do të hartojnë dhe zbatojnë programe për rritjen e pjesëmarrjes së grave në tregun e punës rural dhe bujqësor duke ofruar informacion dhe mbështetje për të aksesuar dhe </w:t>
      </w:r>
      <w:r w:rsidR="00876CCC">
        <w:rPr>
          <w:lang w:val="sq-AL"/>
        </w:rPr>
        <w:t>mundësuar</w:t>
      </w:r>
      <w:r w:rsidR="00876CCC" w:rsidRPr="00E35625">
        <w:rPr>
          <w:lang w:val="sq-AL"/>
        </w:rPr>
        <w:t xml:space="preserve"> </w:t>
      </w:r>
      <w:r w:rsidR="00876CCC">
        <w:rPr>
          <w:lang w:val="sq-AL"/>
        </w:rPr>
        <w:t xml:space="preserve">marrjen e </w:t>
      </w:r>
      <w:r w:rsidRPr="00E35625">
        <w:rPr>
          <w:lang w:val="sq-AL"/>
        </w:rPr>
        <w:t>fonde</w:t>
      </w:r>
      <w:r w:rsidR="00876CCC">
        <w:rPr>
          <w:lang w:val="sq-AL"/>
        </w:rPr>
        <w:t>ve</w:t>
      </w:r>
      <w:r w:rsidRPr="00E35625">
        <w:rPr>
          <w:lang w:val="sq-AL"/>
        </w:rPr>
        <w:t xml:space="preserve"> për zhvillim, si </w:t>
      </w:r>
      <w:r w:rsidR="00876CCC">
        <w:rPr>
          <w:lang w:val="sq-AL"/>
        </w:rPr>
        <w:t>ato</w:t>
      </w:r>
      <w:r w:rsidRPr="00E35625">
        <w:rPr>
          <w:lang w:val="sq-AL"/>
        </w:rPr>
        <w:t xml:space="preserve"> për zhvillimin rural, agroturizmin apo turizmin.</w:t>
      </w:r>
    </w:p>
    <w:p w14:paraId="3D609B34" w14:textId="77777777" w:rsidR="006B559E" w:rsidRPr="00E35625" w:rsidRDefault="006B559E" w:rsidP="002F5E2C">
      <w:pPr>
        <w:rPr>
          <w:lang w:val="sq-AL"/>
        </w:rPr>
      </w:pPr>
      <w:r w:rsidRPr="00E35625">
        <w:rPr>
          <w:lang w:val="sq-AL"/>
        </w:rPr>
        <w:t>Institucionet do të mbështesin gratë joaktive me sipërmarrjen dhe ekonominë sociale, prodhimin e produkteve vendore apo ekonominë e gjelbër, aktivitetet e biznesit online, si dhe vlerësimin e mundësisë së stimujve fiskalë në këta sektorë.</w:t>
      </w:r>
    </w:p>
    <w:p w14:paraId="3E2EE7AB" w14:textId="3ABA75DD" w:rsidR="006B559E" w:rsidRPr="00E35625" w:rsidRDefault="006B559E" w:rsidP="002F5E2C">
      <w:pPr>
        <w:pStyle w:val="Heading4"/>
        <w:rPr>
          <w:lang w:val="sq-AL"/>
        </w:rPr>
      </w:pPr>
      <w:bookmarkStart w:id="63" w:name="_Toc119598210"/>
      <w:r w:rsidRPr="00E35625">
        <w:rPr>
          <w:lang w:val="sq-AL"/>
        </w:rPr>
        <w:t xml:space="preserve">5. Fuqizimi dhe përmirësimi i efikasitetit të inspektimit </w:t>
      </w:r>
      <w:r w:rsidR="00D73C86">
        <w:rPr>
          <w:lang w:val="sq-AL"/>
        </w:rPr>
        <w:t>të</w:t>
      </w:r>
      <w:r w:rsidR="00D73C86" w:rsidRPr="00E35625">
        <w:rPr>
          <w:lang w:val="sq-AL"/>
        </w:rPr>
        <w:t xml:space="preserve"> </w:t>
      </w:r>
      <w:r w:rsidRPr="00E35625">
        <w:rPr>
          <w:lang w:val="sq-AL"/>
        </w:rPr>
        <w:t>punë</w:t>
      </w:r>
      <w:r w:rsidR="00D73C86">
        <w:rPr>
          <w:lang w:val="sq-AL"/>
        </w:rPr>
        <w:t>s</w:t>
      </w:r>
      <w:r w:rsidRPr="00E35625">
        <w:rPr>
          <w:lang w:val="sq-AL"/>
        </w:rPr>
        <w:t xml:space="preserve"> në të gjithë territorin e vendit</w:t>
      </w:r>
      <w:bookmarkEnd w:id="63"/>
    </w:p>
    <w:p w14:paraId="287A536E" w14:textId="6B076FBB" w:rsidR="006B559E" w:rsidRPr="00D73C86" w:rsidRDefault="006B559E" w:rsidP="002F5E2C">
      <w:pPr>
        <w:rPr>
          <w:lang w:val="sq-AL"/>
        </w:rPr>
      </w:pPr>
      <w:r w:rsidRPr="00D73C86">
        <w:rPr>
          <w:lang w:val="sq-AL"/>
        </w:rPr>
        <w:t>Institucionet do të forcojnë edhe më tej rolin e tyre në zbatimin e legjislacionit të punës</w:t>
      </w:r>
      <w:r w:rsidR="00347097">
        <w:rPr>
          <w:lang w:val="sq-AL"/>
        </w:rPr>
        <w:t xml:space="preserve"> dhe të mbrojtjes nga diskriminimi</w:t>
      </w:r>
      <w:r w:rsidRPr="00D73C86">
        <w:rPr>
          <w:lang w:val="sq-AL"/>
        </w:rPr>
        <w:t>,</w:t>
      </w:r>
      <w:r w:rsidR="00347097">
        <w:rPr>
          <w:lang w:val="sq-AL"/>
        </w:rPr>
        <w:t xml:space="preserve"> </w:t>
      </w:r>
      <w:r w:rsidRPr="00D73C86">
        <w:rPr>
          <w:lang w:val="sq-AL"/>
        </w:rPr>
        <w:t xml:space="preserve">garantimin e sigurisë në punë dhe përmirësimin e kushteve e shëndetit duke u fokusuar në përmirësimin e monitorimit dhe inspektimit në vendin e punës si dhe promovimin e kulturës parandaluese dhe mbështetëse. </w:t>
      </w:r>
    </w:p>
    <w:p w14:paraId="77DF614C" w14:textId="7B369865" w:rsidR="006B559E" w:rsidRPr="00D73C86" w:rsidRDefault="006B559E" w:rsidP="002F5E2C">
      <w:pPr>
        <w:rPr>
          <w:lang w:val="sq-AL"/>
        </w:rPr>
      </w:pPr>
      <w:r w:rsidRPr="00D73C86">
        <w:rPr>
          <w:lang w:val="sq-AL"/>
        </w:rPr>
        <w:t xml:space="preserve">Për të përmirësuar monitorimin dhe inspektimit në vendin e punës institucionet do të punojnë në modernizimin, fuqizimin dhe zgjerimin e kapaciteteve inspektuese, koordinimin e aktivitetit të tyre me institucionet e tjera të lidhura me punën, përmirësimin e mëtejshëm të infrastrukturës së inspektimit dhe digjitalizimit të saj, zgjerimit të fushës së veprimit dhe mbulimit nga inspektimi i punës, organizimit të inspektimeve të bazuar mbi riskun, kryerjes </w:t>
      </w:r>
      <w:r w:rsidR="00876CCC" w:rsidRPr="00D73C86">
        <w:rPr>
          <w:lang w:val="sq-AL"/>
        </w:rPr>
        <w:t>gjithnjë e më shumë</w:t>
      </w:r>
      <w:r w:rsidRPr="00D73C86">
        <w:rPr>
          <w:lang w:val="sq-AL"/>
        </w:rPr>
        <w:t xml:space="preserve"> të inspektimeve të përputhshmërisë (</w:t>
      </w:r>
      <w:r w:rsidR="00371627">
        <w:rPr>
          <w:lang w:val="sq-AL"/>
        </w:rPr>
        <w:t>bazuar në lista kontrolli të përditësuara</w:t>
      </w:r>
      <w:r w:rsidRPr="00D73C86">
        <w:rPr>
          <w:lang w:val="sq-AL"/>
        </w:rPr>
        <w:t xml:space="preserve">). </w:t>
      </w:r>
    </w:p>
    <w:p w14:paraId="4FA4A59B" w14:textId="56597559" w:rsidR="006B559E" w:rsidRPr="00D73C86" w:rsidRDefault="00876CCC" w:rsidP="002F5E2C">
      <w:pPr>
        <w:rPr>
          <w:lang w:val="sq-AL"/>
        </w:rPr>
      </w:pPr>
      <w:r w:rsidRPr="00D73C86">
        <w:rPr>
          <w:lang w:val="sq-AL"/>
        </w:rPr>
        <w:t>P</w:t>
      </w:r>
      <w:r w:rsidR="006B559E" w:rsidRPr="00D73C86">
        <w:rPr>
          <w:lang w:val="sq-AL"/>
        </w:rPr>
        <w:t>ër të përmirësuar ndërgjegjësimin e punëdhënësve dhe punëmarrësve në lidhje me të drejtat dhe përgjegjësitë, kërkesave ligjore të kushteve të punës, institucionet do të forcojnë sistemin informues e këshillues, përfshirë shërbimet për bizneset, si dhe përdorimin e masave administrative për të parandaluar dhe minimizuar shkeljet e legjislacionit të punës, sidomos ato që lidhen me marrëdhëniet e punës</w:t>
      </w:r>
      <w:r w:rsidR="00371627">
        <w:rPr>
          <w:lang w:val="sq-AL"/>
        </w:rPr>
        <w:t xml:space="preserve"> dhe</w:t>
      </w:r>
      <w:r w:rsidR="006B559E" w:rsidRPr="00D73C86">
        <w:rPr>
          <w:lang w:val="sq-AL"/>
        </w:rPr>
        <w:t xml:space="preserve"> sigurisë dhe shëndetit në punë.</w:t>
      </w:r>
    </w:p>
    <w:p w14:paraId="7A721507" w14:textId="77777777" w:rsidR="006B559E" w:rsidRPr="00E35625" w:rsidRDefault="006B559E" w:rsidP="002F5E2C">
      <w:pPr>
        <w:pStyle w:val="Heading4"/>
        <w:rPr>
          <w:lang w:val="sq-AL"/>
        </w:rPr>
      </w:pPr>
      <w:bookmarkStart w:id="64" w:name="_Toc119598211"/>
      <w:r w:rsidRPr="00E35625">
        <w:rPr>
          <w:lang w:val="sq-AL"/>
        </w:rPr>
        <w:t>6. Promovimi i dialogut social në tregun e punës</w:t>
      </w:r>
      <w:bookmarkEnd w:id="64"/>
    </w:p>
    <w:p w14:paraId="059DB910" w14:textId="3B57943D" w:rsidR="006B559E" w:rsidRPr="00E35625" w:rsidRDefault="006B559E" w:rsidP="002F5E2C">
      <w:pPr>
        <w:rPr>
          <w:lang w:val="sq-AL"/>
        </w:rPr>
      </w:pPr>
      <w:r w:rsidRPr="00E35625">
        <w:rPr>
          <w:lang w:val="sq-AL"/>
        </w:rPr>
        <w:t xml:space="preserve">Mbështetja e rolit të dialogut social në vend </w:t>
      </w:r>
      <w:r w:rsidR="008D3D4B">
        <w:rPr>
          <w:lang w:val="sq-AL"/>
        </w:rPr>
        <w:t xml:space="preserve">u </w:t>
      </w:r>
      <w:r w:rsidRPr="00E35625">
        <w:rPr>
          <w:lang w:val="sq-AL"/>
        </w:rPr>
        <w:t xml:space="preserve">shërben drejtpërdrejt reformave në fushën e punësimit dhe orientimit të politikave ekonomike të vendit duke synuar harmonizimin e plotë të legjislacionit dhe mekanizmave institucionale të tregut të punës me standardet e Bashkimit </w:t>
      </w:r>
      <w:r w:rsidR="00CE78CD">
        <w:rPr>
          <w:lang w:val="sq-AL"/>
        </w:rPr>
        <w:t xml:space="preserve">Evropian </w:t>
      </w:r>
      <w:r w:rsidRPr="00E35625">
        <w:rPr>
          <w:lang w:val="sq-AL"/>
        </w:rPr>
        <w:t>dhe ve</w:t>
      </w:r>
      <w:r w:rsidR="000F2B9F">
        <w:rPr>
          <w:lang w:val="sq-AL"/>
        </w:rPr>
        <w:t>ç</w:t>
      </w:r>
      <w:r w:rsidRPr="00E35625">
        <w:rPr>
          <w:lang w:val="sq-AL"/>
        </w:rPr>
        <w:t xml:space="preserve">anërisht në </w:t>
      </w:r>
      <w:r w:rsidR="000F2B9F">
        <w:rPr>
          <w:lang w:val="sq-AL"/>
        </w:rPr>
        <w:t>ç</w:t>
      </w:r>
      <w:r w:rsidRPr="00E35625">
        <w:rPr>
          <w:lang w:val="sq-AL"/>
        </w:rPr>
        <w:t xml:space="preserve">ështjet që lidhen me marrëdhëniet në punë, sigurinë dhe shëndetin në punë, mundësitë e barabarta </w:t>
      </w:r>
      <w:r w:rsidRPr="00E35625">
        <w:rPr>
          <w:lang w:val="sq-AL"/>
        </w:rPr>
        <w:lastRenderedPageBreak/>
        <w:t xml:space="preserve">për gratë dhe vajzat, personat me aftësi të kufizuara dhe grupeve të tjera të cënueshme të shoqërisë shqiptare. </w:t>
      </w:r>
    </w:p>
    <w:p w14:paraId="0ED156AF" w14:textId="05D4112B" w:rsidR="006B559E" w:rsidRPr="00E35625" w:rsidRDefault="006B559E" w:rsidP="002F5E2C">
      <w:pPr>
        <w:rPr>
          <w:lang w:val="sq-AL"/>
        </w:rPr>
      </w:pPr>
      <w:r w:rsidRPr="00E35625">
        <w:rPr>
          <w:lang w:val="sq-AL"/>
        </w:rPr>
        <w:t xml:space="preserve">Për arritjen e këtij qëllimi do të vijojë të përkrahet ndërveprimi tripalësh punëdhënës-punëmarrës-institucione dhe do të mbështetet me të gjitha mënyrat e parashikuara në ligj organizimi i punëmarrësve për të mundësuar një pjesëmarrje gjithëpërfshirëse dhe aktive të tyre në procesin e dialogut social </w:t>
      </w:r>
      <w:r w:rsidR="000F2B9F">
        <w:rPr>
          <w:lang w:val="sq-AL"/>
        </w:rPr>
        <w:t xml:space="preserve">si </w:t>
      </w:r>
      <w:r w:rsidRPr="00E35625">
        <w:rPr>
          <w:lang w:val="sq-AL"/>
        </w:rPr>
        <w:t>dhe garantuar funksionimin e një llogaridhënieje transparente dhe efikase. Krahas fuqizimit të dialogut social në nivel qendror, përparësi do t’i jepet ngritjes dhe mbështetjes së këtij procesi edhe në nivel lokal duke synuar një përfshirje sa më të gjerë dhe efikase në zgjidhjen e sfidave të tregut të punës. Hapja e dialogut social ndaj organizimeve të punëmarrësve dhe punëdhënësve, ve</w:t>
      </w:r>
      <w:r w:rsidR="000F2B9F">
        <w:rPr>
          <w:lang w:val="sq-AL"/>
        </w:rPr>
        <w:t>ç</w:t>
      </w:r>
      <w:r w:rsidRPr="00E35625">
        <w:rPr>
          <w:lang w:val="sq-AL"/>
        </w:rPr>
        <w:t>anërisht në aktivitetet e reja ekonomike dhe format e reja të punës, do të realizohet përmes rishikimit të kujdesshëm të kritereve të përfaqësimit në forumet përkatëse të dialogut tripalësh në nivel qendror dhe lokal, përfshirë funksionimin efikas të Këshillit Kombëtar të Punës, për të garantuar dialog produktiv, gjithëpërfshirës</w:t>
      </w:r>
      <w:r w:rsidR="000F2B9F">
        <w:rPr>
          <w:lang w:val="sq-AL"/>
        </w:rPr>
        <w:t xml:space="preserve"> dhe</w:t>
      </w:r>
      <w:r w:rsidRPr="00E35625">
        <w:rPr>
          <w:lang w:val="sq-AL"/>
        </w:rPr>
        <w:t xml:space="preserve"> llogaridhënës. </w:t>
      </w:r>
    </w:p>
    <w:p w14:paraId="0FF73013" w14:textId="77777777" w:rsidR="006B559E" w:rsidRPr="00E35625" w:rsidRDefault="006B559E" w:rsidP="002F5E2C">
      <w:pPr>
        <w:rPr>
          <w:lang w:val="sq-AL"/>
        </w:rPr>
      </w:pPr>
      <w:r w:rsidRPr="00E35625">
        <w:rPr>
          <w:lang w:val="sq-AL"/>
        </w:rPr>
        <w:t>Krahas promovimit të dialogut social në nivel qendror dhe lokal, në përputhje me zhvillimet e njëjta në vendet e Bashkimit Europian, përparësi do t’i jepet hapjes dhe përfshirjes në dialog të palëve të tjera me interes dhe kontribut për tregun e punës, si organizatat e shoqërisë civile aktive në këtë sektor (</w:t>
      </w:r>
      <w:r w:rsidRPr="008D3D4B">
        <w:rPr>
          <w:i/>
          <w:lang w:val="sq-AL"/>
        </w:rPr>
        <w:t>tripartitizmi plus</w:t>
      </w:r>
      <w:r w:rsidRPr="00E35625">
        <w:rPr>
          <w:lang w:val="sq-AL"/>
        </w:rPr>
        <w:t>).</w:t>
      </w:r>
    </w:p>
    <w:p w14:paraId="18FBFABB" w14:textId="77777777" w:rsidR="006B559E" w:rsidRPr="00E35625" w:rsidRDefault="006B559E" w:rsidP="002F5E2C">
      <w:pPr>
        <w:rPr>
          <w:lang w:val="sq-AL"/>
        </w:rPr>
      </w:pPr>
      <w:r w:rsidRPr="00E35625">
        <w:rPr>
          <w:lang w:val="sq-AL"/>
        </w:rPr>
        <w:t>Pjesë e këtij procesi do të jetë edhe fuqizimi i strukturave institucionale për adresimin dhe ndërmjetësimin efikas të konflikteve dhe pajtimit në tregun e punës për kontratat kolektive dhe mbrojtjen e të drejtave të punëmarrësve, për të mundësuar një zhvillim të shëndetshëm të dialogut social në vend.</w:t>
      </w:r>
    </w:p>
    <w:p w14:paraId="15CEA9C2" w14:textId="061970E4" w:rsidR="006B559E" w:rsidRPr="00E35625" w:rsidRDefault="006B559E" w:rsidP="002F5E2C">
      <w:pPr>
        <w:pStyle w:val="Heading4"/>
        <w:rPr>
          <w:lang w:val="sq-AL"/>
        </w:rPr>
      </w:pPr>
      <w:bookmarkStart w:id="65" w:name="_Toc119598212"/>
      <w:r w:rsidRPr="00E35625">
        <w:rPr>
          <w:lang w:val="sq-AL"/>
        </w:rPr>
        <w:t>7. Përmirësim</w:t>
      </w:r>
      <w:r w:rsidR="000F2B9F">
        <w:rPr>
          <w:lang w:val="sq-AL"/>
        </w:rPr>
        <w:t>i</w:t>
      </w:r>
      <w:r w:rsidRPr="00E35625">
        <w:rPr>
          <w:lang w:val="sq-AL"/>
        </w:rPr>
        <w:t xml:space="preserve"> i politikave për punësim të denjë</w:t>
      </w:r>
      <w:bookmarkEnd w:id="65"/>
      <w:r w:rsidRPr="00E35625">
        <w:rPr>
          <w:lang w:val="sq-AL"/>
        </w:rPr>
        <w:t> </w:t>
      </w:r>
    </w:p>
    <w:p w14:paraId="78BFAB21" w14:textId="77777777" w:rsidR="008D3D4B" w:rsidRDefault="006B559E" w:rsidP="00E14B65">
      <w:pPr>
        <w:rPr>
          <w:lang w:val="sq-AL"/>
        </w:rPr>
      </w:pPr>
      <w:r w:rsidRPr="00E35625">
        <w:rPr>
          <w:lang w:val="sq-AL"/>
        </w:rPr>
        <w:t xml:space="preserve">Për të mundësuar rritjen e mirëqenies dhe kushtet e jetesës së të gjithë punonjësve, në vëmendje të zbatimit të strategjisë do të jetë mbështetja e reformave dhe politikave që synojnë një punë të denjë mbështetur nga një sistem efikas mbrojtjeje në rastet e papunësisë, kushte të mira pune, paga të denja dhe konkurruese përmes mekanizmave funksionues të tregut. </w:t>
      </w:r>
    </w:p>
    <w:p w14:paraId="34533871" w14:textId="0DD3285A" w:rsidR="006B559E" w:rsidRPr="00E35625" w:rsidRDefault="006B559E" w:rsidP="00E14B65">
      <w:pPr>
        <w:rPr>
          <w:lang w:val="sq-AL"/>
        </w:rPr>
      </w:pPr>
      <w:r w:rsidRPr="00E35625">
        <w:rPr>
          <w:lang w:val="sq-AL"/>
        </w:rPr>
        <w:t>Zbatimi i strategjisë do të synojë të gjitha aspektet e rëndësishme të punës së denjë, duke përfshirë të drejtën e asociimit, zhvillimit të karrierës, orarit të punës si dhe rishikimin e vazhdueshëm të pagës minimale në shkallë vendi me pjesëmarrje</w:t>
      </w:r>
      <w:r w:rsidR="008D3D4B">
        <w:rPr>
          <w:lang w:val="sq-AL"/>
        </w:rPr>
        <w:t>n e</w:t>
      </w:r>
      <w:r w:rsidRPr="00E35625">
        <w:rPr>
          <w:lang w:val="sq-AL"/>
        </w:rPr>
        <w:t xml:space="preserve"> të gjithë aktorëve të dialogut social</w:t>
      </w:r>
      <w:r w:rsidR="000F2B9F">
        <w:rPr>
          <w:lang w:val="sq-AL"/>
        </w:rPr>
        <w:t>,</w:t>
      </w:r>
      <w:r w:rsidRPr="00E35625">
        <w:rPr>
          <w:lang w:val="sq-AL"/>
        </w:rPr>
        <w:t xml:space="preserve"> </w:t>
      </w:r>
      <w:r w:rsidR="000F2B9F">
        <w:rPr>
          <w:lang w:val="sq-AL"/>
        </w:rPr>
        <w:t>si dh</w:t>
      </w:r>
      <w:r w:rsidRPr="00E35625">
        <w:rPr>
          <w:lang w:val="sq-AL"/>
        </w:rPr>
        <w:t>e trajtimin e çështjeve të lidhura me to, si informaliteti, hapja e tregut të punës, konkur</w:t>
      </w:r>
      <w:r w:rsidR="008D3D4B">
        <w:rPr>
          <w:lang w:val="sq-AL"/>
        </w:rPr>
        <w:t>r</w:t>
      </w:r>
      <w:r w:rsidRPr="00E35625">
        <w:rPr>
          <w:lang w:val="sq-AL"/>
        </w:rPr>
        <w:t>enca në rajonin e integruar, perspektiva gjinore në punë</w:t>
      </w:r>
      <w:r w:rsidR="008D3D4B">
        <w:rPr>
          <w:lang w:val="sq-AL"/>
        </w:rPr>
        <w:t>, siguria dhe shëndeti në punë,</w:t>
      </w:r>
      <w:r w:rsidRPr="00E35625">
        <w:rPr>
          <w:lang w:val="sq-AL"/>
        </w:rPr>
        <w:t xml:space="preserve"> etj. </w:t>
      </w:r>
    </w:p>
    <w:p w14:paraId="77A90D08" w14:textId="1BD2F0F6" w:rsidR="006B559E" w:rsidRPr="00E35625" w:rsidRDefault="006B559E" w:rsidP="00E14B65">
      <w:pPr>
        <w:rPr>
          <w:lang w:val="sq-AL"/>
        </w:rPr>
      </w:pPr>
      <w:r w:rsidRPr="00E35625">
        <w:rPr>
          <w:lang w:val="sq-AL"/>
        </w:rPr>
        <w:t>Në këtë kuadër, do të vlerësohet ndërveprimi dhe efektet e politikave dhe mekanizmit të pagesës së papunësisë dhe përfshirjes aktive në tregun e punës</w:t>
      </w:r>
      <w:r w:rsidR="008D3D4B">
        <w:rPr>
          <w:lang w:val="sq-AL"/>
        </w:rPr>
        <w:t xml:space="preserve"> në</w:t>
      </w:r>
      <w:r w:rsidRPr="00E35625">
        <w:rPr>
          <w:lang w:val="sq-AL"/>
        </w:rPr>
        <w:t xml:space="preserve"> drejtësinë dhe barazinë e sistemit të pagesave të papunësisë dhe mbrojtjen që ky sistem ofron</w:t>
      </w:r>
      <w:r w:rsidR="008D3D4B">
        <w:rPr>
          <w:lang w:val="sq-AL"/>
        </w:rPr>
        <w:t xml:space="preserve">, me qëllim vlerësimin e mundësive </w:t>
      </w:r>
      <w:r w:rsidRPr="00E35625">
        <w:rPr>
          <w:lang w:val="sq-AL"/>
        </w:rPr>
        <w:t xml:space="preserve"> </w:t>
      </w:r>
      <w:r w:rsidR="008D3D4B">
        <w:rPr>
          <w:lang w:val="sq-AL"/>
        </w:rPr>
        <w:t xml:space="preserve">për </w:t>
      </w:r>
      <w:r w:rsidRPr="00E35625">
        <w:rPr>
          <w:lang w:val="sq-AL"/>
        </w:rPr>
        <w:t>reformimi</w:t>
      </w:r>
      <w:r w:rsidR="008D3D4B">
        <w:rPr>
          <w:lang w:val="sq-AL"/>
        </w:rPr>
        <w:t>n e</w:t>
      </w:r>
      <w:r w:rsidRPr="00E35625">
        <w:rPr>
          <w:lang w:val="sq-AL"/>
        </w:rPr>
        <w:t xml:space="preserve"> tij </w:t>
      </w:r>
      <w:r w:rsidR="008D3D4B">
        <w:rPr>
          <w:lang w:val="sq-AL"/>
        </w:rPr>
        <w:t>për të ofruar</w:t>
      </w:r>
      <w:r w:rsidRPr="00E35625">
        <w:rPr>
          <w:lang w:val="sq-AL"/>
        </w:rPr>
        <w:t xml:space="preserve"> mbështetje të përshtatshme për të papunët dhe </w:t>
      </w:r>
      <w:r w:rsidR="008D3D4B">
        <w:rPr>
          <w:lang w:val="sq-AL"/>
        </w:rPr>
        <w:t xml:space="preserve">për të </w:t>
      </w:r>
      <w:r w:rsidRPr="00E35625">
        <w:rPr>
          <w:lang w:val="sq-AL"/>
        </w:rPr>
        <w:t>mundësuar përfshirjen aktive të tyre në tregun e punës.</w:t>
      </w:r>
    </w:p>
    <w:p w14:paraId="2B65DEC6" w14:textId="77777777" w:rsidR="006B559E" w:rsidRPr="00E35625" w:rsidRDefault="006B559E" w:rsidP="00E14B65">
      <w:pPr>
        <w:rPr>
          <w:lang w:val="sq-AL"/>
        </w:rPr>
      </w:pPr>
    </w:p>
    <w:p w14:paraId="1E8EF276" w14:textId="77777777" w:rsidR="00D3766D" w:rsidRPr="00E35625" w:rsidRDefault="00D3766D">
      <w:pPr>
        <w:spacing w:before="0" w:after="0" w:line="240" w:lineRule="auto"/>
        <w:jc w:val="left"/>
        <w:rPr>
          <w:rFonts w:asciiTheme="majorHAnsi" w:eastAsiaTheme="majorEastAsia" w:hAnsiTheme="majorHAnsi" w:cstheme="majorBidi"/>
          <w:color w:val="2F5496" w:themeColor="accent1" w:themeShade="BF"/>
          <w:sz w:val="28"/>
          <w:szCs w:val="32"/>
          <w:lang w:val="sq-AL"/>
        </w:rPr>
      </w:pPr>
      <w:r w:rsidRPr="00E35625">
        <w:rPr>
          <w:lang w:val="sq-AL"/>
        </w:rPr>
        <w:br w:type="page"/>
      </w:r>
    </w:p>
    <w:p w14:paraId="0B438A5F" w14:textId="7643B54B" w:rsidR="007B2D8F" w:rsidRPr="00E35625" w:rsidRDefault="007B2D8F" w:rsidP="00E14B65">
      <w:pPr>
        <w:pStyle w:val="Heading1"/>
        <w:rPr>
          <w:lang w:val="sq-AL"/>
        </w:rPr>
      </w:pPr>
      <w:bookmarkStart w:id="66" w:name="_Toc123165421"/>
      <w:r w:rsidRPr="00E35625">
        <w:rPr>
          <w:lang w:val="sq-AL"/>
        </w:rPr>
        <w:lastRenderedPageBreak/>
        <w:t>Llogaridhënia, monitorimi dhe analizat vlerësuese</w:t>
      </w:r>
      <w:bookmarkEnd w:id="66"/>
    </w:p>
    <w:p w14:paraId="62BEBE96" w14:textId="241628E6" w:rsidR="00005EEE" w:rsidRPr="009D64A9" w:rsidRDefault="00005EEE" w:rsidP="009D64A9">
      <w:pPr>
        <w:pStyle w:val="Heading2"/>
        <w:numPr>
          <w:ilvl w:val="1"/>
          <w:numId w:val="3"/>
        </w:numPr>
        <w:rPr>
          <w:lang w:val="sq-AL"/>
        </w:rPr>
      </w:pPr>
      <w:bookmarkStart w:id="67" w:name="_Toc123165422"/>
      <w:r w:rsidRPr="009D64A9">
        <w:rPr>
          <w:lang w:val="sq-AL"/>
        </w:rPr>
        <w:t>Mekanizmat e Zbatimit dhe Koordinimit</w:t>
      </w:r>
      <w:bookmarkEnd w:id="67"/>
    </w:p>
    <w:p w14:paraId="51C67CAC" w14:textId="396EBCF6" w:rsidR="00005EEE" w:rsidRDefault="00005EEE" w:rsidP="00E14B65">
      <w:pPr>
        <w:rPr>
          <w:lang w:val="sq-AL"/>
        </w:rPr>
      </w:pPr>
      <w:r w:rsidRPr="00E35625">
        <w:rPr>
          <w:lang w:val="sq-AL"/>
        </w:rPr>
        <w:t>Strategjia do të zbatohet përgjatë periudhës 2023-2030. Rol udhëhëqës në zbatimin e Strategjisë do të ketë Ministria e Financave dhe Ekonomisë (MFE) si institu</w:t>
      </w:r>
      <w:r w:rsidR="000F2B9F">
        <w:rPr>
          <w:lang w:val="sq-AL"/>
        </w:rPr>
        <w:t>c</w:t>
      </w:r>
      <w:r w:rsidRPr="00E35625">
        <w:rPr>
          <w:lang w:val="sq-AL"/>
        </w:rPr>
        <w:t>ioni përgj</w:t>
      </w:r>
      <w:r w:rsidR="000F2B9F">
        <w:rPr>
          <w:lang w:val="sq-AL"/>
        </w:rPr>
        <w:t>e</w:t>
      </w:r>
      <w:r w:rsidRPr="00E35625">
        <w:rPr>
          <w:lang w:val="sq-AL"/>
        </w:rPr>
        <w:t>gjës për fushën e punësimit</w:t>
      </w:r>
      <w:r w:rsidR="009D64A9">
        <w:rPr>
          <w:lang w:val="sq-AL"/>
        </w:rPr>
        <w:t xml:space="preserve"> dhe aftësimit profesional</w:t>
      </w:r>
      <w:r w:rsidRPr="00E35625">
        <w:rPr>
          <w:lang w:val="sq-AL"/>
        </w:rPr>
        <w:t>. Përgjegjësia për zbatimin e secilës masë dhe çdo ndërhyrje</w:t>
      </w:r>
      <w:r w:rsidR="009D64A9">
        <w:rPr>
          <w:lang w:val="sq-AL"/>
        </w:rPr>
        <w:t>je</w:t>
      </w:r>
      <w:r w:rsidRPr="00E35625">
        <w:rPr>
          <w:lang w:val="sq-AL"/>
        </w:rPr>
        <w:t xml:space="preserve"> brenda masës është përcaktuar në planin e veprimit të Strategjisë i cili është paraqitur në Shtojcën 1.</w:t>
      </w:r>
      <w:r w:rsidR="009D64A9">
        <w:rPr>
          <w:lang w:val="sq-AL"/>
        </w:rPr>
        <w:t xml:space="preserve"> </w:t>
      </w:r>
      <w:r w:rsidR="000F2B9F">
        <w:rPr>
          <w:lang w:val="sq-AL"/>
        </w:rPr>
        <w:t>N</w:t>
      </w:r>
      <w:r w:rsidRPr="00E35625">
        <w:rPr>
          <w:lang w:val="sq-AL"/>
        </w:rPr>
        <w:t>ë aktivitetet e secilës ndërhyrje do të pasqyrohen në planin vjetor operativ të secilit institucionit përgjegjës për zbatimin e Strategjisë.</w:t>
      </w:r>
    </w:p>
    <w:p w14:paraId="11BB002A" w14:textId="1C4491D5" w:rsidR="00005EEE" w:rsidRPr="00E35625" w:rsidRDefault="00005EEE" w:rsidP="00E14B65">
      <w:pPr>
        <w:rPr>
          <w:lang w:val="sq-AL"/>
        </w:rPr>
      </w:pPr>
      <w:r w:rsidRPr="00E35625">
        <w:rPr>
          <w:lang w:val="sq-AL"/>
        </w:rPr>
        <w:t>Strategjia do të jetë pjesë përberëse e Sistemit të Planifikimit të Integruar (SPI)</w:t>
      </w:r>
      <w:r w:rsidR="00D36EB9">
        <w:rPr>
          <w:lang w:val="sq-AL"/>
        </w:rPr>
        <w:t xml:space="preserve"> dhe Strategjisë Kombëtare per Zhvillim dhe Integrim </w:t>
      </w:r>
      <w:r w:rsidR="00CE78CD">
        <w:rPr>
          <w:lang w:val="sq-AL"/>
        </w:rPr>
        <w:t xml:space="preserve">Evropian </w:t>
      </w:r>
      <w:r w:rsidR="00D36EB9">
        <w:rPr>
          <w:lang w:val="sq-AL"/>
        </w:rPr>
        <w:t>2021-2030</w:t>
      </w:r>
      <w:r w:rsidR="00CD65D0">
        <w:rPr>
          <w:lang w:val="sq-AL"/>
        </w:rPr>
        <w:t>.</w:t>
      </w:r>
      <w:r w:rsidR="00CD65D0" w:rsidRPr="00E35625">
        <w:rPr>
          <w:lang w:val="sq-AL"/>
        </w:rPr>
        <w:t xml:space="preserve">  </w:t>
      </w:r>
    </w:p>
    <w:p w14:paraId="4E021510" w14:textId="77777777" w:rsidR="00005EEE" w:rsidRPr="00E35625" w:rsidRDefault="00005EEE" w:rsidP="00CD65D0">
      <w:pPr>
        <w:pStyle w:val="Heading2"/>
        <w:numPr>
          <w:ilvl w:val="1"/>
          <w:numId w:val="3"/>
        </w:numPr>
        <w:rPr>
          <w:lang w:val="sq-AL"/>
        </w:rPr>
      </w:pPr>
      <w:bookmarkStart w:id="68" w:name="_Toc123165423"/>
      <w:r w:rsidRPr="00E35625">
        <w:rPr>
          <w:lang w:val="sq-AL"/>
        </w:rPr>
        <w:t>Monitorimi dhe Vlerësimi</w:t>
      </w:r>
      <w:bookmarkEnd w:id="68"/>
    </w:p>
    <w:p w14:paraId="26B19DE7" w14:textId="2F846F2A" w:rsidR="00005EEE" w:rsidRPr="00E35625" w:rsidRDefault="00005EEE" w:rsidP="00E14B65">
      <w:pPr>
        <w:rPr>
          <w:lang w:val="sq-AL"/>
        </w:rPr>
      </w:pPr>
      <w:r w:rsidRPr="00E35625">
        <w:rPr>
          <w:lang w:val="sq-AL"/>
        </w:rPr>
        <w:t xml:space="preserve">Monitorimi është një proces i vazhdueshëm i mbledhjes dhe analizimit të informacionit në lidhje me zbatimin e </w:t>
      </w:r>
      <w:r w:rsidR="009505A0">
        <w:rPr>
          <w:lang w:val="sq-AL"/>
        </w:rPr>
        <w:t>ndërhyrjeve</w:t>
      </w:r>
      <w:r w:rsidR="009505A0" w:rsidRPr="00E35625">
        <w:rPr>
          <w:lang w:val="sq-AL"/>
        </w:rPr>
        <w:t xml:space="preserve"> </w:t>
      </w:r>
      <w:r w:rsidRPr="00E35625">
        <w:rPr>
          <w:lang w:val="sq-AL"/>
        </w:rPr>
        <w:t xml:space="preserve">dhe masave prioritare. Monitorimi gjurmon veprimet, ndërhyrjet, burimet financiare të alokuara dhe të shpenzuara në baza të rregullta dhe </w:t>
      </w:r>
      <w:r w:rsidR="00D36EB9">
        <w:rPr>
          <w:lang w:val="sq-AL"/>
        </w:rPr>
        <w:t xml:space="preserve">i </w:t>
      </w:r>
      <w:r w:rsidRPr="00E35625">
        <w:rPr>
          <w:lang w:val="sq-AL"/>
        </w:rPr>
        <w:t xml:space="preserve">krahason ato me planin e veprimit për të vlerësuar se </w:t>
      </w:r>
      <w:r w:rsidR="00D36EB9">
        <w:rPr>
          <w:lang w:val="sq-AL"/>
        </w:rPr>
        <w:t>si</w:t>
      </w:r>
      <w:r w:rsidRPr="00E35625">
        <w:rPr>
          <w:lang w:val="sq-AL"/>
        </w:rPr>
        <w:t xml:space="preserve"> po zbatohet Strategjia. Monitorimi i performancës </w:t>
      </w:r>
      <w:r w:rsidR="00D36EB9">
        <w:rPr>
          <w:lang w:val="sq-AL"/>
        </w:rPr>
        <w:t>tregon</w:t>
      </w:r>
      <w:r w:rsidRPr="00E35625">
        <w:rPr>
          <w:lang w:val="sq-AL"/>
        </w:rPr>
        <w:t xml:space="preserve"> rezultatet e arritura në nivele të ndryshme: (i) masat prioritare, (ii) objektivat specifike dhe (iii) synimet afatgjata të cilat përcaktohen si qëllimet e politikës kundrejt </w:t>
      </w:r>
      <w:r w:rsidR="00D36EB9">
        <w:rPr>
          <w:lang w:val="sq-AL"/>
        </w:rPr>
        <w:t>synimeve</w:t>
      </w:r>
      <w:r w:rsidR="00D36EB9" w:rsidRPr="00E35625">
        <w:rPr>
          <w:lang w:val="sq-AL"/>
        </w:rPr>
        <w:t xml:space="preserve"> </w:t>
      </w:r>
      <w:r w:rsidRPr="00E35625">
        <w:rPr>
          <w:lang w:val="sq-AL"/>
        </w:rPr>
        <w:t xml:space="preserve">të caktuara. Monitorimi do të bëhet në bazë të informacionit të mbledhur rregullisht përmes sistemit të monitorimit. Megjithatë, monitorimi i zbatimit të veprimeve dhe ndërhyrjeve brenda masave prioritare, si dhe monitorimi i burimeve financiare të alokuara dhe të shpenzuara do të bëhet në bazë të planit vjetor të punës së institucioneve përgjegjëse për zbatimin e Strategjisë si dhe sipas planin e veprimit të Strategjisë. Nga ana tjetër, monitorimi i performancës ose monitorimi i rezultateve do të bëhet në bazë të kornizës së monitorimit dhe vlerësimit që është përgatitur për këtë qëllim </w:t>
      </w:r>
      <w:r w:rsidR="009505A0">
        <w:rPr>
          <w:lang w:val="sq-AL"/>
        </w:rPr>
        <w:t xml:space="preserve">dhe gjendet në shtojcën 2, </w:t>
      </w:r>
      <w:r w:rsidRPr="00E35625">
        <w:rPr>
          <w:lang w:val="sq-AL"/>
        </w:rPr>
        <w:t xml:space="preserve">ku janë caktuar treguesit </w:t>
      </w:r>
      <w:r w:rsidR="00D36EB9">
        <w:rPr>
          <w:lang w:val="sq-AL"/>
        </w:rPr>
        <w:t>e</w:t>
      </w:r>
      <w:r w:rsidR="00D36EB9" w:rsidRPr="00E35625">
        <w:rPr>
          <w:lang w:val="sq-AL"/>
        </w:rPr>
        <w:t xml:space="preserve"> </w:t>
      </w:r>
      <w:r w:rsidRPr="00E35625">
        <w:rPr>
          <w:lang w:val="sq-AL"/>
        </w:rPr>
        <w:t xml:space="preserve">performancës për masat prioritare, objektivat </w:t>
      </w:r>
      <w:r w:rsidR="00CD65D0" w:rsidRPr="00E35625">
        <w:rPr>
          <w:lang w:val="sq-AL"/>
        </w:rPr>
        <w:t>specifik</w:t>
      </w:r>
      <w:r w:rsidR="00CD65D0">
        <w:rPr>
          <w:lang w:val="sq-AL"/>
        </w:rPr>
        <w:t>ë</w:t>
      </w:r>
      <w:r w:rsidR="00CD65D0" w:rsidRPr="00E35625">
        <w:rPr>
          <w:lang w:val="sq-AL"/>
        </w:rPr>
        <w:t xml:space="preserve"> </w:t>
      </w:r>
      <w:r w:rsidRPr="00E35625">
        <w:rPr>
          <w:lang w:val="sq-AL"/>
        </w:rPr>
        <w:t xml:space="preserve">dhe qëllimet kryesore të politikës </w:t>
      </w:r>
      <w:r w:rsidR="00D36EB9">
        <w:rPr>
          <w:lang w:val="sq-AL"/>
        </w:rPr>
        <w:t xml:space="preserve">si </w:t>
      </w:r>
      <w:r w:rsidRPr="00E35625">
        <w:rPr>
          <w:lang w:val="sq-AL"/>
        </w:rPr>
        <w:t xml:space="preserve">dhe është përcaktuar përgjegjësia për mbledhjen e të dhënave. </w:t>
      </w:r>
    </w:p>
    <w:p w14:paraId="56D156A2" w14:textId="7CB327CD" w:rsidR="00005EEE" w:rsidRPr="00E35625" w:rsidRDefault="00005EEE" w:rsidP="00E14B65">
      <w:pPr>
        <w:rPr>
          <w:lang w:val="sq-AL"/>
        </w:rPr>
      </w:pPr>
      <w:r w:rsidRPr="00E35625">
        <w:rPr>
          <w:lang w:val="sq-AL"/>
        </w:rPr>
        <w:t xml:space="preserve">Monitorimi i zbatimit të </w:t>
      </w:r>
      <w:r w:rsidR="009505A0">
        <w:rPr>
          <w:lang w:val="sq-AL"/>
        </w:rPr>
        <w:t>masave prioritare</w:t>
      </w:r>
      <w:r w:rsidR="00D36EB9">
        <w:rPr>
          <w:lang w:val="sq-AL"/>
        </w:rPr>
        <w:t>,</w:t>
      </w:r>
      <w:r w:rsidR="009505A0">
        <w:rPr>
          <w:lang w:val="sq-AL"/>
        </w:rPr>
        <w:t xml:space="preserve"> </w:t>
      </w:r>
      <w:r w:rsidRPr="00E35625">
        <w:rPr>
          <w:lang w:val="sq-AL"/>
        </w:rPr>
        <w:t>ndërhyrjeve dhe i burimeve financiare të alokuara dhe të shpenzuara</w:t>
      </w:r>
      <w:r w:rsidR="00CD65D0">
        <w:rPr>
          <w:lang w:val="sq-AL"/>
        </w:rPr>
        <w:t>, si</w:t>
      </w:r>
      <w:r w:rsidRPr="00E35625">
        <w:rPr>
          <w:lang w:val="sq-AL"/>
        </w:rPr>
        <w:t xml:space="preserve"> </w:t>
      </w:r>
      <w:r w:rsidR="00CD65D0">
        <w:rPr>
          <w:lang w:val="sq-AL"/>
        </w:rPr>
        <w:t>dhe</w:t>
      </w:r>
      <w:r w:rsidRPr="00E35625">
        <w:rPr>
          <w:lang w:val="sq-AL"/>
        </w:rPr>
        <w:t xml:space="preserve"> monitorimi i performancës </w:t>
      </w:r>
      <w:r w:rsidR="00D36EB9">
        <w:rPr>
          <w:lang w:val="sq-AL"/>
        </w:rPr>
        <w:t xml:space="preserve">do </w:t>
      </w:r>
      <w:r w:rsidR="009505A0">
        <w:rPr>
          <w:lang w:val="sq-AL"/>
        </w:rPr>
        <w:t xml:space="preserve">të </w:t>
      </w:r>
      <w:r w:rsidR="00D36EB9">
        <w:rPr>
          <w:lang w:val="sq-AL"/>
        </w:rPr>
        <w:t>kryhe</w:t>
      </w:r>
      <w:r w:rsidR="00CD65D0">
        <w:rPr>
          <w:lang w:val="sq-AL"/>
        </w:rPr>
        <w:t>n</w:t>
      </w:r>
      <w:r w:rsidR="00D36EB9">
        <w:rPr>
          <w:lang w:val="sq-AL"/>
        </w:rPr>
        <w:t xml:space="preserve"> </w:t>
      </w:r>
      <w:r w:rsidRPr="00E35625">
        <w:rPr>
          <w:lang w:val="sq-AL"/>
        </w:rPr>
        <w:t>në baz</w:t>
      </w:r>
      <w:r w:rsidR="00CD65D0">
        <w:rPr>
          <w:lang w:val="sq-AL"/>
        </w:rPr>
        <w:t>ë</w:t>
      </w:r>
      <w:r w:rsidRPr="00E35625">
        <w:rPr>
          <w:lang w:val="sq-AL"/>
        </w:rPr>
        <w:t xml:space="preserve"> vjetore. Ministria do të ketë përgjegjësinë të sistematizojë informacionin e monitorimit dhe t</w:t>
      </w:r>
      <w:r w:rsidR="009505A0">
        <w:rPr>
          <w:lang w:val="sq-AL"/>
        </w:rPr>
        <w:t>a</w:t>
      </w:r>
      <w:r w:rsidRPr="00E35625">
        <w:rPr>
          <w:lang w:val="sq-AL"/>
        </w:rPr>
        <w:t xml:space="preserve"> </w:t>
      </w:r>
      <w:r w:rsidR="009505A0">
        <w:rPr>
          <w:lang w:val="sq-AL"/>
        </w:rPr>
        <w:t>paraqesë</w:t>
      </w:r>
      <w:r w:rsidR="009505A0" w:rsidRPr="00E35625">
        <w:rPr>
          <w:lang w:val="sq-AL"/>
        </w:rPr>
        <w:t xml:space="preserve"> </w:t>
      </w:r>
      <w:r w:rsidRPr="00E35625">
        <w:rPr>
          <w:lang w:val="sq-AL"/>
        </w:rPr>
        <w:t xml:space="preserve">në raportin </w:t>
      </w:r>
      <w:r w:rsidR="009505A0">
        <w:rPr>
          <w:lang w:val="sq-AL"/>
        </w:rPr>
        <w:t>përkatës të monitorimit, i cili do t’i dorëzohet qeverisë</w:t>
      </w:r>
      <w:r w:rsidRPr="00E35625">
        <w:rPr>
          <w:lang w:val="sq-AL"/>
        </w:rPr>
        <w:t>, por edhe do të diskutohet me akt</w:t>
      </w:r>
      <w:r w:rsidR="00D36EB9">
        <w:rPr>
          <w:lang w:val="sq-AL"/>
        </w:rPr>
        <w:t>o</w:t>
      </w:r>
      <w:r w:rsidRPr="00E35625">
        <w:rPr>
          <w:lang w:val="sq-AL"/>
        </w:rPr>
        <w:t xml:space="preserve">rë </w:t>
      </w:r>
      <w:r w:rsidR="00D36EB9">
        <w:rPr>
          <w:lang w:val="sq-AL"/>
        </w:rPr>
        <w:t>të tjerë</w:t>
      </w:r>
      <w:r w:rsidRPr="00E35625">
        <w:rPr>
          <w:lang w:val="sq-AL"/>
        </w:rPr>
        <w:t>.</w:t>
      </w:r>
    </w:p>
    <w:p w14:paraId="05A6D5C8" w14:textId="02CC7DE3" w:rsidR="00005EEE" w:rsidRPr="00E35625" w:rsidRDefault="00D36EB9" w:rsidP="00E14B65">
      <w:pPr>
        <w:rPr>
          <w:lang w:val="sq-AL"/>
        </w:rPr>
      </w:pPr>
      <w:r>
        <w:rPr>
          <w:lang w:val="sq-AL"/>
        </w:rPr>
        <w:t xml:space="preserve">Për </w:t>
      </w:r>
      <w:r w:rsidR="00005EEE" w:rsidRPr="00E35625">
        <w:rPr>
          <w:lang w:val="sq-AL"/>
        </w:rPr>
        <w:t>vlerësimi</w:t>
      </w:r>
      <w:r>
        <w:rPr>
          <w:lang w:val="sq-AL"/>
        </w:rPr>
        <w:t>n</w:t>
      </w:r>
      <w:r w:rsidR="00005EEE" w:rsidRPr="00E35625">
        <w:rPr>
          <w:lang w:val="sq-AL"/>
        </w:rPr>
        <w:t xml:space="preserve"> </w:t>
      </w:r>
      <w:r>
        <w:rPr>
          <w:lang w:val="sq-AL"/>
        </w:rPr>
        <w:t>e</w:t>
      </w:r>
      <w:r w:rsidR="00005EEE" w:rsidRPr="00E35625">
        <w:rPr>
          <w:lang w:val="sq-AL"/>
        </w:rPr>
        <w:t xml:space="preserve"> Strategjisë do të kryhen dy ushtrime vlerësimi. Një pas përfundimit të fazës së parë të Strategjisë (2023-2025) dhe një në përfundim të Strategjisë (2029</w:t>
      </w:r>
      <w:r w:rsidR="00CD65D0">
        <w:rPr>
          <w:lang w:val="sq-AL"/>
        </w:rPr>
        <w:t>-</w:t>
      </w:r>
      <w:r w:rsidR="00005EEE" w:rsidRPr="00E35625">
        <w:rPr>
          <w:lang w:val="sq-AL"/>
        </w:rPr>
        <w:t>2030). Ushtrimi i parë i vlerësimit do të analizojë zbatimin e masave prioritare si dhe rezultatet e arritura. Duke bërë krahasimin me situatën bazë, vlerësimi i ndërmjetëm do të nxjerrë në pah ndryshimet në kontekstin e përgjithshëm dhe do të gjykojë nëse objektivat, masat prioritare dhe ndër</w:t>
      </w:r>
      <w:r>
        <w:rPr>
          <w:lang w:val="sq-AL"/>
        </w:rPr>
        <w:t>h</w:t>
      </w:r>
      <w:r w:rsidR="00005EEE" w:rsidRPr="00E35625">
        <w:rPr>
          <w:lang w:val="sq-AL"/>
        </w:rPr>
        <w:t>yrjet mbeten të rëndësishme</w:t>
      </w:r>
      <w:r w:rsidR="00CD65D0">
        <w:rPr>
          <w:lang w:val="sq-AL"/>
        </w:rPr>
        <w:t>,</w:t>
      </w:r>
      <w:r w:rsidR="00005EEE" w:rsidRPr="00E35625">
        <w:rPr>
          <w:lang w:val="sq-AL"/>
        </w:rPr>
        <w:t xml:space="preserve"> përpara fillimit të fazës së dytë </w:t>
      </w:r>
      <w:r w:rsidR="00CD65D0">
        <w:rPr>
          <w:lang w:val="sq-AL"/>
        </w:rPr>
        <w:t xml:space="preserve">të zbatimit </w:t>
      </w:r>
      <w:r w:rsidR="00005EEE" w:rsidRPr="00E35625">
        <w:rPr>
          <w:lang w:val="sq-AL"/>
        </w:rPr>
        <w:t>të Strategjisë për periudhën 2026-2028. Ky vlerësim do të shqyrtojë gjithashtu nëse ka ende një koherencë të plotë midis objektivave të strategjisë dhe prioriteteve dhe politikave kombëtare. Vlerësimi i ndërmjetëm do të mbështetet në informacionin e nxjerrë nga sistemi i monitorimit dhe nga konteksti i përgjithshëm dhe do të ofrojë udhëzime për rishikimin e planit të veprimit të Strategjisë por edhe për hartimin e planeve operative më të detajuara vjetore për periudhën e ardhshme cili do të mbulojë periudhën 2026-2028.</w:t>
      </w:r>
    </w:p>
    <w:p w14:paraId="6C640111" w14:textId="142213C4" w:rsidR="00005EEE" w:rsidRDefault="00005EEE" w:rsidP="00E14B65">
      <w:pPr>
        <w:rPr>
          <w:lang w:val="sq-AL"/>
        </w:rPr>
      </w:pPr>
      <w:r w:rsidRPr="00E35625">
        <w:rPr>
          <w:lang w:val="sq-AL"/>
        </w:rPr>
        <w:t>Vlerësimi përfundimtar, që do të kryhet në vitet 2029</w:t>
      </w:r>
      <w:r w:rsidR="00D36EB9">
        <w:rPr>
          <w:lang w:val="sq-AL"/>
        </w:rPr>
        <w:t>-</w:t>
      </w:r>
      <w:r w:rsidRPr="00E35625">
        <w:rPr>
          <w:lang w:val="sq-AL"/>
        </w:rPr>
        <w:t xml:space="preserve">2030, do të </w:t>
      </w:r>
      <w:r w:rsidR="00D36EB9">
        <w:rPr>
          <w:lang w:val="sq-AL"/>
        </w:rPr>
        <w:t>analizojë</w:t>
      </w:r>
      <w:r w:rsidR="00D36EB9" w:rsidRPr="00E35625">
        <w:rPr>
          <w:lang w:val="sq-AL"/>
        </w:rPr>
        <w:t xml:space="preserve"> </w:t>
      </w:r>
      <w:r w:rsidRPr="00E35625">
        <w:rPr>
          <w:lang w:val="sq-AL"/>
        </w:rPr>
        <w:t>të gjithë ecurinë e Strategjisë. Ky vlerësim do të raportojë mbi efektivitetin, rëndësinë, efikasitetin  dhe qëndrueshmërinë e masave prioritare të Strategjisë.</w:t>
      </w:r>
    </w:p>
    <w:p w14:paraId="6D604AB2" w14:textId="77777777" w:rsidR="006E71CB" w:rsidRDefault="006E71CB" w:rsidP="00E14B65">
      <w:pPr>
        <w:rPr>
          <w:b/>
          <w:lang w:val="sq-AL"/>
        </w:rPr>
        <w:sectPr w:rsidR="006E71CB" w:rsidSect="00CB0BF9">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286" w:right="1246" w:bottom="1201" w:left="1440" w:header="708" w:footer="708" w:gutter="0"/>
          <w:cols w:space="708"/>
          <w:docGrid w:linePitch="360"/>
        </w:sectPr>
      </w:pPr>
    </w:p>
    <w:p w14:paraId="72A40A10" w14:textId="134A249A" w:rsidR="006E71CB" w:rsidRDefault="006E71CB" w:rsidP="006E71CB">
      <w:pPr>
        <w:pStyle w:val="Heading1"/>
        <w:rPr>
          <w:lang w:val="sq-AL"/>
        </w:rPr>
      </w:pPr>
      <w:bookmarkStart w:id="69" w:name="_Toc123165424"/>
      <w:r w:rsidRPr="006E71CB">
        <w:rPr>
          <w:lang w:val="sq-AL"/>
        </w:rPr>
        <w:lastRenderedPageBreak/>
        <w:t>Burimet financiare për zbatimin e Strategjisë</w:t>
      </w:r>
      <w:bookmarkEnd w:id="69"/>
    </w:p>
    <w:p w14:paraId="55D986D1" w14:textId="7565B20A" w:rsidR="00342919" w:rsidRDefault="00342919" w:rsidP="006562F5">
      <w:pPr>
        <w:pStyle w:val="Caption"/>
        <w:keepNext/>
      </w:pPr>
      <w:bookmarkStart w:id="70" w:name="_Toc123166702"/>
      <w:r>
        <w:t xml:space="preserve">Tabela </w:t>
      </w:r>
      <w:r w:rsidR="004D4D2F">
        <w:fldChar w:fldCharType="begin"/>
      </w:r>
      <w:r w:rsidR="004D4D2F">
        <w:instrText xml:space="preserve"> SEQ Tabela \* ARABIC </w:instrText>
      </w:r>
      <w:r w:rsidR="004D4D2F">
        <w:fldChar w:fldCharType="separate"/>
      </w:r>
      <w:r>
        <w:rPr>
          <w:noProof/>
        </w:rPr>
        <w:t>3</w:t>
      </w:r>
      <w:r w:rsidR="004D4D2F">
        <w:rPr>
          <w:noProof/>
        </w:rPr>
        <w:fldChar w:fldCharType="end"/>
      </w:r>
      <w:r>
        <w:t>: Kosto e Strategjisë Kombëtare e Punësimit dhe Aftësive, sipas burimit të financimit</w:t>
      </w:r>
      <w:bookmarkEnd w:id="70"/>
    </w:p>
    <w:p w14:paraId="1E6AEA7C" w14:textId="77777777" w:rsidR="00342919" w:rsidRPr="00342919" w:rsidRDefault="00342919" w:rsidP="006562F5">
      <w:pPr>
        <w:rPr>
          <w:lang w:val="sq-AL"/>
        </w:rPr>
      </w:pPr>
    </w:p>
    <w:p w14:paraId="0F535E18" w14:textId="77777777" w:rsidR="00342919" w:rsidRPr="00342919" w:rsidRDefault="00342919" w:rsidP="006562F5">
      <w:pPr>
        <w:rPr>
          <w:lang w:val="sq-AL"/>
        </w:rPr>
      </w:pPr>
    </w:p>
    <w:p w14:paraId="7A5CFEC5" w14:textId="77777777" w:rsidR="006E71CB" w:rsidRPr="00E35625" w:rsidRDefault="006E71CB" w:rsidP="00E14B65">
      <w:pPr>
        <w:rPr>
          <w:b/>
          <w:lang w:val="sq-AL"/>
        </w:rPr>
      </w:pPr>
    </w:p>
    <w:p w14:paraId="10457637" w14:textId="77777777" w:rsidR="00085291" w:rsidRPr="00E35625" w:rsidRDefault="00085291" w:rsidP="00E14B65">
      <w:pPr>
        <w:rPr>
          <w:lang w:val="sq-AL"/>
        </w:rPr>
      </w:pPr>
    </w:p>
    <w:tbl>
      <w:tblPr>
        <w:tblpPr w:leftFromText="180" w:rightFromText="180" w:vertAnchor="page" w:horzAnchor="margin" w:tblpY="2355"/>
        <w:tblW w:w="13887" w:type="dxa"/>
        <w:tblLook w:val="04A0" w:firstRow="1" w:lastRow="0" w:firstColumn="1" w:lastColumn="0" w:noHBand="0" w:noVBand="1"/>
      </w:tblPr>
      <w:tblGrid>
        <w:gridCol w:w="498"/>
        <w:gridCol w:w="3325"/>
        <w:gridCol w:w="2409"/>
        <w:gridCol w:w="2410"/>
        <w:gridCol w:w="1985"/>
        <w:gridCol w:w="2126"/>
        <w:gridCol w:w="1134"/>
      </w:tblGrid>
      <w:tr w:rsidR="006E71CB" w:rsidRPr="00A74BFB" w14:paraId="7951B5D5" w14:textId="77777777" w:rsidTr="006562F5">
        <w:trPr>
          <w:trHeight w:val="300"/>
        </w:trPr>
        <w:tc>
          <w:tcPr>
            <w:tcW w:w="38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EBDDD" w14:textId="77777777" w:rsidR="006E71CB" w:rsidRPr="00A74BFB" w:rsidRDefault="006E71CB" w:rsidP="00342919">
            <w:pPr>
              <w:spacing w:before="144" w:after="144"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Kosto e Strategjisë Kombëtare të Punësimit dhe Aftësive</w:t>
            </w:r>
            <w:r w:rsidRPr="00A74BFB">
              <w:rPr>
                <w:rFonts w:ascii="Calibri" w:eastAsia="Times New Roman" w:hAnsi="Calibri" w:cs="Calibri"/>
                <w:b/>
                <w:bCs/>
                <w:color w:val="000000"/>
                <w:szCs w:val="22"/>
                <w:lang w:eastAsia="en-GB"/>
              </w:rPr>
              <w:br/>
              <w:t>2023-2030</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A28D" w14:textId="77777777" w:rsidR="006E71C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Kosto indikative </w:t>
            </w:r>
          </w:p>
          <w:p w14:paraId="7E26B7D6"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(ne ALL)</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678AEC"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Burimi I mbulimit</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495514"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Hendeku financiar </w:t>
            </w:r>
          </w:p>
        </w:tc>
      </w:tr>
      <w:tr w:rsidR="006E71CB" w:rsidRPr="00A74BFB" w14:paraId="66C1F2F3" w14:textId="77777777" w:rsidTr="006562F5">
        <w:trPr>
          <w:trHeight w:val="300"/>
        </w:trPr>
        <w:tc>
          <w:tcPr>
            <w:tcW w:w="3823" w:type="dxa"/>
            <w:gridSpan w:val="2"/>
            <w:vMerge/>
            <w:tcBorders>
              <w:top w:val="single" w:sz="4" w:space="0" w:color="auto"/>
              <w:left w:val="single" w:sz="4" w:space="0" w:color="auto"/>
              <w:bottom w:val="single" w:sz="4" w:space="0" w:color="auto"/>
              <w:right w:val="single" w:sz="4" w:space="0" w:color="auto"/>
            </w:tcBorders>
            <w:vAlign w:val="center"/>
            <w:hideMark/>
          </w:tcPr>
          <w:p w14:paraId="4EB996DA" w14:textId="77777777" w:rsidR="006E71CB" w:rsidRPr="00A74BFB" w:rsidRDefault="006E71CB" w:rsidP="00342919">
            <w:pPr>
              <w:spacing w:before="0" w:after="0" w:line="240" w:lineRule="auto"/>
              <w:rPr>
                <w:rFonts w:ascii="Calibri" w:eastAsia="Times New Roman" w:hAnsi="Calibri" w:cs="Calibri"/>
                <w:b/>
                <w:bCs/>
                <w:color w:val="000000"/>
                <w:szCs w:val="22"/>
                <w:lang w:eastAsia="en-GB"/>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0DD0761" w14:textId="77777777" w:rsidR="006E71CB" w:rsidRPr="00A74BFB" w:rsidRDefault="006E71CB" w:rsidP="00342919">
            <w:pPr>
              <w:spacing w:before="0" w:after="0" w:line="240" w:lineRule="auto"/>
              <w:rPr>
                <w:rFonts w:ascii="Calibri" w:eastAsia="Times New Roman" w:hAnsi="Calibri" w:cs="Calibri"/>
                <w:b/>
                <w:bCs/>
                <w:color w:val="000000"/>
                <w:szCs w:val="22"/>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A70FA70"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Buxhet shteti</w:t>
            </w:r>
          </w:p>
        </w:tc>
        <w:tc>
          <w:tcPr>
            <w:tcW w:w="1985" w:type="dxa"/>
            <w:tcBorders>
              <w:top w:val="nil"/>
              <w:left w:val="nil"/>
              <w:bottom w:val="single" w:sz="4" w:space="0" w:color="auto"/>
              <w:right w:val="single" w:sz="4" w:space="0" w:color="auto"/>
            </w:tcBorders>
            <w:shd w:val="clear" w:color="auto" w:fill="auto"/>
            <w:noWrap/>
            <w:vAlign w:val="center"/>
            <w:hideMark/>
          </w:tcPr>
          <w:p w14:paraId="5B449199" w14:textId="24160D0B"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Financim </w:t>
            </w:r>
            <w:r>
              <w:rPr>
                <w:rFonts w:ascii="Calibri" w:eastAsia="Times New Roman" w:hAnsi="Calibri" w:cs="Calibri"/>
                <w:b/>
                <w:bCs/>
                <w:color w:val="000000"/>
                <w:szCs w:val="22"/>
                <w:lang w:eastAsia="en-GB"/>
              </w:rPr>
              <w:t>i</w:t>
            </w:r>
            <w:r w:rsidRPr="00A74BFB">
              <w:rPr>
                <w:rFonts w:ascii="Calibri" w:eastAsia="Times New Roman" w:hAnsi="Calibri" w:cs="Calibri"/>
                <w:b/>
                <w:bCs/>
                <w:color w:val="000000"/>
                <w:szCs w:val="22"/>
                <w:lang w:eastAsia="en-GB"/>
              </w:rPr>
              <w:t xml:space="preserve"> huaj</w:t>
            </w:r>
          </w:p>
        </w:tc>
        <w:tc>
          <w:tcPr>
            <w:tcW w:w="2126" w:type="dxa"/>
            <w:tcBorders>
              <w:top w:val="nil"/>
              <w:left w:val="nil"/>
              <w:bottom w:val="single" w:sz="4" w:space="0" w:color="auto"/>
              <w:right w:val="single" w:sz="4" w:space="0" w:color="auto"/>
            </w:tcBorders>
            <w:shd w:val="clear" w:color="auto" w:fill="auto"/>
            <w:noWrap/>
            <w:vAlign w:val="center"/>
            <w:hideMark/>
          </w:tcPr>
          <w:p w14:paraId="70927E9C"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ALL</w:t>
            </w:r>
          </w:p>
        </w:tc>
        <w:tc>
          <w:tcPr>
            <w:tcW w:w="1134" w:type="dxa"/>
            <w:tcBorders>
              <w:top w:val="nil"/>
              <w:left w:val="nil"/>
              <w:bottom w:val="single" w:sz="4" w:space="0" w:color="auto"/>
              <w:right w:val="single" w:sz="4" w:space="0" w:color="auto"/>
            </w:tcBorders>
            <w:shd w:val="clear" w:color="auto" w:fill="auto"/>
            <w:noWrap/>
            <w:vAlign w:val="center"/>
            <w:hideMark/>
          </w:tcPr>
          <w:p w14:paraId="3F101351"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w:t>
            </w:r>
          </w:p>
        </w:tc>
      </w:tr>
      <w:tr w:rsidR="006E71CB" w:rsidRPr="00A74BFB" w14:paraId="6558A390" w14:textId="77777777" w:rsidTr="006562F5">
        <w:trPr>
          <w:trHeight w:val="96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9923D07"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Qëllimi I politikës 1</w:t>
            </w:r>
          </w:p>
        </w:tc>
        <w:tc>
          <w:tcPr>
            <w:tcW w:w="3325" w:type="dxa"/>
            <w:tcBorders>
              <w:top w:val="nil"/>
              <w:left w:val="nil"/>
              <w:bottom w:val="single" w:sz="4" w:space="0" w:color="auto"/>
              <w:right w:val="single" w:sz="4" w:space="0" w:color="auto"/>
            </w:tcBorders>
            <w:shd w:val="clear" w:color="auto" w:fill="auto"/>
            <w:vAlign w:val="center"/>
            <w:hideMark/>
          </w:tcPr>
          <w:p w14:paraId="3A3C0CD6" w14:textId="77777777" w:rsidR="006E71CB" w:rsidRPr="00A74BFB" w:rsidRDefault="006E71CB" w:rsidP="006562F5">
            <w:pPr>
              <w:spacing w:before="0" w:after="0" w:line="240" w:lineRule="auto"/>
              <w:jc w:val="left"/>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OBJEKTIVI SPECIFIK 1.1: Reduktimi i mospërputhjes së aftësive për të gjitha profesionet</w:t>
            </w:r>
          </w:p>
        </w:tc>
        <w:tc>
          <w:tcPr>
            <w:tcW w:w="2409" w:type="dxa"/>
            <w:tcBorders>
              <w:top w:val="nil"/>
              <w:left w:val="nil"/>
              <w:bottom w:val="single" w:sz="4" w:space="0" w:color="auto"/>
              <w:right w:val="single" w:sz="4" w:space="0" w:color="auto"/>
            </w:tcBorders>
            <w:shd w:val="clear" w:color="auto" w:fill="auto"/>
            <w:noWrap/>
            <w:vAlign w:val="center"/>
            <w:hideMark/>
          </w:tcPr>
          <w:p w14:paraId="2CC538AC"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29 522 288 976      </w:t>
            </w:r>
          </w:p>
        </w:tc>
        <w:tc>
          <w:tcPr>
            <w:tcW w:w="2410" w:type="dxa"/>
            <w:tcBorders>
              <w:top w:val="nil"/>
              <w:left w:val="nil"/>
              <w:bottom w:val="single" w:sz="4" w:space="0" w:color="auto"/>
              <w:right w:val="single" w:sz="4" w:space="0" w:color="auto"/>
            </w:tcBorders>
            <w:shd w:val="clear" w:color="auto" w:fill="auto"/>
            <w:noWrap/>
            <w:vAlign w:val="center"/>
            <w:hideMark/>
          </w:tcPr>
          <w:p w14:paraId="251BEA8A"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26 655 432 497      </w:t>
            </w:r>
          </w:p>
        </w:tc>
        <w:tc>
          <w:tcPr>
            <w:tcW w:w="1985" w:type="dxa"/>
            <w:tcBorders>
              <w:top w:val="nil"/>
              <w:left w:val="nil"/>
              <w:bottom w:val="single" w:sz="4" w:space="0" w:color="auto"/>
              <w:right w:val="single" w:sz="4" w:space="0" w:color="auto"/>
            </w:tcBorders>
            <w:shd w:val="clear" w:color="auto" w:fill="auto"/>
            <w:noWrap/>
            <w:vAlign w:val="center"/>
            <w:hideMark/>
          </w:tcPr>
          <w:p w14:paraId="3B01719F"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106 150 000      </w:t>
            </w:r>
          </w:p>
        </w:tc>
        <w:tc>
          <w:tcPr>
            <w:tcW w:w="2126" w:type="dxa"/>
            <w:tcBorders>
              <w:top w:val="nil"/>
              <w:left w:val="nil"/>
              <w:bottom w:val="single" w:sz="4" w:space="0" w:color="auto"/>
              <w:right w:val="single" w:sz="4" w:space="0" w:color="auto"/>
            </w:tcBorders>
            <w:shd w:val="clear" w:color="auto" w:fill="auto"/>
            <w:noWrap/>
            <w:vAlign w:val="center"/>
            <w:hideMark/>
          </w:tcPr>
          <w:p w14:paraId="4170B129"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2 760 706 479      </w:t>
            </w:r>
          </w:p>
        </w:tc>
        <w:tc>
          <w:tcPr>
            <w:tcW w:w="1134" w:type="dxa"/>
            <w:tcBorders>
              <w:top w:val="nil"/>
              <w:left w:val="nil"/>
              <w:bottom w:val="single" w:sz="4" w:space="0" w:color="auto"/>
              <w:right w:val="single" w:sz="4" w:space="0" w:color="auto"/>
            </w:tcBorders>
            <w:shd w:val="clear" w:color="auto" w:fill="auto"/>
            <w:noWrap/>
            <w:vAlign w:val="center"/>
            <w:hideMark/>
          </w:tcPr>
          <w:p w14:paraId="1B4947EA"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9%</w:t>
            </w:r>
          </w:p>
        </w:tc>
      </w:tr>
      <w:tr w:rsidR="006E71CB" w:rsidRPr="00A74BFB" w14:paraId="4B2A333A" w14:textId="77777777" w:rsidTr="006562F5">
        <w:trPr>
          <w:trHeight w:val="640"/>
        </w:trPr>
        <w:tc>
          <w:tcPr>
            <w:tcW w:w="498" w:type="dxa"/>
            <w:vMerge/>
            <w:tcBorders>
              <w:top w:val="nil"/>
              <w:left w:val="single" w:sz="4" w:space="0" w:color="auto"/>
              <w:bottom w:val="single" w:sz="4" w:space="0" w:color="auto"/>
              <w:right w:val="single" w:sz="4" w:space="0" w:color="auto"/>
            </w:tcBorders>
            <w:vAlign w:val="center"/>
            <w:hideMark/>
          </w:tcPr>
          <w:p w14:paraId="1487B710" w14:textId="77777777" w:rsidR="006E71CB" w:rsidRPr="00A74BFB" w:rsidRDefault="006E71CB" w:rsidP="00342919">
            <w:pPr>
              <w:spacing w:before="0" w:after="0" w:line="240" w:lineRule="auto"/>
              <w:rPr>
                <w:rFonts w:ascii="Calibri" w:eastAsia="Times New Roman" w:hAnsi="Calibri" w:cs="Calibri"/>
                <w:b/>
                <w:bCs/>
                <w:color w:val="000000"/>
                <w:szCs w:val="22"/>
                <w:lang w:eastAsia="en-GB"/>
              </w:rPr>
            </w:pPr>
          </w:p>
        </w:tc>
        <w:tc>
          <w:tcPr>
            <w:tcW w:w="3325" w:type="dxa"/>
            <w:tcBorders>
              <w:top w:val="nil"/>
              <w:left w:val="nil"/>
              <w:bottom w:val="single" w:sz="4" w:space="0" w:color="auto"/>
              <w:right w:val="single" w:sz="4" w:space="0" w:color="auto"/>
            </w:tcBorders>
            <w:shd w:val="clear" w:color="auto" w:fill="auto"/>
            <w:vAlign w:val="center"/>
            <w:hideMark/>
          </w:tcPr>
          <w:p w14:paraId="35869BEF" w14:textId="77777777" w:rsidR="006E71CB" w:rsidRPr="00A74BFB" w:rsidRDefault="006E71CB" w:rsidP="006562F5">
            <w:pPr>
              <w:spacing w:before="0" w:after="0" w:line="240" w:lineRule="auto"/>
              <w:jc w:val="left"/>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OBJEKTIVI SPECIFIK 1.2: Rritja e nivelit të aftësive të grave dhe burrave në moshë pune</w:t>
            </w:r>
          </w:p>
        </w:tc>
        <w:tc>
          <w:tcPr>
            <w:tcW w:w="2409" w:type="dxa"/>
            <w:tcBorders>
              <w:top w:val="nil"/>
              <w:left w:val="nil"/>
              <w:bottom w:val="single" w:sz="4" w:space="0" w:color="auto"/>
              <w:right w:val="single" w:sz="4" w:space="0" w:color="auto"/>
            </w:tcBorders>
            <w:shd w:val="clear" w:color="auto" w:fill="auto"/>
            <w:noWrap/>
            <w:vAlign w:val="center"/>
            <w:hideMark/>
          </w:tcPr>
          <w:p w14:paraId="0818DF5E"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1 224 197 588      </w:t>
            </w:r>
          </w:p>
        </w:tc>
        <w:tc>
          <w:tcPr>
            <w:tcW w:w="2410" w:type="dxa"/>
            <w:tcBorders>
              <w:top w:val="nil"/>
              <w:left w:val="nil"/>
              <w:bottom w:val="single" w:sz="4" w:space="0" w:color="auto"/>
              <w:right w:val="single" w:sz="4" w:space="0" w:color="auto"/>
            </w:tcBorders>
            <w:shd w:val="clear" w:color="auto" w:fill="auto"/>
            <w:noWrap/>
            <w:vAlign w:val="center"/>
            <w:hideMark/>
          </w:tcPr>
          <w:p w14:paraId="3D3DCDD3"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599 874 800      </w:t>
            </w:r>
          </w:p>
        </w:tc>
        <w:tc>
          <w:tcPr>
            <w:tcW w:w="1985" w:type="dxa"/>
            <w:tcBorders>
              <w:top w:val="nil"/>
              <w:left w:val="nil"/>
              <w:bottom w:val="single" w:sz="4" w:space="0" w:color="auto"/>
              <w:right w:val="single" w:sz="4" w:space="0" w:color="auto"/>
            </w:tcBorders>
            <w:shd w:val="clear" w:color="auto" w:fill="auto"/>
            <w:noWrap/>
            <w:vAlign w:val="center"/>
            <w:hideMark/>
          </w:tcPr>
          <w:p w14:paraId="070DE5BB"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94 985 324      </w:t>
            </w:r>
          </w:p>
        </w:tc>
        <w:tc>
          <w:tcPr>
            <w:tcW w:w="2126" w:type="dxa"/>
            <w:tcBorders>
              <w:top w:val="nil"/>
              <w:left w:val="nil"/>
              <w:bottom w:val="single" w:sz="4" w:space="0" w:color="auto"/>
              <w:right w:val="single" w:sz="4" w:space="0" w:color="auto"/>
            </w:tcBorders>
            <w:shd w:val="clear" w:color="auto" w:fill="auto"/>
            <w:noWrap/>
            <w:vAlign w:val="center"/>
            <w:hideMark/>
          </w:tcPr>
          <w:p w14:paraId="3B32F4C0"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529 337 464      </w:t>
            </w:r>
          </w:p>
        </w:tc>
        <w:tc>
          <w:tcPr>
            <w:tcW w:w="1134" w:type="dxa"/>
            <w:tcBorders>
              <w:top w:val="nil"/>
              <w:left w:val="nil"/>
              <w:bottom w:val="single" w:sz="4" w:space="0" w:color="auto"/>
              <w:right w:val="single" w:sz="4" w:space="0" w:color="auto"/>
            </w:tcBorders>
            <w:shd w:val="clear" w:color="auto" w:fill="auto"/>
            <w:noWrap/>
            <w:vAlign w:val="center"/>
            <w:hideMark/>
          </w:tcPr>
          <w:p w14:paraId="2CE43DF9"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43%</w:t>
            </w:r>
          </w:p>
        </w:tc>
      </w:tr>
      <w:tr w:rsidR="006E71CB" w:rsidRPr="00A74BFB" w14:paraId="580D15C0" w14:textId="77777777" w:rsidTr="006562F5">
        <w:trPr>
          <w:trHeight w:val="640"/>
        </w:trPr>
        <w:tc>
          <w:tcPr>
            <w:tcW w:w="498" w:type="dxa"/>
            <w:vMerge/>
            <w:tcBorders>
              <w:top w:val="nil"/>
              <w:left w:val="single" w:sz="4" w:space="0" w:color="auto"/>
              <w:bottom w:val="single" w:sz="4" w:space="0" w:color="auto"/>
              <w:right w:val="single" w:sz="4" w:space="0" w:color="auto"/>
            </w:tcBorders>
            <w:vAlign w:val="center"/>
            <w:hideMark/>
          </w:tcPr>
          <w:p w14:paraId="2CFC13A2" w14:textId="77777777" w:rsidR="006E71CB" w:rsidRPr="00A74BFB" w:rsidRDefault="006E71CB" w:rsidP="00342919">
            <w:pPr>
              <w:spacing w:before="0" w:after="0" w:line="240" w:lineRule="auto"/>
              <w:rPr>
                <w:rFonts w:ascii="Calibri" w:eastAsia="Times New Roman" w:hAnsi="Calibri" w:cs="Calibri"/>
                <w:b/>
                <w:bCs/>
                <w:color w:val="000000"/>
                <w:szCs w:val="22"/>
                <w:lang w:eastAsia="en-GB"/>
              </w:rPr>
            </w:pPr>
          </w:p>
        </w:tc>
        <w:tc>
          <w:tcPr>
            <w:tcW w:w="3325" w:type="dxa"/>
            <w:tcBorders>
              <w:top w:val="nil"/>
              <w:left w:val="nil"/>
              <w:bottom w:val="single" w:sz="4" w:space="0" w:color="auto"/>
              <w:right w:val="single" w:sz="4" w:space="0" w:color="auto"/>
            </w:tcBorders>
            <w:shd w:val="clear" w:color="auto" w:fill="auto"/>
            <w:vAlign w:val="center"/>
            <w:hideMark/>
          </w:tcPr>
          <w:p w14:paraId="5D8A0657" w14:textId="77777777" w:rsidR="006E71CB" w:rsidRPr="00A74BFB" w:rsidRDefault="006E71CB" w:rsidP="006562F5">
            <w:pPr>
              <w:spacing w:before="0" w:after="0" w:line="240" w:lineRule="auto"/>
              <w:jc w:val="left"/>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OBJEKTIVI SPECIFIK 1.3: Funksionimi më i mirë i tregut të punës për të gjithë </w:t>
            </w:r>
          </w:p>
        </w:tc>
        <w:tc>
          <w:tcPr>
            <w:tcW w:w="2409" w:type="dxa"/>
            <w:tcBorders>
              <w:top w:val="nil"/>
              <w:left w:val="nil"/>
              <w:bottom w:val="single" w:sz="4" w:space="0" w:color="auto"/>
              <w:right w:val="single" w:sz="4" w:space="0" w:color="auto"/>
            </w:tcBorders>
            <w:shd w:val="clear" w:color="auto" w:fill="auto"/>
            <w:noWrap/>
            <w:vAlign w:val="center"/>
            <w:hideMark/>
          </w:tcPr>
          <w:p w14:paraId="1322254E"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3 548 552 652      </w:t>
            </w:r>
          </w:p>
        </w:tc>
        <w:tc>
          <w:tcPr>
            <w:tcW w:w="2410" w:type="dxa"/>
            <w:tcBorders>
              <w:top w:val="nil"/>
              <w:left w:val="nil"/>
              <w:bottom w:val="single" w:sz="4" w:space="0" w:color="auto"/>
              <w:right w:val="single" w:sz="4" w:space="0" w:color="auto"/>
            </w:tcBorders>
            <w:shd w:val="clear" w:color="auto" w:fill="auto"/>
            <w:noWrap/>
            <w:vAlign w:val="center"/>
            <w:hideMark/>
          </w:tcPr>
          <w:p w14:paraId="1FFDD1D1"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2 878 967 160      </w:t>
            </w:r>
          </w:p>
        </w:tc>
        <w:tc>
          <w:tcPr>
            <w:tcW w:w="1985" w:type="dxa"/>
            <w:tcBorders>
              <w:top w:val="nil"/>
              <w:left w:val="nil"/>
              <w:bottom w:val="single" w:sz="4" w:space="0" w:color="auto"/>
              <w:right w:val="single" w:sz="4" w:space="0" w:color="auto"/>
            </w:tcBorders>
            <w:shd w:val="clear" w:color="auto" w:fill="auto"/>
            <w:noWrap/>
            <w:vAlign w:val="center"/>
            <w:hideMark/>
          </w:tcPr>
          <w:p w14:paraId="67670668"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155 886 160      </w:t>
            </w:r>
          </w:p>
        </w:tc>
        <w:tc>
          <w:tcPr>
            <w:tcW w:w="2126" w:type="dxa"/>
            <w:tcBorders>
              <w:top w:val="nil"/>
              <w:left w:val="nil"/>
              <w:bottom w:val="single" w:sz="4" w:space="0" w:color="auto"/>
              <w:right w:val="single" w:sz="4" w:space="0" w:color="auto"/>
            </w:tcBorders>
            <w:shd w:val="clear" w:color="auto" w:fill="auto"/>
            <w:noWrap/>
            <w:vAlign w:val="center"/>
            <w:hideMark/>
          </w:tcPr>
          <w:p w14:paraId="766DA88F"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513 699 332      </w:t>
            </w:r>
          </w:p>
        </w:tc>
        <w:tc>
          <w:tcPr>
            <w:tcW w:w="1134" w:type="dxa"/>
            <w:tcBorders>
              <w:top w:val="nil"/>
              <w:left w:val="nil"/>
              <w:bottom w:val="single" w:sz="4" w:space="0" w:color="auto"/>
              <w:right w:val="single" w:sz="4" w:space="0" w:color="auto"/>
            </w:tcBorders>
            <w:shd w:val="clear" w:color="auto" w:fill="auto"/>
            <w:noWrap/>
            <w:vAlign w:val="center"/>
            <w:hideMark/>
          </w:tcPr>
          <w:p w14:paraId="67E85B8D"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14%</w:t>
            </w:r>
          </w:p>
        </w:tc>
      </w:tr>
      <w:tr w:rsidR="006E71CB" w:rsidRPr="00A74BFB" w14:paraId="16EA80D2" w14:textId="77777777" w:rsidTr="006562F5">
        <w:trPr>
          <w:trHeight w:val="112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9084550"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Qëllimi I politikës 2</w:t>
            </w:r>
          </w:p>
        </w:tc>
        <w:tc>
          <w:tcPr>
            <w:tcW w:w="3325" w:type="dxa"/>
            <w:tcBorders>
              <w:top w:val="nil"/>
              <w:left w:val="nil"/>
              <w:bottom w:val="single" w:sz="4" w:space="0" w:color="auto"/>
              <w:right w:val="single" w:sz="4" w:space="0" w:color="auto"/>
            </w:tcBorders>
            <w:shd w:val="clear" w:color="auto" w:fill="auto"/>
            <w:vAlign w:val="center"/>
            <w:hideMark/>
          </w:tcPr>
          <w:p w14:paraId="1D57CA62" w14:textId="77777777" w:rsidR="006E71CB" w:rsidRPr="00A74BFB" w:rsidRDefault="006E71CB" w:rsidP="006562F5">
            <w:pPr>
              <w:spacing w:before="0" w:after="0" w:line="240" w:lineRule="auto"/>
              <w:jc w:val="left"/>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OBJEKTIVI SPECIFIK 2.1: Ndërmjetësim me gjithëpërfshires i punësimit </w:t>
            </w:r>
          </w:p>
        </w:tc>
        <w:tc>
          <w:tcPr>
            <w:tcW w:w="2409" w:type="dxa"/>
            <w:tcBorders>
              <w:top w:val="nil"/>
              <w:left w:val="nil"/>
              <w:bottom w:val="single" w:sz="4" w:space="0" w:color="auto"/>
              <w:right w:val="single" w:sz="4" w:space="0" w:color="auto"/>
            </w:tcBorders>
            <w:shd w:val="clear" w:color="auto" w:fill="auto"/>
            <w:noWrap/>
            <w:vAlign w:val="center"/>
            <w:hideMark/>
          </w:tcPr>
          <w:p w14:paraId="4BFBCD8B"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26 211 384 015      </w:t>
            </w:r>
          </w:p>
        </w:tc>
        <w:tc>
          <w:tcPr>
            <w:tcW w:w="2410" w:type="dxa"/>
            <w:tcBorders>
              <w:top w:val="nil"/>
              <w:left w:val="nil"/>
              <w:bottom w:val="single" w:sz="4" w:space="0" w:color="auto"/>
              <w:right w:val="single" w:sz="4" w:space="0" w:color="auto"/>
            </w:tcBorders>
            <w:shd w:val="clear" w:color="auto" w:fill="auto"/>
            <w:noWrap/>
            <w:vAlign w:val="center"/>
            <w:hideMark/>
          </w:tcPr>
          <w:p w14:paraId="16093354"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10 227 488 066      </w:t>
            </w:r>
          </w:p>
        </w:tc>
        <w:tc>
          <w:tcPr>
            <w:tcW w:w="1985" w:type="dxa"/>
            <w:tcBorders>
              <w:top w:val="nil"/>
              <w:left w:val="nil"/>
              <w:bottom w:val="single" w:sz="4" w:space="0" w:color="auto"/>
              <w:right w:val="single" w:sz="4" w:space="0" w:color="auto"/>
            </w:tcBorders>
            <w:shd w:val="clear" w:color="auto" w:fill="auto"/>
            <w:noWrap/>
            <w:vAlign w:val="center"/>
            <w:hideMark/>
          </w:tcPr>
          <w:p w14:paraId="7A02CB38"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7 011 456 000      </w:t>
            </w:r>
          </w:p>
        </w:tc>
        <w:tc>
          <w:tcPr>
            <w:tcW w:w="2126" w:type="dxa"/>
            <w:tcBorders>
              <w:top w:val="nil"/>
              <w:left w:val="nil"/>
              <w:bottom w:val="single" w:sz="4" w:space="0" w:color="auto"/>
              <w:right w:val="single" w:sz="4" w:space="0" w:color="auto"/>
            </w:tcBorders>
            <w:shd w:val="clear" w:color="auto" w:fill="auto"/>
            <w:noWrap/>
            <w:vAlign w:val="center"/>
            <w:hideMark/>
          </w:tcPr>
          <w:p w14:paraId="583B1BE7"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8 972 439 949      </w:t>
            </w:r>
          </w:p>
        </w:tc>
        <w:tc>
          <w:tcPr>
            <w:tcW w:w="1134" w:type="dxa"/>
            <w:tcBorders>
              <w:top w:val="nil"/>
              <w:left w:val="nil"/>
              <w:bottom w:val="single" w:sz="4" w:space="0" w:color="auto"/>
              <w:right w:val="single" w:sz="4" w:space="0" w:color="auto"/>
            </w:tcBorders>
            <w:shd w:val="clear" w:color="auto" w:fill="auto"/>
            <w:noWrap/>
            <w:vAlign w:val="center"/>
            <w:hideMark/>
          </w:tcPr>
          <w:p w14:paraId="6EAA50CB"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34%</w:t>
            </w:r>
          </w:p>
        </w:tc>
      </w:tr>
      <w:tr w:rsidR="006E71CB" w:rsidRPr="00A74BFB" w14:paraId="6429191B" w14:textId="77777777" w:rsidTr="006562F5">
        <w:trPr>
          <w:trHeight w:val="1080"/>
        </w:trPr>
        <w:tc>
          <w:tcPr>
            <w:tcW w:w="498" w:type="dxa"/>
            <w:vMerge/>
            <w:tcBorders>
              <w:top w:val="nil"/>
              <w:left w:val="single" w:sz="4" w:space="0" w:color="auto"/>
              <w:bottom w:val="single" w:sz="4" w:space="0" w:color="auto"/>
              <w:right w:val="single" w:sz="4" w:space="0" w:color="auto"/>
            </w:tcBorders>
            <w:vAlign w:val="center"/>
            <w:hideMark/>
          </w:tcPr>
          <w:p w14:paraId="3D5CC28B" w14:textId="77777777" w:rsidR="006E71CB" w:rsidRPr="00A74BFB" w:rsidRDefault="006E71CB" w:rsidP="00342919">
            <w:pPr>
              <w:spacing w:before="0" w:after="0" w:line="240" w:lineRule="auto"/>
              <w:rPr>
                <w:rFonts w:ascii="Calibri" w:eastAsia="Times New Roman" w:hAnsi="Calibri" w:cs="Calibri"/>
                <w:b/>
                <w:bCs/>
                <w:color w:val="000000"/>
                <w:szCs w:val="22"/>
                <w:lang w:eastAsia="en-GB"/>
              </w:rPr>
            </w:pPr>
          </w:p>
        </w:tc>
        <w:tc>
          <w:tcPr>
            <w:tcW w:w="3325" w:type="dxa"/>
            <w:tcBorders>
              <w:top w:val="nil"/>
              <w:left w:val="nil"/>
              <w:bottom w:val="single" w:sz="4" w:space="0" w:color="auto"/>
              <w:right w:val="single" w:sz="4" w:space="0" w:color="auto"/>
            </w:tcBorders>
            <w:shd w:val="clear" w:color="auto" w:fill="auto"/>
            <w:vAlign w:val="center"/>
            <w:hideMark/>
          </w:tcPr>
          <w:p w14:paraId="2AA02890" w14:textId="77777777" w:rsidR="006E71CB" w:rsidRPr="00A74BFB" w:rsidRDefault="006E71CB" w:rsidP="006562F5">
            <w:pPr>
              <w:spacing w:before="0" w:after="0" w:line="240" w:lineRule="auto"/>
              <w:jc w:val="left"/>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OBJEKTIVI SPECIFIK 2.2: Sigurimi i punës së denjë për të gjithë dhe kudo</w:t>
            </w:r>
          </w:p>
        </w:tc>
        <w:tc>
          <w:tcPr>
            <w:tcW w:w="2409" w:type="dxa"/>
            <w:tcBorders>
              <w:top w:val="nil"/>
              <w:left w:val="nil"/>
              <w:bottom w:val="single" w:sz="4" w:space="0" w:color="auto"/>
              <w:right w:val="single" w:sz="4" w:space="0" w:color="auto"/>
            </w:tcBorders>
            <w:shd w:val="clear" w:color="auto" w:fill="auto"/>
            <w:noWrap/>
            <w:vAlign w:val="center"/>
            <w:hideMark/>
          </w:tcPr>
          <w:p w14:paraId="5D40DC86"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15 007 443 434      </w:t>
            </w:r>
          </w:p>
        </w:tc>
        <w:tc>
          <w:tcPr>
            <w:tcW w:w="2410" w:type="dxa"/>
            <w:tcBorders>
              <w:top w:val="nil"/>
              <w:left w:val="nil"/>
              <w:bottom w:val="single" w:sz="4" w:space="0" w:color="auto"/>
              <w:right w:val="single" w:sz="4" w:space="0" w:color="auto"/>
            </w:tcBorders>
            <w:shd w:val="clear" w:color="auto" w:fill="auto"/>
            <w:noWrap/>
            <w:vAlign w:val="center"/>
            <w:hideMark/>
          </w:tcPr>
          <w:p w14:paraId="1C58F412"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10 587 653 432      </w:t>
            </w:r>
          </w:p>
        </w:tc>
        <w:tc>
          <w:tcPr>
            <w:tcW w:w="1985" w:type="dxa"/>
            <w:tcBorders>
              <w:top w:val="nil"/>
              <w:left w:val="nil"/>
              <w:bottom w:val="single" w:sz="4" w:space="0" w:color="auto"/>
              <w:right w:val="single" w:sz="4" w:space="0" w:color="auto"/>
            </w:tcBorders>
            <w:shd w:val="clear" w:color="auto" w:fill="auto"/>
            <w:noWrap/>
            <w:vAlign w:val="center"/>
            <w:hideMark/>
          </w:tcPr>
          <w:p w14:paraId="1B9825E4"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23 800 000      </w:t>
            </w:r>
          </w:p>
        </w:tc>
        <w:tc>
          <w:tcPr>
            <w:tcW w:w="2126" w:type="dxa"/>
            <w:tcBorders>
              <w:top w:val="nil"/>
              <w:left w:val="nil"/>
              <w:bottom w:val="single" w:sz="4" w:space="0" w:color="auto"/>
              <w:right w:val="single" w:sz="4" w:space="0" w:color="auto"/>
            </w:tcBorders>
            <w:shd w:val="clear" w:color="auto" w:fill="auto"/>
            <w:noWrap/>
            <w:vAlign w:val="center"/>
            <w:hideMark/>
          </w:tcPr>
          <w:p w14:paraId="36F25D04"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4 395 990 002      </w:t>
            </w:r>
          </w:p>
        </w:tc>
        <w:tc>
          <w:tcPr>
            <w:tcW w:w="1134" w:type="dxa"/>
            <w:tcBorders>
              <w:top w:val="nil"/>
              <w:left w:val="nil"/>
              <w:bottom w:val="single" w:sz="4" w:space="0" w:color="auto"/>
              <w:right w:val="single" w:sz="4" w:space="0" w:color="auto"/>
            </w:tcBorders>
            <w:shd w:val="clear" w:color="auto" w:fill="auto"/>
            <w:noWrap/>
            <w:vAlign w:val="center"/>
            <w:hideMark/>
          </w:tcPr>
          <w:p w14:paraId="0AE73D58" w14:textId="77777777" w:rsidR="006E71CB" w:rsidRPr="00A74BFB" w:rsidRDefault="006E71CB" w:rsidP="00342919">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29%</w:t>
            </w:r>
          </w:p>
        </w:tc>
      </w:tr>
      <w:tr w:rsidR="006E71CB" w:rsidRPr="00A74BFB" w14:paraId="447E88E9" w14:textId="77777777" w:rsidTr="006562F5">
        <w:trPr>
          <w:trHeight w:val="60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50D3C"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Total</w:t>
            </w:r>
          </w:p>
        </w:tc>
        <w:tc>
          <w:tcPr>
            <w:tcW w:w="2409" w:type="dxa"/>
            <w:tcBorders>
              <w:top w:val="nil"/>
              <w:left w:val="nil"/>
              <w:bottom w:val="single" w:sz="4" w:space="0" w:color="auto"/>
              <w:right w:val="single" w:sz="4" w:space="0" w:color="auto"/>
            </w:tcBorders>
            <w:shd w:val="clear" w:color="auto" w:fill="auto"/>
            <w:noWrap/>
            <w:vAlign w:val="center"/>
            <w:hideMark/>
          </w:tcPr>
          <w:p w14:paraId="17C963E8"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               75 513 866 666      </w:t>
            </w:r>
          </w:p>
        </w:tc>
        <w:tc>
          <w:tcPr>
            <w:tcW w:w="2410" w:type="dxa"/>
            <w:tcBorders>
              <w:top w:val="nil"/>
              <w:left w:val="nil"/>
              <w:bottom w:val="single" w:sz="4" w:space="0" w:color="auto"/>
              <w:right w:val="single" w:sz="4" w:space="0" w:color="auto"/>
            </w:tcBorders>
            <w:shd w:val="clear" w:color="auto" w:fill="auto"/>
            <w:noWrap/>
            <w:vAlign w:val="center"/>
            <w:hideMark/>
          </w:tcPr>
          <w:p w14:paraId="240A7C19"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        50 949 415 955      </w:t>
            </w:r>
          </w:p>
        </w:tc>
        <w:tc>
          <w:tcPr>
            <w:tcW w:w="1985" w:type="dxa"/>
            <w:tcBorders>
              <w:top w:val="nil"/>
              <w:left w:val="nil"/>
              <w:bottom w:val="single" w:sz="4" w:space="0" w:color="auto"/>
              <w:right w:val="single" w:sz="4" w:space="0" w:color="auto"/>
            </w:tcBorders>
            <w:shd w:val="clear" w:color="auto" w:fill="auto"/>
            <w:noWrap/>
            <w:vAlign w:val="center"/>
            <w:hideMark/>
          </w:tcPr>
          <w:p w14:paraId="41478321"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        7 392 277 484      </w:t>
            </w:r>
          </w:p>
        </w:tc>
        <w:tc>
          <w:tcPr>
            <w:tcW w:w="2126" w:type="dxa"/>
            <w:tcBorders>
              <w:top w:val="nil"/>
              <w:left w:val="nil"/>
              <w:bottom w:val="single" w:sz="4" w:space="0" w:color="auto"/>
              <w:right w:val="single" w:sz="4" w:space="0" w:color="auto"/>
            </w:tcBorders>
            <w:shd w:val="clear" w:color="auto" w:fill="auto"/>
            <w:noWrap/>
            <w:vAlign w:val="center"/>
            <w:hideMark/>
          </w:tcPr>
          <w:p w14:paraId="6F7E5DBB"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        17 172 173 227      </w:t>
            </w:r>
          </w:p>
        </w:tc>
        <w:tc>
          <w:tcPr>
            <w:tcW w:w="1134" w:type="dxa"/>
            <w:tcBorders>
              <w:top w:val="nil"/>
              <w:left w:val="nil"/>
              <w:bottom w:val="single" w:sz="4" w:space="0" w:color="auto"/>
              <w:right w:val="single" w:sz="4" w:space="0" w:color="auto"/>
            </w:tcBorders>
            <w:shd w:val="clear" w:color="auto" w:fill="auto"/>
            <w:noWrap/>
            <w:vAlign w:val="center"/>
            <w:hideMark/>
          </w:tcPr>
          <w:p w14:paraId="5DDEB97B" w14:textId="77777777" w:rsidR="006E71CB" w:rsidRPr="00A74BFB" w:rsidRDefault="006E71CB" w:rsidP="00342919">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23%</w:t>
            </w:r>
          </w:p>
        </w:tc>
      </w:tr>
    </w:tbl>
    <w:p w14:paraId="130C5334" w14:textId="7CFF1910" w:rsidR="006E513A" w:rsidRDefault="006E513A" w:rsidP="00E14B65">
      <w:pPr>
        <w:rPr>
          <w:lang w:val="sq-AL"/>
        </w:rPr>
      </w:pPr>
    </w:p>
    <w:p w14:paraId="2DEF8D92" w14:textId="5269195C" w:rsidR="006E71CB" w:rsidRDefault="006E71CB" w:rsidP="00E14B65">
      <w:pPr>
        <w:rPr>
          <w:lang w:val="sq-AL"/>
        </w:rPr>
      </w:pPr>
    </w:p>
    <w:p w14:paraId="24FEC1A1" w14:textId="09ABFCC4" w:rsidR="006E71CB" w:rsidRDefault="006E71CB" w:rsidP="00E14B65">
      <w:pPr>
        <w:rPr>
          <w:lang w:val="sq-AL"/>
        </w:rPr>
      </w:pPr>
    </w:p>
    <w:p w14:paraId="509F6CD9" w14:textId="697DD599" w:rsidR="00342919" w:rsidRDefault="00342919" w:rsidP="006562F5">
      <w:pPr>
        <w:pStyle w:val="Caption"/>
        <w:keepNext/>
      </w:pPr>
      <w:bookmarkStart w:id="71" w:name="_Toc123166703"/>
      <w:r>
        <w:t xml:space="preserve">Tabela </w:t>
      </w:r>
      <w:r w:rsidR="004D4D2F">
        <w:fldChar w:fldCharType="begin"/>
      </w:r>
      <w:r w:rsidR="004D4D2F">
        <w:instrText xml:space="preserve"> SEQ Tabela \* ARABIC </w:instrText>
      </w:r>
      <w:r w:rsidR="004D4D2F">
        <w:fldChar w:fldCharType="separate"/>
      </w:r>
      <w:r>
        <w:rPr>
          <w:noProof/>
        </w:rPr>
        <w:t>4</w:t>
      </w:r>
      <w:r w:rsidR="004D4D2F">
        <w:rPr>
          <w:noProof/>
        </w:rPr>
        <w:fldChar w:fldCharType="end"/>
      </w:r>
      <w:r>
        <w:t>: Kosto e Strategjisë Kombëtare të Punësimit dhe Aftësive 2023-2030, pa dalluar burimin e financimit</w:t>
      </w:r>
      <w:bookmarkEnd w:id="71"/>
    </w:p>
    <w:tbl>
      <w:tblPr>
        <w:tblW w:w="13887" w:type="dxa"/>
        <w:tblLook w:val="04A0" w:firstRow="1" w:lastRow="0" w:firstColumn="1" w:lastColumn="0" w:noHBand="0" w:noVBand="1"/>
      </w:tblPr>
      <w:tblGrid>
        <w:gridCol w:w="498"/>
        <w:gridCol w:w="4459"/>
        <w:gridCol w:w="2409"/>
        <w:gridCol w:w="3261"/>
        <w:gridCol w:w="2268"/>
        <w:gridCol w:w="992"/>
      </w:tblGrid>
      <w:tr w:rsidR="006E71CB" w:rsidRPr="00A74BFB" w14:paraId="2AC22716" w14:textId="77777777" w:rsidTr="00FB31A0">
        <w:trPr>
          <w:trHeight w:val="300"/>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73996" w14:textId="77777777" w:rsidR="006E71CB" w:rsidRPr="00A74BFB" w:rsidRDefault="006E71CB" w:rsidP="00FB31A0">
            <w:pPr>
              <w:spacing w:before="144" w:after="144" w:line="240" w:lineRule="auto"/>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Kosto e Strategjisë Kombëtare të Punësimit dhe Aftësive</w:t>
            </w:r>
            <w:r>
              <w:rPr>
                <w:rFonts w:ascii="Calibri" w:eastAsia="Times New Roman" w:hAnsi="Calibri" w:cs="Calibri"/>
                <w:b/>
                <w:bCs/>
                <w:color w:val="000000"/>
                <w:szCs w:val="22"/>
                <w:lang w:eastAsia="en-GB"/>
              </w:rPr>
              <w:t xml:space="preserve"> </w:t>
            </w:r>
            <w:r w:rsidRPr="00A74BFB">
              <w:rPr>
                <w:rFonts w:ascii="Calibri" w:eastAsia="Times New Roman" w:hAnsi="Calibri" w:cs="Calibri"/>
                <w:b/>
                <w:bCs/>
                <w:color w:val="000000"/>
                <w:szCs w:val="22"/>
                <w:lang w:eastAsia="en-GB"/>
              </w:rPr>
              <w:t>2023-2030</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F399" w14:textId="77777777" w:rsidR="006E71C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Kosto indikative </w:t>
            </w:r>
          </w:p>
          <w:p w14:paraId="1056390F"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(ne ALL)</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7AD52" w14:textId="78F0978B"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Burimi </w:t>
            </w:r>
            <w:r w:rsidR="00426319">
              <w:rPr>
                <w:rFonts w:ascii="Calibri" w:eastAsia="Times New Roman" w:hAnsi="Calibri" w:cs="Calibri"/>
                <w:b/>
                <w:bCs/>
                <w:color w:val="000000"/>
                <w:szCs w:val="22"/>
                <w:lang w:eastAsia="en-GB"/>
              </w:rPr>
              <w:t>i</w:t>
            </w:r>
            <w:r w:rsidRPr="00A74BFB">
              <w:rPr>
                <w:rFonts w:ascii="Calibri" w:eastAsia="Times New Roman" w:hAnsi="Calibri" w:cs="Calibri"/>
                <w:b/>
                <w:bCs/>
                <w:color w:val="000000"/>
                <w:szCs w:val="22"/>
                <w:lang w:eastAsia="en-GB"/>
              </w:rPr>
              <w:t xml:space="preserve"> mbulimit</w:t>
            </w:r>
            <w:r w:rsidRPr="00A74BFB">
              <w:rPr>
                <w:rFonts w:ascii="Calibri" w:eastAsia="Times New Roman" w:hAnsi="Calibri" w:cs="Calibri"/>
                <w:b/>
                <w:bCs/>
                <w:color w:val="000000"/>
                <w:szCs w:val="22"/>
                <w:lang w:eastAsia="en-GB"/>
              </w:rPr>
              <w:br/>
              <w:t>Buxhet shteti dhe financim I huaj</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20F776"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Hendeku financiar </w:t>
            </w:r>
          </w:p>
        </w:tc>
      </w:tr>
      <w:tr w:rsidR="006E71CB" w:rsidRPr="00A74BFB" w14:paraId="732D4A1E" w14:textId="77777777" w:rsidTr="00FB31A0">
        <w:trPr>
          <w:trHeight w:val="300"/>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756239D3" w14:textId="77777777" w:rsidR="006E71CB" w:rsidRPr="00A74BFB" w:rsidRDefault="006E71CB" w:rsidP="00FB31A0">
            <w:pPr>
              <w:spacing w:before="0" w:after="0" w:line="240" w:lineRule="auto"/>
              <w:rPr>
                <w:rFonts w:ascii="Calibri" w:eastAsia="Times New Roman" w:hAnsi="Calibri" w:cs="Calibri"/>
                <w:b/>
                <w:bCs/>
                <w:color w:val="000000"/>
                <w:szCs w:val="22"/>
                <w:lang w:eastAsia="en-GB"/>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45154C1" w14:textId="77777777" w:rsidR="006E71CB" w:rsidRPr="00A74BFB" w:rsidRDefault="006E71CB" w:rsidP="00FB31A0">
            <w:pPr>
              <w:spacing w:before="0" w:after="0" w:line="240" w:lineRule="auto"/>
              <w:rPr>
                <w:rFonts w:ascii="Calibri" w:eastAsia="Times New Roman" w:hAnsi="Calibri" w:cs="Calibri"/>
                <w:b/>
                <w:bCs/>
                <w:color w:val="000000"/>
                <w:szCs w:val="22"/>
                <w:lang w:eastAsia="en-GB"/>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4F2D48C1" w14:textId="77777777" w:rsidR="006E71CB" w:rsidRPr="00A74BFB" w:rsidRDefault="006E71CB" w:rsidP="00FB31A0">
            <w:pPr>
              <w:spacing w:before="0" w:after="0" w:line="240" w:lineRule="auto"/>
              <w:rPr>
                <w:rFonts w:ascii="Calibri" w:eastAsia="Times New Roman" w:hAnsi="Calibri" w:cs="Calibri"/>
                <w:b/>
                <w:bCs/>
                <w:color w:val="000000"/>
                <w:szCs w:val="22"/>
                <w:lang w:eastAsia="en-GB"/>
              </w:rPr>
            </w:pPr>
          </w:p>
        </w:tc>
        <w:tc>
          <w:tcPr>
            <w:tcW w:w="2268" w:type="dxa"/>
            <w:tcBorders>
              <w:top w:val="nil"/>
              <w:left w:val="nil"/>
              <w:bottom w:val="single" w:sz="4" w:space="0" w:color="auto"/>
              <w:right w:val="single" w:sz="4" w:space="0" w:color="auto"/>
            </w:tcBorders>
            <w:shd w:val="clear" w:color="auto" w:fill="auto"/>
            <w:noWrap/>
            <w:vAlign w:val="center"/>
            <w:hideMark/>
          </w:tcPr>
          <w:p w14:paraId="174CE962"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ALL</w:t>
            </w:r>
          </w:p>
        </w:tc>
        <w:tc>
          <w:tcPr>
            <w:tcW w:w="992" w:type="dxa"/>
            <w:tcBorders>
              <w:top w:val="nil"/>
              <w:left w:val="nil"/>
              <w:bottom w:val="single" w:sz="4" w:space="0" w:color="auto"/>
              <w:right w:val="single" w:sz="4" w:space="0" w:color="auto"/>
            </w:tcBorders>
            <w:shd w:val="clear" w:color="auto" w:fill="auto"/>
            <w:noWrap/>
            <w:vAlign w:val="center"/>
            <w:hideMark/>
          </w:tcPr>
          <w:p w14:paraId="7CA22333"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w:t>
            </w:r>
          </w:p>
        </w:tc>
      </w:tr>
      <w:tr w:rsidR="006E71CB" w:rsidRPr="00A74BFB" w14:paraId="7D79EEB8" w14:textId="77777777" w:rsidTr="00FB31A0">
        <w:trPr>
          <w:trHeight w:val="96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B816500"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lastRenderedPageBreak/>
              <w:t>Qëllimi I politikës 1</w:t>
            </w:r>
          </w:p>
        </w:tc>
        <w:tc>
          <w:tcPr>
            <w:tcW w:w="4459" w:type="dxa"/>
            <w:tcBorders>
              <w:top w:val="nil"/>
              <w:left w:val="nil"/>
              <w:bottom w:val="single" w:sz="4" w:space="0" w:color="auto"/>
              <w:right w:val="single" w:sz="4" w:space="0" w:color="auto"/>
            </w:tcBorders>
            <w:shd w:val="clear" w:color="auto" w:fill="auto"/>
            <w:vAlign w:val="center"/>
            <w:hideMark/>
          </w:tcPr>
          <w:p w14:paraId="1E0C6D78" w14:textId="77777777" w:rsidR="006E71CB" w:rsidRPr="00A74BFB" w:rsidRDefault="006E71CB" w:rsidP="00FB31A0">
            <w:pPr>
              <w:spacing w:before="0" w:after="0" w:line="240" w:lineRule="auto"/>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OBJEKTIVI SPECIFIK 1.1: Reduktimi i mospërputhjes së aftësive për të gjitha profesionet</w:t>
            </w:r>
          </w:p>
        </w:tc>
        <w:tc>
          <w:tcPr>
            <w:tcW w:w="2409" w:type="dxa"/>
            <w:tcBorders>
              <w:top w:val="nil"/>
              <w:left w:val="nil"/>
              <w:bottom w:val="single" w:sz="4" w:space="0" w:color="auto"/>
              <w:right w:val="single" w:sz="4" w:space="0" w:color="auto"/>
            </w:tcBorders>
            <w:shd w:val="clear" w:color="auto" w:fill="auto"/>
            <w:noWrap/>
            <w:vAlign w:val="center"/>
            <w:hideMark/>
          </w:tcPr>
          <w:p w14:paraId="5DD05E79"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29 522 288 976      </w:t>
            </w:r>
          </w:p>
        </w:tc>
        <w:tc>
          <w:tcPr>
            <w:tcW w:w="3261" w:type="dxa"/>
            <w:tcBorders>
              <w:top w:val="nil"/>
              <w:left w:val="nil"/>
              <w:bottom w:val="single" w:sz="4" w:space="0" w:color="auto"/>
              <w:right w:val="single" w:sz="4" w:space="0" w:color="auto"/>
            </w:tcBorders>
            <w:shd w:val="clear" w:color="auto" w:fill="auto"/>
            <w:noWrap/>
            <w:vAlign w:val="center"/>
            <w:hideMark/>
          </w:tcPr>
          <w:p w14:paraId="1DC5258B"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26 761 582 497      </w:t>
            </w:r>
          </w:p>
        </w:tc>
        <w:tc>
          <w:tcPr>
            <w:tcW w:w="2268" w:type="dxa"/>
            <w:tcBorders>
              <w:top w:val="nil"/>
              <w:left w:val="nil"/>
              <w:bottom w:val="single" w:sz="4" w:space="0" w:color="auto"/>
              <w:right w:val="single" w:sz="4" w:space="0" w:color="auto"/>
            </w:tcBorders>
            <w:shd w:val="clear" w:color="auto" w:fill="auto"/>
            <w:noWrap/>
            <w:vAlign w:val="center"/>
            <w:hideMark/>
          </w:tcPr>
          <w:p w14:paraId="2F3E1A51"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2 760 706 479      </w:t>
            </w:r>
          </w:p>
        </w:tc>
        <w:tc>
          <w:tcPr>
            <w:tcW w:w="992" w:type="dxa"/>
            <w:tcBorders>
              <w:top w:val="nil"/>
              <w:left w:val="nil"/>
              <w:bottom w:val="single" w:sz="4" w:space="0" w:color="auto"/>
              <w:right w:val="single" w:sz="4" w:space="0" w:color="auto"/>
            </w:tcBorders>
            <w:shd w:val="clear" w:color="auto" w:fill="auto"/>
            <w:noWrap/>
            <w:vAlign w:val="center"/>
            <w:hideMark/>
          </w:tcPr>
          <w:p w14:paraId="7C846093"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9%</w:t>
            </w:r>
          </w:p>
        </w:tc>
      </w:tr>
      <w:tr w:rsidR="006E71CB" w:rsidRPr="00A74BFB" w14:paraId="7D49F107" w14:textId="77777777" w:rsidTr="00FB31A0">
        <w:trPr>
          <w:trHeight w:val="640"/>
        </w:trPr>
        <w:tc>
          <w:tcPr>
            <w:tcW w:w="498" w:type="dxa"/>
            <w:vMerge/>
            <w:tcBorders>
              <w:top w:val="nil"/>
              <w:left w:val="single" w:sz="4" w:space="0" w:color="auto"/>
              <w:bottom w:val="single" w:sz="4" w:space="0" w:color="auto"/>
              <w:right w:val="single" w:sz="4" w:space="0" w:color="auto"/>
            </w:tcBorders>
            <w:vAlign w:val="center"/>
            <w:hideMark/>
          </w:tcPr>
          <w:p w14:paraId="49C80AD8" w14:textId="77777777" w:rsidR="006E71CB" w:rsidRPr="00A74BFB" w:rsidRDefault="006E71CB" w:rsidP="00FB31A0">
            <w:pPr>
              <w:spacing w:before="0" w:after="0" w:line="240" w:lineRule="auto"/>
              <w:rPr>
                <w:rFonts w:ascii="Calibri" w:eastAsia="Times New Roman" w:hAnsi="Calibri" w:cs="Calibri"/>
                <w:b/>
                <w:bCs/>
                <w:color w:val="000000"/>
                <w:szCs w:val="22"/>
                <w:lang w:eastAsia="en-GB"/>
              </w:rPr>
            </w:pPr>
          </w:p>
        </w:tc>
        <w:tc>
          <w:tcPr>
            <w:tcW w:w="4459" w:type="dxa"/>
            <w:tcBorders>
              <w:top w:val="nil"/>
              <w:left w:val="nil"/>
              <w:bottom w:val="single" w:sz="4" w:space="0" w:color="auto"/>
              <w:right w:val="single" w:sz="4" w:space="0" w:color="auto"/>
            </w:tcBorders>
            <w:shd w:val="clear" w:color="auto" w:fill="auto"/>
            <w:vAlign w:val="center"/>
            <w:hideMark/>
          </w:tcPr>
          <w:p w14:paraId="1A54E001" w14:textId="77777777" w:rsidR="006E71CB" w:rsidRPr="00A74BFB" w:rsidRDefault="006E71CB" w:rsidP="00FB31A0">
            <w:pPr>
              <w:spacing w:before="0" w:after="0" w:line="240" w:lineRule="auto"/>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OBJEKTIVI SPECIFIK 1.2: Rritja e nivelit të aftësive të grave dhe burrave në moshë pune</w:t>
            </w:r>
          </w:p>
        </w:tc>
        <w:tc>
          <w:tcPr>
            <w:tcW w:w="2409" w:type="dxa"/>
            <w:tcBorders>
              <w:top w:val="nil"/>
              <w:left w:val="nil"/>
              <w:bottom w:val="single" w:sz="4" w:space="0" w:color="auto"/>
              <w:right w:val="single" w:sz="4" w:space="0" w:color="auto"/>
            </w:tcBorders>
            <w:shd w:val="clear" w:color="auto" w:fill="auto"/>
            <w:noWrap/>
            <w:vAlign w:val="center"/>
            <w:hideMark/>
          </w:tcPr>
          <w:p w14:paraId="4522508B"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1 224 197 588      </w:t>
            </w:r>
          </w:p>
        </w:tc>
        <w:tc>
          <w:tcPr>
            <w:tcW w:w="3261" w:type="dxa"/>
            <w:tcBorders>
              <w:top w:val="nil"/>
              <w:left w:val="nil"/>
              <w:bottom w:val="single" w:sz="4" w:space="0" w:color="auto"/>
              <w:right w:val="single" w:sz="4" w:space="0" w:color="auto"/>
            </w:tcBorders>
            <w:shd w:val="clear" w:color="auto" w:fill="auto"/>
            <w:noWrap/>
            <w:vAlign w:val="center"/>
            <w:hideMark/>
          </w:tcPr>
          <w:p w14:paraId="5078B797"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694 860 124      </w:t>
            </w:r>
          </w:p>
        </w:tc>
        <w:tc>
          <w:tcPr>
            <w:tcW w:w="2268" w:type="dxa"/>
            <w:tcBorders>
              <w:top w:val="nil"/>
              <w:left w:val="nil"/>
              <w:bottom w:val="single" w:sz="4" w:space="0" w:color="auto"/>
              <w:right w:val="single" w:sz="4" w:space="0" w:color="auto"/>
            </w:tcBorders>
            <w:shd w:val="clear" w:color="auto" w:fill="auto"/>
            <w:noWrap/>
            <w:vAlign w:val="center"/>
            <w:hideMark/>
          </w:tcPr>
          <w:p w14:paraId="4228068E"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529 337 464      </w:t>
            </w:r>
          </w:p>
        </w:tc>
        <w:tc>
          <w:tcPr>
            <w:tcW w:w="992" w:type="dxa"/>
            <w:tcBorders>
              <w:top w:val="nil"/>
              <w:left w:val="nil"/>
              <w:bottom w:val="single" w:sz="4" w:space="0" w:color="auto"/>
              <w:right w:val="single" w:sz="4" w:space="0" w:color="auto"/>
            </w:tcBorders>
            <w:shd w:val="clear" w:color="auto" w:fill="auto"/>
            <w:noWrap/>
            <w:vAlign w:val="center"/>
            <w:hideMark/>
          </w:tcPr>
          <w:p w14:paraId="1490423E"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43%</w:t>
            </w:r>
          </w:p>
        </w:tc>
      </w:tr>
      <w:tr w:rsidR="006E71CB" w:rsidRPr="00A74BFB" w14:paraId="783DF689" w14:textId="77777777" w:rsidTr="00FB31A0">
        <w:trPr>
          <w:trHeight w:val="640"/>
        </w:trPr>
        <w:tc>
          <w:tcPr>
            <w:tcW w:w="498" w:type="dxa"/>
            <w:vMerge/>
            <w:tcBorders>
              <w:top w:val="nil"/>
              <w:left w:val="single" w:sz="4" w:space="0" w:color="auto"/>
              <w:bottom w:val="single" w:sz="4" w:space="0" w:color="auto"/>
              <w:right w:val="single" w:sz="4" w:space="0" w:color="auto"/>
            </w:tcBorders>
            <w:vAlign w:val="center"/>
            <w:hideMark/>
          </w:tcPr>
          <w:p w14:paraId="18B095B4" w14:textId="77777777" w:rsidR="006E71CB" w:rsidRPr="00A74BFB" w:rsidRDefault="006E71CB" w:rsidP="00FB31A0">
            <w:pPr>
              <w:spacing w:before="0" w:after="0" w:line="240" w:lineRule="auto"/>
              <w:rPr>
                <w:rFonts w:ascii="Calibri" w:eastAsia="Times New Roman" w:hAnsi="Calibri" w:cs="Calibri"/>
                <w:b/>
                <w:bCs/>
                <w:color w:val="000000"/>
                <w:szCs w:val="22"/>
                <w:lang w:eastAsia="en-GB"/>
              </w:rPr>
            </w:pPr>
          </w:p>
        </w:tc>
        <w:tc>
          <w:tcPr>
            <w:tcW w:w="4459" w:type="dxa"/>
            <w:tcBorders>
              <w:top w:val="nil"/>
              <w:left w:val="nil"/>
              <w:bottom w:val="single" w:sz="4" w:space="0" w:color="auto"/>
              <w:right w:val="single" w:sz="4" w:space="0" w:color="auto"/>
            </w:tcBorders>
            <w:shd w:val="clear" w:color="auto" w:fill="auto"/>
            <w:vAlign w:val="center"/>
            <w:hideMark/>
          </w:tcPr>
          <w:p w14:paraId="496BCD1E" w14:textId="77777777" w:rsidR="006E71CB" w:rsidRPr="00A74BFB" w:rsidRDefault="006E71CB" w:rsidP="00FB31A0">
            <w:pPr>
              <w:spacing w:before="0" w:after="0" w:line="240" w:lineRule="auto"/>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OBJEKTIVI SPECIFIK 1.3: Funksionimi më i mirë i tregut të punës për të gjithë </w:t>
            </w:r>
          </w:p>
        </w:tc>
        <w:tc>
          <w:tcPr>
            <w:tcW w:w="2409" w:type="dxa"/>
            <w:tcBorders>
              <w:top w:val="nil"/>
              <w:left w:val="nil"/>
              <w:bottom w:val="single" w:sz="4" w:space="0" w:color="auto"/>
              <w:right w:val="single" w:sz="4" w:space="0" w:color="auto"/>
            </w:tcBorders>
            <w:shd w:val="clear" w:color="auto" w:fill="auto"/>
            <w:noWrap/>
            <w:vAlign w:val="center"/>
            <w:hideMark/>
          </w:tcPr>
          <w:p w14:paraId="47A8D09D"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3 548 552 652      </w:t>
            </w:r>
          </w:p>
        </w:tc>
        <w:tc>
          <w:tcPr>
            <w:tcW w:w="3261" w:type="dxa"/>
            <w:tcBorders>
              <w:top w:val="nil"/>
              <w:left w:val="nil"/>
              <w:bottom w:val="single" w:sz="4" w:space="0" w:color="auto"/>
              <w:right w:val="single" w:sz="4" w:space="0" w:color="auto"/>
            </w:tcBorders>
            <w:shd w:val="clear" w:color="auto" w:fill="auto"/>
            <w:noWrap/>
            <w:vAlign w:val="center"/>
            <w:hideMark/>
          </w:tcPr>
          <w:p w14:paraId="3257F346"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3 034 853 320      </w:t>
            </w:r>
          </w:p>
        </w:tc>
        <w:tc>
          <w:tcPr>
            <w:tcW w:w="2268" w:type="dxa"/>
            <w:tcBorders>
              <w:top w:val="nil"/>
              <w:left w:val="nil"/>
              <w:bottom w:val="single" w:sz="4" w:space="0" w:color="auto"/>
              <w:right w:val="single" w:sz="4" w:space="0" w:color="auto"/>
            </w:tcBorders>
            <w:shd w:val="clear" w:color="auto" w:fill="auto"/>
            <w:noWrap/>
            <w:vAlign w:val="center"/>
            <w:hideMark/>
          </w:tcPr>
          <w:p w14:paraId="731C8EE8"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513 699 332      </w:t>
            </w:r>
          </w:p>
        </w:tc>
        <w:tc>
          <w:tcPr>
            <w:tcW w:w="992" w:type="dxa"/>
            <w:tcBorders>
              <w:top w:val="nil"/>
              <w:left w:val="nil"/>
              <w:bottom w:val="single" w:sz="4" w:space="0" w:color="auto"/>
              <w:right w:val="single" w:sz="4" w:space="0" w:color="auto"/>
            </w:tcBorders>
            <w:shd w:val="clear" w:color="auto" w:fill="auto"/>
            <w:noWrap/>
            <w:vAlign w:val="center"/>
            <w:hideMark/>
          </w:tcPr>
          <w:p w14:paraId="29A34940"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14%</w:t>
            </w:r>
          </w:p>
        </w:tc>
      </w:tr>
      <w:tr w:rsidR="006E71CB" w:rsidRPr="00A74BFB" w14:paraId="59755B33" w14:textId="77777777" w:rsidTr="00FB31A0">
        <w:trPr>
          <w:trHeight w:val="112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C27E13F"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Qëllimi I politikës 2</w:t>
            </w:r>
          </w:p>
        </w:tc>
        <w:tc>
          <w:tcPr>
            <w:tcW w:w="4459" w:type="dxa"/>
            <w:tcBorders>
              <w:top w:val="nil"/>
              <w:left w:val="nil"/>
              <w:bottom w:val="single" w:sz="4" w:space="0" w:color="auto"/>
              <w:right w:val="single" w:sz="4" w:space="0" w:color="auto"/>
            </w:tcBorders>
            <w:shd w:val="clear" w:color="auto" w:fill="auto"/>
            <w:vAlign w:val="center"/>
            <w:hideMark/>
          </w:tcPr>
          <w:p w14:paraId="20F93B47" w14:textId="77777777" w:rsidR="006E71CB" w:rsidRPr="00A74BFB" w:rsidRDefault="006E71CB" w:rsidP="00FB31A0">
            <w:pPr>
              <w:spacing w:before="0" w:after="0" w:line="240" w:lineRule="auto"/>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OBJEKTIVI SPECIFIK 2.1: Ndërmjetësim me gjithëpërfshires i punësimit </w:t>
            </w:r>
          </w:p>
        </w:tc>
        <w:tc>
          <w:tcPr>
            <w:tcW w:w="2409" w:type="dxa"/>
            <w:tcBorders>
              <w:top w:val="nil"/>
              <w:left w:val="nil"/>
              <w:bottom w:val="single" w:sz="4" w:space="0" w:color="auto"/>
              <w:right w:val="single" w:sz="4" w:space="0" w:color="auto"/>
            </w:tcBorders>
            <w:shd w:val="clear" w:color="auto" w:fill="auto"/>
            <w:noWrap/>
            <w:vAlign w:val="center"/>
            <w:hideMark/>
          </w:tcPr>
          <w:p w14:paraId="1463E358"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26 211 384 015      </w:t>
            </w:r>
          </w:p>
        </w:tc>
        <w:tc>
          <w:tcPr>
            <w:tcW w:w="3261" w:type="dxa"/>
            <w:tcBorders>
              <w:top w:val="nil"/>
              <w:left w:val="nil"/>
              <w:bottom w:val="single" w:sz="4" w:space="0" w:color="auto"/>
              <w:right w:val="single" w:sz="4" w:space="0" w:color="auto"/>
            </w:tcBorders>
            <w:shd w:val="clear" w:color="auto" w:fill="auto"/>
            <w:noWrap/>
            <w:vAlign w:val="center"/>
            <w:hideMark/>
          </w:tcPr>
          <w:p w14:paraId="5715648F"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17 238 944 066      </w:t>
            </w:r>
          </w:p>
        </w:tc>
        <w:tc>
          <w:tcPr>
            <w:tcW w:w="2268" w:type="dxa"/>
            <w:tcBorders>
              <w:top w:val="nil"/>
              <w:left w:val="nil"/>
              <w:bottom w:val="single" w:sz="4" w:space="0" w:color="auto"/>
              <w:right w:val="single" w:sz="4" w:space="0" w:color="auto"/>
            </w:tcBorders>
            <w:shd w:val="clear" w:color="auto" w:fill="auto"/>
            <w:noWrap/>
            <w:vAlign w:val="center"/>
            <w:hideMark/>
          </w:tcPr>
          <w:p w14:paraId="6ABFA7A0"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8 972 439 949      </w:t>
            </w:r>
          </w:p>
        </w:tc>
        <w:tc>
          <w:tcPr>
            <w:tcW w:w="992" w:type="dxa"/>
            <w:tcBorders>
              <w:top w:val="nil"/>
              <w:left w:val="nil"/>
              <w:bottom w:val="single" w:sz="4" w:space="0" w:color="auto"/>
              <w:right w:val="single" w:sz="4" w:space="0" w:color="auto"/>
            </w:tcBorders>
            <w:shd w:val="clear" w:color="auto" w:fill="auto"/>
            <w:noWrap/>
            <w:vAlign w:val="center"/>
            <w:hideMark/>
          </w:tcPr>
          <w:p w14:paraId="558E919F"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34%</w:t>
            </w:r>
          </w:p>
        </w:tc>
      </w:tr>
      <w:tr w:rsidR="006E71CB" w:rsidRPr="00A74BFB" w14:paraId="3703896D" w14:textId="77777777" w:rsidTr="00FB31A0">
        <w:trPr>
          <w:trHeight w:val="1080"/>
        </w:trPr>
        <w:tc>
          <w:tcPr>
            <w:tcW w:w="498" w:type="dxa"/>
            <w:vMerge/>
            <w:tcBorders>
              <w:top w:val="nil"/>
              <w:left w:val="single" w:sz="4" w:space="0" w:color="auto"/>
              <w:bottom w:val="single" w:sz="4" w:space="0" w:color="auto"/>
              <w:right w:val="single" w:sz="4" w:space="0" w:color="auto"/>
            </w:tcBorders>
            <w:vAlign w:val="center"/>
            <w:hideMark/>
          </w:tcPr>
          <w:p w14:paraId="06389696" w14:textId="77777777" w:rsidR="006E71CB" w:rsidRPr="00A74BFB" w:rsidRDefault="006E71CB" w:rsidP="00FB31A0">
            <w:pPr>
              <w:spacing w:before="0" w:after="0" w:line="240" w:lineRule="auto"/>
              <w:rPr>
                <w:rFonts w:ascii="Calibri" w:eastAsia="Times New Roman" w:hAnsi="Calibri" w:cs="Calibri"/>
                <w:b/>
                <w:bCs/>
                <w:color w:val="000000"/>
                <w:szCs w:val="22"/>
                <w:lang w:eastAsia="en-GB"/>
              </w:rPr>
            </w:pPr>
          </w:p>
        </w:tc>
        <w:tc>
          <w:tcPr>
            <w:tcW w:w="4459" w:type="dxa"/>
            <w:tcBorders>
              <w:top w:val="nil"/>
              <w:left w:val="nil"/>
              <w:bottom w:val="single" w:sz="4" w:space="0" w:color="auto"/>
              <w:right w:val="single" w:sz="4" w:space="0" w:color="auto"/>
            </w:tcBorders>
            <w:shd w:val="clear" w:color="auto" w:fill="auto"/>
            <w:vAlign w:val="center"/>
            <w:hideMark/>
          </w:tcPr>
          <w:p w14:paraId="43F5B0EA" w14:textId="77777777" w:rsidR="006E71CB" w:rsidRPr="00A74BFB" w:rsidRDefault="006E71CB" w:rsidP="00FB31A0">
            <w:pPr>
              <w:spacing w:before="0" w:after="0" w:line="240" w:lineRule="auto"/>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OBJEKTIVI SPECIFIK 2.2: Sigurimi i punës së denjë për të gjithë dhe kudo</w:t>
            </w:r>
          </w:p>
        </w:tc>
        <w:tc>
          <w:tcPr>
            <w:tcW w:w="2409" w:type="dxa"/>
            <w:tcBorders>
              <w:top w:val="nil"/>
              <w:left w:val="nil"/>
              <w:bottom w:val="single" w:sz="4" w:space="0" w:color="auto"/>
              <w:right w:val="single" w:sz="4" w:space="0" w:color="auto"/>
            </w:tcBorders>
            <w:shd w:val="clear" w:color="auto" w:fill="auto"/>
            <w:noWrap/>
            <w:vAlign w:val="center"/>
            <w:hideMark/>
          </w:tcPr>
          <w:p w14:paraId="4390D23B"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15 007 443 434      </w:t>
            </w:r>
          </w:p>
        </w:tc>
        <w:tc>
          <w:tcPr>
            <w:tcW w:w="3261" w:type="dxa"/>
            <w:tcBorders>
              <w:top w:val="nil"/>
              <w:left w:val="nil"/>
              <w:bottom w:val="single" w:sz="4" w:space="0" w:color="auto"/>
              <w:right w:val="single" w:sz="4" w:space="0" w:color="auto"/>
            </w:tcBorders>
            <w:shd w:val="clear" w:color="auto" w:fill="auto"/>
            <w:noWrap/>
            <w:vAlign w:val="center"/>
            <w:hideMark/>
          </w:tcPr>
          <w:p w14:paraId="25DDF761"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10 611 453 432      </w:t>
            </w:r>
          </w:p>
        </w:tc>
        <w:tc>
          <w:tcPr>
            <w:tcW w:w="2268" w:type="dxa"/>
            <w:tcBorders>
              <w:top w:val="nil"/>
              <w:left w:val="nil"/>
              <w:bottom w:val="single" w:sz="4" w:space="0" w:color="auto"/>
              <w:right w:val="single" w:sz="4" w:space="0" w:color="auto"/>
            </w:tcBorders>
            <w:shd w:val="clear" w:color="auto" w:fill="auto"/>
            <w:noWrap/>
            <w:vAlign w:val="center"/>
            <w:hideMark/>
          </w:tcPr>
          <w:p w14:paraId="4F6804D3"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 xml:space="preserve">           4 395 990 002      </w:t>
            </w:r>
          </w:p>
        </w:tc>
        <w:tc>
          <w:tcPr>
            <w:tcW w:w="992" w:type="dxa"/>
            <w:tcBorders>
              <w:top w:val="nil"/>
              <w:left w:val="nil"/>
              <w:bottom w:val="single" w:sz="4" w:space="0" w:color="auto"/>
              <w:right w:val="single" w:sz="4" w:space="0" w:color="auto"/>
            </w:tcBorders>
            <w:shd w:val="clear" w:color="auto" w:fill="auto"/>
            <w:noWrap/>
            <w:vAlign w:val="center"/>
            <w:hideMark/>
          </w:tcPr>
          <w:p w14:paraId="648E0285" w14:textId="77777777" w:rsidR="006E71CB" w:rsidRPr="00A74BFB" w:rsidRDefault="006E71CB" w:rsidP="00FB31A0">
            <w:pPr>
              <w:spacing w:before="0" w:after="0" w:line="240" w:lineRule="auto"/>
              <w:jc w:val="center"/>
              <w:rPr>
                <w:rFonts w:ascii="Calibri" w:eastAsia="Times New Roman" w:hAnsi="Calibri" w:cs="Calibri"/>
                <w:color w:val="000000"/>
                <w:szCs w:val="22"/>
                <w:lang w:eastAsia="en-GB"/>
              </w:rPr>
            </w:pPr>
            <w:r w:rsidRPr="00A74BFB">
              <w:rPr>
                <w:rFonts w:ascii="Calibri" w:eastAsia="Times New Roman" w:hAnsi="Calibri" w:cs="Calibri"/>
                <w:color w:val="000000"/>
                <w:szCs w:val="22"/>
                <w:lang w:eastAsia="en-GB"/>
              </w:rPr>
              <w:t>29%</w:t>
            </w:r>
          </w:p>
        </w:tc>
      </w:tr>
      <w:tr w:rsidR="006E71CB" w:rsidRPr="00A74BFB" w14:paraId="06900D23" w14:textId="77777777" w:rsidTr="00FB31A0">
        <w:trPr>
          <w:trHeight w:val="600"/>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DDA9"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Total</w:t>
            </w:r>
          </w:p>
        </w:tc>
        <w:tc>
          <w:tcPr>
            <w:tcW w:w="2409" w:type="dxa"/>
            <w:tcBorders>
              <w:top w:val="nil"/>
              <w:left w:val="nil"/>
              <w:bottom w:val="single" w:sz="4" w:space="0" w:color="auto"/>
              <w:right w:val="single" w:sz="4" w:space="0" w:color="auto"/>
            </w:tcBorders>
            <w:shd w:val="clear" w:color="auto" w:fill="auto"/>
            <w:noWrap/>
            <w:vAlign w:val="center"/>
            <w:hideMark/>
          </w:tcPr>
          <w:p w14:paraId="4B3365AD"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               75 513 866 666      </w:t>
            </w:r>
          </w:p>
        </w:tc>
        <w:tc>
          <w:tcPr>
            <w:tcW w:w="3261" w:type="dxa"/>
            <w:tcBorders>
              <w:top w:val="nil"/>
              <w:left w:val="nil"/>
              <w:bottom w:val="single" w:sz="4" w:space="0" w:color="auto"/>
              <w:right w:val="single" w:sz="4" w:space="0" w:color="auto"/>
            </w:tcBorders>
            <w:shd w:val="clear" w:color="auto" w:fill="auto"/>
            <w:noWrap/>
            <w:vAlign w:val="center"/>
            <w:hideMark/>
          </w:tcPr>
          <w:p w14:paraId="0DD06A0E"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                    58 341 693 439      </w:t>
            </w:r>
          </w:p>
        </w:tc>
        <w:tc>
          <w:tcPr>
            <w:tcW w:w="2268" w:type="dxa"/>
            <w:tcBorders>
              <w:top w:val="nil"/>
              <w:left w:val="nil"/>
              <w:bottom w:val="single" w:sz="4" w:space="0" w:color="auto"/>
              <w:right w:val="single" w:sz="4" w:space="0" w:color="auto"/>
            </w:tcBorders>
            <w:shd w:val="clear" w:color="auto" w:fill="auto"/>
            <w:noWrap/>
            <w:vAlign w:val="center"/>
            <w:hideMark/>
          </w:tcPr>
          <w:p w14:paraId="0F814426"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 xml:space="preserve">        17 172 173 227      </w:t>
            </w:r>
          </w:p>
        </w:tc>
        <w:tc>
          <w:tcPr>
            <w:tcW w:w="992" w:type="dxa"/>
            <w:tcBorders>
              <w:top w:val="nil"/>
              <w:left w:val="nil"/>
              <w:bottom w:val="single" w:sz="4" w:space="0" w:color="auto"/>
              <w:right w:val="single" w:sz="4" w:space="0" w:color="auto"/>
            </w:tcBorders>
            <w:shd w:val="clear" w:color="auto" w:fill="auto"/>
            <w:noWrap/>
            <w:vAlign w:val="center"/>
            <w:hideMark/>
          </w:tcPr>
          <w:p w14:paraId="6D202DF5" w14:textId="77777777" w:rsidR="006E71CB" w:rsidRPr="00A74BFB" w:rsidRDefault="006E71CB" w:rsidP="00FB31A0">
            <w:pPr>
              <w:spacing w:before="0" w:after="0" w:line="240" w:lineRule="auto"/>
              <w:jc w:val="center"/>
              <w:rPr>
                <w:rFonts w:ascii="Calibri" w:eastAsia="Times New Roman" w:hAnsi="Calibri" w:cs="Calibri"/>
                <w:b/>
                <w:bCs/>
                <w:color w:val="000000"/>
                <w:szCs w:val="22"/>
                <w:lang w:eastAsia="en-GB"/>
              </w:rPr>
            </w:pPr>
            <w:r w:rsidRPr="00A74BFB">
              <w:rPr>
                <w:rFonts w:ascii="Calibri" w:eastAsia="Times New Roman" w:hAnsi="Calibri" w:cs="Calibri"/>
                <w:b/>
                <w:bCs/>
                <w:color w:val="000000"/>
                <w:szCs w:val="22"/>
                <w:lang w:eastAsia="en-GB"/>
              </w:rPr>
              <w:t>23%</w:t>
            </w:r>
          </w:p>
        </w:tc>
      </w:tr>
    </w:tbl>
    <w:p w14:paraId="52216079" w14:textId="77777777" w:rsidR="006E71CB" w:rsidRPr="00E35625" w:rsidRDefault="006E71CB" w:rsidP="00E14B65">
      <w:pPr>
        <w:rPr>
          <w:rFonts w:eastAsiaTheme="majorEastAsia"/>
          <w:color w:val="2F5496" w:themeColor="accent1" w:themeShade="BF"/>
          <w:sz w:val="28"/>
          <w:szCs w:val="32"/>
          <w:lang w:val="sq-AL"/>
        </w:rPr>
      </w:pPr>
    </w:p>
    <w:p w14:paraId="16431803" w14:textId="77777777" w:rsidR="006E71CB" w:rsidRDefault="006E71CB" w:rsidP="00E14B65">
      <w:pPr>
        <w:pStyle w:val="Heading1"/>
        <w:rPr>
          <w:lang w:val="sq-AL"/>
        </w:rPr>
        <w:sectPr w:rsidR="006E71CB" w:rsidSect="006E71CB">
          <w:pgSz w:w="16840" w:h="11900" w:orient="landscape"/>
          <w:pgMar w:top="1246" w:right="1201" w:bottom="1440" w:left="1286" w:header="708" w:footer="708" w:gutter="0"/>
          <w:cols w:space="708"/>
          <w:docGrid w:linePitch="360"/>
        </w:sectPr>
      </w:pPr>
    </w:p>
    <w:p w14:paraId="53D4C890" w14:textId="100E1431" w:rsidR="008A5B2B" w:rsidRPr="00E35625" w:rsidRDefault="008A5B2B" w:rsidP="00E14B65">
      <w:pPr>
        <w:pStyle w:val="Heading1"/>
        <w:rPr>
          <w:lang w:val="sq-AL"/>
        </w:rPr>
      </w:pPr>
      <w:bookmarkStart w:id="72" w:name="_Toc123165425"/>
      <w:r w:rsidRPr="00E35625">
        <w:rPr>
          <w:lang w:val="sq-AL"/>
        </w:rPr>
        <w:lastRenderedPageBreak/>
        <w:t>Shtojca</w:t>
      </w:r>
      <w:bookmarkEnd w:id="72"/>
    </w:p>
    <w:p w14:paraId="0951A888" w14:textId="77777777" w:rsidR="0036475F" w:rsidRDefault="0036475F" w:rsidP="0036475F">
      <w:pPr>
        <w:pStyle w:val="Heading2"/>
        <w:numPr>
          <w:ilvl w:val="0"/>
          <w:numId w:val="0"/>
        </w:numPr>
        <w:ind w:left="284"/>
        <w:rPr>
          <w:lang w:val="sq-AL"/>
        </w:rPr>
      </w:pPr>
      <w:bookmarkStart w:id="73" w:name="_Toc123165426"/>
      <w:r>
        <w:rPr>
          <w:lang w:val="sq-AL"/>
        </w:rPr>
        <w:t xml:space="preserve">Shtojca 1: </w:t>
      </w:r>
      <w:r w:rsidR="009D64A9">
        <w:rPr>
          <w:lang w:val="sq-AL"/>
        </w:rPr>
        <w:t>Plani i veprimit për zbatimin e Strategjisë Kombëtare të Punësimit dhe Aftësive 2023 – 2030</w:t>
      </w:r>
      <w:bookmarkEnd w:id="73"/>
    </w:p>
    <w:p w14:paraId="092FBD33" w14:textId="3E2DA20C" w:rsidR="0036475F" w:rsidRDefault="009D64A9" w:rsidP="0036475F">
      <w:pPr>
        <w:pStyle w:val="Heading2"/>
        <w:numPr>
          <w:ilvl w:val="0"/>
          <w:numId w:val="0"/>
        </w:numPr>
        <w:ind w:left="284"/>
        <w:rPr>
          <w:bCs/>
          <w:lang w:val="sq-AL"/>
        </w:rPr>
      </w:pPr>
      <w:bookmarkStart w:id="74" w:name="_Toc123165427"/>
      <w:r>
        <w:rPr>
          <w:bCs/>
          <w:lang w:val="sq-AL"/>
        </w:rPr>
        <w:t xml:space="preserve">Shtojca 2: </w:t>
      </w:r>
      <w:r w:rsidR="0036475F">
        <w:rPr>
          <w:bCs/>
          <w:lang w:val="sq-AL"/>
        </w:rPr>
        <w:t>Treguesit e monitorueshëm</w:t>
      </w:r>
      <w:bookmarkEnd w:id="74"/>
    </w:p>
    <w:p w14:paraId="251F1913" w14:textId="69C7B3BE" w:rsidR="008A5B2B" w:rsidRPr="009D64A9" w:rsidRDefault="0036475F" w:rsidP="0036475F">
      <w:pPr>
        <w:pStyle w:val="Heading2"/>
        <w:numPr>
          <w:ilvl w:val="0"/>
          <w:numId w:val="0"/>
        </w:numPr>
        <w:ind w:left="284"/>
        <w:rPr>
          <w:lang w:val="sq-AL"/>
        </w:rPr>
      </w:pPr>
      <w:bookmarkStart w:id="75" w:name="_Toc123165428"/>
      <w:r>
        <w:rPr>
          <w:bCs/>
          <w:lang w:val="sq-AL"/>
        </w:rPr>
        <w:t xml:space="preserve">Shtojca 3: Plani i </w:t>
      </w:r>
      <w:r w:rsidR="00BF4CFA">
        <w:rPr>
          <w:bCs/>
          <w:lang w:val="sq-AL"/>
        </w:rPr>
        <w:t xml:space="preserve">Zbatimit të </w:t>
      </w:r>
      <w:r>
        <w:rPr>
          <w:bCs/>
          <w:lang w:val="sq-AL"/>
        </w:rPr>
        <w:t>Garancisë Rinore</w:t>
      </w:r>
      <w:bookmarkEnd w:id="75"/>
      <w:r w:rsidR="008A5B2B" w:rsidRPr="009D64A9">
        <w:rPr>
          <w:lang w:val="sq-AL"/>
        </w:rPr>
        <w:t xml:space="preserve"> </w:t>
      </w:r>
      <w:r w:rsidR="00157D04">
        <w:rPr>
          <w:lang w:val="sq-AL"/>
        </w:rPr>
        <w:t>2023 - 2024</w:t>
      </w:r>
    </w:p>
    <w:p w14:paraId="6FDC5A44" w14:textId="77777777" w:rsidR="00942922" w:rsidRPr="00E35625" w:rsidRDefault="00942922" w:rsidP="00E14B65">
      <w:pPr>
        <w:rPr>
          <w:lang w:val="sq-AL"/>
        </w:rPr>
      </w:pPr>
    </w:p>
    <w:sectPr w:rsidR="00942922" w:rsidRPr="00E35625" w:rsidSect="00426319">
      <w:pgSz w:w="11900" w:h="16840"/>
      <w:pgMar w:top="1286" w:right="1246" w:bottom="12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BD31C" w14:textId="77777777" w:rsidR="004D4D2F" w:rsidRDefault="004D4D2F" w:rsidP="00E14B65">
      <w:r>
        <w:separator/>
      </w:r>
    </w:p>
  </w:endnote>
  <w:endnote w:type="continuationSeparator" w:id="0">
    <w:p w14:paraId="175AFDF1" w14:textId="77777777" w:rsidR="004D4D2F" w:rsidRDefault="004D4D2F" w:rsidP="00E1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1411801"/>
      <w:docPartObj>
        <w:docPartGallery w:val="Page Numbers (Bottom of Page)"/>
        <w:docPartUnique/>
      </w:docPartObj>
    </w:sdtPr>
    <w:sdtEndPr>
      <w:rPr>
        <w:rStyle w:val="PageNumber"/>
      </w:rPr>
    </w:sdtEndPr>
    <w:sdtContent>
      <w:p w14:paraId="6F69976F" w14:textId="77777777" w:rsidR="004E167B" w:rsidRDefault="004E167B" w:rsidP="00E14B6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E3621A" w14:textId="77777777" w:rsidR="004E167B" w:rsidRDefault="004E167B" w:rsidP="00E14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3860985"/>
      <w:docPartObj>
        <w:docPartGallery w:val="Page Numbers (Bottom of Page)"/>
        <w:docPartUnique/>
      </w:docPartObj>
    </w:sdtPr>
    <w:sdtEndPr>
      <w:rPr>
        <w:rStyle w:val="PageNumber"/>
      </w:rPr>
    </w:sdtEndPr>
    <w:sdtContent>
      <w:p w14:paraId="5E2F42C2" w14:textId="7EFCF566" w:rsidR="004E167B" w:rsidRDefault="004E167B" w:rsidP="00E14B6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5F2F30">
          <w:rPr>
            <w:rStyle w:val="PageNumber"/>
            <w:noProof/>
          </w:rPr>
          <w:t>1</w:t>
        </w:r>
        <w:r>
          <w:rPr>
            <w:rStyle w:val="PageNumber"/>
          </w:rPr>
          <w:fldChar w:fldCharType="end"/>
        </w:r>
      </w:p>
    </w:sdtContent>
  </w:sdt>
  <w:p w14:paraId="5620E6EA" w14:textId="77777777" w:rsidR="004E167B" w:rsidRDefault="004E167B" w:rsidP="00E14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574457"/>
      <w:docPartObj>
        <w:docPartGallery w:val="Page Numbers (Bottom of Page)"/>
        <w:docPartUnique/>
      </w:docPartObj>
    </w:sdtPr>
    <w:sdtEndPr>
      <w:rPr>
        <w:rStyle w:val="PageNumber"/>
      </w:rPr>
    </w:sdtEndPr>
    <w:sdtContent>
      <w:p w14:paraId="5FB27572" w14:textId="01AA0FF5" w:rsidR="004E167B" w:rsidRDefault="004E167B" w:rsidP="00E14B6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DBD620" w14:textId="77777777" w:rsidR="004E167B" w:rsidRDefault="004E167B" w:rsidP="00E14B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0770091"/>
      <w:docPartObj>
        <w:docPartGallery w:val="Page Numbers (Bottom of Page)"/>
        <w:docPartUnique/>
      </w:docPartObj>
    </w:sdtPr>
    <w:sdtEndPr>
      <w:rPr>
        <w:rStyle w:val="PageNumber"/>
      </w:rPr>
    </w:sdtEndPr>
    <w:sdtContent>
      <w:p w14:paraId="781F96EC" w14:textId="272328A7" w:rsidR="004E167B" w:rsidRDefault="004E167B" w:rsidP="00E14B6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57D04">
          <w:rPr>
            <w:rStyle w:val="PageNumber"/>
            <w:noProof/>
          </w:rPr>
          <w:t>44</w:t>
        </w:r>
        <w:r>
          <w:rPr>
            <w:rStyle w:val="PageNumber"/>
          </w:rPr>
          <w:fldChar w:fldCharType="end"/>
        </w:r>
      </w:p>
    </w:sdtContent>
  </w:sdt>
  <w:p w14:paraId="79316C95" w14:textId="77777777" w:rsidR="004E167B" w:rsidRDefault="004E167B" w:rsidP="00E14B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FD44" w14:textId="77777777" w:rsidR="004E167B" w:rsidRDefault="004E167B" w:rsidP="00E1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BD16" w14:textId="77777777" w:rsidR="004D4D2F" w:rsidRDefault="004D4D2F" w:rsidP="00E14B65">
      <w:r>
        <w:separator/>
      </w:r>
    </w:p>
  </w:footnote>
  <w:footnote w:type="continuationSeparator" w:id="0">
    <w:p w14:paraId="5C34A6D2" w14:textId="77777777" w:rsidR="004D4D2F" w:rsidRDefault="004D4D2F" w:rsidP="00E14B65">
      <w:r>
        <w:continuationSeparator/>
      </w:r>
    </w:p>
  </w:footnote>
  <w:footnote w:id="1">
    <w:p w14:paraId="7205C587" w14:textId="06CB7785"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Raporti i fundit i Dhomës Amerikane të Tregtisë mbi Indeksin e Biznesit në Shqipëri 2020 tregon se 63.8 </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e të intervistuarve treguan se e kishin shumë të vështirë ose të vështirë gjetjen e stafit të kualifikuar për punë (</w:t>
      </w:r>
      <w:hyperlink r:id="rId1" w:history="1">
        <w:r w:rsidRPr="00E14B65">
          <w:rPr>
            <w:rStyle w:val="Hyperlink"/>
            <w:rFonts w:asciiTheme="majorHAnsi" w:hAnsiTheme="majorHAnsi" w:cstheme="majorHAnsi"/>
            <w:sz w:val="18"/>
            <w:szCs w:val="18"/>
          </w:rPr>
          <w:t>https://amcham.com.al/amcham-publikon-indeksin-e-biznesit-per-periudhen-2020-2021/</w:t>
        </w:r>
      </w:hyperlink>
      <w:r w:rsidRPr="00E14B65">
        <w:rPr>
          <w:rFonts w:asciiTheme="majorHAnsi" w:hAnsiTheme="majorHAnsi" w:cstheme="majorHAnsi"/>
          <w:sz w:val="18"/>
          <w:szCs w:val="18"/>
        </w:rPr>
        <w:t xml:space="preserve">)  </w:t>
      </w:r>
    </w:p>
  </w:footnote>
  <w:footnote w:id="2">
    <w:p w14:paraId="6DF6999F" w14:textId="76F8ACEF"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Në vendet e Ballkanit Perëndimor mesatarja ishte </w:t>
      </w:r>
      <w:r w:rsidRPr="00E14B65">
        <w:rPr>
          <w:rFonts w:asciiTheme="majorHAnsi" w:hAnsiTheme="majorHAnsi" w:cstheme="majorHAnsi"/>
          <w:sz w:val="18"/>
          <w:szCs w:val="18"/>
        </w:rPr>
        <w:t xml:space="preserve">31 </w:t>
      </w:r>
      <w:r>
        <w:rPr>
          <w:rFonts w:asciiTheme="majorHAnsi" w:hAnsiTheme="majorHAnsi" w:cstheme="majorHAnsi"/>
          <w:sz w:val="18"/>
          <w:szCs w:val="18"/>
        </w:rPr>
        <w:t xml:space="preserve"> përqind</w:t>
      </w:r>
      <w:r w:rsidRPr="00E14B65">
        <w:rPr>
          <w:rFonts w:asciiTheme="majorHAnsi" w:hAnsiTheme="majorHAnsi" w:cstheme="majorHAnsi"/>
          <w:sz w:val="18"/>
          <w:szCs w:val="18"/>
        </w:rPr>
        <w:t>.</w:t>
      </w:r>
    </w:p>
  </w:footnote>
  <w:footnote w:id="3">
    <w:p w14:paraId="287054CF" w14:textId="77777777" w:rsidR="004E167B" w:rsidRPr="00E14B65" w:rsidRDefault="004E167B" w:rsidP="00DA6CC7">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 xml:space="preserve">Mospërputhja e aftësive mund të përkufizohet si një përshkrim i boshllëqeve dhe disbalancave të aftësive në tregun e punës, për shkak të nivelit të kualifikimit ose aftësive (ETF 2022). </w:t>
      </w:r>
    </w:p>
  </w:footnote>
  <w:footnote w:id="4">
    <w:p w14:paraId="78726056" w14:textId="63E87FDF" w:rsidR="004E167B" w:rsidRPr="00E14B65" w:rsidRDefault="004E167B" w:rsidP="00DA6CC7">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Shkalla e papunësisë së të rinjve është 27.1</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që është më shumë se dyfishi i shkallës së përgjithshme të papunësisë (11.5</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në 2021). Shkalla e papunësisë dhe shkalla e papun</w:t>
      </w:r>
      <w:r w:rsidRPr="00E14B65">
        <w:rPr>
          <w:rFonts w:asciiTheme="majorHAnsi" w:hAnsiTheme="majorHAnsi" w:cstheme="majorHAnsi"/>
          <w:bCs/>
          <w:sz w:val="18"/>
          <w:szCs w:val="18"/>
        </w:rPr>
        <w:t>ë</w:t>
      </w:r>
      <w:r w:rsidRPr="00E14B65">
        <w:rPr>
          <w:rFonts w:asciiTheme="majorHAnsi" w:hAnsiTheme="majorHAnsi" w:cstheme="majorHAnsi"/>
          <w:sz w:val="18"/>
          <w:szCs w:val="18"/>
        </w:rPr>
        <w:t>sis</w:t>
      </w:r>
      <w:r w:rsidRPr="00E14B65">
        <w:rPr>
          <w:rFonts w:asciiTheme="majorHAnsi" w:hAnsiTheme="majorHAnsi" w:cstheme="majorHAnsi"/>
          <w:bCs/>
          <w:sz w:val="18"/>
          <w:szCs w:val="18"/>
        </w:rPr>
        <w:t>ë</w:t>
      </w:r>
      <w:r w:rsidRPr="00E14B65">
        <w:rPr>
          <w:rFonts w:asciiTheme="majorHAnsi" w:hAnsiTheme="majorHAnsi" w:cstheme="majorHAnsi"/>
          <w:sz w:val="18"/>
          <w:szCs w:val="18"/>
        </w:rPr>
        <w:t xml:space="preserve"> afatgjat</w:t>
      </w:r>
      <w:r w:rsidRPr="00E14B65">
        <w:rPr>
          <w:rFonts w:asciiTheme="majorHAnsi" w:hAnsiTheme="majorHAnsi" w:cstheme="majorHAnsi"/>
          <w:bCs/>
          <w:sz w:val="18"/>
          <w:szCs w:val="18"/>
        </w:rPr>
        <w:t>ë</w:t>
      </w:r>
      <w:r w:rsidRPr="00E14B65">
        <w:rPr>
          <w:rFonts w:asciiTheme="majorHAnsi" w:hAnsiTheme="majorHAnsi" w:cstheme="majorHAnsi"/>
          <w:sz w:val="18"/>
          <w:szCs w:val="18"/>
        </w:rPr>
        <w:t xml:space="preserve"> e të diplomuarve nga arsimi i lartë (10.5</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dhe 6.9</w:t>
      </w:r>
      <w:r>
        <w:rPr>
          <w:rFonts w:asciiTheme="majorHAnsi" w:hAnsiTheme="majorHAnsi" w:cstheme="majorHAnsi"/>
          <w:sz w:val="18"/>
          <w:szCs w:val="18"/>
        </w:rPr>
        <w:t xml:space="preserve"> përqind</w:t>
      </w:r>
      <w:r w:rsidRPr="00E14B65">
        <w:rPr>
          <w:rFonts w:asciiTheme="majorHAnsi" w:hAnsiTheme="majorHAnsi" w:cstheme="majorHAnsi"/>
          <w:sz w:val="18"/>
          <w:szCs w:val="18"/>
        </w:rPr>
        <w:t>) është thuajse e barabartë me shkallën e papunësisë së personave me arsim bazë (10.6</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dhe 6.4</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Fakti që shkalla e papunësisë së të rinjve me arsim të lartë, është më e lartë se te të rinjtë me arsim të mesëm reflekton një mospërputhje të rezultateve të arsimit të lartë me kërkesat e tregut të punës. </w:t>
      </w:r>
    </w:p>
  </w:footnote>
  <w:footnote w:id="5">
    <w:p w14:paraId="56E6CCF6" w14:textId="005638D9" w:rsidR="004E167B" w:rsidRPr="00E14B65" w:rsidRDefault="004E167B" w:rsidP="00DA6CC7">
      <w:pPr>
        <w:spacing w:before="0" w:after="0" w:line="240" w:lineRule="auto"/>
        <w:rPr>
          <w:rFonts w:asciiTheme="majorHAnsi" w:hAnsiTheme="majorHAnsi" w:cstheme="majorHAnsi"/>
          <w:color w:val="000000" w:themeColor="text1"/>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Në vitin 2021, të rinjtë e moshës 15-29 vjeç të kategorisë NEET përbëjnë </w:t>
      </w:r>
      <w:r w:rsidRPr="00E14B65">
        <w:rPr>
          <w:rFonts w:asciiTheme="majorHAnsi" w:hAnsiTheme="majorHAnsi" w:cstheme="majorHAnsi"/>
          <w:sz w:val="18"/>
          <w:szCs w:val="18"/>
        </w:rPr>
        <w:t xml:space="preserve">26.1 </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të të gjithë popullsisë rinore. Në këtë grup, 37.3 </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janë të papunë. Pjesa tjetër është jashtë forcës së punës, ose sepse janë punëtorë të dekurajuar (15.4 </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ose ngaqë përmbushin përgjegjësitë shtëpiake dhe familjare (17.5 </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ose për arsye të tjera (29.8 </w:t>
      </w:r>
      <w:r>
        <w:rPr>
          <w:rFonts w:asciiTheme="majorHAnsi" w:hAnsiTheme="majorHAnsi" w:cstheme="majorHAnsi"/>
          <w:sz w:val="18"/>
          <w:szCs w:val="18"/>
        </w:rPr>
        <w:t xml:space="preserve"> përqind</w:t>
      </w:r>
      <w:r w:rsidRPr="00E14B65">
        <w:rPr>
          <w:rFonts w:asciiTheme="majorHAnsi" w:hAnsiTheme="majorHAnsi" w:cstheme="majorHAnsi"/>
          <w:sz w:val="18"/>
          <w:szCs w:val="18"/>
        </w:rPr>
        <w:t>).</w:t>
      </w:r>
    </w:p>
  </w:footnote>
  <w:footnote w:id="6">
    <w:p w14:paraId="6F51CDCF" w14:textId="06CF999A"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Rreth 51</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e ndërmarrjeve që u përpoqën të punësonin punëtorë në tre vitet e fundit kanë hasur vështirësi në rekrutim, sepse aplikantëve për punë u mungonin aftësitë dhe përvoja e punës ose nuk kishte numër të mjaftueshëm aplikimesh. Këto ndërmarrje kanë theksuar se aplikantëve për punë u mungonin aftësitë teknike dhe specifike për punë dhe aftësitë të buta të nevojshme për të qenë efektivë në punë, veçanërisht për profesionet me aftësi më të larta. Ndërmarrjet në sektorët e ndërtimit, industrisë dhe turizmit janë shumë më të kufizuara, kur punësojnë individë të profesioneve me aftësi të ulëta-mesatare, ndërsa ndërmarrjet në agropërpunim dhe industri janë më të kufizuara në punësimin e punëtorëve me kualifikim më të lartë. Siç perceptohet nga punëdhënësit, problemet e aftësive prekin kryesisht të rinjtë dhe ata që hyjnë për herë të parë në tregun e punës, duke theksuar cilësinë dhe rëndësinë e arsimit dhe të sistemit të AFP-së.</w:t>
      </w:r>
    </w:p>
  </w:footnote>
  <w:footnote w:id="7">
    <w:p w14:paraId="3051733D"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Mungesa e aftësive zakonisht matet në terma të vendeve të lira të paplotësuara dhe të vështira për t'u plotësuar.</w:t>
      </w:r>
    </w:p>
  </w:footnote>
  <w:footnote w:id="8">
    <w:p w14:paraId="2A2146B4" w14:textId="77777777" w:rsidR="004E167B" w:rsidRPr="00E14B65" w:rsidRDefault="004E167B" w:rsidP="0010033B">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European Training Foundation (2022): Skills Mismatch Measurement in ETF Partner Countries.</w:t>
      </w:r>
    </w:p>
  </w:footnote>
  <w:footnote w:id="9">
    <w:p w14:paraId="1305F4C8" w14:textId="77777777" w:rsidR="004E167B" w:rsidRPr="00E14B65" w:rsidRDefault="004E167B" w:rsidP="00CB0BF9">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Mospërputhja e fushës së studimeve me profesionin.</w:t>
      </w:r>
    </w:p>
  </w:footnote>
  <w:footnote w:id="10">
    <w:p w14:paraId="30133837" w14:textId="77777777" w:rsidR="004E167B" w:rsidRPr="00E14B65" w:rsidRDefault="004E167B" w:rsidP="00CB0BF9">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INSTAT (2018): Anketa për arsimin e të rriturve</w:t>
      </w:r>
    </w:p>
  </w:footnote>
  <w:footnote w:id="11">
    <w:p w14:paraId="6C605C09" w14:textId="2215A64A" w:rsidR="004E167B" w:rsidRPr="00E14B65" w:rsidRDefault="004E167B" w:rsidP="00CB0BF9">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AFP 2020 raporton se më pak se 1</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e të rriturve të moshës 25-64 vjeç u angazhuan në një lloj aktiviteti </w:t>
      </w:r>
      <w:r w:rsidRPr="00E14B65">
        <w:rPr>
          <w:rFonts w:asciiTheme="majorHAnsi" w:hAnsiTheme="majorHAnsi" w:cstheme="majorHAnsi"/>
          <w:color w:val="000000" w:themeColor="text1"/>
          <w:sz w:val="18"/>
          <w:szCs w:val="18"/>
        </w:rPr>
        <w:t>të të nxënit gjatë gjithë jetës</w:t>
      </w:r>
      <w:r w:rsidRPr="00E14B65">
        <w:rPr>
          <w:rFonts w:asciiTheme="majorHAnsi" w:hAnsiTheme="majorHAnsi" w:cstheme="majorHAnsi"/>
          <w:sz w:val="18"/>
          <w:szCs w:val="18"/>
        </w:rPr>
        <w:t xml:space="preserve"> në katër javët e fundit (përpara se të mblidheshin rezultatet e anketës) sipas INSTAT</w:t>
      </w:r>
      <w:r w:rsidRPr="00E14B65">
        <w:rPr>
          <w:rFonts w:asciiTheme="majorHAnsi" w:eastAsia="Arial" w:hAnsiTheme="majorHAnsi" w:cstheme="majorHAnsi"/>
          <w:sz w:val="18"/>
          <w:szCs w:val="18"/>
        </w:rPr>
        <w:t>.</w:t>
      </w:r>
    </w:p>
  </w:footnote>
  <w:footnote w:id="12">
    <w:p w14:paraId="47B7BF1A" w14:textId="77777777" w:rsidR="004E167B" w:rsidRPr="00E14B65" w:rsidRDefault="004E167B" w:rsidP="00CB0BF9">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Banka Botërore (2018): Kërkesa për Aftësi në Shqipëri: Një Analizë e Anketës së Aftësive Drejt Punësimit dhe Produktivitetit</w:t>
      </w:r>
    </w:p>
  </w:footnote>
  <w:footnote w:id="13">
    <w:p w14:paraId="6F2B2FC5" w14:textId="77777777" w:rsidR="004E167B" w:rsidRPr="00E14B65" w:rsidRDefault="004E167B" w:rsidP="00CB0BF9">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 xml:space="preserve">Punëdhënësit kërkojnë kombinim të aftësive njohëse, socio-emocionale dhe teknike. Aftësitë njohëse përfshijnë shkrim-leximin dhe llogaritjen, por gjithashtu mund të përfshijnë kompetenca si mendimin kritik dhe zgjidhjen e problemeve. Aftësitë socio-emocionale përfshijnë aftësinë e dikujt për të ndërvepruar me të tjerët (aftësi ndërpersonale), vendosmërinë dhe fokusin në kryerjen e një pune. Ndërsa aftësive teknike përfshijnë aftësitë për të kryer detyra teknike që janë specifike për një profesion. </w:t>
      </w:r>
    </w:p>
  </w:footnote>
  <w:footnote w:id="14">
    <w:p w14:paraId="5949D3A0" w14:textId="77777777" w:rsidR="00D87F9C" w:rsidRDefault="004E167B" w:rsidP="00D87F9C">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hyperlink r:id="rId2" w:history="1">
        <w:r w:rsidR="00D87F9C" w:rsidRPr="00F11EF4">
          <w:rPr>
            <w:rStyle w:val="Hyperlink"/>
            <w:rFonts w:asciiTheme="majorHAnsi" w:hAnsiTheme="majorHAnsi" w:cstheme="majorHAnsi"/>
            <w:sz w:val="18"/>
            <w:szCs w:val="18"/>
          </w:rPr>
          <w:t>https://europa.eu/europass/en/document-library/eqf-referencing-report-albania</w:t>
        </w:r>
      </w:hyperlink>
    </w:p>
    <w:p w14:paraId="66D484E9" w14:textId="00488768" w:rsidR="004E167B" w:rsidRPr="00E14B65" w:rsidRDefault="004E167B" w:rsidP="00CB0BF9">
      <w:pPr>
        <w:pStyle w:val="FootnoteText"/>
        <w:spacing w:before="0" w:after="0" w:line="240" w:lineRule="auto"/>
        <w:rPr>
          <w:rFonts w:asciiTheme="majorHAnsi" w:hAnsiTheme="majorHAnsi" w:cstheme="majorHAnsi"/>
          <w:sz w:val="18"/>
          <w:szCs w:val="18"/>
        </w:rPr>
      </w:pPr>
    </w:p>
  </w:footnote>
  <w:footnote w:id="15">
    <w:p w14:paraId="01FBD1AA" w14:textId="35318A34" w:rsidR="004E167B" w:rsidRPr="00E14B65" w:rsidRDefault="004E167B" w:rsidP="00D87F9C">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Në vitin shkollor 2021-2022, numri total i të regjistruarve në sistemin e arsimit të mesëm të lartë në Shqipëri ishte 103,467 nxënës, nga të cilët 85,188 (82</w:t>
      </w:r>
      <w:r w:rsidRPr="00E14B65">
        <w:rPr>
          <w:rFonts w:asciiTheme="majorHAnsi" w:hAnsiTheme="majorHAnsi" w:cstheme="majorHAnsi"/>
          <w:sz w:val="18"/>
          <w:szCs w:val="18"/>
        </w:rPr>
        <w:t>,3</w:t>
      </w:r>
      <w:r>
        <w:rPr>
          <w:rFonts w:asciiTheme="majorHAnsi" w:hAnsiTheme="majorHAnsi" w:cstheme="majorHAnsi"/>
          <w:sz w:val="18"/>
          <w:szCs w:val="18"/>
        </w:rPr>
        <w:t xml:space="preserve"> përqind</w:t>
      </w:r>
      <w:r w:rsidRPr="00E14B65">
        <w:rPr>
          <w:rFonts w:asciiTheme="majorHAnsi" w:hAnsiTheme="majorHAnsi" w:cstheme="majorHAnsi"/>
          <w:sz w:val="18"/>
          <w:szCs w:val="18"/>
        </w:rPr>
        <w:t>) ishin të regjistruar në arsimin e përgjithshëm (gjimnaz) dhe 18,279 (17.7</w:t>
      </w:r>
      <w:r>
        <w:rPr>
          <w:rFonts w:asciiTheme="majorHAnsi" w:hAnsiTheme="majorHAnsi" w:cstheme="majorHAnsi"/>
          <w:sz w:val="18"/>
          <w:szCs w:val="18"/>
        </w:rPr>
        <w:t xml:space="preserve"> përqind</w:t>
      </w:r>
      <w:r w:rsidRPr="00E14B65">
        <w:rPr>
          <w:rFonts w:asciiTheme="majorHAnsi" w:hAnsiTheme="majorHAnsi" w:cstheme="majorHAnsi"/>
          <w:sz w:val="18"/>
          <w:szCs w:val="18"/>
        </w:rPr>
        <w:t>) në arsimin profesional.</w:t>
      </w:r>
    </w:p>
  </w:footnote>
  <w:footnote w:id="16">
    <w:p w14:paraId="6A8713A0" w14:textId="40C0F167" w:rsidR="00D87F9C" w:rsidRDefault="00D87F9C" w:rsidP="00F33823">
      <w:pPr>
        <w:pStyle w:val="FootnoteText"/>
        <w:spacing w:before="0" w:after="0" w:line="240" w:lineRule="auto"/>
      </w:pPr>
      <w:r>
        <w:rPr>
          <w:rStyle w:val="FootnoteReference"/>
        </w:rPr>
        <w:footnoteRef/>
      </w:r>
      <w:r>
        <w:t xml:space="preserve"> </w:t>
      </w:r>
      <w:hyperlink r:id="rId3" w:history="1">
        <w:r w:rsidRPr="00F33823">
          <w:rPr>
            <w:rFonts w:asciiTheme="majorHAnsi" w:hAnsiTheme="majorHAnsi" w:cstheme="majorHAnsi"/>
            <w:sz w:val="18"/>
            <w:szCs w:val="18"/>
          </w:rPr>
          <w:t>https://www.cedefop.europa.eu/files/osnabrueck_declaration_eu2020.pdf</w:t>
        </w:r>
      </w:hyperlink>
      <w:r>
        <w:t xml:space="preserve"> </w:t>
      </w:r>
    </w:p>
  </w:footnote>
  <w:footnote w:id="17">
    <w:p w14:paraId="44A98201" w14:textId="4D43B3E1" w:rsidR="004E167B" w:rsidRPr="00E14B65" w:rsidRDefault="004E167B" w:rsidP="00D87F9C">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Disa nga objektivat e rëndësishëm të vendosur ne nivel BE-je janë: deri në vitin 2025 të rritet </w:t>
      </w:r>
      <w:r w:rsidRPr="00E14B65">
        <w:rPr>
          <w:rFonts w:asciiTheme="majorHAnsi" w:hAnsiTheme="majorHAnsi" w:cstheme="majorHAnsi"/>
          <w:sz w:val="18"/>
          <w:szCs w:val="18"/>
          <w:lang w:val="en-GB"/>
        </w:rPr>
        <w:t xml:space="preserve">shkalla e të diplomuarve të punësuar nga AFP </w:t>
      </w:r>
      <w:r w:rsidRPr="00E14B65">
        <w:rPr>
          <w:rFonts w:asciiTheme="majorHAnsi" w:hAnsiTheme="majorHAnsi" w:cstheme="majorHAnsi"/>
          <w:sz w:val="18"/>
          <w:szCs w:val="18"/>
        </w:rPr>
        <w:t>në 82</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të rritet </w:t>
      </w:r>
      <w:r>
        <w:rPr>
          <w:rFonts w:asciiTheme="majorHAnsi" w:hAnsiTheme="majorHAnsi" w:cstheme="majorHAnsi"/>
          <w:sz w:val="18"/>
          <w:szCs w:val="18"/>
          <w:lang w:val="en-GB"/>
        </w:rPr>
        <w:t xml:space="preserve"> përqind</w:t>
      </w:r>
      <w:r w:rsidRPr="00E14B65">
        <w:rPr>
          <w:rFonts w:asciiTheme="majorHAnsi" w:hAnsiTheme="majorHAnsi" w:cstheme="majorHAnsi"/>
          <w:sz w:val="18"/>
          <w:szCs w:val="18"/>
          <w:lang w:val="en-GB"/>
        </w:rPr>
        <w:t xml:space="preserve"> e të sapodiplomuarve nga AFP që përfitojnë nga ekspozimi në të nxënit me bazë punën në </w:t>
      </w:r>
      <w:r w:rsidRPr="00E14B65">
        <w:rPr>
          <w:rFonts w:asciiTheme="majorHAnsi" w:hAnsiTheme="majorHAnsi" w:cstheme="majorHAnsi"/>
          <w:sz w:val="18"/>
          <w:szCs w:val="18"/>
        </w:rPr>
        <w:t>60</w:t>
      </w:r>
      <w:r>
        <w:rPr>
          <w:rFonts w:asciiTheme="majorHAnsi" w:hAnsiTheme="majorHAnsi" w:cstheme="majorHAnsi"/>
          <w:sz w:val="18"/>
          <w:szCs w:val="18"/>
        </w:rPr>
        <w:t xml:space="preserve"> përqind</w:t>
      </w:r>
      <w:r w:rsidRPr="00E14B65">
        <w:rPr>
          <w:rFonts w:asciiTheme="majorHAnsi" w:hAnsiTheme="majorHAnsi" w:cstheme="majorHAnsi"/>
          <w:sz w:val="18"/>
          <w:szCs w:val="18"/>
        </w:rPr>
        <w:t>; deri në vitin 2030 të rritet pjesëmarrja e të rriturve të moshës 25-64 vjeç në mësim gjatë 12 muajve të fundit në 60</w:t>
      </w:r>
      <w:r>
        <w:rPr>
          <w:rFonts w:asciiTheme="majorHAnsi" w:hAnsiTheme="majorHAnsi" w:cstheme="majorHAnsi"/>
          <w:sz w:val="18"/>
          <w:szCs w:val="18"/>
        </w:rPr>
        <w:t xml:space="preserve"> përqind</w:t>
      </w:r>
      <w:r w:rsidRPr="00E14B65">
        <w:rPr>
          <w:rFonts w:asciiTheme="majorHAnsi" w:hAnsiTheme="majorHAnsi" w:cstheme="majorHAnsi"/>
          <w:sz w:val="18"/>
          <w:szCs w:val="18"/>
        </w:rPr>
        <w:t>,</w:t>
      </w:r>
      <w:r w:rsidRPr="00E14B65">
        <w:rPr>
          <w:rFonts w:asciiTheme="majorHAnsi" w:hAnsiTheme="majorHAnsi" w:cstheme="majorHAnsi"/>
          <w:sz w:val="18"/>
          <w:szCs w:val="18"/>
          <w:lang w:val="en-GB"/>
        </w:rPr>
        <w:t xml:space="preserve"> </w:t>
      </w:r>
      <w:r w:rsidRPr="00E14B65">
        <w:rPr>
          <w:rFonts w:asciiTheme="majorHAnsi" w:hAnsiTheme="majorHAnsi" w:cstheme="majorHAnsi"/>
          <w:sz w:val="18"/>
          <w:szCs w:val="18"/>
        </w:rPr>
        <w:t>nga 44</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në vitin 2019, si dhe të rritet </w:t>
      </w:r>
      <w:r>
        <w:rPr>
          <w:rFonts w:asciiTheme="majorHAnsi" w:hAnsiTheme="majorHAnsi" w:cstheme="majorHAnsi"/>
          <w:sz w:val="18"/>
          <w:szCs w:val="18"/>
        </w:rPr>
        <w:t xml:space="preserve"> përqind</w:t>
      </w:r>
      <w:r w:rsidRPr="00E14B65">
        <w:rPr>
          <w:rFonts w:asciiTheme="majorHAnsi" w:hAnsiTheme="majorHAnsi" w:cstheme="majorHAnsi"/>
          <w:sz w:val="18"/>
          <w:szCs w:val="18"/>
        </w:rPr>
        <w:t>ja e të rriturve të moshës 16-74 vjeç që kanë të paktën aftësi bazë dixhitale në 80</w:t>
      </w:r>
      <w:r>
        <w:rPr>
          <w:rFonts w:asciiTheme="majorHAnsi" w:hAnsiTheme="majorHAnsi" w:cstheme="majorHAnsi"/>
          <w:sz w:val="18"/>
          <w:szCs w:val="18"/>
        </w:rPr>
        <w:t xml:space="preserve"> përqind</w:t>
      </w:r>
      <w:r w:rsidRPr="00E14B65">
        <w:rPr>
          <w:rFonts w:asciiTheme="majorHAnsi" w:hAnsiTheme="majorHAnsi" w:cstheme="majorHAnsi"/>
          <w:sz w:val="18"/>
          <w:szCs w:val="18"/>
          <w:lang w:val="en-GB"/>
        </w:rPr>
        <w:t xml:space="preserve"> </w:t>
      </w:r>
      <w:r w:rsidRPr="00E14B65">
        <w:rPr>
          <w:rFonts w:asciiTheme="majorHAnsi" w:hAnsiTheme="majorHAnsi" w:cstheme="majorHAnsi"/>
          <w:sz w:val="18"/>
          <w:szCs w:val="18"/>
        </w:rPr>
        <w:t>nga 54</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në vitin 2021.</w:t>
      </w:r>
    </w:p>
  </w:footnote>
  <w:footnote w:id="18">
    <w:p w14:paraId="2EE82D8F" w14:textId="051A8F45" w:rsidR="001F6591" w:rsidRDefault="001F6591" w:rsidP="00AE0FCA">
      <w:pPr>
        <w:pStyle w:val="FootnoteText"/>
        <w:spacing w:before="0" w:after="0" w:line="240" w:lineRule="auto"/>
      </w:pPr>
      <w:r>
        <w:rPr>
          <w:rStyle w:val="FootnoteReference"/>
        </w:rPr>
        <w:footnoteRef/>
      </w:r>
      <w:r>
        <w:t xml:space="preserve">  </w:t>
      </w:r>
      <w:r w:rsidRPr="00E14B65">
        <w:rPr>
          <w:rFonts w:asciiTheme="majorHAnsi" w:hAnsiTheme="majorHAnsi" w:cstheme="majorHAnsi"/>
          <w:sz w:val="18"/>
          <w:szCs w:val="18"/>
        </w:rPr>
        <w:t>Banka Botërore (2018): Kërkesa për Aftësi në Shqipëri: Një Analizë e Anketës së Aftësive Drejt Punësimit dhe Produktivitetit</w:t>
      </w:r>
    </w:p>
  </w:footnote>
  <w:footnote w:id="19">
    <w:p w14:paraId="6E7729BD" w14:textId="41BB4B26" w:rsidR="00FF61F7" w:rsidRDefault="00FF61F7" w:rsidP="00AE0FCA">
      <w:pPr>
        <w:pStyle w:val="FootnoteText"/>
        <w:spacing w:before="0" w:after="0" w:line="240" w:lineRule="auto"/>
      </w:pPr>
      <w:r>
        <w:rPr>
          <w:rStyle w:val="FootnoteReference"/>
        </w:rPr>
        <w:footnoteRef/>
      </w:r>
      <w:r>
        <w:t xml:space="preserve"> </w:t>
      </w:r>
      <w:r w:rsidRPr="00133241">
        <w:rPr>
          <w:rFonts w:asciiTheme="majorHAnsi" w:hAnsiTheme="majorHAnsi" w:cstheme="majorHAnsi"/>
          <w:sz w:val="18"/>
          <w:szCs w:val="18"/>
        </w:rPr>
        <w:t>Po aty</w:t>
      </w:r>
    </w:p>
  </w:footnote>
  <w:footnote w:id="20">
    <w:p w14:paraId="6699A16B" w14:textId="6BBF86EB" w:rsidR="004E167B" w:rsidRPr="00E14B65" w:rsidRDefault="004E167B" w:rsidP="00E34EBF">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00FF61F7">
        <w:rPr>
          <w:rFonts w:asciiTheme="majorHAnsi" w:hAnsiTheme="majorHAnsi" w:cstheme="majorHAnsi"/>
          <w:sz w:val="18"/>
          <w:szCs w:val="18"/>
        </w:rPr>
        <w:t>Po aty</w:t>
      </w:r>
    </w:p>
  </w:footnote>
  <w:footnote w:id="21">
    <w:p w14:paraId="7726CB52" w14:textId="42F31ACC" w:rsidR="00D030D0" w:rsidRDefault="00D030D0" w:rsidP="00AE0FCA">
      <w:pPr>
        <w:pStyle w:val="FootnoteText"/>
        <w:spacing w:before="0" w:after="0" w:line="240" w:lineRule="auto"/>
      </w:pPr>
      <w:r>
        <w:rPr>
          <w:rStyle w:val="FootnoteReference"/>
        </w:rPr>
        <w:footnoteRef/>
      </w:r>
      <w:r>
        <w:t xml:space="preserve"> </w:t>
      </w:r>
      <w:r w:rsidR="00FF61F7">
        <w:rPr>
          <w:rFonts w:asciiTheme="majorHAnsi" w:hAnsiTheme="majorHAnsi" w:cstheme="majorHAnsi"/>
          <w:sz w:val="18"/>
          <w:szCs w:val="18"/>
        </w:rPr>
        <w:t>Po aty</w:t>
      </w:r>
    </w:p>
  </w:footnote>
  <w:footnote w:id="22">
    <w:p w14:paraId="260FE5DA" w14:textId="06704A06" w:rsidR="001F6591" w:rsidRDefault="001F6591" w:rsidP="00AE0FCA">
      <w:pPr>
        <w:pStyle w:val="FootnoteText"/>
        <w:spacing w:before="0" w:after="0" w:line="240" w:lineRule="auto"/>
      </w:pPr>
      <w:r>
        <w:rPr>
          <w:rStyle w:val="FootnoteReference"/>
        </w:rPr>
        <w:footnoteRef/>
      </w:r>
      <w:r>
        <w:t xml:space="preserve"> </w:t>
      </w:r>
      <w:r w:rsidR="00174F34" w:rsidRPr="00133241">
        <w:rPr>
          <w:rFonts w:asciiTheme="majorHAnsi" w:hAnsiTheme="majorHAnsi" w:cstheme="majorHAnsi"/>
          <w:sz w:val="18"/>
          <w:szCs w:val="18"/>
        </w:rPr>
        <w:t>Këshilli Kombëtar i Investimeve (2022): Vrojtim mbi Disponueshmërin</w:t>
      </w:r>
      <w:r w:rsidR="00FF61F7" w:rsidRPr="00133241">
        <w:rPr>
          <w:rFonts w:asciiTheme="majorHAnsi" w:hAnsiTheme="majorHAnsi" w:cstheme="majorHAnsi"/>
          <w:sz w:val="18"/>
          <w:szCs w:val="18"/>
        </w:rPr>
        <w:t>ë dhe Cilësinë e Fuqisë Punëtore</w:t>
      </w:r>
    </w:p>
  </w:footnote>
  <w:footnote w:id="23">
    <w:p w14:paraId="692B7CA9" w14:textId="77777777" w:rsidR="004E167B" w:rsidRPr="00E14B65" w:rsidRDefault="004E167B" w:rsidP="00E34EBF">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Këto dy dokumente politikash theksojnë rëndësinë e zbatimit të qasjes së aktivizimit të papunësuarve, mënyrave të ofrimit të shërbimeve të individualizuara, menaxhimit të rasteve dhe disponueshmërisë së një spektri të gjerë programesh aktive të tregut të punës për të lehtësuar integrimin në tregun e punës. </w:t>
      </w:r>
      <w:r w:rsidRPr="00E14B65">
        <w:rPr>
          <w:rFonts w:asciiTheme="majorHAnsi" w:hAnsiTheme="majorHAnsi" w:cstheme="majorHAnsi"/>
          <w:sz w:val="18"/>
          <w:szCs w:val="18"/>
        </w:rPr>
        <w:t>Gjithashtu, disponueshmëria e një sistemi të fuqishëm monitorimi dhe vlerësimi ofron mundësinë e përshtatjes së shërbimeve dhe ofrimit të PATP-ve me nevojat e punëkërkuesve dhe ndërmarrjeve.</w:t>
      </w:r>
    </w:p>
  </w:footnote>
  <w:footnote w:id="24">
    <w:p w14:paraId="445A4645" w14:textId="42DF6621" w:rsidR="004E167B" w:rsidRPr="00E14B65" w:rsidRDefault="004E167B" w:rsidP="00E34EBF">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Disa nga objektivat e rëndësishëm të vendosura në nivel BE-je janë: deri në vitin 2030 të ulet shkalla e të rinjve NEET </w:t>
      </w:r>
      <w:r w:rsidRPr="00E14B65">
        <w:rPr>
          <w:rFonts w:asciiTheme="majorHAnsi" w:hAnsiTheme="majorHAnsi" w:cstheme="majorHAnsi"/>
          <w:sz w:val="18"/>
          <w:szCs w:val="18"/>
          <w:lang w:val="en-GB"/>
        </w:rPr>
        <w:t>të moshës 15-29 vjeç</w:t>
      </w:r>
      <w:r w:rsidRPr="00E14B65">
        <w:rPr>
          <w:rFonts w:asciiTheme="majorHAnsi" w:hAnsiTheme="majorHAnsi" w:cstheme="majorHAnsi"/>
          <w:sz w:val="18"/>
          <w:szCs w:val="18"/>
        </w:rPr>
        <w:t xml:space="preserve"> në 9</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nga 13.1</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në vitin 2021; të </w:t>
      </w:r>
      <w:r w:rsidRPr="00E14B65">
        <w:rPr>
          <w:rFonts w:asciiTheme="majorHAnsi" w:hAnsiTheme="majorHAnsi" w:cstheme="majorHAnsi"/>
          <w:sz w:val="18"/>
          <w:szCs w:val="18"/>
        </w:rPr>
        <w:t xml:space="preserve">rritet </w:t>
      </w:r>
      <w:r>
        <w:rPr>
          <w:rFonts w:asciiTheme="majorHAnsi" w:hAnsiTheme="majorHAnsi" w:cstheme="majorHAnsi"/>
          <w:sz w:val="18"/>
          <w:szCs w:val="18"/>
          <w:lang w:val="en-GB"/>
        </w:rPr>
        <w:t xml:space="preserve"> përqind</w:t>
      </w:r>
      <w:r w:rsidRPr="00E14B65">
        <w:rPr>
          <w:rFonts w:asciiTheme="majorHAnsi" w:hAnsiTheme="majorHAnsi" w:cstheme="majorHAnsi"/>
          <w:sz w:val="18"/>
          <w:szCs w:val="18"/>
          <w:lang w:val="en-GB"/>
        </w:rPr>
        <w:t xml:space="preserve"> e popullsisë së moshës 20 deri në 64 vjeç të punësuar </w:t>
      </w:r>
      <w:r w:rsidRPr="00E14B65">
        <w:rPr>
          <w:rFonts w:asciiTheme="majorHAnsi" w:hAnsiTheme="majorHAnsi" w:cstheme="majorHAnsi"/>
          <w:sz w:val="18"/>
          <w:szCs w:val="18"/>
        </w:rPr>
        <w:t>në 78</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nga 73.1</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në vitin 2021; të rritet </w:t>
      </w:r>
      <w:r>
        <w:rPr>
          <w:rFonts w:asciiTheme="majorHAnsi" w:hAnsiTheme="majorHAnsi" w:cstheme="majorHAnsi"/>
          <w:sz w:val="18"/>
          <w:szCs w:val="18"/>
          <w:lang w:val="en-GB"/>
        </w:rPr>
        <w:t xml:space="preserve"> përqind</w:t>
      </w:r>
      <w:r w:rsidRPr="00E14B65">
        <w:rPr>
          <w:rFonts w:asciiTheme="majorHAnsi" w:hAnsiTheme="majorHAnsi" w:cstheme="majorHAnsi"/>
          <w:sz w:val="18"/>
          <w:szCs w:val="18"/>
          <w:lang w:val="en-GB"/>
        </w:rPr>
        <w:t xml:space="preserve"> e të gjithë të rriturve që marrin pjesë në mësim çdo vit </w:t>
      </w:r>
      <w:r w:rsidRPr="00E14B65">
        <w:rPr>
          <w:rFonts w:asciiTheme="majorHAnsi" w:hAnsiTheme="majorHAnsi" w:cstheme="majorHAnsi"/>
          <w:sz w:val="18"/>
          <w:szCs w:val="18"/>
        </w:rPr>
        <w:t>në 60</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nga 44</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në vitin 2019. </w:t>
      </w:r>
    </w:p>
  </w:footnote>
  <w:footnote w:id="25">
    <w:p w14:paraId="4EF78A9F" w14:textId="1858B870"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Norma mesatare për vendet e Ballkanit Perëndimor ishte </w:t>
      </w:r>
      <w:r w:rsidRPr="00E14B65">
        <w:rPr>
          <w:rFonts w:asciiTheme="majorHAnsi" w:hAnsiTheme="majorHAnsi" w:cstheme="majorHAnsi"/>
          <w:sz w:val="18"/>
          <w:szCs w:val="18"/>
        </w:rPr>
        <w:t xml:space="preserve">73 </w:t>
      </w:r>
      <w:r>
        <w:rPr>
          <w:rFonts w:asciiTheme="majorHAnsi" w:hAnsiTheme="majorHAnsi" w:cstheme="majorHAnsi"/>
          <w:sz w:val="18"/>
          <w:szCs w:val="18"/>
        </w:rPr>
        <w:t xml:space="preserve"> përqind</w:t>
      </w:r>
      <w:r w:rsidRPr="00E14B65">
        <w:rPr>
          <w:rFonts w:asciiTheme="majorHAnsi" w:hAnsiTheme="majorHAnsi" w:cstheme="majorHAnsi"/>
          <w:sz w:val="18"/>
          <w:szCs w:val="18"/>
        </w:rPr>
        <w:t>.</w:t>
      </w:r>
    </w:p>
  </w:footnote>
  <w:footnote w:id="26">
    <w:p w14:paraId="098DE0FD" w14:textId="466A07F1"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Rreth </w:t>
      </w:r>
      <w:r w:rsidRPr="00E14B65">
        <w:rPr>
          <w:rFonts w:asciiTheme="majorHAnsi" w:hAnsiTheme="majorHAnsi" w:cstheme="majorHAnsi"/>
          <w:sz w:val="18"/>
          <w:szCs w:val="18"/>
        </w:rPr>
        <w:t xml:space="preserve">32 </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e të punësuarve ishin të vetëpunësuar (punëdhënës ose të vetëpunësuar pa asnjë të punësuar) dhe 20.1</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janë punëtorë të pa ndonjë pagë të caktuar në biznesin familjar në vitin 2021 sipas AFP-së. Nga këndvështrimi gjinor, rezulton se gratë kanë 1.5 herë më shumë gjasa se burrat të jenë punësuar në biznesin familjar. Vlerësimet e marra nga AFP tregojnë se 27.3</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e grave të punësuara dhe 14.4</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e burrave të punësuar janë të punësuar në biznesin familjar.</w:t>
      </w:r>
    </w:p>
  </w:footnote>
  <w:footnote w:id="27">
    <w:p w14:paraId="22FCFA9E" w14:textId="6A8C8F93" w:rsidR="004E167B" w:rsidRPr="00E14B65" w:rsidRDefault="004E167B" w:rsidP="00DA6CC7">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Punësimi informal përfshin punonjësit në sektorët jobujqësorë, për të cilët marrëdhëniet ekonomike me punëdhënësin nuk mbulohen ose mbulohen pjesërisht nga marrëveshjet formale, si: punonjësit që nuk përfitojnë pushim vjetor me pagesë apo pushim mjekësor me pagesë në rast sëmundjeje, apo punonjësit që përfitojnë pushim vjetor të paguar dhe pushim mjekësor të paguar, por punëdhënësit e tyre nuk paguajnë kontribute për sigurimet shoqërore për ta.</w:t>
      </w:r>
    </w:p>
  </w:footnote>
  <w:footnote w:id="28">
    <w:p w14:paraId="5E27356C" w14:textId="47EE0875"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Ku një pjesë e pagës raportohet në autoritetet tatimore dhe një pjesë tjetër paguhet me para në dorë dhe, si rrjedhojë, nuk raportohet.</w:t>
      </w:r>
    </w:p>
  </w:footnote>
  <w:footnote w:id="29">
    <w:p w14:paraId="213948A7" w14:textId="30014C02" w:rsidR="004E167B" w:rsidRPr="00E14B65" w:rsidRDefault="004E167B" w:rsidP="00DA6CC7">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Këshilli i Bashkëpunimit Rajonal (2022): Performanca e Ekonomive të Ballkanit Perëndimor në lidhje me Shtyllën </w:t>
      </w:r>
      <w:r>
        <w:rPr>
          <w:rFonts w:asciiTheme="majorHAnsi" w:hAnsiTheme="majorHAnsi" w:cstheme="majorHAnsi"/>
          <w:sz w:val="18"/>
          <w:szCs w:val="18"/>
        </w:rPr>
        <w:t>Europian</w:t>
      </w:r>
      <w:r w:rsidRPr="00E14B65">
        <w:rPr>
          <w:rFonts w:asciiTheme="majorHAnsi" w:hAnsiTheme="majorHAnsi" w:cstheme="majorHAnsi"/>
          <w:sz w:val="18"/>
          <w:szCs w:val="18"/>
        </w:rPr>
        <w:t>e të të Drejtave Sociale. Vlerësimi i Shqipërisë 2021</w:t>
      </w:r>
    </w:p>
  </w:footnote>
  <w:footnote w:id="30">
    <w:p w14:paraId="2DA4EF08" w14:textId="7AB8F3C4" w:rsidR="004E167B" w:rsidRPr="00E14B65" w:rsidRDefault="004E167B" w:rsidP="00DA6CC7">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00066407">
        <w:rPr>
          <w:rFonts w:asciiTheme="majorHAnsi" w:hAnsiTheme="majorHAnsi" w:cstheme="majorHAnsi"/>
          <w:sz w:val="18"/>
          <w:szCs w:val="18"/>
        </w:rPr>
        <w:t>Po aty</w:t>
      </w:r>
      <w:r w:rsidRPr="00E14B65">
        <w:rPr>
          <w:rFonts w:asciiTheme="majorHAnsi" w:hAnsiTheme="majorHAnsi" w:cstheme="majorHAnsi"/>
          <w:sz w:val="18"/>
          <w:szCs w:val="18"/>
        </w:rPr>
        <w:t>. Megjithëse monitorimi dhe raportimi për aksidentet në punë janë përmirësuar, statistikat e raportuara duhet të përdoren ende me kujdes për shkak të niveleve të ulëta të raportimit</w:t>
      </w:r>
    </w:p>
  </w:footnote>
  <w:footnote w:id="31">
    <w:p w14:paraId="2B72E0DF" w14:textId="124D21B6"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 xml:space="preserve">Ndërsa </w:t>
      </w:r>
      <w:r>
        <w:rPr>
          <w:rFonts w:asciiTheme="majorHAnsi" w:hAnsiTheme="majorHAnsi" w:cstheme="majorHAnsi"/>
          <w:sz w:val="18"/>
          <w:szCs w:val="18"/>
        </w:rPr>
        <w:t xml:space="preserve"> përqind</w:t>
      </w:r>
      <w:r w:rsidRPr="00E14B65">
        <w:rPr>
          <w:rFonts w:asciiTheme="majorHAnsi" w:hAnsiTheme="majorHAnsi" w:cstheme="majorHAnsi"/>
          <w:sz w:val="18"/>
          <w:szCs w:val="18"/>
        </w:rPr>
        <w:t>ja e subjekteve që nuk ofrojnë masa mbrojtëse adekuate për grupe të veçanta ka shkuar në 30</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w:t>
      </w:r>
    </w:p>
  </w:footnote>
  <w:footnote w:id="32">
    <w:p w14:paraId="7129921E" w14:textId="0C88FE21"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IP gjithashtu ka identifikuar se rreth 52</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e subjekteve të inspektuara janë pa Këshillin e SSHP, rreth 72</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pa përfaqësues të Këshillit të SSHP dhe 70</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pa koordinator të SSHP.</w:t>
      </w:r>
    </w:p>
  </w:footnote>
  <w:footnote w:id="33">
    <w:p w14:paraId="62D77132" w14:textId="581D77D0"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 xml:space="preserve">Veçanërisht për </w:t>
      </w:r>
      <w:r w:rsidR="00876172">
        <w:rPr>
          <w:rFonts w:asciiTheme="majorHAnsi" w:hAnsiTheme="majorHAnsi" w:cstheme="majorHAnsi"/>
          <w:sz w:val="18"/>
          <w:szCs w:val="18"/>
        </w:rPr>
        <w:t>barrën fiskale nga tatimi i punës</w:t>
      </w:r>
      <w:r w:rsidRPr="00E14B65">
        <w:rPr>
          <w:rFonts w:asciiTheme="majorHAnsi" w:hAnsiTheme="majorHAnsi" w:cstheme="majorHAnsi"/>
          <w:sz w:val="18"/>
          <w:szCs w:val="18"/>
        </w:rPr>
        <w:t xml:space="preserve"> për pagat e ulëta, ndihmën </w:t>
      </w:r>
      <w:r w:rsidR="00876172">
        <w:rPr>
          <w:rFonts w:asciiTheme="majorHAnsi" w:hAnsiTheme="majorHAnsi" w:cstheme="majorHAnsi"/>
          <w:sz w:val="18"/>
          <w:szCs w:val="18"/>
        </w:rPr>
        <w:t>ekonomike</w:t>
      </w:r>
      <w:r w:rsidR="00876172" w:rsidRPr="00E14B65">
        <w:rPr>
          <w:rFonts w:asciiTheme="majorHAnsi" w:hAnsiTheme="majorHAnsi" w:cstheme="majorHAnsi"/>
          <w:sz w:val="18"/>
          <w:szCs w:val="18"/>
        </w:rPr>
        <w:t xml:space="preserve"> </w:t>
      </w:r>
      <w:r w:rsidR="00876172">
        <w:rPr>
          <w:rFonts w:asciiTheme="majorHAnsi" w:hAnsiTheme="majorHAnsi" w:cstheme="majorHAnsi"/>
          <w:sz w:val="18"/>
          <w:szCs w:val="18"/>
        </w:rPr>
        <w:t>dhe kushtet e sigurisë dhe shëndetit në punë</w:t>
      </w:r>
      <w:r w:rsidRPr="00E14B65">
        <w:rPr>
          <w:rFonts w:asciiTheme="majorHAnsi" w:hAnsiTheme="majorHAnsi" w:cstheme="majorHAnsi"/>
          <w:sz w:val="18"/>
          <w:szCs w:val="18"/>
        </w:rPr>
        <w:t xml:space="preserve">. </w:t>
      </w:r>
      <w:r w:rsidR="00876172">
        <w:rPr>
          <w:rFonts w:asciiTheme="majorHAnsi" w:hAnsiTheme="majorHAnsi" w:cstheme="majorHAnsi"/>
          <w:sz w:val="18"/>
          <w:szCs w:val="18"/>
        </w:rPr>
        <w:t>Barra fiskale e të ardhurave nga puna</w:t>
      </w:r>
      <w:r w:rsidRPr="00E14B65">
        <w:rPr>
          <w:rFonts w:asciiTheme="majorHAnsi" w:hAnsiTheme="majorHAnsi" w:cstheme="majorHAnsi"/>
          <w:sz w:val="18"/>
          <w:szCs w:val="18"/>
        </w:rPr>
        <w:t xml:space="preserve"> është ndryshimi midis pagës bruto dhe neto e cila krijon një kosto shtesë për punonjësit</w:t>
      </w:r>
      <w:r w:rsidR="00876172">
        <w:rPr>
          <w:rFonts w:asciiTheme="majorHAnsi" w:hAnsiTheme="majorHAnsi" w:cstheme="majorHAnsi"/>
          <w:sz w:val="18"/>
          <w:szCs w:val="18"/>
        </w:rPr>
        <w:t xml:space="preserve">, </w:t>
      </w:r>
      <w:r w:rsidRPr="00E14B65">
        <w:rPr>
          <w:rFonts w:asciiTheme="majorHAnsi" w:hAnsiTheme="majorHAnsi" w:cstheme="majorHAnsi"/>
          <w:sz w:val="18"/>
          <w:szCs w:val="18"/>
        </w:rPr>
        <w:t xml:space="preserve">për shkak të kontributeve për sigurimet shoqërore dhe tatimit mbi </w:t>
      </w:r>
      <w:r w:rsidR="00876172" w:rsidRPr="00E14B65">
        <w:rPr>
          <w:rFonts w:asciiTheme="majorHAnsi" w:hAnsiTheme="majorHAnsi" w:cstheme="majorHAnsi"/>
          <w:sz w:val="18"/>
          <w:szCs w:val="18"/>
        </w:rPr>
        <w:t>pag</w:t>
      </w:r>
      <w:r w:rsidR="00876172">
        <w:rPr>
          <w:rFonts w:asciiTheme="majorHAnsi" w:hAnsiTheme="majorHAnsi" w:cstheme="majorHAnsi"/>
          <w:sz w:val="18"/>
          <w:szCs w:val="18"/>
        </w:rPr>
        <w:t>ë</w:t>
      </w:r>
      <w:r w:rsidRPr="00E14B65">
        <w:rPr>
          <w:rFonts w:asciiTheme="majorHAnsi" w:hAnsiTheme="majorHAnsi" w:cstheme="majorHAnsi"/>
          <w:sz w:val="18"/>
          <w:szCs w:val="18"/>
        </w:rPr>
        <w:t xml:space="preserve">. Sipas raportit të </w:t>
      </w:r>
      <w:r w:rsidRPr="00E14B65">
        <w:rPr>
          <w:rFonts w:asciiTheme="majorHAnsi" w:hAnsiTheme="majorHAnsi" w:cstheme="majorHAnsi"/>
          <w:color w:val="000000" w:themeColor="text1"/>
          <w:sz w:val="18"/>
          <w:szCs w:val="18"/>
        </w:rPr>
        <w:t xml:space="preserve">Këshillit të Bashkëpunimit Rajonal lidhur me Performancën e Ekonomive të Ballkanit Perëndimor në lidhje me Shtyllën </w:t>
      </w:r>
      <w:r>
        <w:rPr>
          <w:rFonts w:asciiTheme="majorHAnsi" w:hAnsiTheme="majorHAnsi" w:cstheme="majorHAnsi"/>
          <w:color w:val="000000" w:themeColor="text1"/>
          <w:sz w:val="18"/>
          <w:szCs w:val="18"/>
        </w:rPr>
        <w:t>E</w:t>
      </w:r>
      <w:r w:rsidR="00876172">
        <w:rPr>
          <w:rFonts w:asciiTheme="majorHAnsi" w:hAnsiTheme="majorHAnsi" w:cstheme="majorHAnsi"/>
          <w:color w:val="000000" w:themeColor="text1"/>
          <w:sz w:val="18"/>
          <w:szCs w:val="18"/>
        </w:rPr>
        <w:t>vr</w:t>
      </w:r>
      <w:r>
        <w:rPr>
          <w:rFonts w:asciiTheme="majorHAnsi" w:hAnsiTheme="majorHAnsi" w:cstheme="majorHAnsi"/>
          <w:color w:val="000000" w:themeColor="text1"/>
          <w:sz w:val="18"/>
          <w:szCs w:val="18"/>
        </w:rPr>
        <w:t>opian</w:t>
      </w:r>
      <w:r w:rsidRPr="00E14B65">
        <w:rPr>
          <w:rFonts w:asciiTheme="majorHAnsi" w:hAnsiTheme="majorHAnsi" w:cstheme="majorHAnsi"/>
          <w:color w:val="000000" w:themeColor="text1"/>
          <w:sz w:val="18"/>
          <w:szCs w:val="18"/>
        </w:rPr>
        <w:t>e të të Drejtave Sociale</w:t>
      </w:r>
      <w:r w:rsidRPr="00E14B65">
        <w:rPr>
          <w:rFonts w:asciiTheme="majorHAnsi" w:hAnsiTheme="majorHAnsi" w:cstheme="majorHAnsi"/>
          <w:sz w:val="18"/>
          <w:szCs w:val="18"/>
        </w:rPr>
        <w:t>, një e treta e bizneve shqiptare i konsiderojnë taksat e pagave dhe kontributet e sigurimeve shoqërore si një pengesë të rëndë për rritjen e biznesit.</w:t>
      </w:r>
    </w:p>
  </w:footnote>
  <w:footnote w:id="34">
    <w:p w14:paraId="431CC7B3" w14:textId="54AA5643"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Style w:val="FootnoteReference"/>
          <w:rFonts w:asciiTheme="majorHAnsi" w:hAnsiTheme="majorHAnsi" w:cstheme="majorHAnsi"/>
          <w:sz w:val="18"/>
          <w:szCs w:val="18"/>
        </w:rPr>
        <w:t xml:space="preserve"> </w:t>
      </w:r>
      <w:r w:rsidRPr="00E14B65">
        <w:rPr>
          <w:rFonts w:asciiTheme="majorHAnsi" w:hAnsiTheme="majorHAnsi" w:cstheme="majorHAnsi"/>
          <w:sz w:val="18"/>
          <w:szCs w:val="18"/>
        </w:rPr>
        <w:t>Në vitin 2021 vetëm 6</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e punëkërkuesve të regjistruar në AKPA që u punësuan i përkisnin njërës prej kategorive të veçanta të identifikuara (përfitues të ndhmës ekonomike, persona me aftësi ndryshe apo punëkërkues nga pakicat </w:t>
      </w:r>
      <w:r w:rsidRPr="00E14B65">
        <w:rPr>
          <w:rFonts w:asciiTheme="majorHAnsi" w:hAnsiTheme="majorHAnsi" w:cstheme="majorHAnsi"/>
          <w:sz w:val="18"/>
          <w:szCs w:val="18"/>
        </w:rPr>
        <w:t>rome dhe egjiptiane); ndonëse këta të fundit përbënin 41</w:t>
      </w:r>
      <w:r>
        <w:rPr>
          <w:rFonts w:asciiTheme="majorHAnsi" w:hAnsiTheme="majorHAnsi" w:cstheme="majorHAnsi"/>
          <w:sz w:val="18"/>
          <w:szCs w:val="18"/>
        </w:rPr>
        <w:t xml:space="preserve"> përqind</w:t>
      </w:r>
      <w:r w:rsidRPr="00E14B65">
        <w:rPr>
          <w:rFonts w:asciiTheme="majorHAnsi" w:hAnsiTheme="majorHAnsi" w:cstheme="majorHAnsi"/>
          <w:sz w:val="18"/>
          <w:szCs w:val="18"/>
        </w:rPr>
        <w:t xml:space="preserve"> të stokut të punëkërkuesve të papunë të regjistruar.</w:t>
      </w:r>
    </w:p>
  </w:footnote>
  <w:footnote w:id="35">
    <w:p w14:paraId="4225F5C5"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AKPA, 2022</w:t>
      </w:r>
    </w:p>
  </w:footnote>
  <w:footnote w:id="36">
    <w:p w14:paraId="455254F1"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AKPA, Analiza vjetore 2021</w:t>
      </w:r>
    </w:p>
  </w:footnote>
  <w:footnote w:id="37">
    <w:p w14:paraId="02917B3E"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Style w:val="FootnoteReference"/>
          <w:rFonts w:asciiTheme="majorHAnsi" w:hAnsiTheme="majorHAnsi" w:cstheme="majorHAnsi"/>
          <w:sz w:val="18"/>
          <w:szCs w:val="18"/>
        </w:rPr>
        <w:t xml:space="preserve"> </w:t>
      </w:r>
      <w:r w:rsidRPr="00E14B65">
        <w:rPr>
          <w:rFonts w:asciiTheme="majorHAnsi" w:hAnsiTheme="majorHAnsi" w:cstheme="majorHAnsi"/>
          <w:sz w:val="18"/>
          <w:szCs w:val="18"/>
        </w:rPr>
        <w:t xml:space="preserve">European Commission, 2022: 2022 Economic Reform Programmes of Albania, Montenegro, North Macedonia, Serbia, Turkey, Bosnia and Hercegovina, and Kosovo*, </w:t>
      </w:r>
      <w:hyperlink r:id="rId4" w:history="1">
        <w:r w:rsidRPr="00E14B65">
          <w:rPr>
            <w:rStyle w:val="Hyperlink"/>
            <w:rFonts w:asciiTheme="majorHAnsi" w:hAnsiTheme="majorHAnsi" w:cstheme="majorHAnsi"/>
            <w:sz w:val="18"/>
            <w:szCs w:val="18"/>
          </w:rPr>
          <w:t>https://ec.europa.eu/info/sites/default/files/economy-finance/ip180_en_0.pdf</w:t>
        </w:r>
      </w:hyperlink>
      <w:r w:rsidRPr="00E14B65">
        <w:rPr>
          <w:rFonts w:asciiTheme="majorHAnsi" w:hAnsiTheme="majorHAnsi" w:cstheme="majorHAnsi"/>
          <w:sz w:val="18"/>
          <w:szCs w:val="18"/>
        </w:rPr>
        <w:t xml:space="preserve"> </w:t>
      </w:r>
    </w:p>
  </w:footnote>
  <w:footnote w:id="38">
    <w:p w14:paraId="28DD4A80" w14:textId="372D6AFE" w:rsidR="004E167B" w:rsidRPr="00D03C6A" w:rsidRDefault="004E167B" w:rsidP="00D03C6A">
      <w:pPr>
        <w:rPr>
          <w:rFonts w:asciiTheme="majorHAnsi" w:hAnsiTheme="majorHAnsi" w:cstheme="majorHAnsi"/>
          <w:sz w:val="18"/>
          <w:szCs w:val="18"/>
          <w:lang w:val="sq-AL"/>
        </w:rPr>
      </w:pPr>
      <w:r w:rsidRPr="00D03C6A">
        <w:rPr>
          <w:rStyle w:val="FootnoteReference"/>
          <w:rFonts w:asciiTheme="majorHAnsi" w:hAnsiTheme="majorHAnsi" w:cstheme="majorHAnsi"/>
          <w:sz w:val="18"/>
          <w:szCs w:val="18"/>
        </w:rPr>
        <w:footnoteRef/>
      </w:r>
      <w:r w:rsidRPr="00D03C6A">
        <w:rPr>
          <w:rFonts w:asciiTheme="majorHAnsi" w:hAnsiTheme="majorHAnsi" w:cstheme="majorHAnsi"/>
          <w:sz w:val="18"/>
          <w:szCs w:val="18"/>
        </w:rPr>
        <w:t xml:space="preserve"> </w:t>
      </w:r>
      <w:r w:rsidRPr="00D03C6A">
        <w:rPr>
          <w:rFonts w:asciiTheme="majorHAnsi" w:hAnsiTheme="majorHAnsi" w:cstheme="majorHAnsi"/>
          <w:sz w:val="18"/>
          <w:szCs w:val="18"/>
          <w:lang w:val="sq-AL"/>
        </w:rPr>
        <w:t xml:space="preserve">Ka një numër në rritje të Agjencive Private të Punësimit (APrP) të pranishme në tregun e shërbimeve të tregut të punës. Disa prej tyre vlerësohen shumë nga punëdhënësit. Krahasuar me </w:t>
      </w:r>
      <w:r>
        <w:rPr>
          <w:rFonts w:asciiTheme="majorHAnsi" w:hAnsiTheme="majorHAnsi" w:cstheme="majorHAnsi"/>
          <w:sz w:val="18"/>
          <w:szCs w:val="18"/>
          <w:lang w:val="sq-AL"/>
        </w:rPr>
        <w:t>organizata</w:t>
      </w:r>
      <w:r w:rsidRPr="00D03C6A">
        <w:rPr>
          <w:rFonts w:asciiTheme="majorHAnsi" w:hAnsiTheme="majorHAnsi" w:cstheme="majorHAnsi"/>
          <w:sz w:val="18"/>
          <w:szCs w:val="18"/>
          <w:lang w:val="sq-AL"/>
        </w:rPr>
        <w:t xml:space="preserve"> publike, organet private konsiderohen më fleksibël, më pak burokratike dhe më të orientuara drejt shërbimeve dhe mund të kenë informacion dhe rrjete të rëndësishme me aktorët kryesorë në tregun e punës. Kështu, forca e agjencive private të punësimit qëndron në aftësinë e tyre për të ndërhyrë me shpejtësi dhe me efikasitet në një sektor të caktuar të tregut të punës, duke ofruar shërbime cilësore të personalizuara në një mënyrë më fleksibël.</w:t>
      </w:r>
    </w:p>
  </w:footnote>
  <w:footnote w:id="39">
    <w:p w14:paraId="2231BD43" w14:textId="79DB1DCC" w:rsidR="004E167B" w:rsidRPr="00E14B65" w:rsidRDefault="004E167B" w:rsidP="00DA6CC7">
      <w:pPr>
        <w:pStyle w:val="FootnoteText"/>
        <w:spacing w:before="0" w:after="0" w:line="240" w:lineRule="auto"/>
        <w:rPr>
          <w:rStyle w:val="FootnoteReference"/>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Style w:val="FootnoteReference"/>
          <w:rFonts w:asciiTheme="majorHAnsi" w:hAnsiTheme="majorHAnsi" w:cstheme="majorHAnsi"/>
          <w:sz w:val="18"/>
          <w:szCs w:val="18"/>
        </w:rPr>
        <w:t xml:space="preserve"> </w:t>
      </w:r>
      <w:r w:rsidRPr="00E14B65">
        <w:rPr>
          <w:rFonts w:asciiTheme="majorHAnsi" w:hAnsiTheme="majorHAnsi" w:cstheme="majorHAnsi"/>
          <w:sz w:val="18"/>
          <w:szCs w:val="18"/>
        </w:rPr>
        <w:t xml:space="preserve">Ministria e Financave dhe Ekonomisë (2021): National Employment and Skills Strategy 2019-2022, Annual Report 2020, p.23, </w:t>
      </w:r>
      <w:hyperlink r:id="rId5" w:history="1">
        <w:r w:rsidR="00EC4580" w:rsidRPr="00EC4580">
          <w:rPr>
            <w:rStyle w:val="Hyperlink"/>
            <w:rFonts w:asciiTheme="majorHAnsi" w:hAnsiTheme="majorHAnsi" w:cstheme="majorHAnsi"/>
            <w:sz w:val="18"/>
            <w:szCs w:val="18"/>
          </w:rPr>
          <w:t>https://financa.gov.al/wp-content/uploads/2021/06/NESS-Annual-Progress-Report-2020.pdf</w:t>
        </w:r>
      </w:hyperlink>
      <w:r w:rsidRPr="00E14B65">
        <w:rPr>
          <w:rFonts w:asciiTheme="majorHAnsi" w:hAnsiTheme="majorHAnsi" w:cstheme="majorHAnsi"/>
          <w:sz w:val="18"/>
          <w:szCs w:val="18"/>
        </w:rPr>
        <w:t xml:space="preserve"> </w:t>
      </w:r>
    </w:p>
  </w:footnote>
  <w:footnote w:id="40">
    <w:p w14:paraId="69366E9C"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Strategjia Kombëtare për Punësim dhe Aftësi (SKPA) 2014 – 2020 miratuar me VKM 818, datë 26.11.2014; dhe Plani i Veprimit I SKPA 2020 – 2022 miratuar me VKM 659, datë 10.10.2019.</w:t>
      </w:r>
    </w:p>
  </w:footnote>
  <w:footnote w:id="41">
    <w:p w14:paraId="683E3B26"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Ligji 10247 datë 4.3.2010, i ndryshuar “Për kornizën shqiptare të kualifikimeve” dhe Urdhër 99 I MFE datë 25.05.2021 “Për miratimin e katalogut kombëtar të kualifikimeve profesionale”</w:t>
      </w:r>
    </w:p>
  </w:footnote>
  <w:footnote w:id="42">
    <w:p w14:paraId="367010E6" w14:textId="77777777" w:rsidR="004E167B" w:rsidRPr="00E14B65" w:rsidRDefault="004E167B" w:rsidP="00DA6CC7">
      <w:pPr>
        <w:pStyle w:val="NormalWeb"/>
        <w:spacing w:before="0" w:beforeAutospacing="0" w:after="0" w:afterAutospacing="0" w:line="240" w:lineRule="auto"/>
        <w:rPr>
          <w:rFonts w:asciiTheme="majorHAnsi" w:hAnsiTheme="majorHAnsi" w:cstheme="majorHAnsi"/>
          <w:sz w:val="18"/>
          <w:szCs w:val="18"/>
          <w:lang w:val="en-US"/>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eastAsiaTheme="minorHAnsi" w:hAnsiTheme="majorHAnsi" w:cstheme="majorHAnsi"/>
          <w:sz w:val="18"/>
          <w:szCs w:val="18"/>
        </w:rPr>
        <w:t>VKM Nr. 427, datë 26.6.2019 “Për miratimin e kritereve dhe të procedurave për përfshirjen e kualifikimeve për të nxënit gjatë gjithë jetës, sipas niveleve të kornizës shqiptare të kualifikimeve, për arsimin dhe formimin profesional“</w:t>
      </w:r>
    </w:p>
  </w:footnote>
  <w:footnote w:id="43">
    <w:p w14:paraId="04451735"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sz w:val="18"/>
          <w:szCs w:val="18"/>
        </w:rPr>
        <w:t>Urdhër i MFE 220, datë 16.09.2020, “Për miratimin e Rregullores “Për zbatimin e praktikave profesionale në biznes në kuadër të ndjekjes së programeve të AFP-së në institucionet publike të arsimit dhe formimit professional”.</w:t>
      </w:r>
    </w:p>
  </w:footnote>
  <w:footnote w:id="44">
    <w:p w14:paraId="699802F3" w14:textId="77777777" w:rsidR="004E167B" w:rsidRPr="00E14B65" w:rsidRDefault="004E167B" w:rsidP="00DA6CC7">
      <w:pPr>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Udhëzim i MFE Nr. 14, datë 27.5.2021 “Për mënyrën e organizimit dhe veprimtarisë së institucioneve të arsimit dhe formimit profesional, si dhe aspektet e menaxhimit të burimeve njerëzore, përbërjes së njësisë së zhvillimit të ofruesve të arsimit dhe formimit profesional dhe zhvillimit të vazhduar profesional të personelit” </w:t>
      </w:r>
    </w:p>
    <w:p w14:paraId="07B6150C" w14:textId="77777777" w:rsidR="004E167B" w:rsidRPr="00E14B65" w:rsidRDefault="004E167B" w:rsidP="00DA6CC7">
      <w:pPr>
        <w:pStyle w:val="FootnoteText"/>
        <w:spacing w:before="0" w:after="0" w:line="240" w:lineRule="auto"/>
        <w:rPr>
          <w:rFonts w:asciiTheme="majorHAnsi" w:hAnsiTheme="majorHAnsi" w:cstheme="majorHAnsi"/>
          <w:sz w:val="18"/>
          <w:szCs w:val="18"/>
        </w:rPr>
      </w:pPr>
    </w:p>
  </w:footnote>
  <w:footnote w:id="45">
    <w:p w14:paraId="6F522EFE"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Këshilli Kombëtar i Punës, Këshilli Kombëtar i AFP-së, Këshilli Konsultativ i Punësimit, Komitetet Sektoriale, bordet drejtuese të ofruesv të AFP-së janë disa nga organet dhe platformat e angazhimit të partnerëve socialë, sipas legjislacionit të punës, AFP-së, Kornizës Shqiptare të Kualifikimeve dhe legjislacionit për nxitjen e punësimit. </w:t>
      </w:r>
    </w:p>
  </w:footnote>
  <w:footnote w:id="46">
    <w:p w14:paraId="3EE1CAF9"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PNUD 2020, “Studim i sistemit të arsimit dhe formimit profesional në Shqipëri”</w:t>
      </w:r>
    </w:p>
  </w:footnote>
  <w:footnote w:id="47">
    <w:p w14:paraId="6C0FF8F9" w14:textId="77777777" w:rsidR="004E167B" w:rsidRPr="009B644A" w:rsidRDefault="004E167B" w:rsidP="009B644A">
      <w:pPr>
        <w:pStyle w:val="FootnoteText"/>
        <w:spacing w:before="0" w:after="0" w:line="240" w:lineRule="auto"/>
        <w:rPr>
          <w:rFonts w:asciiTheme="majorHAnsi" w:hAnsiTheme="majorHAnsi" w:cstheme="majorHAnsi"/>
          <w:sz w:val="18"/>
          <w:szCs w:val="18"/>
        </w:rPr>
      </w:pPr>
      <w:r w:rsidRPr="009B644A">
        <w:rPr>
          <w:rStyle w:val="FootnoteReference"/>
          <w:rFonts w:asciiTheme="majorHAnsi" w:hAnsiTheme="majorHAnsi" w:cstheme="majorHAnsi"/>
          <w:sz w:val="18"/>
          <w:szCs w:val="18"/>
        </w:rPr>
        <w:footnoteRef/>
      </w:r>
      <w:r w:rsidRPr="009B644A">
        <w:rPr>
          <w:rFonts w:asciiTheme="majorHAnsi" w:hAnsiTheme="majorHAnsi" w:cstheme="majorHAnsi"/>
          <w:sz w:val="18"/>
          <w:szCs w:val="18"/>
        </w:rPr>
        <w:t xml:space="preserve"> </w:t>
      </w:r>
      <w:r w:rsidRPr="009B644A">
        <w:rPr>
          <w:rFonts w:asciiTheme="majorHAnsi" w:hAnsiTheme="majorHAnsi" w:cstheme="majorHAnsi"/>
          <w:sz w:val="18"/>
          <w:szCs w:val="18"/>
        </w:rPr>
        <w:t xml:space="preserve">RCC 2021, Regional Overvieë of Ëestern Balkan Economies regarding the European Social Rights 2021. </w:t>
      </w:r>
    </w:p>
  </w:footnote>
  <w:footnote w:id="48">
    <w:p w14:paraId="723C228B" w14:textId="423DF6B1" w:rsidR="004E167B" w:rsidRPr="000B74A0" w:rsidRDefault="004E167B">
      <w:pPr>
        <w:pStyle w:val="FootnoteText"/>
        <w:rPr>
          <w:rFonts w:asciiTheme="majorHAnsi" w:hAnsiTheme="majorHAnsi" w:cstheme="majorHAnsi"/>
          <w:sz w:val="18"/>
        </w:rPr>
      </w:pPr>
      <w:r>
        <w:rPr>
          <w:rStyle w:val="FootnoteReference"/>
        </w:rPr>
        <w:footnoteRef/>
      </w:r>
      <w:r>
        <w:t xml:space="preserve"> </w:t>
      </w:r>
      <w:r w:rsidRPr="00DD15E8">
        <w:rPr>
          <w:rFonts w:asciiTheme="majorHAnsi" w:hAnsiTheme="majorHAnsi" w:cstheme="majorHAnsi"/>
          <w:sz w:val="18"/>
        </w:rPr>
        <w:t xml:space="preserve">Për shembull, promovimi </w:t>
      </w:r>
      <w:r>
        <w:rPr>
          <w:rFonts w:asciiTheme="majorHAnsi" w:hAnsiTheme="majorHAnsi" w:cstheme="majorHAnsi"/>
          <w:sz w:val="18"/>
        </w:rPr>
        <w:t xml:space="preserve">i </w:t>
      </w:r>
      <w:r w:rsidRPr="00DD15E8">
        <w:rPr>
          <w:rFonts w:asciiTheme="majorHAnsi" w:hAnsiTheme="majorHAnsi" w:cstheme="majorHAnsi"/>
          <w:sz w:val="18"/>
        </w:rPr>
        <w:t xml:space="preserve">fleksibilitetit </w:t>
      </w:r>
      <w:r w:rsidR="00DC735B">
        <w:rPr>
          <w:rFonts w:asciiTheme="majorHAnsi" w:hAnsiTheme="majorHAnsi" w:cstheme="majorHAnsi"/>
          <w:sz w:val="18"/>
        </w:rPr>
        <w:t>n</w:t>
      </w:r>
      <w:r w:rsidRPr="00DD15E8">
        <w:rPr>
          <w:rFonts w:asciiTheme="majorHAnsi" w:hAnsiTheme="majorHAnsi" w:cstheme="majorHAnsi"/>
          <w:sz w:val="18"/>
        </w:rPr>
        <w:t>ë tregu</w:t>
      </w:r>
      <w:r w:rsidR="00DC735B">
        <w:rPr>
          <w:rFonts w:asciiTheme="majorHAnsi" w:hAnsiTheme="majorHAnsi" w:cstheme="majorHAnsi"/>
          <w:sz w:val="18"/>
        </w:rPr>
        <w:t>n e</w:t>
      </w:r>
      <w:r w:rsidRPr="00DD15E8">
        <w:rPr>
          <w:rFonts w:asciiTheme="majorHAnsi" w:hAnsiTheme="majorHAnsi" w:cstheme="majorHAnsi"/>
          <w:sz w:val="18"/>
        </w:rPr>
        <w:t xml:space="preserve"> punës </w:t>
      </w:r>
      <w:r>
        <w:rPr>
          <w:rFonts w:asciiTheme="majorHAnsi" w:hAnsiTheme="majorHAnsi" w:cstheme="majorHAnsi"/>
          <w:sz w:val="18"/>
        </w:rPr>
        <w:t xml:space="preserve">dhe </w:t>
      </w:r>
      <w:r w:rsidRPr="00DD15E8">
        <w:rPr>
          <w:rFonts w:asciiTheme="majorHAnsi" w:hAnsiTheme="majorHAnsi" w:cstheme="majorHAnsi"/>
          <w:sz w:val="18"/>
        </w:rPr>
        <w:t xml:space="preserve">ndikimi i tij i mundshëm në rritjen e punësimit mund të </w:t>
      </w:r>
      <w:r>
        <w:rPr>
          <w:rFonts w:asciiTheme="majorHAnsi" w:hAnsiTheme="majorHAnsi" w:cstheme="majorHAnsi"/>
          <w:sz w:val="18"/>
        </w:rPr>
        <w:t>eksplorohet</w:t>
      </w:r>
      <w:r w:rsidRPr="00DD15E8">
        <w:rPr>
          <w:rFonts w:asciiTheme="majorHAnsi" w:hAnsiTheme="majorHAnsi" w:cstheme="majorHAnsi"/>
          <w:sz w:val="18"/>
        </w:rPr>
        <w:t xml:space="preserve"> më tej nëse për shembull kontratat me afat të caktuar mund të lejohen edhe për detyra më të përhershme, por kohëzgjatja maksimale e </w:t>
      </w:r>
      <w:r>
        <w:rPr>
          <w:rFonts w:asciiTheme="majorHAnsi" w:hAnsiTheme="majorHAnsi" w:cstheme="majorHAnsi"/>
          <w:sz w:val="18"/>
        </w:rPr>
        <w:t>k</w:t>
      </w:r>
      <w:r w:rsidRPr="00DD15E8">
        <w:rPr>
          <w:rFonts w:asciiTheme="majorHAnsi" w:hAnsiTheme="majorHAnsi" w:cstheme="majorHAnsi"/>
          <w:sz w:val="18"/>
        </w:rPr>
        <w:t>ëtyre kontrat</w:t>
      </w:r>
      <w:r>
        <w:rPr>
          <w:rFonts w:asciiTheme="majorHAnsi" w:hAnsiTheme="majorHAnsi" w:cstheme="majorHAnsi"/>
          <w:sz w:val="18"/>
        </w:rPr>
        <w:t>ave</w:t>
      </w:r>
      <w:r w:rsidRPr="00DD15E8">
        <w:rPr>
          <w:rFonts w:asciiTheme="majorHAnsi" w:hAnsiTheme="majorHAnsi" w:cstheme="majorHAnsi"/>
          <w:sz w:val="18"/>
        </w:rPr>
        <w:t xml:space="preserve"> mund të kufizohet në një periudhë të caktuar</w:t>
      </w:r>
      <w:r>
        <w:rPr>
          <w:rFonts w:asciiTheme="majorHAnsi" w:hAnsiTheme="majorHAnsi" w:cstheme="majorHAnsi"/>
          <w:sz w:val="18"/>
        </w:rPr>
        <w:t xml:space="preserve"> kohor</w:t>
      </w:r>
      <w:r w:rsidR="00DC735B">
        <w:rPr>
          <w:rFonts w:asciiTheme="majorHAnsi" w:hAnsiTheme="majorHAnsi" w:cstheme="majorHAnsi"/>
          <w:sz w:val="18"/>
        </w:rPr>
        <w:t>,</w:t>
      </w:r>
      <w:r>
        <w:rPr>
          <w:rFonts w:asciiTheme="majorHAnsi" w:hAnsiTheme="majorHAnsi" w:cstheme="majorHAnsi"/>
          <w:sz w:val="18"/>
        </w:rPr>
        <w:t xml:space="preserve"> </w:t>
      </w:r>
      <w:r w:rsidRPr="00E912DB">
        <w:rPr>
          <w:rFonts w:asciiTheme="majorHAnsi" w:hAnsiTheme="majorHAnsi" w:cstheme="majorHAnsi"/>
          <w:sz w:val="18"/>
        </w:rPr>
        <w:t>siç është rasti për një pjesë të madhe të vendeve në rajon dhe më gjerë</w:t>
      </w:r>
      <w:r w:rsidRPr="000B74A0">
        <w:rPr>
          <w:rFonts w:asciiTheme="majorHAnsi" w:hAnsiTheme="majorHAnsi" w:cstheme="majorHAnsi"/>
          <w:sz w:val="18"/>
        </w:rPr>
        <w:t>.</w:t>
      </w:r>
    </w:p>
  </w:footnote>
  <w:footnote w:id="49">
    <w:p w14:paraId="6BA1F6FF" w14:textId="775CE058" w:rsidR="004E167B" w:rsidRPr="001F2B61" w:rsidRDefault="004E167B">
      <w:pPr>
        <w:pStyle w:val="FootnoteText"/>
        <w:rPr>
          <w:rFonts w:asciiTheme="majorHAnsi" w:hAnsiTheme="majorHAnsi" w:cstheme="majorHAnsi"/>
          <w:sz w:val="18"/>
        </w:rPr>
      </w:pPr>
      <w:r w:rsidRPr="001F2B61">
        <w:rPr>
          <w:rStyle w:val="FootnoteReference"/>
          <w:rFonts w:asciiTheme="majorHAnsi" w:hAnsiTheme="majorHAnsi" w:cstheme="majorHAnsi"/>
          <w:sz w:val="18"/>
        </w:rPr>
        <w:footnoteRef/>
      </w:r>
      <w:r w:rsidRPr="001F2B61">
        <w:rPr>
          <w:rFonts w:asciiTheme="majorHAnsi" w:hAnsiTheme="majorHAnsi" w:cstheme="majorHAnsi"/>
          <w:sz w:val="18"/>
        </w:rPr>
        <w:t xml:space="preserve"> </w:t>
      </w:r>
      <w:r w:rsidRPr="001F2B61">
        <w:rPr>
          <w:rFonts w:asciiTheme="majorHAnsi" w:hAnsiTheme="majorHAnsi" w:cstheme="majorHAnsi"/>
          <w:sz w:val="18"/>
        </w:rPr>
        <w:t>Sipas Organizatës Ndërkombëtare të Punës (ILO), paga minimale është “paga që përbën dyshemenë e strukturës së pagave me objektivin për të mbrojtur punëtorët që zënë pozicionin më të ulët në shpërndarjen e pagave”</w:t>
      </w:r>
      <w:r>
        <w:rPr>
          <w:rFonts w:asciiTheme="majorHAnsi" w:hAnsiTheme="majorHAnsi" w:cstheme="majorHAnsi"/>
          <w:sz w:val="18"/>
        </w:rPr>
        <w:t xml:space="preserve">. </w:t>
      </w:r>
      <w:r w:rsidRPr="001F2B61">
        <w:rPr>
          <w:rFonts w:asciiTheme="majorHAnsi" w:hAnsiTheme="majorHAnsi" w:cstheme="majorHAnsi"/>
          <w:sz w:val="18"/>
        </w:rPr>
        <w:t>ILO (2012)</w:t>
      </w:r>
      <w:r>
        <w:rPr>
          <w:rFonts w:asciiTheme="majorHAnsi" w:hAnsiTheme="majorHAnsi" w:cstheme="majorHAnsi"/>
          <w:sz w:val="18"/>
        </w:rPr>
        <w:t>:</w:t>
      </w:r>
      <w:r w:rsidRPr="001F2B61">
        <w:rPr>
          <w:rFonts w:asciiTheme="majorHAnsi" w:hAnsiTheme="majorHAnsi" w:cstheme="majorHAnsi"/>
          <w:sz w:val="18"/>
        </w:rPr>
        <w:t xml:space="preserve"> Drejtësia Sociale dhe Rritja: Roli i Pagës Minimale.</w:t>
      </w:r>
    </w:p>
  </w:footnote>
  <w:footnote w:id="50">
    <w:p w14:paraId="4B9F6EC3" w14:textId="4E4B36ED" w:rsidR="004E167B" w:rsidRPr="00C90F95" w:rsidRDefault="004E167B" w:rsidP="00846037">
      <w:pPr>
        <w:pStyle w:val="FootnoteText"/>
        <w:spacing w:before="0" w:after="0"/>
        <w:rPr>
          <w:rFonts w:asciiTheme="majorHAnsi" w:hAnsiTheme="majorHAnsi" w:cstheme="majorHAnsi"/>
          <w:sz w:val="18"/>
          <w:szCs w:val="18"/>
        </w:rPr>
      </w:pPr>
      <w:r w:rsidRPr="00C90F95">
        <w:rPr>
          <w:rStyle w:val="FootnoteReference"/>
          <w:rFonts w:asciiTheme="majorHAnsi" w:hAnsiTheme="majorHAnsi" w:cstheme="majorHAnsi"/>
          <w:sz w:val="18"/>
          <w:szCs w:val="18"/>
        </w:rPr>
        <w:footnoteRef/>
      </w:r>
      <w:r w:rsidRPr="00C90F95">
        <w:rPr>
          <w:rFonts w:asciiTheme="majorHAnsi" w:hAnsiTheme="majorHAnsi" w:cstheme="majorHAnsi"/>
          <w:sz w:val="18"/>
          <w:szCs w:val="18"/>
        </w:rPr>
        <w:t xml:space="preserve"> </w:t>
      </w:r>
      <w:r w:rsidRPr="00C90F95">
        <w:rPr>
          <w:rFonts w:asciiTheme="majorHAnsi" w:hAnsiTheme="majorHAnsi" w:cstheme="majorHAnsi"/>
          <w:sz w:val="18"/>
          <w:szCs w:val="18"/>
          <w:lang w:val="sq-AL"/>
        </w:rPr>
        <w:t xml:space="preserve">Sipas të dhënave administrative, NE arriti rreth 9 </w:t>
      </w:r>
      <w:r>
        <w:rPr>
          <w:rFonts w:asciiTheme="majorHAnsi" w:hAnsiTheme="majorHAnsi" w:cstheme="majorHAnsi"/>
          <w:sz w:val="18"/>
          <w:szCs w:val="18"/>
          <w:lang w:val="sq-AL"/>
        </w:rPr>
        <w:t xml:space="preserve"> përqind</w:t>
      </w:r>
      <w:r w:rsidRPr="00C90F95">
        <w:rPr>
          <w:rFonts w:asciiTheme="majorHAnsi" w:hAnsiTheme="majorHAnsi" w:cstheme="majorHAnsi"/>
          <w:sz w:val="18"/>
          <w:szCs w:val="18"/>
          <w:lang w:val="sq-AL"/>
        </w:rPr>
        <w:t xml:space="preserve"> të popullsisë në 2021.</w:t>
      </w:r>
    </w:p>
  </w:footnote>
  <w:footnote w:id="51">
    <w:p w14:paraId="744199D4" w14:textId="6FFB1FF6" w:rsidR="004E167B" w:rsidRPr="00B17BB8" w:rsidRDefault="004E167B" w:rsidP="00846037">
      <w:pPr>
        <w:pStyle w:val="FootnoteText"/>
        <w:spacing w:before="0" w:after="0"/>
        <w:rPr>
          <w:rFonts w:asciiTheme="majorHAnsi" w:hAnsiTheme="majorHAnsi" w:cstheme="majorHAnsi"/>
          <w:sz w:val="18"/>
        </w:rPr>
      </w:pPr>
      <w:r w:rsidRPr="00B17BB8">
        <w:rPr>
          <w:rStyle w:val="FootnoteReference"/>
          <w:rFonts w:asciiTheme="majorHAnsi" w:hAnsiTheme="majorHAnsi" w:cstheme="majorHAnsi"/>
          <w:sz w:val="18"/>
        </w:rPr>
        <w:footnoteRef/>
      </w:r>
      <w:r w:rsidRPr="00B17BB8">
        <w:rPr>
          <w:rFonts w:asciiTheme="majorHAnsi" w:hAnsiTheme="majorHAnsi" w:cstheme="majorHAnsi"/>
          <w:sz w:val="18"/>
        </w:rPr>
        <w:t xml:space="preserve"> </w:t>
      </w:r>
      <w:r w:rsidRPr="00B17BB8">
        <w:rPr>
          <w:rFonts w:asciiTheme="majorHAnsi" w:hAnsiTheme="majorHAnsi" w:cstheme="majorHAnsi"/>
          <w:sz w:val="18"/>
          <w:lang w:val="sq-AL"/>
        </w:rPr>
        <w:t xml:space="preserve">Ndërsa një </w:t>
      </w:r>
      <w:r w:rsidR="00846037">
        <w:rPr>
          <w:rFonts w:asciiTheme="majorHAnsi" w:hAnsiTheme="majorHAnsi" w:cstheme="majorHAnsi"/>
          <w:sz w:val="18"/>
          <w:lang w:val="sq-AL"/>
        </w:rPr>
        <w:t>punëmarrës</w:t>
      </w:r>
      <w:r w:rsidR="00846037" w:rsidRPr="00B17BB8">
        <w:rPr>
          <w:rFonts w:asciiTheme="majorHAnsi" w:hAnsiTheme="majorHAnsi" w:cstheme="majorHAnsi"/>
          <w:sz w:val="18"/>
          <w:lang w:val="sq-AL"/>
        </w:rPr>
        <w:t xml:space="preserve"> </w:t>
      </w:r>
      <w:r w:rsidRPr="00B17BB8">
        <w:rPr>
          <w:rFonts w:asciiTheme="majorHAnsi" w:hAnsiTheme="majorHAnsi" w:cstheme="majorHAnsi"/>
          <w:sz w:val="18"/>
          <w:lang w:val="sq-AL"/>
        </w:rPr>
        <w:t>që fito</w:t>
      </w:r>
      <w:r>
        <w:rPr>
          <w:rFonts w:asciiTheme="majorHAnsi" w:hAnsiTheme="majorHAnsi" w:cstheme="majorHAnsi"/>
          <w:sz w:val="18"/>
          <w:lang w:val="sq-AL"/>
        </w:rPr>
        <w:t xml:space="preserve">n </w:t>
      </w:r>
      <w:r w:rsidRPr="00B17BB8">
        <w:rPr>
          <w:rFonts w:asciiTheme="majorHAnsi" w:hAnsiTheme="majorHAnsi" w:cstheme="majorHAnsi"/>
          <w:sz w:val="18"/>
          <w:lang w:val="sq-AL"/>
        </w:rPr>
        <w:t xml:space="preserve">pagë minimale kishte </w:t>
      </w:r>
      <w:r w:rsidR="00846037">
        <w:rPr>
          <w:rFonts w:asciiTheme="majorHAnsi" w:hAnsiTheme="majorHAnsi" w:cstheme="majorHAnsi"/>
          <w:sz w:val="18"/>
          <w:lang w:val="sq-AL"/>
        </w:rPr>
        <w:t>një barrë fiskale nga të ardhurat e punës</w:t>
      </w:r>
      <w:r w:rsidR="00846037" w:rsidRPr="00B17BB8">
        <w:rPr>
          <w:rFonts w:asciiTheme="majorHAnsi" w:hAnsiTheme="majorHAnsi" w:cstheme="majorHAnsi"/>
          <w:sz w:val="18"/>
          <w:lang w:val="sq-AL"/>
        </w:rPr>
        <w:t xml:space="preserve"> </w:t>
      </w:r>
      <w:r w:rsidRPr="00B17BB8">
        <w:rPr>
          <w:rFonts w:asciiTheme="majorHAnsi" w:hAnsiTheme="majorHAnsi" w:cstheme="majorHAnsi"/>
          <w:sz w:val="18"/>
          <w:lang w:val="sq-AL"/>
        </w:rPr>
        <w:t>prej 25</w:t>
      </w:r>
      <w:r>
        <w:rPr>
          <w:rFonts w:asciiTheme="majorHAnsi" w:hAnsiTheme="majorHAnsi" w:cstheme="majorHAnsi"/>
          <w:sz w:val="18"/>
          <w:lang w:val="sq-AL"/>
        </w:rPr>
        <w:t xml:space="preserve"> përqind</w:t>
      </w:r>
      <w:r w:rsidRPr="00B17BB8">
        <w:rPr>
          <w:rFonts w:asciiTheme="majorHAnsi" w:hAnsiTheme="majorHAnsi" w:cstheme="majorHAnsi"/>
          <w:sz w:val="18"/>
          <w:lang w:val="sq-AL"/>
        </w:rPr>
        <w:t xml:space="preserve">, </w:t>
      </w:r>
      <w:r>
        <w:rPr>
          <w:rFonts w:asciiTheme="majorHAnsi" w:hAnsiTheme="majorHAnsi" w:cstheme="majorHAnsi"/>
          <w:sz w:val="18"/>
          <w:lang w:val="sq-AL"/>
        </w:rPr>
        <w:t>nj</w:t>
      </w:r>
      <w:r w:rsidRPr="00B17BB8">
        <w:rPr>
          <w:rFonts w:asciiTheme="majorHAnsi" w:hAnsiTheme="majorHAnsi" w:cstheme="majorHAnsi"/>
          <w:sz w:val="18"/>
          <w:lang w:val="sq-AL"/>
        </w:rPr>
        <w:t xml:space="preserve">ë </w:t>
      </w:r>
      <w:r w:rsidR="00846037">
        <w:rPr>
          <w:rFonts w:asciiTheme="majorHAnsi" w:hAnsiTheme="majorHAnsi" w:cstheme="majorHAnsi"/>
          <w:sz w:val="18"/>
          <w:lang w:val="sq-AL"/>
        </w:rPr>
        <w:t xml:space="preserve">punëmarrës me pagë 10 herë më të lartë se paga mesatare kishte një barrë prej </w:t>
      </w:r>
      <w:r w:rsidR="00846037" w:rsidRPr="00B17BB8">
        <w:rPr>
          <w:rFonts w:asciiTheme="majorHAnsi" w:hAnsiTheme="majorHAnsi" w:cstheme="majorHAnsi"/>
          <w:sz w:val="18"/>
          <w:lang w:val="sq-AL"/>
        </w:rPr>
        <w:t xml:space="preserve"> </w:t>
      </w:r>
      <w:r w:rsidRPr="00B17BB8">
        <w:rPr>
          <w:rFonts w:asciiTheme="majorHAnsi" w:hAnsiTheme="majorHAnsi" w:cstheme="majorHAnsi"/>
          <w:sz w:val="18"/>
          <w:lang w:val="sq-AL"/>
        </w:rPr>
        <w:t>barrë prej 26</w:t>
      </w:r>
      <w:r>
        <w:rPr>
          <w:rFonts w:asciiTheme="majorHAnsi" w:hAnsiTheme="majorHAnsi" w:cstheme="majorHAnsi"/>
          <w:sz w:val="18"/>
          <w:lang w:val="sq-AL"/>
        </w:rPr>
        <w:t xml:space="preserve"> përqind.</w:t>
      </w:r>
    </w:p>
  </w:footnote>
  <w:footnote w:id="52">
    <w:p w14:paraId="7E2016EF" w14:textId="3FC3F8E0" w:rsidR="004E167B" w:rsidRPr="00E14B65" w:rsidRDefault="004E167B" w:rsidP="00DA6CC7">
      <w:pPr>
        <w:pStyle w:val="NormalWeb"/>
        <w:spacing w:before="0" w:beforeAutospacing="0" w:after="0" w:afterAutospacing="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Style w:val="FootnoteReference"/>
          <w:rFonts w:asciiTheme="majorHAnsi" w:hAnsiTheme="majorHAnsi" w:cstheme="majorHAnsi"/>
          <w:sz w:val="18"/>
          <w:szCs w:val="18"/>
        </w:rPr>
        <w:t xml:space="preserve"> </w:t>
      </w:r>
      <w:hyperlink r:id="rId6" w:history="1">
        <w:r w:rsidRPr="00E14B65">
          <w:rPr>
            <w:rStyle w:val="Hyperlink"/>
            <w:rFonts w:asciiTheme="majorHAnsi" w:hAnsiTheme="majorHAnsi" w:cstheme="majorHAnsi"/>
            <w:sz w:val="18"/>
            <w:szCs w:val="18"/>
            <w:vertAlign w:val="superscript"/>
          </w:rPr>
          <w:t>https://</w:t>
        </w:r>
        <w:r>
          <w:rPr>
            <w:rStyle w:val="Hyperlink"/>
            <w:rFonts w:asciiTheme="majorHAnsi" w:hAnsiTheme="majorHAnsi" w:cstheme="majorHAnsi"/>
            <w:sz w:val="18"/>
            <w:szCs w:val="18"/>
            <w:vertAlign w:val="superscript"/>
          </w:rPr>
          <w:t>www</w:t>
        </w:r>
        <w:r w:rsidRPr="00E14B65">
          <w:rPr>
            <w:rStyle w:val="Hyperlink"/>
            <w:rFonts w:asciiTheme="majorHAnsi" w:hAnsiTheme="majorHAnsi" w:cstheme="majorHAnsi"/>
            <w:sz w:val="18"/>
            <w:szCs w:val="18"/>
            <w:vertAlign w:val="superscript"/>
          </w:rPr>
          <w:t>.consilium.europa.eu/en/press/press-releases/2022/06/16/council-recommends-european-approach-to-micro-credentials/</w:t>
        </w:r>
      </w:hyperlink>
      <w:r w:rsidRPr="00E14B65">
        <w:rPr>
          <w:rFonts w:asciiTheme="majorHAnsi" w:hAnsiTheme="majorHAnsi" w:cstheme="majorHAnsi"/>
          <w:sz w:val="18"/>
          <w:szCs w:val="18"/>
        </w:rPr>
        <w:t xml:space="preserve"> </w:t>
      </w:r>
    </w:p>
  </w:footnote>
  <w:footnote w:id="53">
    <w:p w14:paraId="301CDA31" w14:textId="77777777" w:rsidR="004E167B" w:rsidRPr="00E14B65" w:rsidRDefault="004E167B" w:rsidP="00DA6CC7">
      <w:pPr>
        <w:pStyle w:val="FootnoteText"/>
        <w:spacing w:before="0" w:after="0" w:line="240" w:lineRule="auto"/>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Pr="00E14B65">
        <w:rPr>
          <w:rFonts w:asciiTheme="majorHAnsi" w:hAnsiTheme="majorHAnsi" w:cstheme="majorHAnsi"/>
          <w:b/>
          <w:sz w:val="18"/>
          <w:szCs w:val="18"/>
        </w:rPr>
        <w:t>Niveli i par</w:t>
      </w:r>
      <w:r w:rsidRPr="00E14B65">
        <w:rPr>
          <w:rFonts w:asciiTheme="majorHAnsi" w:hAnsiTheme="majorHAnsi" w:cstheme="majorHAnsi"/>
          <w:b/>
          <w:bCs/>
          <w:sz w:val="18"/>
          <w:szCs w:val="18"/>
        </w:rPr>
        <w:t xml:space="preserve">ë i punësueshmërisë: </w:t>
      </w:r>
      <w:r w:rsidRPr="00E14B65">
        <w:rPr>
          <w:rFonts w:asciiTheme="majorHAnsi" w:hAnsiTheme="majorHAnsi" w:cstheme="majorHAnsi"/>
          <w:sz w:val="18"/>
          <w:szCs w:val="18"/>
        </w:rPr>
        <w:t>Punëkërkuesi është i gatshëm për punë dhe nuk ka probleme të dukshme dytësore e personale</w:t>
      </w:r>
      <w:r w:rsidRPr="00E14B65">
        <w:rPr>
          <w:rStyle w:val="HeaderChar"/>
          <w:rFonts w:asciiTheme="majorHAnsi" w:hAnsiTheme="majorHAnsi" w:cstheme="majorHAnsi"/>
          <w:sz w:val="18"/>
          <w:szCs w:val="18"/>
        </w:rPr>
        <w:t xml:space="preserve"> dhe </w:t>
      </w:r>
      <w:r w:rsidRPr="00E14B65">
        <w:rPr>
          <w:rStyle w:val="ListParagraphChar"/>
          <w:rFonts w:asciiTheme="majorHAnsi" w:hAnsiTheme="majorHAnsi" w:cstheme="majorHAnsi"/>
          <w:sz w:val="18"/>
          <w:szCs w:val="18"/>
        </w:rPr>
        <w:t xml:space="preserve">me është me rrezik të ulët për t’u kthyer në i papunë afatgjatë. </w:t>
      </w:r>
      <w:r w:rsidRPr="00E14B65">
        <w:rPr>
          <w:rFonts w:asciiTheme="majorHAnsi" w:hAnsiTheme="majorHAnsi" w:cstheme="majorHAnsi"/>
          <w:b/>
          <w:sz w:val="18"/>
          <w:szCs w:val="18"/>
        </w:rPr>
        <w:t>Niveli i dytë</w:t>
      </w:r>
      <w:r w:rsidRPr="00E14B65">
        <w:rPr>
          <w:rFonts w:asciiTheme="majorHAnsi" w:hAnsiTheme="majorHAnsi" w:cstheme="majorHAnsi"/>
          <w:b/>
          <w:bCs/>
          <w:sz w:val="18"/>
          <w:szCs w:val="18"/>
        </w:rPr>
        <w:t xml:space="preserve"> i punësueshmërisë</w:t>
      </w:r>
      <w:r w:rsidRPr="00E14B65">
        <w:rPr>
          <w:rFonts w:asciiTheme="majorHAnsi" w:hAnsiTheme="majorHAnsi" w:cstheme="majorHAnsi"/>
          <w:sz w:val="18"/>
          <w:szCs w:val="18"/>
        </w:rPr>
        <w:t xml:space="preserve">: Punëkërkuesi është pranë tregut të punës, por profilizimi ekonometrik tregon se ka një rrezik mesatar që ai të kthehet në një të papunë afatgjatë. </w:t>
      </w:r>
      <w:r w:rsidRPr="00E14B65">
        <w:rPr>
          <w:rFonts w:asciiTheme="majorHAnsi" w:hAnsiTheme="majorHAnsi" w:cstheme="majorHAnsi"/>
          <w:b/>
          <w:sz w:val="18"/>
          <w:szCs w:val="18"/>
        </w:rPr>
        <w:t>Niveli i tret</w:t>
      </w:r>
      <w:r w:rsidRPr="00E14B65">
        <w:rPr>
          <w:rFonts w:asciiTheme="majorHAnsi" w:hAnsiTheme="majorHAnsi" w:cstheme="majorHAnsi"/>
          <w:b/>
          <w:bCs/>
          <w:sz w:val="18"/>
          <w:szCs w:val="18"/>
        </w:rPr>
        <w:t xml:space="preserve">ë i punësueshmërisë: </w:t>
      </w:r>
      <w:r w:rsidRPr="00E14B65">
        <w:rPr>
          <w:rFonts w:asciiTheme="majorHAnsi" w:hAnsiTheme="majorHAnsi" w:cstheme="majorHAnsi"/>
          <w:sz w:val="18"/>
          <w:szCs w:val="18"/>
        </w:rPr>
        <w:t>Punëkërkues i disavantazhuar dhe më i rrezikuar për t’u kthyer në i papunë afatgjatë. Punëkërkuesit e nivelit të tretë të punësueshmërisë janë kategoria me prioritetin më të lartë për të pasur ndërveprim intensiv me këshilluesin e AKPA-s dhe këtij grupi i vihet menjëherë në dispozicion një gamë gjithëpërfshirëse e ndërhyrjeve</w:t>
      </w:r>
    </w:p>
  </w:footnote>
  <w:footnote w:id="54">
    <w:p w14:paraId="6AA60254" w14:textId="77777777" w:rsidR="00F50E95" w:rsidRDefault="004E167B" w:rsidP="00673D73">
      <w:pPr>
        <w:pStyle w:val="HTMLPreformatted"/>
        <w:rPr>
          <w:rFonts w:asciiTheme="majorHAnsi" w:hAnsiTheme="majorHAnsi" w:cstheme="majorHAnsi"/>
          <w:sz w:val="18"/>
          <w:szCs w:val="18"/>
        </w:rPr>
      </w:pPr>
      <w:r w:rsidRPr="00E14B65">
        <w:rPr>
          <w:rStyle w:val="FootnoteReference"/>
          <w:rFonts w:asciiTheme="majorHAnsi" w:hAnsiTheme="majorHAnsi" w:cstheme="majorHAnsi"/>
          <w:sz w:val="18"/>
          <w:szCs w:val="18"/>
        </w:rPr>
        <w:footnoteRef/>
      </w:r>
      <w:r w:rsidRPr="00E14B65">
        <w:rPr>
          <w:rFonts w:asciiTheme="majorHAnsi" w:hAnsiTheme="majorHAnsi" w:cstheme="majorHAnsi"/>
          <w:sz w:val="18"/>
          <w:szCs w:val="18"/>
        </w:rPr>
        <w:t xml:space="preserve"> </w:t>
      </w:r>
      <w:r w:rsidR="00673D73">
        <w:rPr>
          <w:rFonts w:asciiTheme="majorHAnsi" w:hAnsiTheme="majorHAnsi" w:cstheme="majorHAnsi"/>
          <w:sz w:val="18"/>
          <w:szCs w:val="18"/>
        </w:rPr>
        <w:t xml:space="preserve">Përgatitjet për zbatimin e Garancisë Rinore kanë nisur në zbatim të Planit Ekonomik dhe të Investimeve për Ballkanin Perëndimor. Me Urdhrin e Kryeministrit, datë 24.2.2022 </w:t>
      </w:r>
      <w:r w:rsidR="00673D73" w:rsidRPr="00F50E95">
        <w:rPr>
          <w:rFonts w:asciiTheme="majorHAnsi" w:hAnsiTheme="majorHAnsi" w:cstheme="majorHAnsi"/>
          <w:sz w:val="18"/>
          <w:szCs w:val="18"/>
        </w:rPr>
        <w:t>u krijuan dy grupe pune: (i) grupi teknik i punës; dhe (ii) grupi ndërinstitucional, i cili përfshin partnerë të Ministrisë së Financave dhe Ekonomisë si</w:t>
      </w:r>
      <w:r w:rsidR="00673D73">
        <w:rPr>
          <w:rFonts w:asciiTheme="majorHAnsi" w:hAnsiTheme="majorHAnsi" w:cstheme="majorHAnsi"/>
          <w:sz w:val="18"/>
          <w:szCs w:val="18"/>
        </w:rPr>
        <w:t>:</w:t>
      </w:r>
      <w:r w:rsidR="00673D73" w:rsidRPr="00F50E95">
        <w:rPr>
          <w:rFonts w:asciiTheme="majorHAnsi" w:hAnsiTheme="majorHAnsi" w:cstheme="majorHAnsi"/>
          <w:sz w:val="18"/>
          <w:szCs w:val="18"/>
        </w:rPr>
        <w:t xml:space="preserve"> Ministri i Shtetit për Rininë dhe Fëmijët, Ministria e Shëndetësisë dhe Mbrojtjes Sociale, Ministria e Arsimit dhe Sportit, Ministri i Shtetit </w:t>
      </w:r>
      <w:r w:rsidR="00673D73">
        <w:rPr>
          <w:rFonts w:asciiTheme="majorHAnsi" w:hAnsiTheme="majorHAnsi" w:cstheme="majorHAnsi"/>
          <w:sz w:val="18"/>
          <w:szCs w:val="18"/>
        </w:rPr>
        <w:t>p</w:t>
      </w:r>
      <w:r w:rsidR="00673D73" w:rsidRPr="00F50E95">
        <w:rPr>
          <w:rFonts w:asciiTheme="majorHAnsi" w:hAnsiTheme="majorHAnsi" w:cstheme="majorHAnsi"/>
          <w:sz w:val="18"/>
          <w:szCs w:val="18"/>
        </w:rPr>
        <w:t>ë</w:t>
      </w:r>
      <w:r w:rsidR="00673D73">
        <w:rPr>
          <w:rFonts w:asciiTheme="majorHAnsi" w:hAnsiTheme="majorHAnsi" w:cstheme="majorHAnsi"/>
          <w:sz w:val="18"/>
          <w:szCs w:val="18"/>
        </w:rPr>
        <w:t>r</w:t>
      </w:r>
      <w:r w:rsidR="00673D73" w:rsidRPr="00F50E95">
        <w:rPr>
          <w:rFonts w:asciiTheme="majorHAnsi" w:hAnsiTheme="majorHAnsi" w:cstheme="majorHAnsi"/>
          <w:sz w:val="18"/>
          <w:szCs w:val="18"/>
        </w:rPr>
        <w:t xml:space="preserve"> Sipërmarrje</w:t>
      </w:r>
      <w:r w:rsidR="00673D73">
        <w:rPr>
          <w:rFonts w:asciiTheme="majorHAnsi" w:hAnsiTheme="majorHAnsi" w:cstheme="majorHAnsi"/>
          <w:sz w:val="18"/>
          <w:szCs w:val="18"/>
        </w:rPr>
        <w:t>n,</w:t>
      </w:r>
      <w:r w:rsidR="00673D73" w:rsidRPr="00F50E95">
        <w:rPr>
          <w:rFonts w:asciiTheme="majorHAnsi" w:hAnsiTheme="majorHAnsi" w:cstheme="majorHAnsi"/>
          <w:sz w:val="18"/>
          <w:szCs w:val="18"/>
        </w:rPr>
        <w:t xml:space="preserve"> Ministria e Turizmi dhe Mjedisi</w:t>
      </w:r>
      <w:r w:rsidR="00673D73">
        <w:rPr>
          <w:rFonts w:asciiTheme="majorHAnsi" w:hAnsiTheme="majorHAnsi" w:cstheme="majorHAnsi"/>
          <w:sz w:val="18"/>
          <w:szCs w:val="18"/>
        </w:rPr>
        <w:t>t</w:t>
      </w:r>
      <w:r w:rsidR="00673D73" w:rsidRPr="00F50E95">
        <w:rPr>
          <w:rFonts w:asciiTheme="majorHAnsi" w:hAnsiTheme="majorHAnsi" w:cstheme="majorHAnsi"/>
          <w:sz w:val="18"/>
          <w:szCs w:val="18"/>
        </w:rPr>
        <w:t xml:space="preserve">, Ministria e Bujqësisë dhe Zhvillimit Rural dhe agjencitë kryesore zbatuese </w:t>
      </w:r>
      <w:r w:rsidR="00673D73">
        <w:rPr>
          <w:rFonts w:asciiTheme="majorHAnsi" w:hAnsiTheme="majorHAnsi" w:cstheme="majorHAnsi"/>
          <w:sz w:val="18"/>
          <w:szCs w:val="18"/>
        </w:rPr>
        <w:t xml:space="preserve">në fushën e punësimit, arsimit dhe kualifikimeve profesionale. </w:t>
      </w:r>
    </w:p>
    <w:p w14:paraId="40F7082B" w14:textId="3207A732" w:rsidR="00F50E95" w:rsidRDefault="00673D73" w:rsidP="00673D73">
      <w:pPr>
        <w:pStyle w:val="HTMLPreformatted"/>
        <w:rPr>
          <w:rFonts w:asciiTheme="majorHAnsi" w:hAnsiTheme="majorHAnsi" w:cstheme="majorHAnsi"/>
          <w:sz w:val="18"/>
          <w:szCs w:val="18"/>
        </w:rPr>
      </w:pPr>
      <w:r>
        <w:rPr>
          <w:rFonts w:asciiTheme="majorHAnsi" w:hAnsiTheme="majorHAnsi" w:cstheme="majorHAnsi"/>
          <w:sz w:val="18"/>
          <w:szCs w:val="18"/>
        </w:rPr>
        <w:t xml:space="preserve">Në të </w:t>
      </w:r>
      <w:r w:rsidRPr="00F50E95">
        <w:rPr>
          <w:rFonts w:asciiTheme="majorHAnsi" w:hAnsiTheme="majorHAnsi" w:cstheme="majorHAnsi"/>
          <w:sz w:val="18"/>
          <w:szCs w:val="18"/>
        </w:rPr>
        <w:t>dy grupe</w:t>
      </w:r>
      <w:r>
        <w:rPr>
          <w:rFonts w:asciiTheme="majorHAnsi" w:hAnsiTheme="majorHAnsi" w:cstheme="majorHAnsi"/>
          <w:sz w:val="18"/>
          <w:szCs w:val="18"/>
        </w:rPr>
        <w:t>t janë anëtarë</w:t>
      </w:r>
      <w:r w:rsidRPr="00F50E95">
        <w:rPr>
          <w:rFonts w:asciiTheme="majorHAnsi" w:hAnsiTheme="majorHAnsi" w:cstheme="majorHAnsi"/>
          <w:sz w:val="18"/>
          <w:szCs w:val="18"/>
        </w:rPr>
        <w:t xml:space="preserve"> aktiv</w:t>
      </w:r>
      <w:r>
        <w:rPr>
          <w:rFonts w:asciiTheme="majorHAnsi" w:hAnsiTheme="majorHAnsi" w:cstheme="majorHAnsi"/>
          <w:sz w:val="18"/>
          <w:szCs w:val="18"/>
        </w:rPr>
        <w:t>ë</w:t>
      </w:r>
      <w:r w:rsidRPr="00F50E95">
        <w:rPr>
          <w:rFonts w:asciiTheme="majorHAnsi" w:hAnsiTheme="majorHAnsi" w:cstheme="majorHAnsi"/>
          <w:sz w:val="18"/>
          <w:szCs w:val="18"/>
        </w:rPr>
        <w:t xml:space="preserve"> edhe organizata rinore ombrellë, partnerë socialë dhe ekspertë të ndryshëm. Skema do të zbatohet nga disa institucione, duke përfshirë Agjencinë Kombëtare të Punësimit dhe Aftësive dhe institucione të tjera që lidhen kryesisht me arsimin dhe rininë.</w:t>
      </w:r>
      <w:r w:rsidR="00F50E95">
        <w:rPr>
          <w:rFonts w:asciiTheme="majorHAnsi" w:hAnsiTheme="majorHAnsi" w:cstheme="majorHAnsi"/>
          <w:sz w:val="18"/>
          <w:szCs w:val="18"/>
        </w:rPr>
        <w:t xml:space="preserve"> </w:t>
      </w:r>
    </w:p>
    <w:p w14:paraId="59A0B184" w14:textId="356B7F44" w:rsidR="00673D73" w:rsidRDefault="00F50E95" w:rsidP="00673D73">
      <w:pPr>
        <w:pStyle w:val="HTMLPreformatted"/>
        <w:rPr>
          <w:rFonts w:asciiTheme="majorHAnsi" w:hAnsiTheme="majorHAnsi" w:cstheme="majorHAnsi"/>
          <w:sz w:val="18"/>
          <w:szCs w:val="18"/>
        </w:rPr>
      </w:pPr>
      <w:r>
        <w:rPr>
          <w:rFonts w:asciiTheme="majorHAnsi" w:hAnsiTheme="majorHAnsi" w:cstheme="majorHAnsi"/>
          <w:sz w:val="18"/>
          <w:szCs w:val="18"/>
        </w:rPr>
        <w:t xml:space="preserve">Sipas detyrave të përcaktuara në Urdhrin e Kryeministrit, grupi teknik i punës hartoi draftin e Planit </w:t>
      </w:r>
      <w:r w:rsidR="00BF4CFA">
        <w:rPr>
          <w:rFonts w:asciiTheme="majorHAnsi" w:hAnsiTheme="majorHAnsi" w:cstheme="majorHAnsi"/>
          <w:sz w:val="18"/>
          <w:szCs w:val="18"/>
        </w:rPr>
        <w:t>e Zbatimit</w:t>
      </w:r>
      <w:r>
        <w:rPr>
          <w:rFonts w:asciiTheme="majorHAnsi" w:hAnsiTheme="majorHAnsi" w:cstheme="majorHAnsi"/>
          <w:sz w:val="18"/>
          <w:szCs w:val="18"/>
        </w:rPr>
        <w:t xml:space="preserve"> të Garancisë Rinore, në periudhën prill-gusht 2022. Ky draft i cili u aprovua nga grupi ndërinstitucional në gusht 2022. </w:t>
      </w:r>
    </w:p>
    <w:p w14:paraId="4BA88B3D" w14:textId="0E85EFE6" w:rsidR="00F50E95" w:rsidRPr="00F50E95" w:rsidRDefault="00F50E95" w:rsidP="00F50E95">
      <w:pPr>
        <w:pStyle w:val="HTMLPreformatted"/>
        <w:rPr>
          <w:rFonts w:asciiTheme="majorHAnsi" w:hAnsiTheme="majorHAnsi" w:cstheme="majorHAnsi"/>
          <w:sz w:val="18"/>
          <w:szCs w:val="18"/>
        </w:rPr>
      </w:pPr>
      <w:r>
        <w:rPr>
          <w:rFonts w:asciiTheme="majorHAnsi" w:hAnsiTheme="majorHAnsi" w:cstheme="majorHAnsi"/>
          <w:sz w:val="18"/>
          <w:szCs w:val="18"/>
        </w:rPr>
        <w:t xml:space="preserve">Plani </w:t>
      </w:r>
      <w:r w:rsidR="00BF4CFA">
        <w:rPr>
          <w:rFonts w:asciiTheme="majorHAnsi" w:hAnsiTheme="majorHAnsi" w:cstheme="majorHAnsi"/>
          <w:sz w:val="18"/>
          <w:szCs w:val="18"/>
        </w:rPr>
        <w:t>I Zbatimit të</w:t>
      </w:r>
      <w:r>
        <w:rPr>
          <w:rFonts w:asciiTheme="majorHAnsi" w:hAnsiTheme="majorHAnsi" w:cstheme="majorHAnsi"/>
          <w:sz w:val="18"/>
          <w:szCs w:val="18"/>
        </w:rPr>
        <w:t xml:space="preserve"> Garancisë Rinore, në të cilin janë reflektuar edhe sugjerimet e Komisionit Evropian, do të miratohet nga Këshilli i Ministrave, si pjesë integrale e kësaj strategjie, sipas shtojcës 3. </w:t>
      </w:r>
    </w:p>
    <w:p w14:paraId="5DEB5DF2" w14:textId="47618705" w:rsidR="004E167B" w:rsidRPr="00E14B65" w:rsidRDefault="004E167B" w:rsidP="00673D73">
      <w:pPr>
        <w:pStyle w:val="FootnoteText"/>
        <w:spacing w:before="0" w:after="0" w:line="240" w:lineRule="auto"/>
        <w:rPr>
          <w:rFonts w:asciiTheme="majorHAnsi" w:hAnsiTheme="majorHAnsi" w:cstheme="maj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7F83" w14:textId="77777777" w:rsidR="004E167B" w:rsidRDefault="004619A2" w:rsidP="00E14B65">
    <w:pPr>
      <w:pStyle w:val="Header"/>
    </w:pPr>
    <w:r>
      <w:rPr>
        <w:noProof/>
      </w:rPr>
      <mc:AlternateContent>
        <mc:Choice Requires="wps">
          <w:drawing>
            <wp:anchor distT="0" distB="0" distL="114300" distR="114300" simplePos="0" relativeHeight="251672576" behindDoc="1" locked="0" layoutInCell="0" allowOverlap="1" wp14:anchorId="6F544D51" wp14:editId="31FD5039">
              <wp:simplePos x="0" y="0"/>
              <wp:positionH relativeFrom="margin">
                <wp:align>center</wp:align>
              </wp:positionH>
              <wp:positionV relativeFrom="margin">
                <wp:align>center</wp:align>
              </wp:positionV>
              <wp:extent cx="7252335" cy="2417445"/>
              <wp:effectExtent l="0" t="0" r="0" b="0"/>
              <wp:wrapNone/>
              <wp:docPr id="6"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C2D7E" w14:textId="77777777" w:rsidR="004619A2" w:rsidRDefault="004619A2" w:rsidP="004619A2">
                          <w:pPr>
                            <w:jc w:val="center"/>
                            <w:rPr>
                              <w:rFonts w:ascii="Calibri" w:hAnsi="Calibri" w:cs="Calibri"/>
                              <w:color w:val="C0C0C0"/>
                              <w:sz w:val="16"/>
                              <w:szCs w:val="16"/>
                              <w:lang w:val="en-GB"/>
                              <w14:textFill>
                                <w14:solidFill>
                                  <w14:srgbClr w14:val="C0C0C0">
                                    <w14:alpha w14:val="10000"/>
                                  </w14:srgbClr>
                                </w14:solidFill>
                              </w14:textFill>
                            </w:rPr>
                          </w:pPr>
                          <w:r>
                            <w:rPr>
                              <w:rFonts w:ascii="Calibri" w:hAnsi="Calibri" w:cs="Calibri"/>
                              <w:color w:val="C0C0C0"/>
                              <w:sz w:val="16"/>
                              <w:szCs w:val="16"/>
                              <w:lang w:val="en-GB"/>
                              <w14:textFill>
                                <w14:solidFill>
                                  <w14:srgbClr w14:val="C0C0C0">
                                    <w14:alpha w14:val="1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544D51" id="_x0000_t202" coordsize="21600,21600" o:spt="202" path="m,l,21600r21600,l21600,xe">
              <v:stroke joinstyle="miter"/>
              <v:path gradientshapeok="t" o:connecttype="rect"/>
            </v:shapetype>
            <v:shape id="WordArt 12" o:spid="_x0000_s1026" type="#_x0000_t202" style="position:absolute;left:0;text-align:left;margin-left:0;margin-top:0;width:571.05pt;height:190.3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" o:allowincell="f" filled="f" stroked="f">
              <v:stroke joinstyle="round"/>
              <v:path arrowok="t"/>
              <v:textbox>
                <w:txbxContent>
                  <w:p w14:paraId="186C2D7E" w14:textId="77777777" w:rsidR="004619A2" w:rsidRDefault="004619A2" w:rsidP="004619A2">
                    <w:pPr>
                      <w:jc w:val="center"/>
                      <w:rPr>
                        <w:rFonts w:ascii="Calibri" w:hAnsi="Calibri" w:cs="Calibri"/>
                        <w:color w:val="C0C0C0"/>
                        <w:sz w:val="16"/>
                        <w:szCs w:val="16"/>
                        <w:lang w:val="en-GB"/>
                        <w14:textFill>
                          <w14:solidFill>
                            <w14:srgbClr w14:val="C0C0C0">
                              <w14:alpha w14:val="10000"/>
                            </w14:srgbClr>
                          </w14:solidFill>
                        </w14:textFill>
                      </w:rPr>
                    </w:pPr>
                    <w:r>
                      <w:rPr>
                        <w:rFonts w:ascii="Calibri" w:hAnsi="Calibri" w:cs="Calibri"/>
                        <w:color w:val="C0C0C0"/>
                        <w:sz w:val="16"/>
                        <w:szCs w:val="16"/>
                        <w:lang w:val="en-GB"/>
                        <w14:textFill>
                          <w14:solidFill>
                            <w14:srgbClr w14:val="C0C0C0">
                              <w14:alpha w14:val="1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7E99" w14:textId="77777777" w:rsidR="004E167B" w:rsidRDefault="004619A2" w:rsidP="00E14B65">
    <w:pPr>
      <w:pStyle w:val="Header"/>
    </w:pPr>
    <w:r>
      <w:rPr>
        <w:noProof/>
      </w:rPr>
      <mc:AlternateContent>
        <mc:Choice Requires="wps">
          <w:drawing>
            <wp:anchor distT="0" distB="0" distL="114300" distR="114300" simplePos="0" relativeHeight="251671552" behindDoc="1" locked="0" layoutInCell="0" allowOverlap="1" wp14:anchorId="447FC0E5" wp14:editId="114BA0B3">
              <wp:simplePos x="0" y="0"/>
              <wp:positionH relativeFrom="margin">
                <wp:align>center</wp:align>
              </wp:positionH>
              <wp:positionV relativeFrom="margin">
                <wp:align>center</wp:align>
              </wp:positionV>
              <wp:extent cx="7252335" cy="2417445"/>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11DC85" w14:textId="77777777" w:rsidR="004619A2" w:rsidRDefault="004619A2" w:rsidP="004619A2">
                          <w:pPr>
                            <w:jc w:val="center"/>
                            <w:rPr>
                              <w:rFonts w:ascii="Calibri" w:hAnsi="Calibri" w:cs="Calibri"/>
                              <w:color w:val="C0C0C0"/>
                              <w:sz w:val="16"/>
                              <w:szCs w:val="16"/>
                              <w:lang w:val="en-GB"/>
                              <w14:textFill>
                                <w14:solidFill>
                                  <w14:srgbClr w14:val="C0C0C0">
                                    <w14:alpha w14:val="10000"/>
                                  </w14:srgbClr>
                                </w14:solidFill>
                              </w14:textFill>
                            </w:rPr>
                          </w:pPr>
                          <w:r>
                            <w:rPr>
                              <w:rFonts w:ascii="Calibri" w:hAnsi="Calibri" w:cs="Calibri"/>
                              <w:color w:val="C0C0C0"/>
                              <w:sz w:val="16"/>
                              <w:szCs w:val="16"/>
                              <w:lang w:val="en-GB"/>
                              <w14:textFill>
                                <w14:solidFill>
                                  <w14:srgbClr w14:val="C0C0C0">
                                    <w14:alpha w14:val="1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47FC0E5" id="_x0000_t202" coordsize="21600,21600" o:spt="202" path="m,l,21600r21600,l21600,xe">
              <v:stroke joinstyle="miter"/>
              <v:path gradientshapeok="t" o:connecttype="rect"/>
            </v:shapetype>
            <v:shape id="WordArt 10" o:spid="_x0000_s1027" type="#_x0000_t202" style="position:absolute;left:0;text-align:left;margin-left:0;margin-top:0;width:571.05pt;height:190.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" o:allowincell="f" filled="f" stroked="f">
              <v:stroke joinstyle="round"/>
              <v:path arrowok="t"/>
              <v:textbox>
                <w:txbxContent>
                  <w:p w14:paraId="0F11DC85" w14:textId="77777777" w:rsidR="004619A2" w:rsidRDefault="004619A2" w:rsidP="004619A2">
                    <w:pPr>
                      <w:jc w:val="center"/>
                      <w:rPr>
                        <w:rFonts w:ascii="Calibri" w:hAnsi="Calibri" w:cs="Calibri"/>
                        <w:color w:val="C0C0C0"/>
                        <w:sz w:val="16"/>
                        <w:szCs w:val="16"/>
                        <w:lang w:val="en-GB"/>
                        <w14:textFill>
                          <w14:solidFill>
                            <w14:srgbClr w14:val="C0C0C0">
                              <w14:alpha w14:val="10000"/>
                            </w14:srgbClr>
                          </w14:solidFill>
                        </w14:textFill>
                      </w:rPr>
                    </w:pPr>
                    <w:r>
                      <w:rPr>
                        <w:rFonts w:ascii="Calibri" w:hAnsi="Calibri" w:cs="Calibri"/>
                        <w:color w:val="C0C0C0"/>
                        <w:sz w:val="16"/>
                        <w:szCs w:val="16"/>
                        <w:lang w:val="en-GB"/>
                        <w14:textFill>
                          <w14:solidFill>
                            <w14:srgbClr w14:val="C0C0C0">
                              <w14:alpha w14:val="1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C888" w14:textId="77359431" w:rsidR="004E167B" w:rsidRDefault="004E167B" w:rsidP="00E14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FADB" w14:textId="5D831E8D" w:rsidR="004E167B" w:rsidRDefault="004E167B" w:rsidP="00E14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C1CE" w14:textId="4B437D95" w:rsidR="004E167B" w:rsidRDefault="004E167B" w:rsidP="00E14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242"/>
    <w:multiLevelType w:val="hybridMultilevel"/>
    <w:tmpl w:val="C2A601CC"/>
    <w:lvl w:ilvl="0" w:tplc="04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509E4"/>
    <w:multiLevelType w:val="hybridMultilevel"/>
    <w:tmpl w:val="32A66794"/>
    <w:lvl w:ilvl="0" w:tplc="FFFFFFFF">
      <w:start w:val="1"/>
      <w:numFmt w:val="decimal"/>
      <w:lvlText w:val="%1."/>
      <w:lvlJc w:val="left"/>
      <w:pPr>
        <w:ind w:left="720" w:hanging="360"/>
      </w:pPr>
      <w:rPr>
        <w:rFonts w:asciiTheme="majorHAnsi" w:hAnsi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6418F"/>
    <w:multiLevelType w:val="hybridMultilevel"/>
    <w:tmpl w:val="5CC8C98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3009D"/>
    <w:multiLevelType w:val="hybridMultilevel"/>
    <w:tmpl w:val="5512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7F52"/>
    <w:multiLevelType w:val="multilevel"/>
    <w:tmpl w:val="61E066B4"/>
    <w:lvl w:ilvl="0">
      <w:start w:val="2"/>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837561"/>
    <w:multiLevelType w:val="hybridMultilevel"/>
    <w:tmpl w:val="BF1C3E62"/>
    <w:lvl w:ilvl="0" w:tplc="84D43A80">
      <w:start w:val="1"/>
      <w:numFmt w:val="bullet"/>
      <w:lvlText w:val="•"/>
      <w:lvlJc w:val="left"/>
      <w:pPr>
        <w:tabs>
          <w:tab w:val="num" w:pos="720"/>
        </w:tabs>
        <w:ind w:left="720" w:hanging="360"/>
      </w:pPr>
      <w:rPr>
        <w:rFonts w:ascii="Arial" w:hAnsi="Arial" w:hint="default"/>
      </w:rPr>
    </w:lvl>
    <w:lvl w:ilvl="1" w:tplc="9C46B6B8">
      <w:numFmt w:val="bullet"/>
      <w:lvlText w:val="•"/>
      <w:lvlJc w:val="left"/>
      <w:pPr>
        <w:tabs>
          <w:tab w:val="num" w:pos="1440"/>
        </w:tabs>
        <w:ind w:left="1440" w:hanging="360"/>
      </w:pPr>
      <w:rPr>
        <w:rFonts w:ascii="Arial" w:hAnsi="Arial" w:hint="default"/>
      </w:rPr>
    </w:lvl>
    <w:lvl w:ilvl="2" w:tplc="35BCEEC8">
      <w:numFmt w:val="bullet"/>
      <w:lvlText w:val="•"/>
      <w:lvlJc w:val="left"/>
      <w:pPr>
        <w:tabs>
          <w:tab w:val="num" w:pos="2160"/>
        </w:tabs>
        <w:ind w:left="2160" w:hanging="360"/>
      </w:pPr>
      <w:rPr>
        <w:rFonts w:ascii="Arial" w:hAnsi="Arial" w:hint="default"/>
      </w:rPr>
    </w:lvl>
    <w:lvl w:ilvl="3" w:tplc="FB628A7C" w:tentative="1">
      <w:start w:val="1"/>
      <w:numFmt w:val="bullet"/>
      <w:lvlText w:val="•"/>
      <w:lvlJc w:val="left"/>
      <w:pPr>
        <w:tabs>
          <w:tab w:val="num" w:pos="2880"/>
        </w:tabs>
        <w:ind w:left="2880" w:hanging="360"/>
      </w:pPr>
      <w:rPr>
        <w:rFonts w:ascii="Arial" w:hAnsi="Arial" w:hint="default"/>
      </w:rPr>
    </w:lvl>
    <w:lvl w:ilvl="4" w:tplc="26E6B204" w:tentative="1">
      <w:start w:val="1"/>
      <w:numFmt w:val="bullet"/>
      <w:lvlText w:val="•"/>
      <w:lvlJc w:val="left"/>
      <w:pPr>
        <w:tabs>
          <w:tab w:val="num" w:pos="3600"/>
        </w:tabs>
        <w:ind w:left="3600" w:hanging="360"/>
      </w:pPr>
      <w:rPr>
        <w:rFonts w:ascii="Arial" w:hAnsi="Arial" w:hint="default"/>
      </w:rPr>
    </w:lvl>
    <w:lvl w:ilvl="5" w:tplc="B96C000A" w:tentative="1">
      <w:start w:val="1"/>
      <w:numFmt w:val="bullet"/>
      <w:lvlText w:val="•"/>
      <w:lvlJc w:val="left"/>
      <w:pPr>
        <w:tabs>
          <w:tab w:val="num" w:pos="4320"/>
        </w:tabs>
        <w:ind w:left="4320" w:hanging="360"/>
      </w:pPr>
      <w:rPr>
        <w:rFonts w:ascii="Arial" w:hAnsi="Arial" w:hint="default"/>
      </w:rPr>
    </w:lvl>
    <w:lvl w:ilvl="6" w:tplc="BA968576" w:tentative="1">
      <w:start w:val="1"/>
      <w:numFmt w:val="bullet"/>
      <w:lvlText w:val="•"/>
      <w:lvlJc w:val="left"/>
      <w:pPr>
        <w:tabs>
          <w:tab w:val="num" w:pos="5040"/>
        </w:tabs>
        <w:ind w:left="5040" w:hanging="360"/>
      </w:pPr>
      <w:rPr>
        <w:rFonts w:ascii="Arial" w:hAnsi="Arial" w:hint="default"/>
      </w:rPr>
    </w:lvl>
    <w:lvl w:ilvl="7" w:tplc="70B2C6B2" w:tentative="1">
      <w:start w:val="1"/>
      <w:numFmt w:val="bullet"/>
      <w:lvlText w:val="•"/>
      <w:lvlJc w:val="left"/>
      <w:pPr>
        <w:tabs>
          <w:tab w:val="num" w:pos="5760"/>
        </w:tabs>
        <w:ind w:left="5760" w:hanging="360"/>
      </w:pPr>
      <w:rPr>
        <w:rFonts w:ascii="Arial" w:hAnsi="Arial" w:hint="default"/>
      </w:rPr>
    </w:lvl>
    <w:lvl w:ilvl="8" w:tplc="31A4E2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DF798C"/>
    <w:multiLevelType w:val="multilevel"/>
    <w:tmpl w:val="71EE3B06"/>
    <w:lvl w:ilvl="0">
      <w:start w:val="1"/>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7501CA4"/>
    <w:multiLevelType w:val="hybridMultilevel"/>
    <w:tmpl w:val="081678EC"/>
    <w:lvl w:ilvl="0" w:tplc="99F0371A">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101F9"/>
    <w:multiLevelType w:val="hybridMultilevel"/>
    <w:tmpl w:val="B9DCE43C"/>
    <w:lvl w:ilvl="0" w:tplc="1E40EF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26C34"/>
    <w:multiLevelType w:val="multilevel"/>
    <w:tmpl w:val="9D36BC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E210F"/>
    <w:multiLevelType w:val="multilevel"/>
    <w:tmpl w:val="F596454A"/>
    <w:lvl w:ilvl="0">
      <w:start w:val="1"/>
      <w:numFmt w:val="upperRoman"/>
      <w:pStyle w:val="Heading1"/>
      <w:lvlText w:val="%1."/>
      <w:lvlJc w:val="right"/>
      <w:pPr>
        <w:ind w:left="180" w:hanging="180"/>
      </w:pPr>
      <w:rPr>
        <w:b w:val="0"/>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353B6680"/>
    <w:multiLevelType w:val="hybridMultilevel"/>
    <w:tmpl w:val="B016A876"/>
    <w:lvl w:ilvl="0" w:tplc="EFA298DC">
      <w:start w:val="1"/>
      <w:numFmt w:val="decimal"/>
      <w:lvlText w:val="%1."/>
      <w:lvlJc w:val="left"/>
      <w:pPr>
        <w:ind w:left="644" w:hanging="360"/>
      </w:pPr>
      <w:rPr>
        <w:rFonts w:cstheme="minorHAnsi"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8310061"/>
    <w:multiLevelType w:val="hybridMultilevel"/>
    <w:tmpl w:val="88F4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D3D21"/>
    <w:multiLevelType w:val="hybridMultilevel"/>
    <w:tmpl w:val="A906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22D12"/>
    <w:multiLevelType w:val="hybridMultilevel"/>
    <w:tmpl w:val="AD2E4B78"/>
    <w:lvl w:ilvl="0" w:tplc="99F0371A">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F5B17"/>
    <w:multiLevelType w:val="hybridMultilevel"/>
    <w:tmpl w:val="A172087E"/>
    <w:lvl w:ilvl="0" w:tplc="6082D1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83134"/>
    <w:multiLevelType w:val="hybridMultilevel"/>
    <w:tmpl w:val="32A66794"/>
    <w:lvl w:ilvl="0" w:tplc="3D3A3816">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E2823"/>
    <w:multiLevelType w:val="hybridMultilevel"/>
    <w:tmpl w:val="94E81E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CA138B"/>
    <w:multiLevelType w:val="hybridMultilevel"/>
    <w:tmpl w:val="954067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320E03"/>
    <w:multiLevelType w:val="multilevel"/>
    <w:tmpl w:val="8D06BA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9B3DCF"/>
    <w:multiLevelType w:val="hybridMultilevel"/>
    <w:tmpl w:val="5C409664"/>
    <w:lvl w:ilvl="0" w:tplc="99F0371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F3C39"/>
    <w:multiLevelType w:val="hybridMultilevel"/>
    <w:tmpl w:val="10224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F5228"/>
    <w:multiLevelType w:val="hybridMultilevel"/>
    <w:tmpl w:val="1C4CEC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65E00458"/>
    <w:multiLevelType w:val="hybridMultilevel"/>
    <w:tmpl w:val="4CEC4868"/>
    <w:lvl w:ilvl="0" w:tplc="F0F8DA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D45E5"/>
    <w:multiLevelType w:val="multilevel"/>
    <w:tmpl w:val="67300DF2"/>
    <w:lvl w:ilvl="0">
      <w:start w:val="2"/>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893326"/>
    <w:multiLevelType w:val="multilevel"/>
    <w:tmpl w:val="D82CBB5C"/>
    <w:lvl w:ilvl="0">
      <w:start w:val="2"/>
      <w:numFmt w:val="decimal"/>
      <w:lvlText w:val="%1"/>
      <w:lvlJc w:val="left"/>
      <w:pPr>
        <w:ind w:left="440" w:hanging="440"/>
      </w:pPr>
      <w:rPr>
        <w:rFonts w:hint="default"/>
      </w:rPr>
    </w:lvl>
    <w:lvl w:ilvl="1">
      <w:start w:val="2"/>
      <w:numFmt w:val="decimal"/>
      <w:lvlText w:val="%1.%2"/>
      <w:lvlJc w:val="left"/>
      <w:pPr>
        <w:ind w:left="620" w:hanging="4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6D5F1D62"/>
    <w:multiLevelType w:val="hybridMultilevel"/>
    <w:tmpl w:val="BF54A9BE"/>
    <w:lvl w:ilvl="0" w:tplc="6D68C54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F4B7B"/>
    <w:multiLevelType w:val="hybridMultilevel"/>
    <w:tmpl w:val="C36C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643DC"/>
    <w:multiLevelType w:val="hybridMultilevel"/>
    <w:tmpl w:val="94E81EE0"/>
    <w:lvl w:ilvl="0" w:tplc="6082D1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AC5E27"/>
    <w:multiLevelType w:val="hybridMultilevel"/>
    <w:tmpl w:val="DCC4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DE09C0"/>
    <w:multiLevelType w:val="hybridMultilevel"/>
    <w:tmpl w:val="68C2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D34CD"/>
    <w:multiLevelType w:val="hybridMultilevel"/>
    <w:tmpl w:val="D064448A"/>
    <w:lvl w:ilvl="0" w:tplc="F2F07F88">
      <w:start w:val="1"/>
      <w:numFmt w:val="upperRoman"/>
      <w:lvlText w:val="%1."/>
      <w:lvlJc w:val="left"/>
      <w:pPr>
        <w:ind w:left="1080" w:hanging="720"/>
      </w:pPr>
      <w:rPr>
        <w:rFonts w:cstheme="minorHAnsi" w:hint="default"/>
        <w:b w:val="0"/>
        <w:bCs/>
      </w:rPr>
    </w:lvl>
    <w:lvl w:ilvl="1" w:tplc="04090019">
      <w:start w:val="1"/>
      <w:numFmt w:val="lowerLetter"/>
      <w:lvlText w:val="%2."/>
      <w:lvlJc w:val="left"/>
      <w:pPr>
        <w:ind w:left="1440" w:hanging="360"/>
      </w:pPr>
    </w:lvl>
    <w:lvl w:ilvl="2" w:tplc="D7F8D77C">
      <w:start w:val="3"/>
      <w:numFmt w:val="upperRoman"/>
      <w:lvlText w:val="%3&gt;"/>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64B4C"/>
    <w:multiLevelType w:val="hybridMultilevel"/>
    <w:tmpl w:val="BC7A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10"/>
  </w:num>
  <w:num w:numId="4">
    <w:abstractNumId w:val="9"/>
  </w:num>
  <w:num w:numId="5">
    <w:abstractNumId w:val="26"/>
  </w:num>
  <w:num w:numId="6">
    <w:abstractNumId w:val="32"/>
  </w:num>
  <w:num w:numId="7">
    <w:abstractNumId w:val="0"/>
  </w:num>
  <w:num w:numId="8">
    <w:abstractNumId w:val="13"/>
  </w:num>
  <w:num w:numId="9">
    <w:abstractNumId w:val="8"/>
  </w:num>
  <w:num w:numId="10">
    <w:abstractNumId w:val="5"/>
  </w:num>
  <w:num w:numId="11">
    <w:abstractNumId w:val="28"/>
  </w:num>
  <w:num w:numId="12">
    <w:abstractNumId w:val="15"/>
  </w:num>
  <w:num w:numId="13">
    <w:abstractNumId w:val="17"/>
  </w:num>
  <w:num w:numId="14">
    <w:abstractNumId w:val="21"/>
  </w:num>
  <w:num w:numId="15">
    <w:abstractNumId w:val="12"/>
  </w:num>
  <w:num w:numId="16">
    <w:abstractNumId w:val="2"/>
  </w:num>
  <w:num w:numId="17">
    <w:abstractNumId w:val="27"/>
  </w:num>
  <w:num w:numId="18">
    <w:abstractNumId w:val="20"/>
  </w:num>
  <w:num w:numId="19">
    <w:abstractNumId w:val="7"/>
  </w:num>
  <w:num w:numId="20">
    <w:abstractNumId w:val="14"/>
  </w:num>
  <w:num w:numId="21">
    <w:abstractNumId w:val="16"/>
  </w:num>
  <w:num w:numId="22">
    <w:abstractNumId w:val="1"/>
  </w:num>
  <w:num w:numId="23">
    <w:abstractNumId w:val="18"/>
  </w:num>
  <w:num w:numId="24">
    <w:abstractNumId w:val="30"/>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2"/>
  </w:num>
  <w:num w:numId="30">
    <w:abstractNumId w:val="29"/>
  </w:num>
  <w:num w:numId="31">
    <w:abstractNumId w:val="6"/>
  </w:num>
  <w:num w:numId="32">
    <w:abstractNumId w:val="19"/>
  </w:num>
  <w:num w:numId="33">
    <w:abstractNumId w:val="25"/>
  </w:num>
  <w:num w:numId="34">
    <w:abstractNumId w:val="4"/>
  </w:num>
  <w:num w:numId="35">
    <w:abstractNumId w:val="24"/>
  </w:num>
  <w:num w:numId="36">
    <w:abstractNumId w:val="3"/>
  </w:num>
  <w:num w:numId="37">
    <w:abstractNumId w:val="26"/>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22"/>
    <w:rsid w:val="00001EB0"/>
    <w:rsid w:val="00005910"/>
    <w:rsid w:val="00005AB0"/>
    <w:rsid w:val="00005EEE"/>
    <w:rsid w:val="00007179"/>
    <w:rsid w:val="00007E0E"/>
    <w:rsid w:val="00025307"/>
    <w:rsid w:val="00026475"/>
    <w:rsid w:val="00032A5F"/>
    <w:rsid w:val="00033AC6"/>
    <w:rsid w:val="00040A69"/>
    <w:rsid w:val="00054692"/>
    <w:rsid w:val="00056080"/>
    <w:rsid w:val="00062E24"/>
    <w:rsid w:val="0006511D"/>
    <w:rsid w:val="00066407"/>
    <w:rsid w:val="00067690"/>
    <w:rsid w:val="000715B8"/>
    <w:rsid w:val="00073198"/>
    <w:rsid w:val="00075AA2"/>
    <w:rsid w:val="00083649"/>
    <w:rsid w:val="00084E2C"/>
    <w:rsid w:val="00085291"/>
    <w:rsid w:val="00086027"/>
    <w:rsid w:val="00087118"/>
    <w:rsid w:val="00090F10"/>
    <w:rsid w:val="000A22D0"/>
    <w:rsid w:val="000A6119"/>
    <w:rsid w:val="000B2726"/>
    <w:rsid w:val="000B27BC"/>
    <w:rsid w:val="000B74A0"/>
    <w:rsid w:val="000C2D25"/>
    <w:rsid w:val="000D270A"/>
    <w:rsid w:val="000D4F28"/>
    <w:rsid w:val="000E3F5A"/>
    <w:rsid w:val="000F0857"/>
    <w:rsid w:val="000F2B9F"/>
    <w:rsid w:val="000F5AAF"/>
    <w:rsid w:val="0010033B"/>
    <w:rsid w:val="00105D15"/>
    <w:rsid w:val="00117AD4"/>
    <w:rsid w:val="00122AF1"/>
    <w:rsid w:val="001242A1"/>
    <w:rsid w:val="00124BA8"/>
    <w:rsid w:val="001261FD"/>
    <w:rsid w:val="00133241"/>
    <w:rsid w:val="00134F50"/>
    <w:rsid w:val="0015157F"/>
    <w:rsid w:val="00152B7C"/>
    <w:rsid w:val="00157D04"/>
    <w:rsid w:val="00163E41"/>
    <w:rsid w:val="00170E66"/>
    <w:rsid w:val="00174F34"/>
    <w:rsid w:val="00177767"/>
    <w:rsid w:val="00181639"/>
    <w:rsid w:val="0018236C"/>
    <w:rsid w:val="00184F64"/>
    <w:rsid w:val="001923CA"/>
    <w:rsid w:val="001930B3"/>
    <w:rsid w:val="001A17E6"/>
    <w:rsid w:val="001A399A"/>
    <w:rsid w:val="001A54F1"/>
    <w:rsid w:val="001A5BD0"/>
    <w:rsid w:val="001A683F"/>
    <w:rsid w:val="001A7EA8"/>
    <w:rsid w:val="001B043B"/>
    <w:rsid w:val="001B3C49"/>
    <w:rsid w:val="001B487D"/>
    <w:rsid w:val="001C4ED5"/>
    <w:rsid w:val="001C72E6"/>
    <w:rsid w:val="001D1530"/>
    <w:rsid w:val="001D1DA8"/>
    <w:rsid w:val="001D51B7"/>
    <w:rsid w:val="001D584F"/>
    <w:rsid w:val="001E5830"/>
    <w:rsid w:val="001E615D"/>
    <w:rsid w:val="001E692A"/>
    <w:rsid w:val="001F2B61"/>
    <w:rsid w:val="001F4E6B"/>
    <w:rsid w:val="001F6591"/>
    <w:rsid w:val="0020574B"/>
    <w:rsid w:val="00212693"/>
    <w:rsid w:val="002213D5"/>
    <w:rsid w:val="0022420C"/>
    <w:rsid w:val="00235A83"/>
    <w:rsid w:val="00235F7A"/>
    <w:rsid w:val="002368A2"/>
    <w:rsid w:val="002374DC"/>
    <w:rsid w:val="00243164"/>
    <w:rsid w:val="00243BCB"/>
    <w:rsid w:val="002463C3"/>
    <w:rsid w:val="002530D9"/>
    <w:rsid w:val="002555F6"/>
    <w:rsid w:val="00255CBD"/>
    <w:rsid w:val="00255D1D"/>
    <w:rsid w:val="00260FFF"/>
    <w:rsid w:val="00267A4A"/>
    <w:rsid w:val="00273875"/>
    <w:rsid w:val="00275B5A"/>
    <w:rsid w:val="002869FA"/>
    <w:rsid w:val="002928E6"/>
    <w:rsid w:val="0029386B"/>
    <w:rsid w:val="00294E61"/>
    <w:rsid w:val="002951C4"/>
    <w:rsid w:val="00296DE9"/>
    <w:rsid w:val="002A0736"/>
    <w:rsid w:val="002B2F8D"/>
    <w:rsid w:val="002B4379"/>
    <w:rsid w:val="002C3393"/>
    <w:rsid w:val="002D06AB"/>
    <w:rsid w:val="002E09D9"/>
    <w:rsid w:val="002E5360"/>
    <w:rsid w:val="002F20AD"/>
    <w:rsid w:val="002F5E2C"/>
    <w:rsid w:val="002F7ADE"/>
    <w:rsid w:val="00301BDD"/>
    <w:rsid w:val="00305692"/>
    <w:rsid w:val="00311134"/>
    <w:rsid w:val="00313269"/>
    <w:rsid w:val="00323C28"/>
    <w:rsid w:val="00325080"/>
    <w:rsid w:val="00325C91"/>
    <w:rsid w:val="00325CF0"/>
    <w:rsid w:val="00327296"/>
    <w:rsid w:val="00334E10"/>
    <w:rsid w:val="00335551"/>
    <w:rsid w:val="00337660"/>
    <w:rsid w:val="00342919"/>
    <w:rsid w:val="0034706E"/>
    <w:rsid w:val="00347097"/>
    <w:rsid w:val="003509EE"/>
    <w:rsid w:val="0035431E"/>
    <w:rsid w:val="00355AD1"/>
    <w:rsid w:val="00361F07"/>
    <w:rsid w:val="00363CAA"/>
    <w:rsid w:val="0036475F"/>
    <w:rsid w:val="003654BE"/>
    <w:rsid w:val="00365EDE"/>
    <w:rsid w:val="003677DE"/>
    <w:rsid w:val="00371627"/>
    <w:rsid w:val="003716C6"/>
    <w:rsid w:val="00372B35"/>
    <w:rsid w:val="0037633E"/>
    <w:rsid w:val="00377CCB"/>
    <w:rsid w:val="00377DF2"/>
    <w:rsid w:val="00381DEA"/>
    <w:rsid w:val="00391C17"/>
    <w:rsid w:val="003952F3"/>
    <w:rsid w:val="003A0365"/>
    <w:rsid w:val="003A14FB"/>
    <w:rsid w:val="003A2380"/>
    <w:rsid w:val="003B0C7B"/>
    <w:rsid w:val="003B2767"/>
    <w:rsid w:val="003B2A20"/>
    <w:rsid w:val="003B31E8"/>
    <w:rsid w:val="003B4581"/>
    <w:rsid w:val="003B5F37"/>
    <w:rsid w:val="003C0C4E"/>
    <w:rsid w:val="003C130D"/>
    <w:rsid w:val="003C1514"/>
    <w:rsid w:val="003C15AF"/>
    <w:rsid w:val="003C1635"/>
    <w:rsid w:val="003C3772"/>
    <w:rsid w:val="003D14D0"/>
    <w:rsid w:val="003D207D"/>
    <w:rsid w:val="003D7812"/>
    <w:rsid w:val="003E27E0"/>
    <w:rsid w:val="003E2860"/>
    <w:rsid w:val="003E6738"/>
    <w:rsid w:val="003F69E4"/>
    <w:rsid w:val="00401444"/>
    <w:rsid w:val="0040525B"/>
    <w:rsid w:val="004175BA"/>
    <w:rsid w:val="00426319"/>
    <w:rsid w:val="004270E7"/>
    <w:rsid w:val="004277E6"/>
    <w:rsid w:val="00427BAB"/>
    <w:rsid w:val="00430683"/>
    <w:rsid w:val="00455AA6"/>
    <w:rsid w:val="00455AC9"/>
    <w:rsid w:val="004619A2"/>
    <w:rsid w:val="00467DE0"/>
    <w:rsid w:val="00477133"/>
    <w:rsid w:val="00480CBD"/>
    <w:rsid w:val="00483FE1"/>
    <w:rsid w:val="00487227"/>
    <w:rsid w:val="00491B02"/>
    <w:rsid w:val="0049277B"/>
    <w:rsid w:val="00495D5A"/>
    <w:rsid w:val="004969C5"/>
    <w:rsid w:val="00496FC8"/>
    <w:rsid w:val="004A16A4"/>
    <w:rsid w:val="004A2058"/>
    <w:rsid w:val="004A4875"/>
    <w:rsid w:val="004A5CE6"/>
    <w:rsid w:val="004B17BA"/>
    <w:rsid w:val="004B402C"/>
    <w:rsid w:val="004B41C3"/>
    <w:rsid w:val="004B58FA"/>
    <w:rsid w:val="004B5FA7"/>
    <w:rsid w:val="004C0665"/>
    <w:rsid w:val="004C3C19"/>
    <w:rsid w:val="004D2647"/>
    <w:rsid w:val="004D3828"/>
    <w:rsid w:val="004D4ACA"/>
    <w:rsid w:val="004D4D2F"/>
    <w:rsid w:val="004E0522"/>
    <w:rsid w:val="004E167B"/>
    <w:rsid w:val="004E35E7"/>
    <w:rsid w:val="004E48EE"/>
    <w:rsid w:val="004E6694"/>
    <w:rsid w:val="004E6884"/>
    <w:rsid w:val="004F421F"/>
    <w:rsid w:val="004F43F5"/>
    <w:rsid w:val="004F4C90"/>
    <w:rsid w:val="00511380"/>
    <w:rsid w:val="00523C32"/>
    <w:rsid w:val="005240C4"/>
    <w:rsid w:val="005263C7"/>
    <w:rsid w:val="00536B25"/>
    <w:rsid w:val="0054561B"/>
    <w:rsid w:val="0055423A"/>
    <w:rsid w:val="005620A4"/>
    <w:rsid w:val="005646B5"/>
    <w:rsid w:val="005853FA"/>
    <w:rsid w:val="005A0A00"/>
    <w:rsid w:val="005A6310"/>
    <w:rsid w:val="005B0DFA"/>
    <w:rsid w:val="005B2985"/>
    <w:rsid w:val="005B3CAF"/>
    <w:rsid w:val="005B4081"/>
    <w:rsid w:val="005B57E9"/>
    <w:rsid w:val="005C271C"/>
    <w:rsid w:val="005C3AF4"/>
    <w:rsid w:val="005D1199"/>
    <w:rsid w:val="005D78B3"/>
    <w:rsid w:val="005E6417"/>
    <w:rsid w:val="005E66F0"/>
    <w:rsid w:val="005F1229"/>
    <w:rsid w:val="005F1953"/>
    <w:rsid w:val="005F1A83"/>
    <w:rsid w:val="005F1B52"/>
    <w:rsid w:val="005F2F30"/>
    <w:rsid w:val="00611476"/>
    <w:rsid w:val="0061550F"/>
    <w:rsid w:val="006167E8"/>
    <w:rsid w:val="006217FF"/>
    <w:rsid w:val="00622DC6"/>
    <w:rsid w:val="00630A1E"/>
    <w:rsid w:val="00640108"/>
    <w:rsid w:val="0064123E"/>
    <w:rsid w:val="00642117"/>
    <w:rsid w:val="0064416B"/>
    <w:rsid w:val="0065493E"/>
    <w:rsid w:val="006562F5"/>
    <w:rsid w:val="00661C88"/>
    <w:rsid w:val="006623D2"/>
    <w:rsid w:val="00664995"/>
    <w:rsid w:val="00673D73"/>
    <w:rsid w:val="0067736C"/>
    <w:rsid w:val="00680ABE"/>
    <w:rsid w:val="006815D8"/>
    <w:rsid w:val="00685913"/>
    <w:rsid w:val="00692161"/>
    <w:rsid w:val="00695DD4"/>
    <w:rsid w:val="006A1E68"/>
    <w:rsid w:val="006A2472"/>
    <w:rsid w:val="006A5710"/>
    <w:rsid w:val="006B0094"/>
    <w:rsid w:val="006B1122"/>
    <w:rsid w:val="006B1536"/>
    <w:rsid w:val="006B47F4"/>
    <w:rsid w:val="006B559E"/>
    <w:rsid w:val="006B5E55"/>
    <w:rsid w:val="006C08CD"/>
    <w:rsid w:val="006C2A7D"/>
    <w:rsid w:val="006C3D53"/>
    <w:rsid w:val="006C55A2"/>
    <w:rsid w:val="006C5687"/>
    <w:rsid w:val="006D59CD"/>
    <w:rsid w:val="006D736C"/>
    <w:rsid w:val="006E09F0"/>
    <w:rsid w:val="006E0E46"/>
    <w:rsid w:val="006E35D1"/>
    <w:rsid w:val="006E513A"/>
    <w:rsid w:val="006E71CB"/>
    <w:rsid w:val="006F3836"/>
    <w:rsid w:val="006F3BA6"/>
    <w:rsid w:val="00701C03"/>
    <w:rsid w:val="00703F35"/>
    <w:rsid w:val="007109DE"/>
    <w:rsid w:val="00714246"/>
    <w:rsid w:val="007144B0"/>
    <w:rsid w:val="00714845"/>
    <w:rsid w:val="00714A3B"/>
    <w:rsid w:val="00714B60"/>
    <w:rsid w:val="00714F11"/>
    <w:rsid w:val="00715237"/>
    <w:rsid w:val="00716706"/>
    <w:rsid w:val="00727609"/>
    <w:rsid w:val="0073509B"/>
    <w:rsid w:val="00746F32"/>
    <w:rsid w:val="00752B93"/>
    <w:rsid w:val="0076203B"/>
    <w:rsid w:val="00766DAC"/>
    <w:rsid w:val="00767241"/>
    <w:rsid w:val="007672B4"/>
    <w:rsid w:val="00770060"/>
    <w:rsid w:val="00773071"/>
    <w:rsid w:val="00776AEA"/>
    <w:rsid w:val="007772CC"/>
    <w:rsid w:val="00784EA1"/>
    <w:rsid w:val="00787729"/>
    <w:rsid w:val="00787892"/>
    <w:rsid w:val="00787B30"/>
    <w:rsid w:val="00787D62"/>
    <w:rsid w:val="007931D7"/>
    <w:rsid w:val="00796AD8"/>
    <w:rsid w:val="007B2D8F"/>
    <w:rsid w:val="007B3957"/>
    <w:rsid w:val="007C2EA9"/>
    <w:rsid w:val="007C4861"/>
    <w:rsid w:val="007D5EEF"/>
    <w:rsid w:val="007D6F4D"/>
    <w:rsid w:val="007E372F"/>
    <w:rsid w:val="007E4E30"/>
    <w:rsid w:val="007F2812"/>
    <w:rsid w:val="007F41E4"/>
    <w:rsid w:val="007F5E6B"/>
    <w:rsid w:val="00801086"/>
    <w:rsid w:val="008040CC"/>
    <w:rsid w:val="008120BE"/>
    <w:rsid w:val="00815497"/>
    <w:rsid w:val="00832C35"/>
    <w:rsid w:val="00836929"/>
    <w:rsid w:val="00846037"/>
    <w:rsid w:val="00850D18"/>
    <w:rsid w:val="00852446"/>
    <w:rsid w:val="00853961"/>
    <w:rsid w:val="00854801"/>
    <w:rsid w:val="00863AC7"/>
    <w:rsid w:val="008745A3"/>
    <w:rsid w:val="00876172"/>
    <w:rsid w:val="00876CCC"/>
    <w:rsid w:val="00886A05"/>
    <w:rsid w:val="00886E03"/>
    <w:rsid w:val="0089088C"/>
    <w:rsid w:val="00892E8B"/>
    <w:rsid w:val="008A5B2B"/>
    <w:rsid w:val="008A6BE9"/>
    <w:rsid w:val="008B6DAA"/>
    <w:rsid w:val="008C3FF5"/>
    <w:rsid w:val="008D262F"/>
    <w:rsid w:val="008D28FC"/>
    <w:rsid w:val="008D3D4B"/>
    <w:rsid w:val="008D5486"/>
    <w:rsid w:val="008E5034"/>
    <w:rsid w:val="008F175A"/>
    <w:rsid w:val="008F5078"/>
    <w:rsid w:val="00910F50"/>
    <w:rsid w:val="00910FC7"/>
    <w:rsid w:val="009116BF"/>
    <w:rsid w:val="00914A41"/>
    <w:rsid w:val="0092055E"/>
    <w:rsid w:val="00926955"/>
    <w:rsid w:val="009309C4"/>
    <w:rsid w:val="00930AAE"/>
    <w:rsid w:val="009316CE"/>
    <w:rsid w:val="0093582E"/>
    <w:rsid w:val="00942922"/>
    <w:rsid w:val="00942D33"/>
    <w:rsid w:val="00944C37"/>
    <w:rsid w:val="009505A0"/>
    <w:rsid w:val="009544B7"/>
    <w:rsid w:val="0097264A"/>
    <w:rsid w:val="00974B0F"/>
    <w:rsid w:val="00977ED8"/>
    <w:rsid w:val="00983D9B"/>
    <w:rsid w:val="00992FD4"/>
    <w:rsid w:val="00995E1A"/>
    <w:rsid w:val="009A2D8E"/>
    <w:rsid w:val="009A3B34"/>
    <w:rsid w:val="009A73B3"/>
    <w:rsid w:val="009B3DF3"/>
    <w:rsid w:val="009B5933"/>
    <w:rsid w:val="009B644A"/>
    <w:rsid w:val="009C2964"/>
    <w:rsid w:val="009D52BD"/>
    <w:rsid w:val="009D64A9"/>
    <w:rsid w:val="009E0400"/>
    <w:rsid w:val="009E103E"/>
    <w:rsid w:val="009E2AF0"/>
    <w:rsid w:val="009F2778"/>
    <w:rsid w:val="00A02C77"/>
    <w:rsid w:val="00A039AE"/>
    <w:rsid w:val="00A03EB7"/>
    <w:rsid w:val="00A04588"/>
    <w:rsid w:val="00A11F3B"/>
    <w:rsid w:val="00A12948"/>
    <w:rsid w:val="00A12BC0"/>
    <w:rsid w:val="00A12F7D"/>
    <w:rsid w:val="00A260FF"/>
    <w:rsid w:val="00A309DC"/>
    <w:rsid w:val="00A31802"/>
    <w:rsid w:val="00A33BB4"/>
    <w:rsid w:val="00A33EC6"/>
    <w:rsid w:val="00A35920"/>
    <w:rsid w:val="00A43EA4"/>
    <w:rsid w:val="00A52F0A"/>
    <w:rsid w:val="00A6068D"/>
    <w:rsid w:val="00A61BD9"/>
    <w:rsid w:val="00A655EA"/>
    <w:rsid w:val="00A65B8D"/>
    <w:rsid w:val="00A71272"/>
    <w:rsid w:val="00A71AD3"/>
    <w:rsid w:val="00A72207"/>
    <w:rsid w:val="00A756A3"/>
    <w:rsid w:val="00A77D37"/>
    <w:rsid w:val="00A87F54"/>
    <w:rsid w:val="00AA3BA2"/>
    <w:rsid w:val="00AA3EEE"/>
    <w:rsid w:val="00AA6CB5"/>
    <w:rsid w:val="00AA7036"/>
    <w:rsid w:val="00AB0488"/>
    <w:rsid w:val="00AB3268"/>
    <w:rsid w:val="00AC1699"/>
    <w:rsid w:val="00AC170C"/>
    <w:rsid w:val="00AE0FCA"/>
    <w:rsid w:val="00AE771B"/>
    <w:rsid w:val="00AF3C4C"/>
    <w:rsid w:val="00AF6068"/>
    <w:rsid w:val="00B0791A"/>
    <w:rsid w:val="00B10894"/>
    <w:rsid w:val="00B17302"/>
    <w:rsid w:val="00B17BB8"/>
    <w:rsid w:val="00B20987"/>
    <w:rsid w:val="00B23C6D"/>
    <w:rsid w:val="00B322E1"/>
    <w:rsid w:val="00B32D8A"/>
    <w:rsid w:val="00B51A85"/>
    <w:rsid w:val="00B55DA1"/>
    <w:rsid w:val="00B62FFC"/>
    <w:rsid w:val="00B70ACF"/>
    <w:rsid w:val="00B71769"/>
    <w:rsid w:val="00B739D8"/>
    <w:rsid w:val="00B74500"/>
    <w:rsid w:val="00B749B7"/>
    <w:rsid w:val="00B824B2"/>
    <w:rsid w:val="00B84BCB"/>
    <w:rsid w:val="00B85D27"/>
    <w:rsid w:val="00B958AA"/>
    <w:rsid w:val="00BA0BC3"/>
    <w:rsid w:val="00BB1771"/>
    <w:rsid w:val="00BB75A2"/>
    <w:rsid w:val="00BC631C"/>
    <w:rsid w:val="00BC66E9"/>
    <w:rsid w:val="00BD1D28"/>
    <w:rsid w:val="00BD7765"/>
    <w:rsid w:val="00BD7BDA"/>
    <w:rsid w:val="00BE463D"/>
    <w:rsid w:val="00BE610F"/>
    <w:rsid w:val="00BF1F01"/>
    <w:rsid w:val="00BF4CFA"/>
    <w:rsid w:val="00BF7189"/>
    <w:rsid w:val="00C01D3F"/>
    <w:rsid w:val="00C01E16"/>
    <w:rsid w:val="00C02DA2"/>
    <w:rsid w:val="00C03975"/>
    <w:rsid w:val="00C068E8"/>
    <w:rsid w:val="00C22263"/>
    <w:rsid w:val="00C24E20"/>
    <w:rsid w:val="00C37299"/>
    <w:rsid w:val="00C3783D"/>
    <w:rsid w:val="00C44B9F"/>
    <w:rsid w:val="00C457FF"/>
    <w:rsid w:val="00C462AA"/>
    <w:rsid w:val="00C46AE6"/>
    <w:rsid w:val="00C508C4"/>
    <w:rsid w:val="00C55328"/>
    <w:rsid w:val="00C57094"/>
    <w:rsid w:val="00C60B19"/>
    <w:rsid w:val="00C64543"/>
    <w:rsid w:val="00C67E1E"/>
    <w:rsid w:val="00C73D12"/>
    <w:rsid w:val="00C81090"/>
    <w:rsid w:val="00C86490"/>
    <w:rsid w:val="00C90F95"/>
    <w:rsid w:val="00C9103E"/>
    <w:rsid w:val="00CA0F2F"/>
    <w:rsid w:val="00CA5B2C"/>
    <w:rsid w:val="00CB0BF9"/>
    <w:rsid w:val="00CB1D24"/>
    <w:rsid w:val="00CB52ED"/>
    <w:rsid w:val="00CB540D"/>
    <w:rsid w:val="00CB654A"/>
    <w:rsid w:val="00CC4511"/>
    <w:rsid w:val="00CC5071"/>
    <w:rsid w:val="00CC54A3"/>
    <w:rsid w:val="00CD653D"/>
    <w:rsid w:val="00CD65D0"/>
    <w:rsid w:val="00CE2702"/>
    <w:rsid w:val="00CE3B5F"/>
    <w:rsid w:val="00CE46BE"/>
    <w:rsid w:val="00CE534B"/>
    <w:rsid w:val="00CE56F1"/>
    <w:rsid w:val="00CE78CD"/>
    <w:rsid w:val="00CF12C6"/>
    <w:rsid w:val="00CF2632"/>
    <w:rsid w:val="00CF5CE8"/>
    <w:rsid w:val="00D030D0"/>
    <w:rsid w:val="00D03C6A"/>
    <w:rsid w:val="00D129B6"/>
    <w:rsid w:val="00D13C56"/>
    <w:rsid w:val="00D14A7C"/>
    <w:rsid w:val="00D162EA"/>
    <w:rsid w:val="00D203E5"/>
    <w:rsid w:val="00D20708"/>
    <w:rsid w:val="00D213FA"/>
    <w:rsid w:val="00D22CBB"/>
    <w:rsid w:val="00D26A17"/>
    <w:rsid w:val="00D349D7"/>
    <w:rsid w:val="00D36EB9"/>
    <w:rsid w:val="00D3766D"/>
    <w:rsid w:val="00D467C3"/>
    <w:rsid w:val="00D46D9C"/>
    <w:rsid w:val="00D52B01"/>
    <w:rsid w:val="00D53CB4"/>
    <w:rsid w:val="00D60FCE"/>
    <w:rsid w:val="00D73C86"/>
    <w:rsid w:val="00D767C8"/>
    <w:rsid w:val="00D87F9C"/>
    <w:rsid w:val="00D92E4A"/>
    <w:rsid w:val="00D9582F"/>
    <w:rsid w:val="00D96DD2"/>
    <w:rsid w:val="00DA1F76"/>
    <w:rsid w:val="00DA3B90"/>
    <w:rsid w:val="00DA4EE3"/>
    <w:rsid w:val="00DA6CC7"/>
    <w:rsid w:val="00DA74D5"/>
    <w:rsid w:val="00DB4A2B"/>
    <w:rsid w:val="00DB7ABE"/>
    <w:rsid w:val="00DC34B9"/>
    <w:rsid w:val="00DC4372"/>
    <w:rsid w:val="00DC735B"/>
    <w:rsid w:val="00DD15E8"/>
    <w:rsid w:val="00DD2F69"/>
    <w:rsid w:val="00DD5B62"/>
    <w:rsid w:val="00DE6D4E"/>
    <w:rsid w:val="00DF129C"/>
    <w:rsid w:val="00DF219F"/>
    <w:rsid w:val="00DF6317"/>
    <w:rsid w:val="00DF7053"/>
    <w:rsid w:val="00DF7CCB"/>
    <w:rsid w:val="00E06960"/>
    <w:rsid w:val="00E12DE7"/>
    <w:rsid w:val="00E14B65"/>
    <w:rsid w:val="00E15085"/>
    <w:rsid w:val="00E16DC5"/>
    <w:rsid w:val="00E22F4F"/>
    <w:rsid w:val="00E23ABC"/>
    <w:rsid w:val="00E330B5"/>
    <w:rsid w:val="00E34EBF"/>
    <w:rsid w:val="00E35157"/>
    <w:rsid w:val="00E35625"/>
    <w:rsid w:val="00E51BB6"/>
    <w:rsid w:val="00E62696"/>
    <w:rsid w:val="00E636C9"/>
    <w:rsid w:val="00E6376D"/>
    <w:rsid w:val="00E6390C"/>
    <w:rsid w:val="00E70EC6"/>
    <w:rsid w:val="00E73358"/>
    <w:rsid w:val="00E773DD"/>
    <w:rsid w:val="00E82435"/>
    <w:rsid w:val="00E825AF"/>
    <w:rsid w:val="00E9088D"/>
    <w:rsid w:val="00E912DB"/>
    <w:rsid w:val="00E92418"/>
    <w:rsid w:val="00EA0B1A"/>
    <w:rsid w:val="00EA19F8"/>
    <w:rsid w:val="00EA27C3"/>
    <w:rsid w:val="00EA500A"/>
    <w:rsid w:val="00EA65A9"/>
    <w:rsid w:val="00EA7432"/>
    <w:rsid w:val="00EB41A3"/>
    <w:rsid w:val="00EB5B12"/>
    <w:rsid w:val="00EC4580"/>
    <w:rsid w:val="00ED1FEA"/>
    <w:rsid w:val="00EE074A"/>
    <w:rsid w:val="00EE099D"/>
    <w:rsid w:val="00EE263A"/>
    <w:rsid w:val="00EE2FAC"/>
    <w:rsid w:val="00EF04C3"/>
    <w:rsid w:val="00F03140"/>
    <w:rsid w:val="00F05E64"/>
    <w:rsid w:val="00F10DF2"/>
    <w:rsid w:val="00F14371"/>
    <w:rsid w:val="00F24503"/>
    <w:rsid w:val="00F30292"/>
    <w:rsid w:val="00F32E40"/>
    <w:rsid w:val="00F33823"/>
    <w:rsid w:val="00F374AC"/>
    <w:rsid w:val="00F439D1"/>
    <w:rsid w:val="00F43AFB"/>
    <w:rsid w:val="00F43B49"/>
    <w:rsid w:val="00F4599C"/>
    <w:rsid w:val="00F50E95"/>
    <w:rsid w:val="00F50F4E"/>
    <w:rsid w:val="00F55289"/>
    <w:rsid w:val="00F62BA8"/>
    <w:rsid w:val="00F63323"/>
    <w:rsid w:val="00F63B84"/>
    <w:rsid w:val="00F66C86"/>
    <w:rsid w:val="00F71AB8"/>
    <w:rsid w:val="00F73824"/>
    <w:rsid w:val="00F7503D"/>
    <w:rsid w:val="00F75847"/>
    <w:rsid w:val="00F7758F"/>
    <w:rsid w:val="00F824AE"/>
    <w:rsid w:val="00F86C2D"/>
    <w:rsid w:val="00F92A52"/>
    <w:rsid w:val="00F936CC"/>
    <w:rsid w:val="00F95461"/>
    <w:rsid w:val="00F95D9F"/>
    <w:rsid w:val="00F9724B"/>
    <w:rsid w:val="00FA1CBD"/>
    <w:rsid w:val="00FA3F46"/>
    <w:rsid w:val="00FB6043"/>
    <w:rsid w:val="00FD38D4"/>
    <w:rsid w:val="00FD3ADD"/>
    <w:rsid w:val="00FE008B"/>
    <w:rsid w:val="00FE22CC"/>
    <w:rsid w:val="00FE29E1"/>
    <w:rsid w:val="00FE61DF"/>
    <w:rsid w:val="00FE6270"/>
    <w:rsid w:val="00FE6E92"/>
    <w:rsid w:val="00FF3FC9"/>
    <w:rsid w:val="00FF474C"/>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E4C9D"/>
  <w15:docId w15:val="{8032F218-CDF5-40DA-9583-A8E09BCA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B65"/>
    <w:pPr>
      <w:spacing w:before="60" w:after="60" w:line="276" w:lineRule="auto"/>
      <w:jc w:val="both"/>
    </w:pPr>
    <w:rPr>
      <w:sz w:val="22"/>
    </w:rPr>
  </w:style>
  <w:style w:type="paragraph" w:styleId="Heading1">
    <w:name w:val="heading 1"/>
    <w:basedOn w:val="Normal"/>
    <w:next w:val="Normal"/>
    <w:link w:val="Heading1Char"/>
    <w:uiPriority w:val="9"/>
    <w:qFormat/>
    <w:rsid w:val="008C3FF5"/>
    <w:pPr>
      <w:keepNext/>
      <w:keepLines/>
      <w:numPr>
        <w:numId w:val="3"/>
      </w:numPr>
      <w:spacing w:before="240"/>
      <w:ind w:left="72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DF6317"/>
    <w:pPr>
      <w:keepNext/>
      <w:keepLines/>
      <w:numPr>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631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35A8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F5E2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F5E2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Bullet Points,Liste Paragraf,Paragraph,Citation List,Resume Title,Paragraphe de liste PBLH,Normal bullet 2,Bullet list,Figure_name,Equipment,lp1,References"/>
    <w:basedOn w:val="Normal"/>
    <w:link w:val="ListParagraphChar"/>
    <w:uiPriority w:val="34"/>
    <w:qFormat/>
    <w:rsid w:val="00942922"/>
    <w:pPr>
      <w:ind w:left="720"/>
      <w:contextualSpacing/>
    </w:pPr>
  </w:style>
  <w:style w:type="character" w:customStyle="1" w:styleId="Heading1Char">
    <w:name w:val="Heading 1 Char"/>
    <w:basedOn w:val="DefaultParagraphFont"/>
    <w:link w:val="Heading1"/>
    <w:uiPriority w:val="9"/>
    <w:rsid w:val="008C3FF5"/>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DF63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6317"/>
    <w:rPr>
      <w:rFonts w:asciiTheme="majorHAnsi" w:eastAsiaTheme="majorEastAsia" w:hAnsiTheme="majorHAnsi" w:cstheme="majorBidi"/>
      <w:color w:val="1F3763" w:themeColor="accent1" w:themeShade="7F"/>
    </w:rPr>
  </w:style>
  <w:style w:type="paragraph" w:styleId="FootnoteText">
    <w:name w:val="footnote text"/>
    <w:aliases w:val="fn,single space,footnote text,FOOTNOTES,Footnote Text Char Char Char Char Char Char,stile 1,Testo_note,Testo_note1,Testo_note2,Footnote Text Char3 Char,Footnote Text Char2 Char Char,ft Char1 Char Char Char,Footnote,Fußnote,FSR footno,Char"/>
    <w:basedOn w:val="Normal"/>
    <w:link w:val="FootnoteTextChar"/>
    <w:unhideWhenUsed/>
    <w:qFormat/>
    <w:rsid w:val="00E9088D"/>
    <w:rPr>
      <w:sz w:val="20"/>
      <w:szCs w:val="20"/>
    </w:rPr>
  </w:style>
  <w:style w:type="character" w:customStyle="1" w:styleId="FootnoteTextChar">
    <w:name w:val="Footnote Text Char"/>
    <w:aliases w:val="fn Char,single space Char,footnote text Char,FOOTNOTES Char,Footnote Text Char Char Char Char Char Char Char,stile 1 Char,Testo_note Char,Testo_note1 Char,Testo_note2 Char,Footnote Text Char3 Char Char,ft Char1 Char Char Char Char"/>
    <w:basedOn w:val="DefaultParagraphFont"/>
    <w:link w:val="FootnoteText"/>
    <w:qFormat/>
    <w:rsid w:val="00E9088D"/>
    <w:rPr>
      <w:sz w:val="20"/>
      <w:szCs w:val="20"/>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BVI fnr,ftref,16 Point,Superscript 6 Point"/>
    <w:basedOn w:val="DefaultParagraphFont"/>
    <w:link w:val="BVIfnrCarCarCarCarChar"/>
    <w:unhideWhenUsed/>
    <w:qFormat/>
    <w:rsid w:val="00E9088D"/>
    <w:rPr>
      <w:vertAlign w:val="superscript"/>
    </w:rPr>
  </w:style>
  <w:style w:type="paragraph" w:styleId="Caption">
    <w:name w:val="caption"/>
    <w:basedOn w:val="Normal"/>
    <w:next w:val="Normal"/>
    <w:uiPriority w:val="35"/>
    <w:unhideWhenUsed/>
    <w:qFormat/>
    <w:rsid w:val="00E9088D"/>
    <w:pPr>
      <w:spacing w:after="200"/>
    </w:pPr>
    <w:rPr>
      <w:i/>
      <w:iCs/>
      <w:color w:val="44546A" w:themeColor="text2"/>
      <w:sz w:val="18"/>
      <w:szCs w:val="18"/>
    </w:rPr>
  </w:style>
  <w:style w:type="table" w:styleId="TableGrid">
    <w:name w:val="Table Grid"/>
    <w:basedOn w:val="TableNormal"/>
    <w:uiPriority w:val="39"/>
    <w:rsid w:val="00E908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5085"/>
    <w:pPr>
      <w:tabs>
        <w:tab w:val="center" w:pos="4513"/>
        <w:tab w:val="right" w:pos="9026"/>
      </w:tabs>
    </w:pPr>
  </w:style>
  <w:style w:type="character" w:customStyle="1" w:styleId="FooterChar">
    <w:name w:val="Footer Char"/>
    <w:basedOn w:val="DefaultParagraphFont"/>
    <w:link w:val="Footer"/>
    <w:uiPriority w:val="99"/>
    <w:rsid w:val="00E15085"/>
  </w:style>
  <w:style w:type="character" w:styleId="PageNumber">
    <w:name w:val="page number"/>
    <w:basedOn w:val="DefaultParagraphFont"/>
    <w:uiPriority w:val="99"/>
    <w:semiHidden/>
    <w:unhideWhenUsed/>
    <w:rsid w:val="00E15085"/>
  </w:style>
  <w:style w:type="character" w:styleId="Hyperlink">
    <w:name w:val="Hyperlink"/>
    <w:basedOn w:val="DefaultParagraphFont"/>
    <w:uiPriority w:val="99"/>
    <w:unhideWhenUsed/>
    <w:rsid w:val="00E15085"/>
    <w:rPr>
      <w:color w:val="0563C1" w:themeColor="hyperlink"/>
      <w:u w:val="single"/>
    </w:rPr>
  </w:style>
  <w:style w:type="character" w:customStyle="1" w:styleId="UnresolvedMention1">
    <w:name w:val="Unresolved Mention1"/>
    <w:basedOn w:val="DefaultParagraphFont"/>
    <w:uiPriority w:val="99"/>
    <w:semiHidden/>
    <w:unhideWhenUsed/>
    <w:rsid w:val="00E15085"/>
    <w:rPr>
      <w:color w:val="605E5C"/>
      <w:shd w:val="clear" w:color="auto" w:fill="E1DFDD"/>
    </w:rPr>
  </w:style>
  <w:style w:type="paragraph" w:customStyle="1" w:styleId="BVIfnrCarCarCarCarChar">
    <w:name w:val="BVI fnr Car Car Car Car Char"/>
    <w:basedOn w:val="Normal"/>
    <w:link w:val="FootnoteReference"/>
    <w:uiPriority w:val="99"/>
    <w:rsid w:val="002E5360"/>
    <w:pPr>
      <w:spacing w:after="160" w:line="240" w:lineRule="exact"/>
    </w:pPr>
    <w:rPr>
      <w:vertAlign w:val="superscript"/>
    </w:rPr>
  </w:style>
  <w:style w:type="paragraph" w:customStyle="1" w:styleId="Default">
    <w:name w:val="Default"/>
    <w:rsid w:val="002E5360"/>
    <w:pPr>
      <w:autoSpaceDE w:val="0"/>
      <w:autoSpaceDN w:val="0"/>
      <w:adjustRightInd w:val="0"/>
    </w:pPr>
    <w:rPr>
      <w:rFonts w:ascii="EC Square Sans Pro" w:hAnsi="EC Square Sans Pro" w:cs="EC Square Sans Pro"/>
      <w:color w:val="000000"/>
    </w:rPr>
  </w:style>
  <w:style w:type="character" w:customStyle="1" w:styleId="Heading4Char">
    <w:name w:val="Heading 4 Char"/>
    <w:basedOn w:val="DefaultParagraphFont"/>
    <w:link w:val="Heading4"/>
    <w:uiPriority w:val="9"/>
    <w:rsid w:val="00235A83"/>
    <w:rPr>
      <w:rFonts w:asciiTheme="majorHAnsi" w:eastAsiaTheme="majorEastAsia" w:hAnsiTheme="majorHAnsi" w:cstheme="majorBidi"/>
      <w:i/>
      <w:iCs/>
      <w:color w:val="2F5496" w:themeColor="accent1" w:themeShade="BF"/>
      <w:sz w:val="22"/>
    </w:rPr>
  </w:style>
  <w:style w:type="paragraph" w:styleId="Title">
    <w:name w:val="Title"/>
    <w:basedOn w:val="Normal"/>
    <w:next w:val="Normal"/>
    <w:link w:val="TitleChar"/>
    <w:uiPriority w:val="10"/>
    <w:qFormat/>
    <w:rsid w:val="00F66C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C8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B2D8F"/>
    <w:rPr>
      <w:sz w:val="16"/>
      <w:szCs w:val="16"/>
    </w:rPr>
  </w:style>
  <w:style w:type="paragraph" w:styleId="CommentText">
    <w:name w:val="annotation text"/>
    <w:basedOn w:val="Normal"/>
    <w:link w:val="CommentTextChar"/>
    <w:uiPriority w:val="99"/>
    <w:unhideWhenUsed/>
    <w:rsid w:val="007B2D8F"/>
    <w:rPr>
      <w:sz w:val="20"/>
      <w:szCs w:val="20"/>
    </w:rPr>
  </w:style>
  <w:style w:type="character" w:customStyle="1" w:styleId="CommentTextChar">
    <w:name w:val="Comment Text Char"/>
    <w:basedOn w:val="DefaultParagraphFont"/>
    <w:link w:val="CommentText"/>
    <w:uiPriority w:val="99"/>
    <w:rsid w:val="007B2D8F"/>
    <w:rPr>
      <w:sz w:val="20"/>
      <w:szCs w:val="20"/>
    </w:rPr>
  </w:style>
  <w:style w:type="paragraph" w:styleId="CommentSubject">
    <w:name w:val="annotation subject"/>
    <w:basedOn w:val="CommentText"/>
    <w:next w:val="CommentText"/>
    <w:link w:val="CommentSubjectChar"/>
    <w:uiPriority w:val="99"/>
    <w:semiHidden/>
    <w:unhideWhenUsed/>
    <w:rsid w:val="007B2D8F"/>
    <w:rPr>
      <w:b/>
      <w:bCs/>
    </w:rPr>
  </w:style>
  <w:style w:type="character" w:customStyle="1" w:styleId="CommentSubjectChar">
    <w:name w:val="Comment Subject Char"/>
    <w:basedOn w:val="CommentTextChar"/>
    <w:link w:val="CommentSubject"/>
    <w:uiPriority w:val="99"/>
    <w:semiHidden/>
    <w:rsid w:val="007B2D8F"/>
    <w:rPr>
      <w:b/>
      <w:bCs/>
      <w:sz w:val="20"/>
      <w:szCs w:val="20"/>
    </w:rPr>
  </w:style>
  <w:style w:type="paragraph" w:styleId="TOCHeading">
    <w:name w:val="TOC Heading"/>
    <w:basedOn w:val="Heading1"/>
    <w:next w:val="Normal"/>
    <w:uiPriority w:val="39"/>
    <w:unhideWhenUsed/>
    <w:qFormat/>
    <w:rsid w:val="005240C4"/>
    <w:pPr>
      <w:numPr>
        <w:numId w:val="0"/>
      </w:numPr>
      <w:spacing w:before="480"/>
      <w:outlineLvl w:val="9"/>
    </w:pPr>
    <w:rPr>
      <w:b/>
      <w:bCs/>
      <w:szCs w:val="28"/>
    </w:rPr>
  </w:style>
  <w:style w:type="paragraph" w:styleId="TOC1">
    <w:name w:val="toc 1"/>
    <w:basedOn w:val="Normal"/>
    <w:next w:val="Normal"/>
    <w:autoRedefine/>
    <w:uiPriority w:val="39"/>
    <w:unhideWhenUsed/>
    <w:rsid w:val="00487227"/>
    <w:pPr>
      <w:tabs>
        <w:tab w:val="left" w:pos="357"/>
        <w:tab w:val="right" w:leader="dot" w:pos="9350"/>
      </w:tabs>
      <w:spacing w:before="360" w:after="360"/>
      <w:jc w:val="left"/>
    </w:pPr>
    <w:rPr>
      <w:rFonts w:cstheme="minorHAnsi"/>
      <w:b/>
      <w:bCs/>
      <w:caps/>
      <w:szCs w:val="22"/>
      <w:u w:val="single"/>
    </w:rPr>
  </w:style>
  <w:style w:type="paragraph" w:styleId="TOC2">
    <w:name w:val="toc 2"/>
    <w:basedOn w:val="Normal"/>
    <w:next w:val="Normal"/>
    <w:autoRedefine/>
    <w:uiPriority w:val="39"/>
    <w:unhideWhenUsed/>
    <w:rsid w:val="005240C4"/>
    <w:pPr>
      <w:spacing w:before="0" w:after="0"/>
      <w:jc w:val="left"/>
    </w:pPr>
    <w:rPr>
      <w:rFonts w:cstheme="minorHAnsi"/>
      <w:b/>
      <w:bCs/>
      <w:smallCaps/>
      <w:szCs w:val="22"/>
    </w:rPr>
  </w:style>
  <w:style w:type="paragraph" w:styleId="TOC3">
    <w:name w:val="toc 3"/>
    <w:basedOn w:val="Normal"/>
    <w:next w:val="Normal"/>
    <w:autoRedefine/>
    <w:uiPriority w:val="39"/>
    <w:unhideWhenUsed/>
    <w:rsid w:val="005240C4"/>
    <w:pPr>
      <w:spacing w:before="0" w:after="0"/>
      <w:jc w:val="left"/>
    </w:pPr>
    <w:rPr>
      <w:rFonts w:cstheme="minorHAnsi"/>
      <w:smallCaps/>
      <w:szCs w:val="22"/>
    </w:rPr>
  </w:style>
  <w:style w:type="paragraph" w:styleId="TOC4">
    <w:name w:val="toc 4"/>
    <w:basedOn w:val="Normal"/>
    <w:next w:val="Normal"/>
    <w:autoRedefine/>
    <w:uiPriority w:val="39"/>
    <w:unhideWhenUsed/>
    <w:rsid w:val="005240C4"/>
    <w:pPr>
      <w:spacing w:before="0" w:after="0"/>
      <w:jc w:val="left"/>
    </w:pPr>
    <w:rPr>
      <w:rFonts w:cstheme="minorHAnsi"/>
      <w:szCs w:val="22"/>
    </w:rPr>
  </w:style>
  <w:style w:type="paragraph" w:styleId="TOC5">
    <w:name w:val="toc 5"/>
    <w:basedOn w:val="Normal"/>
    <w:next w:val="Normal"/>
    <w:autoRedefine/>
    <w:uiPriority w:val="39"/>
    <w:unhideWhenUsed/>
    <w:rsid w:val="005240C4"/>
    <w:pPr>
      <w:spacing w:before="0" w:after="0"/>
      <w:jc w:val="left"/>
    </w:pPr>
    <w:rPr>
      <w:rFonts w:cstheme="minorHAnsi"/>
      <w:szCs w:val="22"/>
    </w:rPr>
  </w:style>
  <w:style w:type="paragraph" w:styleId="TOC6">
    <w:name w:val="toc 6"/>
    <w:basedOn w:val="Normal"/>
    <w:next w:val="Normal"/>
    <w:autoRedefine/>
    <w:uiPriority w:val="39"/>
    <w:unhideWhenUsed/>
    <w:rsid w:val="005240C4"/>
    <w:pPr>
      <w:spacing w:before="0" w:after="0"/>
      <w:jc w:val="left"/>
    </w:pPr>
    <w:rPr>
      <w:rFonts w:cstheme="minorHAnsi"/>
      <w:szCs w:val="22"/>
    </w:rPr>
  </w:style>
  <w:style w:type="paragraph" w:styleId="TOC7">
    <w:name w:val="toc 7"/>
    <w:basedOn w:val="Normal"/>
    <w:next w:val="Normal"/>
    <w:autoRedefine/>
    <w:uiPriority w:val="39"/>
    <w:unhideWhenUsed/>
    <w:rsid w:val="005240C4"/>
    <w:pPr>
      <w:spacing w:before="0" w:after="0"/>
      <w:jc w:val="left"/>
    </w:pPr>
    <w:rPr>
      <w:rFonts w:cstheme="minorHAnsi"/>
      <w:szCs w:val="22"/>
    </w:rPr>
  </w:style>
  <w:style w:type="paragraph" w:styleId="TOC8">
    <w:name w:val="toc 8"/>
    <w:basedOn w:val="Normal"/>
    <w:next w:val="Normal"/>
    <w:autoRedefine/>
    <w:uiPriority w:val="39"/>
    <w:unhideWhenUsed/>
    <w:rsid w:val="005240C4"/>
    <w:pPr>
      <w:spacing w:before="0" w:after="0"/>
      <w:jc w:val="left"/>
    </w:pPr>
    <w:rPr>
      <w:rFonts w:cstheme="minorHAnsi"/>
      <w:szCs w:val="22"/>
    </w:rPr>
  </w:style>
  <w:style w:type="paragraph" w:styleId="TOC9">
    <w:name w:val="toc 9"/>
    <w:basedOn w:val="Normal"/>
    <w:next w:val="Normal"/>
    <w:autoRedefine/>
    <w:uiPriority w:val="39"/>
    <w:unhideWhenUsed/>
    <w:rsid w:val="005240C4"/>
    <w:pPr>
      <w:spacing w:before="0" w:after="0"/>
      <w:jc w:val="left"/>
    </w:pPr>
    <w:rPr>
      <w:rFonts w:cstheme="minorHAnsi"/>
      <w:szCs w:val="22"/>
    </w:rPr>
  </w:style>
  <w:style w:type="paragraph" w:customStyle="1" w:styleId="NoSpacing1">
    <w:name w:val="No Spacing1"/>
    <w:qFormat/>
    <w:rsid w:val="00ED1FEA"/>
    <w:rPr>
      <w:rFonts w:ascii="Calibri" w:eastAsia="Calibri" w:hAnsi="Calibri" w:cs="Times New Roman"/>
      <w:sz w:val="22"/>
      <w:szCs w:val="22"/>
      <w:lang w:val="sq-AL"/>
    </w:rPr>
  </w:style>
  <w:style w:type="paragraph" w:customStyle="1" w:styleId="FootnoteReferneceCarcter">
    <w:name w:val="Footnote Refernece Carácter"/>
    <w:aliases w:val="ftref Carácter,4_G Carácter"/>
    <w:basedOn w:val="Normal"/>
    <w:uiPriority w:val="99"/>
    <w:rsid w:val="005A0A00"/>
    <w:pPr>
      <w:spacing w:line="240" w:lineRule="exact"/>
    </w:pPr>
    <w:rPr>
      <w:vertAlign w:val="superscript"/>
      <w:lang w:val="en-GB"/>
    </w:rPr>
  </w:style>
  <w:style w:type="paragraph" w:styleId="NoSpacing">
    <w:name w:val="No Spacing"/>
    <w:link w:val="NoSpacingChar"/>
    <w:uiPriority w:val="1"/>
    <w:qFormat/>
    <w:rsid w:val="005A0A00"/>
    <w:rPr>
      <w:rFonts w:ascii="Calibri" w:eastAsia="Times New Roman" w:hAnsi="Calibri" w:cs="Times New Roman"/>
      <w:sz w:val="22"/>
      <w:szCs w:val="22"/>
      <w:lang w:val="en-GB" w:eastAsia="en-GB"/>
    </w:rPr>
  </w:style>
  <w:style w:type="character" w:customStyle="1" w:styleId="NoSpacingChar">
    <w:name w:val="No Spacing Char"/>
    <w:link w:val="NoSpacing"/>
    <w:uiPriority w:val="1"/>
    <w:rsid w:val="005A0A00"/>
    <w:rPr>
      <w:rFonts w:ascii="Calibri" w:eastAsia="Times New Roman" w:hAnsi="Calibri" w:cs="Times New Roman"/>
      <w:sz w:val="22"/>
      <w:szCs w:val="22"/>
      <w:lang w:val="en-GB" w:eastAsia="en-GB"/>
    </w:rPr>
  </w:style>
  <w:style w:type="character" w:customStyle="1" w:styleId="ListParagraphChar">
    <w:name w:val="List Paragraph Char"/>
    <w:aliases w:val="Normal 1 Char,List Paragraph (numbered (a)) Char,List Paragraph 1 Char,Akapit z listą BS Char,Bullets Char,Bullet Points Char,Liste Paragraf Char,Paragraph Char,Citation List Char,Resume Title Char,Paragraphe de liste PBLH Char"/>
    <w:link w:val="ListParagraph"/>
    <w:uiPriority w:val="34"/>
    <w:qFormat/>
    <w:locked/>
    <w:rsid w:val="005A0A00"/>
  </w:style>
  <w:style w:type="paragraph" w:styleId="NormalWeb">
    <w:name w:val="Normal (Web)"/>
    <w:basedOn w:val="Normal"/>
    <w:uiPriority w:val="99"/>
    <w:unhideWhenUsed/>
    <w:rsid w:val="005A0A00"/>
    <w:pPr>
      <w:spacing w:before="100" w:beforeAutospacing="1" w:after="100" w:afterAutospacing="1"/>
    </w:pPr>
    <w:rPr>
      <w:rFonts w:ascii="Times New Roman" w:eastAsia="Times New Roman" w:hAnsi="Times New Roman" w:cs="Times New Roman"/>
      <w:lang w:val="en-GB" w:eastAsia="en-GB"/>
    </w:rPr>
  </w:style>
  <w:style w:type="character" w:customStyle="1" w:styleId="a">
    <w:name w:val="_"/>
    <w:basedOn w:val="DefaultParagraphFont"/>
    <w:rsid w:val="005A0A00"/>
  </w:style>
  <w:style w:type="character" w:customStyle="1" w:styleId="ffa">
    <w:name w:val="ffa"/>
    <w:basedOn w:val="DefaultParagraphFont"/>
    <w:rsid w:val="005A0A00"/>
  </w:style>
  <w:style w:type="character" w:customStyle="1" w:styleId="ff7">
    <w:name w:val="ff7"/>
    <w:basedOn w:val="DefaultParagraphFont"/>
    <w:rsid w:val="005A0A00"/>
  </w:style>
  <w:style w:type="character" w:customStyle="1" w:styleId="ls5">
    <w:name w:val="ls5"/>
    <w:basedOn w:val="DefaultParagraphFont"/>
    <w:rsid w:val="005A0A00"/>
  </w:style>
  <w:style w:type="character" w:customStyle="1" w:styleId="lsb">
    <w:name w:val="lsb"/>
    <w:basedOn w:val="DefaultParagraphFont"/>
    <w:rsid w:val="005A0A00"/>
  </w:style>
  <w:style w:type="character" w:customStyle="1" w:styleId="ff8">
    <w:name w:val="ff8"/>
    <w:basedOn w:val="DefaultParagraphFont"/>
    <w:rsid w:val="005A0A00"/>
  </w:style>
  <w:style w:type="paragraph" w:styleId="Revision">
    <w:name w:val="Revision"/>
    <w:hidden/>
    <w:uiPriority w:val="99"/>
    <w:semiHidden/>
    <w:rsid w:val="005A0A00"/>
    <w:rPr>
      <w:rFonts w:ascii="Calibri" w:eastAsia="Times New Roman" w:hAnsi="Calibri" w:cs="Times New Roman"/>
      <w:sz w:val="22"/>
      <w:szCs w:val="22"/>
      <w:lang w:val="en-GB" w:eastAsia="en-GB"/>
    </w:rPr>
  </w:style>
  <w:style w:type="paragraph" w:styleId="BalloonText">
    <w:name w:val="Balloon Text"/>
    <w:basedOn w:val="Normal"/>
    <w:link w:val="BalloonTextChar"/>
    <w:uiPriority w:val="99"/>
    <w:semiHidden/>
    <w:unhideWhenUsed/>
    <w:rsid w:val="005A0A00"/>
    <w:rPr>
      <w:rFonts w:ascii="Times New Roman" w:eastAsia="Times New Roman" w:hAnsi="Times New Roman" w:cs="Times New Roman"/>
      <w:sz w:val="18"/>
      <w:szCs w:val="18"/>
      <w:lang w:val="en-GB" w:eastAsia="en-GB"/>
    </w:rPr>
  </w:style>
  <w:style w:type="character" w:customStyle="1" w:styleId="BalloonTextChar">
    <w:name w:val="Balloon Text Char"/>
    <w:basedOn w:val="DefaultParagraphFont"/>
    <w:link w:val="BalloonText"/>
    <w:uiPriority w:val="99"/>
    <w:semiHidden/>
    <w:rsid w:val="005A0A00"/>
    <w:rPr>
      <w:rFonts w:ascii="Times New Roman" w:eastAsia="Times New Roman" w:hAnsi="Times New Roman" w:cs="Times New Roman"/>
      <w:sz w:val="18"/>
      <w:szCs w:val="18"/>
      <w:lang w:val="en-GB" w:eastAsia="en-GB"/>
    </w:rPr>
  </w:style>
  <w:style w:type="table" w:customStyle="1" w:styleId="GridTable4-Accent11">
    <w:name w:val="Grid Table 4 - Accent 11"/>
    <w:basedOn w:val="TableNormal"/>
    <w:uiPriority w:val="49"/>
    <w:rsid w:val="005A0A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5A0A00"/>
    <w:rPr>
      <w:color w:val="954F72" w:themeColor="followedHyperlink"/>
      <w:u w:val="single"/>
    </w:rPr>
  </w:style>
  <w:style w:type="character" w:customStyle="1" w:styleId="apple-converted-space">
    <w:name w:val="apple-converted-space"/>
    <w:basedOn w:val="DefaultParagraphFont"/>
    <w:rsid w:val="0006511D"/>
  </w:style>
  <w:style w:type="paragraph" w:styleId="Header">
    <w:name w:val="header"/>
    <w:basedOn w:val="Normal"/>
    <w:link w:val="HeaderChar"/>
    <w:uiPriority w:val="99"/>
    <w:unhideWhenUsed/>
    <w:rsid w:val="005F1953"/>
    <w:pPr>
      <w:tabs>
        <w:tab w:val="center" w:pos="4513"/>
        <w:tab w:val="right" w:pos="9026"/>
      </w:tabs>
    </w:pPr>
  </w:style>
  <w:style w:type="character" w:customStyle="1" w:styleId="HeaderChar">
    <w:name w:val="Header Char"/>
    <w:basedOn w:val="DefaultParagraphFont"/>
    <w:link w:val="Header"/>
    <w:uiPriority w:val="99"/>
    <w:rsid w:val="005F1953"/>
  </w:style>
  <w:style w:type="paragraph" w:styleId="HTMLPreformatted">
    <w:name w:val="HTML Preformatted"/>
    <w:basedOn w:val="Normal"/>
    <w:link w:val="HTMLPreformattedChar"/>
    <w:uiPriority w:val="99"/>
    <w:semiHidden/>
    <w:unhideWhenUsed/>
    <w:rsid w:val="004B17B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17BA"/>
    <w:rPr>
      <w:rFonts w:ascii="Consolas" w:hAnsi="Consolas"/>
      <w:sz w:val="20"/>
      <w:szCs w:val="20"/>
    </w:rPr>
  </w:style>
  <w:style w:type="character" w:customStyle="1" w:styleId="UnresolvedMention2">
    <w:name w:val="Unresolved Mention2"/>
    <w:basedOn w:val="DefaultParagraphFont"/>
    <w:uiPriority w:val="99"/>
    <w:semiHidden/>
    <w:unhideWhenUsed/>
    <w:rsid w:val="006F3836"/>
    <w:rPr>
      <w:color w:val="605E5C"/>
      <w:shd w:val="clear" w:color="auto" w:fill="E1DFDD"/>
    </w:rPr>
  </w:style>
  <w:style w:type="character" w:customStyle="1" w:styleId="Heading5Char">
    <w:name w:val="Heading 5 Char"/>
    <w:basedOn w:val="DefaultParagraphFont"/>
    <w:link w:val="Heading5"/>
    <w:uiPriority w:val="9"/>
    <w:rsid w:val="002F5E2C"/>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rsid w:val="002F5E2C"/>
    <w:rPr>
      <w:rFonts w:asciiTheme="majorHAnsi" w:eastAsiaTheme="majorEastAsia" w:hAnsiTheme="majorHAnsi" w:cstheme="majorBidi"/>
      <w:color w:val="1F3763" w:themeColor="accent1" w:themeShade="7F"/>
      <w:sz w:val="22"/>
    </w:rPr>
  </w:style>
  <w:style w:type="paragraph" w:customStyle="1" w:styleId="Char2">
    <w:name w:val="Char2"/>
    <w:basedOn w:val="Normal"/>
    <w:rsid w:val="00D03C6A"/>
    <w:pPr>
      <w:spacing w:before="0" w:after="160" w:line="240" w:lineRule="exact"/>
      <w:jc w:val="left"/>
    </w:pPr>
    <w:rPr>
      <w:szCs w:val="22"/>
      <w:vertAlign w:val="superscript"/>
      <w:lang w:val="sq-AL"/>
    </w:rPr>
  </w:style>
  <w:style w:type="character" w:customStyle="1" w:styleId="y2iqfc">
    <w:name w:val="y2iqfc"/>
    <w:basedOn w:val="DefaultParagraphFont"/>
    <w:rsid w:val="00673D73"/>
  </w:style>
  <w:style w:type="character" w:customStyle="1" w:styleId="UnresolvedMention3">
    <w:name w:val="Unresolved Mention3"/>
    <w:basedOn w:val="DefaultParagraphFont"/>
    <w:uiPriority w:val="99"/>
    <w:semiHidden/>
    <w:unhideWhenUsed/>
    <w:rsid w:val="00D87F9C"/>
    <w:rPr>
      <w:color w:val="605E5C"/>
      <w:shd w:val="clear" w:color="auto" w:fill="E1DFDD"/>
    </w:rPr>
  </w:style>
  <w:style w:type="paragraph" w:styleId="TableofFigures">
    <w:name w:val="table of figures"/>
    <w:basedOn w:val="Normal"/>
    <w:next w:val="Normal"/>
    <w:uiPriority w:val="99"/>
    <w:unhideWhenUsed/>
    <w:rsid w:val="00D2070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23297">
      <w:bodyDiv w:val="1"/>
      <w:marLeft w:val="0"/>
      <w:marRight w:val="0"/>
      <w:marTop w:val="0"/>
      <w:marBottom w:val="0"/>
      <w:divBdr>
        <w:top w:val="none" w:sz="0" w:space="0" w:color="auto"/>
        <w:left w:val="none" w:sz="0" w:space="0" w:color="auto"/>
        <w:bottom w:val="none" w:sz="0" w:space="0" w:color="auto"/>
        <w:right w:val="none" w:sz="0" w:space="0" w:color="auto"/>
      </w:divBdr>
    </w:div>
    <w:div w:id="541482591">
      <w:bodyDiv w:val="1"/>
      <w:marLeft w:val="0"/>
      <w:marRight w:val="0"/>
      <w:marTop w:val="0"/>
      <w:marBottom w:val="0"/>
      <w:divBdr>
        <w:top w:val="none" w:sz="0" w:space="0" w:color="auto"/>
        <w:left w:val="none" w:sz="0" w:space="0" w:color="auto"/>
        <w:bottom w:val="none" w:sz="0" w:space="0" w:color="auto"/>
        <w:right w:val="none" w:sz="0" w:space="0" w:color="auto"/>
      </w:divBdr>
    </w:div>
    <w:div w:id="1011564367">
      <w:bodyDiv w:val="1"/>
      <w:marLeft w:val="0"/>
      <w:marRight w:val="0"/>
      <w:marTop w:val="0"/>
      <w:marBottom w:val="0"/>
      <w:divBdr>
        <w:top w:val="none" w:sz="0" w:space="0" w:color="auto"/>
        <w:left w:val="none" w:sz="0" w:space="0" w:color="auto"/>
        <w:bottom w:val="none" w:sz="0" w:space="0" w:color="auto"/>
        <w:right w:val="none" w:sz="0" w:space="0" w:color="auto"/>
      </w:divBdr>
    </w:div>
    <w:div w:id="1194463064">
      <w:bodyDiv w:val="1"/>
      <w:marLeft w:val="0"/>
      <w:marRight w:val="0"/>
      <w:marTop w:val="0"/>
      <w:marBottom w:val="0"/>
      <w:divBdr>
        <w:top w:val="none" w:sz="0" w:space="0" w:color="auto"/>
        <w:left w:val="none" w:sz="0" w:space="0" w:color="auto"/>
        <w:bottom w:val="none" w:sz="0" w:space="0" w:color="auto"/>
        <w:right w:val="none" w:sz="0" w:space="0" w:color="auto"/>
      </w:divBdr>
    </w:div>
    <w:div w:id="1226915381">
      <w:bodyDiv w:val="1"/>
      <w:marLeft w:val="0"/>
      <w:marRight w:val="0"/>
      <w:marTop w:val="0"/>
      <w:marBottom w:val="0"/>
      <w:divBdr>
        <w:top w:val="none" w:sz="0" w:space="0" w:color="auto"/>
        <w:left w:val="none" w:sz="0" w:space="0" w:color="auto"/>
        <w:bottom w:val="none" w:sz="0" w:space="0" w:color="auto"/>
        <w:right w:val="none" w:sz="0" w:space="0" w:color="auto"/>
      </w:divBdr>
    </w:div>
    <w:div w:id="1480343213">
      <w:bodyDiv w:val="1"/>
      <w:marLeft w:val="0"/>
      <w:marRight w:val="0"/>
      <w:marTop w:val="0"/>
      <w:marBottom w:val="0"/>
      <w:divBdr>
        <w:top w:val="none" w:sz="0" w:space="0" w:color="auto"/>
        <w:left w:val="none" w:sz="0" w:space="0" w:color="auto"/>
        <w:bottom w:val="none" w:sz="0" w:space="0" w:color="auto"/>
        <w:right w:val="none" w:sz="0" w:space="0" w:color="auto"/>
      </w:divBdr>
    </w:div>
    <w:div w:id="153854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defop.europa.eu/files/osnabrueck_declaration_eu2020.pdf" TargetMode="External"/><Relationship Id="rId2" Type="http://schemas.openxmlformats.org/officeDocument/2006/relationships/hyperlink" Target="https://europa.eu/europass/en/document-library/eqf-referencing-report-albania" TargetMode="External"/><Relationship Id="rId1" Type="http://schemas.openxmlformats.org/officeDocument/2006/relationships/hyperlink" Target="https://amcham.com.al/amcham-publikon-indeksin-e-biznesit-per-periudhen-2020-2021/" TargetMode="External"/><Relationship Id="rId6" Type="http://schemas.openxmlformats.org/officeDocument/2006/relationships/hyperlink" Target="https://www.consilium.europa.eu/en/press/press-releases/2022/06/16/council-recommends-european-approach-to-micro-credentials/" TargetMode="External"/><Relationship Id="rId5" Type="http://schemas.openxmlformats.org/officeDocument/2006/relationships/hyperlink" Target="https://financa.gov.al/wp-content/uploads/2021/06/NESS-Annual-Progress-Report-2020.pdf" TargetMode="External"/><Relationship Id="rId4" Type="http://schemas.openxmlformats.org/officeDocument/2006/relationships/hyperlink" Target="https://ec.europa.eu/info/sites/default/files/economy-finance/ip180_en_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Downloads\instat1_20220919-1200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Documents\undp%20employment%20strategy%202030\prezantimi\Treguesit%20ekonomik&#235;%20p&#235;r%20prodhuesit%20e%20t&#235;%20mirave%20dhe%20sh&#235;rbimev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Documents\undp%20employment%20strategy%202030\prezantimi\Treguesit%20vjetor%20t&#235;%20tregut%20t&#235;%20pun&#235;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Documents\undp%20employment%20strategy%202030\prezantimi\Treguesit%20vjetor%20t&#235;%20tregut%20t&#235;%20pun&#235;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Documents\undp%20employment%20strategy%202030\Data_Extract_From_World_Development_Indicator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Documents\undp%20employment%20strategy%202030\prezantimi\Popullsi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leventkoro\Downloads\Inspection\informal%20employ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a:t>Të punësuar kontribues dhe ndërmarrjet aktive në Shqipëri 2014-2021</a:t>
            </a:r>
          </a:p>
        </c:rich>
      </c:tx>
      <c:overlay val="0"/>
      <c:spPr>
        <a:noFill/>
        <a:ln>
          <a:noFill/>
        </a:ln>
        <a:effectLst/>
      </c:spPr>
    </c:title>
    <c:autoTitleDeleted val="0"/>
    <c:plotArea>
      <c:layout/>
      <c:barChart>
        <c:barDir val="col"/>
        <c:grouping val="clustered"/>
        <c:varyColors val="0"/>
        <c:ser>
          <c:idx val="0"/>
          <c:order val="0"/>
          <c:tx>
            <c:strRef>
              <c:f>instat1!$A$5</c:f>
              <c:strCache>
                <c:ptCount val="1"/>
                <c:pt idx="0">
                  <c:v>Ndërmarrje aktive</c:v>
                </c:pt>
              </c:strCache>
            </c:strRef>
          </c:tx>
          <c:spPr>
            <a:solidFill>
              <a:schemeClr val="accent1"/>
            </a:solidFill>
            <a:ln>
              <a:noFill/>
            </a:ln>
            <a:effectLst/>
          </c:spPr>
          <c:invertIfNegative val="0"/>
          <c:cat>
            <c:strRef>
              <c:f>instat1!$B$4:$I$4</c:f>
              <c:strCache>
                <c:ptCount val="8"/>
                <c:pt idx="0">
                  <c:v>2014</c:v>
                </c:pt>
                <c:pt idx="1">
                  <c:v>2015</c:v>
                </c:pt>
                <c:pt idx="2">
                  <c:v>2016</c:v>
                </c:pt>
                <c:pt idx="3">
                  <c:v>2017</c:v>
                </c:pt>
                <c:pt idx="4">
                  <c:v>2018</c:v>
                </c:pt>
                <c:pt idx="5">
                  <c:v>2019</c:v>
                </c:pt>
                <c:pt idx="6">
                  <c:v>2020</c:v>
                </c:pt>
                <c:pt idx="7">
                  <c:v>2021</c:v>
                </c:pt>
              </c:strCache>
            </c:strRef>
          </c:cat>
          <c:val>
            <c:numRef>
              <c:f>instat1!$B$5:$I$5</c:f>
              <c:numCache>
                <c:formatCode>0</c:formatCode>
                <c:ptCount val="8"/>
                <c:pt idx="0">
                  <c:v>112537</c:v>
                </c:pt>
                <c:pt idx="1">
                  <c:v>152288</c:v>
                </c:pt>
                <c:pt idx="2">
                  <c:v>160679</c:v>
                </c:pt>
                <c:pt idx="3">
                  <c:v>162452</c:v>
                </c:pt>
                <c:pt idx="4">
                  <c:v>162835</c:v>
                </c:pt>
                <c:pt idx="5">
                  <c:v>162342</c:v>
                </c:pt>
                <c:pt idx="6">
                  <c:v>166386</c:v>
                </c:pt>
                <c:pt idx="7" formatCode="General">
                  <c:v>181549</c:v>
                </c:pt>
              </c:numCache>
            </c:numRef>
          </c:val>
          <c:extLst>
            <c:ext xmlns:c16="http://schemas.microsoft.com/office/drawing/2014/chart" uri="{C3380CC4-5D6E-409C-BE32-E72D297353CC}">
              <c16:uniqueId val="{00000000-89A5-D94C-AC6C-957048602B13}"/>
            </c:ext>
          </c:extLst>
        </c:ser>
        <c:ser>
          <c:idx val="1"/>
          <c:order val="1"/>
          <c:tx>
            <c:strRef>
              <c:f>instat1!$A$6</c:f>
              <c:strCache>
                <c:ptCount val="1"/>
                <c:pt idx="0">
                  <c:v>Të punësuar kontribues</c:v>
                </c:pt>
              </c:strCache>
            </c:strRef>
          </c:tx>
          <c:spPr>
            <a:solidFill>
              <a:schemeClr val="accent2"/>
            </a:solidFill>
            <a:ln>
              <a:noFill/>
            </a:ln>
            <a:effectLst/>
          </c:spPr>
          <c:invertIfNegative val="0"/>
          <c:cat>
            <c:strRef>
              <c:f>instat1!$B$4:$I$4</c:f>
              <c:strCache>
                <c:ptCount val="8"/>
                <c:pt idx="0">
                  <c:v>2014</c:v>
                </c:pt>
                <c:pt idx="1">
                  <c:v>2015</c:v>
                </c:pt>
                <c:pt idx="2">
                  <c:v>2016</c:v>
                </c:pt>
                <c:pt idx="3">
                  <c:v>2017</c:v>
                </c:pt>
                <c:pt idx="4">
                  <c:v>2018</c:v>
                </c:pt>
                <c:pt idx="5">
                  <c:v>2019</c:v>
                </c:pt>
                <c:pt idx="6">
                  <c:v>2020</c:v>
                </c:pt>
                <c:pt idx="7">
                  <c:v>2021</c:v>
                </c:pt>
              </c:strCache>
            </c:strRef>
          </c:cat>
          <c:val>
            <c:numRef>
              <c:f>instat1!$B$6:$I$6</c:f>
              <c:numCache>
                <c:formatCode>General</c:formatCode>
                <c:ptCount val="8"/>
                <c:pt idx="0">
                  <c:v>482456</c:v>
                </c:pt>
                <c:pt idx="1">
                  <c:v>524250</c:v>
                </c:pt>
                <c:pt idx="2">
                  <c:v>577108</c:v>
                </c:pt>
                <c:pt idx="3">
                  <c:v>639358</c:v>
                </c:pt>
                <c:pt idx="4">
                  <c:v>678161</c:v>
                </c:pt>
                <c:pt idx="5">
                  <c:v>686253</c:v>
                </c:pt>
                <c:pt idx="6">
                  <c:v>680671</c:v>
                </c:pt>
                <c:pt idx="7">
                  <c:v>703122</c:v>
                </c:pt>
              </c:numCache>
            </c:numRef>
          </c:val>
          <c:extLst>
            <c:ext xmlns:c16="http://schemas.microsoft.com/office/drawing/2014/chart" uri="{C3380CC4-5D6E-409C-BE32-E72D297353CC}">
              <c16:uniqueId val="{00000001-89A5-D94C-AC6C-957048602B13}"/>
            </c:ext>
          </c:extLst>
        </c:ser>
        <c:dLbls>
          <c:showLegendKey val="0"/>
          <c:showVal val="0"/>
          <c:showCatName val="0"/>
          <c:showSerName val="0"/>
          <c:showPercent val="0"/>
          <c:showBubbleSize val="0"/>
        </c:dLbls>
        <c:gapWidth val="219"/>
        <c:overlap val="-27"/>
        <c:axId val="126937344"/>
        <c:axId val="137412608"/>
      </c:barChart>
      <c:catAx>
        <c:axId val="12693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412608"/>
        <c:crosses val="autoZero"/>
        <c:auto val="1"/>
        <c:lblAlgn val="ctr"/>
        <c:lblOffset val="100"/>
        <c:noMultiLvlLbl val="0"/>
      </c:catAx>
      <c:valAx>
        <c:axId val="137412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93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493391451068619E-2"/>
          <c:y val="0.13830624465355007"/>
          <c:w val="0.89959258998875136"/>
          <c:h val="0.79597933491846451"/>
        </c:manualLayout>
      </c:layout>
      <c:bubbleChart>
        <c:varyColors val="0"/>
        <c:ser>
          <c:idx val="0"/>
          <c:order val="0"/>
          <c:tx>
            <c:strRef>
              <c:f>Sheet1!$B$2</c:f>
              <c:strCache>
                <c:ptCount val="1"/>
                <c:pt idx="0">
                  <c:v>Sektori</c:v>
                </c:pt>
              </c:strCache>
            </c:strRef>
          </c:tx>
          <c:spPr>
            <a:solidFill>
              <a:schemeClr val="accent1">
                <a:alpha val="75000"/>
              </a:schemeClr>
            </a:solidFill>
            <a:ln>
              <a:noFill/>
            </a:ln>
            <a:effectLst/>
          </c:spPr>
          <c:invertIfNegative val="0"/>
          <c:dLbls>
            <c:dLbl>
              <c:idx val="0"/>
              <c:tx>
                <c:rich>
                  <a:bodyPr/>
                  <a:lstStyle/>
                  <a:p>
                    <a:fld id="{52288651-0A99-48B8-AA6A-F7F3E91BFFC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7185-0F45-8C2C-516B80DC548A}"/>
                </c:ext>
              </c:extLst>
            </c:dLbl>
            <c:dLbl>
              <c:idx val="1"/>
              <c:tx>
                <c:rich>
                  <a:bodyPr/>
                  <a:lstStyle/>
                  <a:p>
                    <a:fld id="{30C571BC-2706-4C6C-88E0-C561563F4A4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185-0F45-8C2C-516B80DC548A}"/>
                </c:ext>
              </c:extLst>
            </c:dLbl>
            <c:dLbl>
              <c:idx val="2"/>
              <c:tx>
                <c:rich>
                  <a:bodyPr/>
                  <a:lstStyle/>
                  <a:p>
                    <a:fld id="{87094275-69D7-47A3-A83E-BE3CFB35293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185-0F45-8C2C-516B80DC548A}"/>
                </c:ext>
              </c:extLst>
            </c:dLbl>
            <c:dLbl>
              <c:idx val="3"/>
              <c:tx>
                <c:rich>
                  <a:bodyPr/>
                  <a:lstStyle/>
                  <a:p>
                    <a:fld id="{4E2433B0-8DC4-49D0-A095-BCDB02CAA08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185-0F45-8C2C-516B80DC548A}"/>
                </c:ext>
              </c:extLst>
            </c:dLbl>
            <c:dLbl>
              <c:idx val="4"/>
              <c:tx>
                <c:rich>
                  <a:bodyPr/>
                  <a:lstStyle/>
                  <a:p>
                    <a:fld id="{EA33967D-AEC4-4B3E-999B-99F06D1C5D4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185-0F45-8C2C-516B80DC548A}"/>
                </c:ext>
              </c:extLst>
            </c:dLbl>
            <c:dLbl>
              <c:idx val="5"/>
              <c:tx>
                <c:rich>
                  <a:bodyPr/>
                  <a:lstStyle/>
                  <a:p>
                    <a:fld id="{FD25BD5E-88DC-4322-94E3-F134C4D0E52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185-0F45-8C2C-516B80DC548A}"/>
                </c:ext>
              </c:extLst>
            </c:dLbl>
            <c:dLbl>
              <c:idx val="6"/>
              <c:tx>
                <c:rich>
                  <a:bodyPr/>
                  <a:lstStyle/>
                  <a:p>
                    <a:fld id="{1B9FB01C-99AC-43B0-90D0-6D46463BB97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185-0F45-8C2C-516B80DC548A}"/>
                </c:ext>
              </c:extLst>
            </c:dLbl>
            <c:dLbl>
              <c:idx val="7"/>
              <c:tx>
                <c:rich>
                  <a:bodyPr/>
                  <a:lstStyle/>
                  <a:p>
                    <a:fld id="{67C840B4-E309-4D9B-B564-0696B89527C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185-0F45-8C2C-516B80DC548A}"/>
                </c:ext>
              </c:extLst>
            </c:dLbl>
            <c:dLbl>
              <c:idx val="8"/>
              <c:tx>
                <c:rich>
                  <a:bodyPr/>
                  <a:lstStyle/>
                  <a:p>
                    <a:fld id="{926A2EE1-7D8A-4CCF-85E9-685F1E7044E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185-0F45-8C2C-516B80DC548A}"/>
                </c:ext>
              </c:extLst>
            </c:dLbl>
            <c:dLbl>
              <c:idx val="9"/>
              <c:layout>
                <c:manualLayout>
                  <c:x val="-2.9320005582344371E-3"/>
                  <c:y val="-2.2225004546023656E-2"/>
                </c:manualLayout>
              </c:layout>
              <c:tx>
                <c:rich>
                  <a:bodyPr/>
                  <a:lstStyle/>
                  <a:p>
                    <a:fld id="{62C4B9AC-F874-40E7-90FD-754F686EE6E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7185-0F45-8C2C-516B80DC548A}"/>
                </c:ext>
              </c:extLst>
            </c:dLbl>
            <c:dLbl>
              <c:idx val="10"/>
              <c:layout>
                <c:manualLayout>
                  <c:x val="-0.10848402065467419"/>
                  <c:y val="-9.0920473142824046E-2"/>
                </c:manualLayout>
              </c:layout>
              <c:tx>
                <c:rich>
                  <a:bodyPr/>
                  <a:lstStyle/>
                  <a:p>
                    <a:fld id="{F7F3DB2D-177E-4B71-8B35-7C957CC40F7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7185-0F45-8C2C-516B80DC548A}"/>
                </c:ext>
              </c:extLst>
            </c:dLbl>
            <c:dLbl>
              <c:idx val="11"/>
              <c:tx>
                <c:rich>
                  <a:bodyPr/>
                  <a:lstStyle/>
                  <a:p>
                    <a:fld id="{5F60B2B4-4B65-4BCE-9B43-DC4F36BBC2A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7185-0F45-8C2C-516B80DC548A}"/>
                </c:ext>
              </c:extLst>
            </c:dLbl>
            <c:dLbl>
              <c:idx val="12"/>
              <c:tx>
                <c:rich>
                  <a:bodyPr/>
                  <a:lstStyle/>
                  <a:p>
                    <a:fld id="{E7EDD577-A131-4097-BA5C-CD8B441BF94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7185-0F45-8C2C-516B80DC548A}"/>
                </c:ext>
              </c:extLst>
            </c:dLbl>
            <c:dLbl>
              <c:idx val="13"/>
              <c:tx>
                <c:rich>
                  <a:bodyPr/>
                  <a:lstStyle/>
                  <a:p>
                    <a:fld id="{AD25034A-7DDC-48F6-8DC5-B66379822E2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7185-0F45-8C2C-516B80DC548A}"/>
                </c:ext>
              </c:extLst>
            </c:dLbl>
            <c:dLbl>
              <c:idx val="14"/>
              <c:tx>
                <c:rich>
                  <a:bodyPr/>
                  <a:lstStyle/>
                  <a:p>
                    <a:fld id="{C8BB645D-4D66-4F6C-A389-4458CB7BEF1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7185-0F45-8C2C-516B80DC548A}"/>
                </c:ext>
              </c:extLst>
            </c:dLbl>
            <c:dLbl>
              <c:idx val="15"/>
              <c:tx>
                <c:rich>
                  <a:bodyPr/>
                  <a:lstStyle/>
                  <a:p>
                    <a:fld id="{7DF7891A-23F2-4B7C-899A-CD27BDA7CCF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7185-0F45-8C2C-516B80DC548A}"/>
                </c:ext>
              </c:extLst>
            </c:dLbl>
            <c:dLbl>
              <c:idx val="16"/>
              <c:tx>
                <c:rich>
                  <a:bodyPr/>
                  <a:lstStyle/>
                  <a:p>
                    <a:fld id="{D7B7F4F1-F19B-4892-93FB-E6E0CE51B6B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7185-0F45-8C2C-516B80DC548A}"/>
                </c:ext>
              </c:extLst>
            </c:dLbl>
            <c:dLbl>
              <c:idx val="17"/>
              <c:tx>
                <c:rich>
                  <a:bodyPr/>
                  <a:lstStyle/>
                  <a:p>
                    <a:fld id="{9FADAA5C-CAF4-43B1-A71B-26DB4FA688D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7185-0F45-8C2C-516B80DC548A}"/>
                </c:ext>
              </c:extLst>
            </c:dLbl>
            <c:dLbl>
              <c:idx val="18"/>
              <c:tx>
                <c:rich>
                  <a:bodyPr/>
                  <a:lstStyle/>
                  <a:p>
                    <a:fld id="{851AABB6-66DF-4FCD-B814-9AEE199790D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7185-0F45-8C2C-516B80DC548A}"/>
                </c:ext>
              </c:extLst>
            </c:dLbl>
            <c:dLbl>
              <c:idx val="19"/>
              <c:tx>
                <c:rich>
                  <a:bodyPr/>
                  <a:lstStyle/>
                  <a:p>
                    <a:fld id="{B90164D6-9C69-4184-970C-AE23956FC1E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7185-0F45-8C2C-516B80DC548A}"/>
                </c:ext>
              </c:extLst>
            </c:dLbl>
            <c:dLbl>
              <c:idx val="20"/>
              <c:tx>
                <c:rich>
                  <a:bodyPr/>
                  <a:lstStyle/>
                  <a:p>
                    <a:fld id="{0D9AFDD9-7A13-4B44-91B2-6D797687F45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7185-0F45-8C2C-516B80DC548A}"/>
                </c:ext>
              </c:extLst>
            </c:dLbl>
            <c:dLbl>
              <c:idx val="21"/>
              <c:tx>
                <c:rich>
                  <a:bodyPr/>
                  <a:lstStyle/>
                  <a:p>
                    <a:fld id="{FD9D35BF-DA89-475C-92BB-9D92B572827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7185-0F45-8C2C-516B80DC548A}"/>
                </c:ext>
              </c:extLst>
            </c:dLbl>
            <c:dLbl>
              <c:idx val="22"/>
              <c:tx>
                <c:rich>
                  <a:bodyPr/>
                  <a:lstStyle/>
                  <a:p>
                    <a:fld id="{B16B7F0C-C519-4710-B098-B6555C2C018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7185-0F45-8C2C-516B80DC548A}"/>
                </c:ext>
              </c:extLst>
            </c:dLbl>
            <c:dLbl>
              <c:idx val="23"/>
              <c:tx>
                <c:rich>
                  <a:bodyPr/>
                  <a:lstStyle/>
                  <a:p>
                    <a:fld id="{45FA0335-39BC-4D03-9918-6B18ECF9021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7185-0F45-8C2C-516B80DC548A}"/>
                </c:ext>
              </c:extLst>
            </c:dLbl>
            <c:dLbl>
              <c:idx val="24"/>
              <c:tx>
                <c:rich>
                  <a:bodyPr/>
                  <a:lstStyle/>
                  <a:p>
                    <a:fld id="{B5A2BE6D-2308-4F6D-958A-405ED28271C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7185-0F45-8C2C-516B80DC548A}"/>
                </c:ext>
              </c:extLst>
            </c:dLbl>
            <c:dLbl>
              <c:idx val="25"/>
              <c:tx>
                <c:rich>
                  <a:bodyPr/>
                  <a:lstStyle/>
                  <a:p>
                    <a:fld id="{43F5B75C-16F7-4230-A602-1167C63C32B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7185-0F45-8C2C-516B80DC548A}"/>
                </c:ext>
              </c:extLst>
            </c:dLbl>
            <c:dLbl>
              <c:idx val="26"/>
              <c:tx>
                <c:rich>
                  <a:bodyPr/>
                  <a:lstStyle/>
                  <a:p>
                    <a:fld id="{A51B4417-C7A4-4A80-97B0-6F78EC427EF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7185-0F45-8C2C-516B80DC548A}"/>
                </c:ext>
              </c:extLst>
            </c:dLbl>
            <c:dLbl>
              <c:idx val="27"/>
              <c:tx>
                <c:rich>
                  <a:bodyPr/>
                  <a:lstStyle/>
                  <a:p>
                    <a:fld id="{3E74668E-5BA5-4DA1-ACA2-A1446090660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7185-0F45-8C2C-516B80DC548A}"/>
                </c:ext>
              </c:extLst>
            </c:dLbl>
            <c:dLbl>
              <c:idx val="28"/>
              <c:layout>
                <c:manualLayout>
                  <c:x val="-0.24042404577522389"/>
                  <c:y val="-3.8388644215859059E-2"/>
                </c:manualLayout>
              </c:layout>
              <c:tx>
                <c:rich>
                  <a:bodyPr/>
                  <a:lstStyle/>
                  <a:p>
                    <a:fld id="{73E1AD9E-98E7-4369-B50B-A66D855EE7C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7185-0F45-8C2C-516B80DC548A}"/>
                </c:ext>
              </c:extLst>
            </c:dLbl>
            <c:dLbl>
              <c:idx val="29"/>
              <c:tx>
                <c:rich>
                  <a:bodyPr/>
                  <a:lstStyle/>
                  <a:p>
                    <a:fld id="{550C411D-C4E6-4460-851A-3D13C27E64A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7185-0F45-8C2C-516B80DC548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Sheet1!$C$3:$C$32</c:f>
              <c:numCache>
                <c:formatCode>0.0%</c:formatCode>
                <c:ptCount val="30"/>
                <c:pt idx="0">
                  <c:v>1.119751347356579E-2</c:v>
                </c:pt>
                <c:pt idx="1">
                  <c:v>6.1657242791619327E-2</c:v>
                </c:pt>
                <c:pt idx="2">
                  <c:v>6.398024873622421E-2</c:v>
                </c:pt>
                <c:pt idx="3">
                  <c:v>5.2359086256206444E-2</c:v>
                </c:pt>
                <c:pt idx="4">
                  <c:v>3.9289745738018578E-2</c:v>
                </c:pt>
                <c:pt idx="5">
                  <c:v>3.5460242737289205E-2</c:v>
                </c:pt>
                <c:pt idx="6">
                  <c:v>-3.4306077476172536E-2</c:v>
                </c:pt>
                <c:pt idx="7">
                  <c:v>6.4100646667670791E-3</c:v>
                </c:pt>
                <c:pt idx="8">
                  <c:v>3.8714946750691093E-2</c:v>
                </c:pt>
                <c:pt idx="9">
                  <c:v>0.13482173989024404</c:v>
                </c:pt>
                <c:pt idx="10">
                  <c:v>3.7093037042188914E-2</c:v>
                </c:pt>
                <c:pt idx="11">
                  <c:v>5.4162054518263059E-2</c:v>
                </c:pt>
                <c:pt idx="12">
                  <c:v>2.3101347539981498E-2</c:v>
                </c:pt>
                <c:pt idx="13">
                  <c:v>3.9408368909868097E-2</c:v>
                </c:pt>
                <c:pt idx="14">
                  <c:v>8.7360392103474016E-2</c:v>
                </c:pt>
                <c:pt idx="15">
                  <c:v>7.2083085854995899E-2</c:v>
                </c:pt>
                <c:pt idx="16">
                  <c:v>4.7150475821840176E-2</c:v>
                </c:pt>
                <c:pt idx="17">
                  <c:v>0.11652559854115641</c:v>
                </c:pt>
                <c:pt idx="18">
                  <c:v>5.1159485817407591E-2</c:v>
                </c:pt>
                <c:pt idx="19">
                  <c:v>2.8523455899676087E-4</c:v>
                </c:pt>
                <c:pt idx="20">
                  <c:v>9.4927148988073196E-3</c:v>
                </c:pt>
                <c:pt idx="21">
                  <c:v>0.11580640834188749</c:v>
                </c:pt>
                <c:pt idx="22">
                  <c:v>-9.3963181641646409E-3</c:v>
                </c:pt>
                <c:pt idx="23">
                  <c:v>0.29899642967342421</c:v>
                </c:pt>
                <c:pt idx="24">
                  <c:v>5.0637034613936205E-2</c:v>
                </c:pt>
                <c:pt idx="25">
                  <c:v>6.8209980210431231E-2</c:v>
                </c:pt>
                <c:pt idx="26">
                  <c:v>7.4313096119546396E-2</c:v>
                </c:pt>
                <c:pt idx="27">
                  <c:v>7.6270119383321289E-2</c:v>
                </c:pt>
                <c:pt idx="28">
                  <c:v>0.12238046727506902</c:v>
                </c:pt>
                <c:pt idx="29">
                  <c:v>0.14050042444895627</c:v>
                </c:pt>
              </c:numCache>
            </c:numRef>
          </c:xVal>
          <c:yVal>
            <c:numRef>
              <c:f>Sheet1!$D$3:$D$32</c:f>
              <c:numCache>
                <c:formatCode>0.0%</c:formatCode>
                <c:ptCount val="30"/>
                <c:pt idx="0">
                  <c:v>-6.2891591767120558E-2</c:v>
                </c:pt>
                <c:pt idx="1">
                  <c:v>7.974722218447039E-2</c:v>
                </c:pt>
                <c:pt idx="2">
                  <c:v>8.2174468875856554E-2</c:v>
                </c:pt>
                <c:pt idx="3">
                  <c:v>3.95556050175081E-2</c:v>
                </c:pt>
                <c:pt idx="4">
                  <c:v>6.8632485128314435E-2</c:v>
                </c:pt>
                <c:pt idx="5">
                  <c:v>4.0856621951886218E-2</c:v>
                </c:pt>
                <c:pt idx="6">
                  <c:v>8.1932468186314278E-3</c:v>
                </c:pt>
                <c:pt idx="7">
                  <c:v>5.7193262748556739E-2</c:v>
                </c:pt>
                <c:pt idx="8">
                  <c:v>4.5300279451782499E-2</c:v>
                </c:pt>
                <c:pt idx="9">
                  <c:v>8.6833456119803865E-2</c:v>
                </c:pt>
                <c:pt idx="10">
                  <c:v>0.12473471891133747</c:v>
                </c:pt>
                <c:pt idx="11">
                  <c:v>0.1242287046745465</c:v>
                </c:pt>
                <c:pt idx="12">
                  <c:v>1.807327936901193E-2</c:v>
                </c:pt>
                <c:pt idx="13">
                  <c:v>3.5217085875634213E-2</c:v>
                </c:pt>
                <c:pt idx="14">
                  <c:v>8.4191485917782805E-2</c:v>
                </c:pt>
                <c:pt idx="15">
                  <c:v>3.8701725316696356E-2</c:v>
                </c:pt>
                <c:pt idx="16">
                  <c:v>5.7544182671747546E-2</c:v>
                </c:pt>
                <c:pt idx="17">
                  <c:v>0.11214951433768072</c:v>
                </c:pt>
                <c:pt idx="18">
                  <c:v>2.5918257471493789E-2</c:v>
                </c:pt>
                <c:pt idx="19">
                  <c:v>-2.3701165862679341E-2</c:v>
                </c:pt>
                <c:pt idx="20">
                  <c:v>-1.1644653461156729E-2</c:v>
                </c:pt>
                <c:pt idx="21">
                  <c:v>0.1675956171428119</c:v>
                </c:pt>
                <c:pt idx="22">
                  <c:v>-9.9711699753073368E-3</c:v>
                </c:pt>
                <c:pt idx="23">
                  <c:v>0.15040648777699794</c:v>
                </c:pt>
                <c:pt idx="24">
                  <c:v>0.10939230083062657</c:v>
                </c:pt>
                <c:pt idx="25">
                  <c:v>0.1336324763513641</c:v>
                </c:pt>
                <c:pt idx="26">
                  <c:v>1.4065505331408934E-2</c:v>
                </c:pt>
                <c:pt idx="27">
                  <c:v>9.0653371918411718E-2</c:v>
                </c:pt>
                <c:pt idx="28">
                  <c:v>0.20537538097206243</c:v>
                </c:pt>
                <c:pt idx="29">
                  <c:v>0.18452538295002374</c:v>
                </c:pt>
              </c:numCache>
            </c:numRef>
          </c:yVal>
          <c:bubbleSize>
            <c:numRef>
              <c:f>Sheet1!$E$3:$E$32</c:f>
              <c:numCache>
                <c:formatCode>0.0%</c:formatCode>
                <c:ptCount val="30"/>
                <c:pt idx="0">
                  <c:v>2.0185084506315652E-2</c:v>
                </c:pt>
                <c:pt idx="1">
                  <c:v>4.1088442932938611E-2</c:v>
                </c:pt>
                <c:pt idx="2">
                  <c:v>5.5011448730718712E-2</c:v>
                </c:pt>
                <c:pt idx="3">
                  <c:v>4.1181699491652547E-2</c:v>
                </c:pt>
                <c:pt idx="4">
                  <c:v>1.5448841832908056E-2</c:v>
                </c:pt>
                <c:pt idx="5">
                  <c:v>8.6252395899886116E-3</c:v>
                </c:pt>
                <c:pt idx="6">
                  <c:v>6.0081033996976108E-3</c:v>
                </c:pt>
                <c:pt idx="7">
                  <c:v>1.173246875905283E-2</c:v>
                </c:pt>
                <c:pt idx="8">
                  <c:v>1.4678979177993039E-2</c:v>
                </c:pt>
                <c:pt idx="9">
                  <c:v>5.7422229982578878E-3</c:v>
                </c:pt>
                <c:pt idx="10">
                  <c:v>2.1014472624239562E-2</c:v>
                </c:pt>
                <c:pt idx="11">
                  <c:v>1.7518343763517241E-2</c:v>
                </c:pt>
                <c:pt idx="12">
                  <c:v>8.8236578000182551E-3</c:v>
                </c:pt>
                <c:pt idx="13">
                  <c:v>0.10087383379697056</c:v>
                </c:pt>
                <c:pt idx="14">
                  <c:v>2.3451048243403588E-2</c:v>
                </c:pt>
                <c:pt idx="15">
                  <c:v>9.7685253161794175E-2</c:v>
                </c:pt>
                <c:pt idx="16">
                  <c:v>0.13245804446948922</c:v>
                </c:pt>
                <c:pt idx="17">
                  <c:v>1.6542126170171395E-2</c:v>
                </c:pt>
                <c:pt idx="18">
                  <c:v>8.384756719432683E-2</c:v>
                </c:pt>
                <c:pt idx="19">
                  <c:v>2.5082045929847259E-2</c:v>
                </c:pt>
                <c:pt idx="20">
                  <c:v>1.4085708730004405E-2</c:v>
                </c:pt>
                <c:pt idx="21">
                  <c:v>3.4901763144214322E-3</c:v>
                </c:pt>
                <c:pt idx="22">
                  <c:v>1.5792105336259341E-2</c:v>
                </c:pt>
                <c:pt idx="23">
                  <c:v>1.5851630799268233E-2</c:v>
                </c:pt>
                <c:pt idx="24">
                  <c:v>5.3295131213962291E-3</c:v>
                </c:pt>
                <c:pt idx="25">
                  <c:v>3.896338390352113E-2</c:v>
                </c:pt>
                <c:pt idx="26">
                  <c:v>5.5140420567237978E-3</c:v>
                </c:pt>
                <c:pt idx="27">
                  <c:v>1.9937061743778597E-2</c:v>
                </c:pt>
                <c:pt idx="28">
                  <c:v>2.3939157040076511E-2</c:v>
                </c:pt>
                <c:pt idx="29">
                  <c:v>0.11009829638124868</c:v>
                </c:pt>
              </c:numCache>
            </c:numRef>
          </c:bubbleSize>
          <c:bubble3D val="1"/>
          <c:extLst>
            <c:ext xmlns:c15="http://schemas.microsoft.com/office/drawing/2012/chart" uri="{02D57815-91ED-43cb-92C2-25804820EDAC}">
              <c15:datalabelsRange>
                <c15:f>Sheet1!$B$3:$B$32</c15:f>
                <c15:dlblRangeCache>
                  <c:ptCount val="30"/>
                  <c:pt idx="0">
                    <c:v>Industria nxjerrëse</c:v>
                  </c:pt>
                  <c:pt idx="1">
                    <c:v>Ushqime, pije dhe duhan</c:v>
                  </c:pt>
                  <c:pt idx="2">
                    <c:v>Tekstile dhe veshje</c:v>
                  </c:pt>
                  <c:pt idx="3">
                    <c:v>Lëkurë dhe këpucë</c:v>
                  </c:pt>
                  <c:pt idx="4">
                    <c:v>Druri, artikuj me dru dhe mobilje</c:v>
                  </c:pt>
                  <c:pt idx="5">
                    <c:v>Letra dhe shtypshkrimet</c:v>
                  </c:pt>
                  <c:pt idx="6">
                    <c:v>Rafineria, inxhinieria kimike dhe plastike</c:v>
                  </c:pt>
                  <c:pt idx="7">
                    <c:v>Produkte minerale jometalik</c:v>
                  </c:pt>
                  <c:pt idx="8">
                    <c:v>Metalet dhe produkte metalike</c:v>
                  </c:pt>
                  <c:pt idx="9">
                    <c:v>Inxhinieri të tjera përpunuese</c:v>
                  </c:pt>
                  <c:pt idx="10">
                    <c:v>Energji elektrike dhe gazi</c:v>
                  </c:pt>
                  <c:pt idx="11">
                    <c:v>Furnizimi me uje</c:v>
                  </c:pt>
                  <c:pt idx="12">
                    <c:v>Ujërat e zeza dhe trajtimi i mbetjeve</c:v>
                  </c:pt>
                  <c:pt idx="13">
                    <c:v>Ndërtimi</c:v>
                  </c:pt>
                  <c:pt idx="14">
                    <c:v>Tregtia dhe riparimi i automjeteve</c:v>
                  </c:pt>
                  <c:pt idx="15">
                    <c:v>Tregtia me  shumicë</c:v>
                  </c:pt>
                  <c:pt idx="16">
                    <c:v>Tregtia me pakicë</c:v>
                  </c:pt>
                  <c:pt idx="17">
                    <c:v>Akomodimi </c:v>
                  </c:pt>
                  <c:pt idx="18">
                    <c:v>Shërbimi ushqimor </c:v>
                  </c:pt>
                  <c:pt idx="19">
                    <c:v>Transporti</c:v>
                  </c:pt>
                  <c:pt idx="20">
                    <c:v>Posta dhe magazinimi</c:v>
                  </c:pt>
                  <c:pt idx="21">
                    <c:v>Aktivitete të publikimeve dhe prodhimeve të programeve </c:v>
                  </c:pt>
                  <c:pt idx="22">
                    <c:v>Telekomunikacioni dhe transmetime të programeve</c:v>
                  </c:pt>
                  <c:pt idx="23">
                    <c:v>Shërbime të informacionit</c:v>
                  </c:pt>
                  <c:pt idx="24">
                    <c:v>Aktivitete të pasurive të paluajtshme</c:v>
                  </c:pt>
                  <c:pt idx="25">
                    <c:v>Shërbime profesionale</c:v>
                  </c:pt>
                  <c:pt idx="26">
                    <c:v>Agjencitë e udhëtimeve</c:v>
                  </c:pt>
                  <c:pt idx="27">
                    <c:v>Arsimi</c:v>
                  </c:pt>
                  <c:pt idx="28">
                    <c:v>Shëndetësia dhe aktivitetet e punës sociale</c:v>
                  </c:pt>
                  <c:pt idx="29">
                    <c:v>Shërbime të tjera</c:v>
                  </c:pt>
                </c15:dlblRangeCache>
              </c15:datalabelsRange>
            </c:ext>
            <c:ext xmlns:c16="http://schemas.microsoft.com/office/drawing/2014/chart" uri="{C3380CC4-5D6E-409C-BE32-E72D297353CC}">
              <c16:uniqueId val="{0000001E-7185-0F45-8C2C-516B80DC548A}"/>
            </c:ext>
          </c:extLst>
        </c:ser>
        <c:dLbls>
          <c:showLegendKey val="0"/>
          <c:showVal val="0"/>
          <c:showCatName val="0"/>
          <c:showSerName val="0"/>
          <c:showPercent val="0"/>
          <c:showBubbleSize val="0"/>
        </c:dLbls>
        <c:bubbleScale val="100"/>
        <c:showNegBubbles val="0"/>
        <c:axId val="137796224"/>
        <c:axId val="137798400"/>
      </c:bubbleChart>
      <c:valAx>
        <c:axId val="137796224"/>
        <c:scaling>
          <c:orientation val="minMax"/>
          <c:max val="0.30000000000000004"/>
          <c:min val="-5.000000000000001E-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Rritja mesatare vjetore</a:t>
                </a:r>
                <a:r>
                  <a:rPr lang="en-US" baseline="0"/>
                  <a:t> në punësim 2011-2022</a:t>
                </a:r>
                <a:endParaRPr lang="en-US"/>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98400"/>
        <c:crosses val="autoZero"/>
        <c:crossBetween val="midCat"/>
      </c:valAx>
      <c:valAx>
        <c:axId val="137798400"/>
        <c:scaling>
          <c:orientation val="minMax"/>
          <c:max val="0.25"/>
          <c:min val="-0.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Rritja mesatare vjetore në vlerën</a:t>
                </a:r>
                <a:r>
                  <a:rPr lang="en-US" baseline="0"/>
                  <a:t> e shtuar 2011-2022</a:t>
                </a:r>
                <a:endParaRPr lang="en-US"/>
              </a:p>
            </c:rich>
          </c:tx>
          <c:layout>
            <c:manualLayout>
              <c:xMode val="edge"/>
              <c:yMode val="edge"/>
              <c:x val="6.6964285714285711E-3"/>
              <c:y val="0.10315647669789779"/>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96224"/>
        <c:crosses val="autoZero"/>
        <c:crossBetween val="midCat"/>
      </c:valAx>
      <c:spPr>
        <a:noFill/>
        <a:ln>
          <a:noFill/>
        </a:ln>
        <a:effectLst/>
      </c:spPr>
    </c:plotArea>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Shkalla e papunësisë</a:t>
            </a:r>
          </a:p>
        </c:rich>
      </c:tx>
      <c:overlay val="0"/>
      <c:spPr>
        <a:noFill/>
        <a:ln>
          <a:noFill/>
        </a:ln>
        <a:effectLst/>
      </c:spPr>
    </c:title>
    <c:autoTitleDeleted val="0"/>
    <c:plotArea>
      <c:layout/>
      <c:barChart>
        <c:barDir val="col"/>
        <c:grouping val="stacked"/>
        <c:varyColors val="0"/>
        <c:ser>
          <c:idx val="0"/>
          <c:order val="0"/>
          <c:tx>
            <c:strRef>
              <c:f>Instat1!$AB$15</c:f>
              <c:strCache>
                <c:ptCount val="1"/>
                <c:pt idx="0">
                  <c:v>Arsim i mesëm e lartë</c:v>
                </c:pt>
              </c:strCache>
            </c:strRef>
          </c:tx>
          <c:spPr>
            <a:solidFill>
              <a:schemeClr val="accent1"/>
            </a:solidFill>
            <a:ln>
              <a:noFill/>
            </a:ln>
            <a:effectLst/>
          </c:spPr>
          <c:invertIfNegative val="0"/>
          <c:cat>
            <c:strRef>
              <c:f>Instat1!$AC$14:$AM$14</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Instat1!$AC$15:$AM$15</c:f>
              <c:numCache>
                <c:formatCode>0.0</c:formatCode>
                <c:ptCount val="11"/>
                <c:pt idx="0">
                  <c:v>1.0999999999999996</c:v>
                </c:pt>
                <c:pt idx="1">
                  <c:v>1.7000000000000011</c:v>
                </c:pt>
                <c:pt idx="2">
                  <c:v>1.8000000000000007</c:v>
                </c:pt>
                <c:pt idx="3">
                  <c:v>3</c:v>
                </c:pt>
                <c:pt idx="4">
                  <c:v>3.6000000000000014</c:v>
                </c:pt>
                <c:pt idx="5">
                  <c:v>2.5</c:v>
                </c:pt>
                <c:pt idx="6">
                  <c:v>1.3999999999999986</c:v>
                </c:pt>
                <c:pt idx="7">
                  <c:v>2.4000000000000004</c:v>
                </c:pt>
                <c:pt idx="8">
                  <c:v>2.8000000000000007</c:v>
                </c:pt>
                <c:pt idx="9">
                  <c:v>2.1999999999999993</c:v>
                </c:pt>
                <c:pt idx="10">
                  <c:v>0.90000000000000036</c:v>
                </c:pt>
              </c:numCache>
            </c:numRef>
          </c:val>
          <c:extLst>
            <c:ext xmlns:c16="http://schemas.microsoft.com/office/drawing/2014/chart" uri="{C3380CC4-5D6E-409C-BE32-E72D297353CC}">
              <c16:uniqueId val="{00000000-C657-F54D-8911-A9BABB412FA3}"/>
            </c:ext>
          </c:extLst>
        </c:ser>
        <c:ser>
          <c:idx val="1"/>
          <c:order val="1"/>
          <c:tx>
            <c:strRef>
              <c:f>Instat1!$AB$16</c:f>
              <c:strCache>
                <c:ptCount val="1"/>
                <c:pt idx="0">
                  <c:v>Arsim 8/9 vjeçar</c:v>
                </c:pt>
              </c:strCache>
            </c:strRef>
          </c:tx>
          <c:spPr>
            <a:solidFill>
              <a:schemeClr val="accent2"/>
            </a:solidFill>
            <a:ln>
              <a:noFill/>
            </a:ln>
            <a:effectLst/>
          </c:spPr>
          <c:invertIfNegative val="0"/>
          <c:cat>
            <c:strRef>
              <c:f>Instat1!$AC$14:$AM$14</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Instat1!$AC$16:$AM$16</c:f>
              <c:numCache>
                <c:formatCode>0.0</c:formatCode>
                <c:ptCount val="11"/>
                <c:pt idx="0">
                  <c:v>12.9</c:v>
                </c:pt>
                <c:pt idx="1">
                  <c:v>11.7</c:v>
                </c:pt>
                <c:pt idx="2">
                  <c:v>14.1</c:v>
                </c:pt>
                <c:pt idx="3">
                  <c:v>14.5</c:v>
                </c:pt>
                <c:pt idx="4">
                  <c:v>13.5</c:v>
                </c:pt>
                <c:pt idx="5">
                  <c:v>12.7</c:v>
                </c:pt>
                <c:pt idx="6">
                  <c:v>12.3</c:v>
                </c:pt>
                <c:pt idx="7">
                  <c:v>9.9</c:v>
                </c:pt>
                <c:pt idx="8">
                  <c:v>8.6999999999999993</c:v>
                </c:pt>
                <c:pt idx="9">
                  <c:v>9.5</c:v>
                </c:pt>
                <c:pt idx="10">
                  <c:v>10.6</c:v>
                </c:pt>
              </c:numCache>
            </c:numRef>
          </c:val>
          <c:extLst>
            <c:ext xmlns:c16="http://schemas.microsoft.com/office/drawing/2014/chart" uri="{C3380CC4-5D6E-409C-BE32-E72D297353CC}">
              <c16:uniqueId val="{00000001-C657-F54D-8911-A9BABB412FA3}"/>
            </c:ext>
          </c:extLst>
        </c:ser>
        <c:dLbls>
          <c:showLegendKey val="0"/>
          <c:showVal val="0"/>
          <c:showCatName val="0"/>
          <c:showSerName val="0"/>
          <c:showPercent val="0"/>
          <c:showBubbleSize val="0"/>
        </c:dLbls>
        <c:gapWidth val="150"/>
        <c:overlap val="100"/>
        <c:axId val="145115008"/>
        <c:axId val="145116544"/>
      </c:barChart>
      <c:catAx>
        <c:axId val="14511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16544"/>
        <c:crosses val="autoZero"/>
        <c:auto val="1"/>
        <c:lblAlgn val="ctr"/>
        <c:lblOffset val="100"/>
        <c:noMultiLvlLbl val="0"/>
      </c:catAx>
      <c:valAx>
        <c:axId val="14511654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1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Shkalla e punësimit</a:t>
            </a:r>
          </a:p>
        </c:rich>
      </c:tx>
      <c:overlay val="0"/>
      <c:spPr>
        <a:noFill/>
        <a:ln>
          <a:noFill/>
        </a:ln>
        <a:effectLst/>
      </c:spPr>
    </c:title>
    <c:autoTitleDeleted val="0"/>
    <c:plotArea>
      <c:layout/>
      <c:barChart>
        <c:barDir val="col"/>
        <c:grouping val="clustered"/>
        <c:varyColors val="0"/>
        <c:ser>
          <c:idx val="0"/>
          <c:order val="0"/>
          <c:tx>
            <c:strRef>
              <c:f>Instat1!$P$15</c:f>
              <c:strCache>
                <c:ptCount val="1"/>
                <c:pt idx="0">
                  <c:v>Burra</c:v>
                </c:pt>
              </c:strCache>
            </c:strRef>
          </c:tx>
          <c:spPr>
            <a:solidFill>
              <a:schemeClr val="accent1"/>
            </a:solidFill>
            <a:ln>
              <a:noFill/>
            </a:ln>
            <a:effectLst/>
          </c:spPr>
          <c:invertIfNegative val="0"/>
          <c:cat>
            <c:strRef>
              <c:f>Instat1!$Q$14:$AA$14</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Instat1!$Q$15:$AA$15</c:f>
              <c:numCache>
                <c:formatCode>0.0</c:formatCode>
                <c:ptCount val="11"/>
                <c:pt idx="0">
                  <c:v>58.6</c:v>
                </c:pt>
                <c:pt idx="1">
                  <c:v>55.9</c:v>
                </c:pt>
                <c:pt idx="2">
                  <c:v>50.7</c:v>
                </c:pt>
                <c:pt idx="3">
                  <c:v>51.4</c:v>
                </c:pt>
                <c:pt idx="4">
                  <c:v>53.3</c:v>
                </c:pt>
                <c:pt idx="5">
                  <c:v>54.7</c:v>
                </c:pt>
                <c:pt idx="6">
                  <c:v>57.1</c:v>
                </c:pt>
                <c:pt idx="7">
                  <c:v>59</c:v>
                </c:pt>
                <c:pt idx="8">
                  <c:v>60.1</c:v>
                </c:pt>
                <c:pt idx="9">
                  <c:v>59.2</c:v>
                </c:pt>
                <c:pt idx="10">
                  <c:v>59.5</c:v>
                </c:pt>
              </c:numCache>
            </c:numRef>
          </c:val>
          <c:extLst>
            <c:ext xmlns:c16="http://schemas.microsoft.com/office/drawing/2014/chart" uri="{C3380CC4-5D6E-409C-BE32-E72D297353CC}">
              <c16:uniqueId val="{00000000-3EC6-1044-B9E4-DD6FD17A53A6}"/>
            </c:ext>
          </c:extLst>
        </c:ser>
        <c:ser>
          <c:idx val="1"/>
          <c:order val="1"/>
          <c:tx>
            <c:strRef>
              <c:f>Instat1!$P$16</c:f>
              <c:strCache>
                <c:ptCount val="1"/>
                <c:pt idx="0">
                  <c:v>Gra</c:v>
                </c:pt>
              </c:strCache>
            </c:strRef>
          </c:tx>
          <c:spPr>
            <a:solidFill>
              <a:schemeClr val="accent2"/>
            </a:solidFill>
            <a:ln>
              <a:noFill/>
            </a:ln>
            <a:effectLst/>
          </c:spPr>
          <c:invertIfNegative val="0"/>
          <c:cat>
            <c:strRef>
              <c:f>Instat1!$Q$14:$AA$14</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Instat1!$Q$16:$AA$16</c:f>
              <c:numCache>
                <c:formatCode>0.0</c:formatCode>
                <c:ptCount val="11"/>
                <c:pt idx="0">
                  <c:v>45.3</c:v>
                </c:pt>
                <c:pt idx="1">
                  <c:v>43.5</c:v>
                </c:pt>
                <c:pt idx="2">
                  <c:v>38</c:v>
                </c:pt>
                <c:pt idx="3">
                  <c:v>37.6</c:v>
                </c:pt>
                <c:pt idx="4">
                  <c:v>39.200000000000003</c:v>
                </c:pt>
                <c:pt idx="5">
                  <c:v>42.8</c:v>
                </c:pt>
                <c:pt idx="6">
                  <c:v>43.5</c:v>
                </c:pt>
                <c:pt idx="7">
                  <c:v>45.3</c:v>
                </c:pt>
                <c:pt idx="8">
                  <c:v>46.9</c:v>
                </c:pt>
                <c:pt idx="9">
                  <c:v>46.1</c:v>
                </c:pt>
                <c:pt idx="10">
                  <c:v>46.4</c:v>
                </c:pt>
              </c:numCache>
            </c:numRef>
          </c:val>
          <c:extLst>
            <c:ext xmlns:c16="http://schemas.microsoft.com/office/drawing/2014/chart" uri="{C3380CC4-5D6E-409C-BE32-E72D297353CC}">
              <c16:uniqueId val="{00000001-3EC6-1044-B9E4-DD6FD17A53A6}"/>
            </c:ext>
          </c:extLst>
        </c:ser>
        <c:dLbls>
          <c:showLegendKey val="0"/>
          <c:showVal val="0"/>
          <c:showCatName val="0"/>
          <c:showSerName val="0"/>
          <c:showPercent val="0"/>
          <c:showBubbleSize val="0"/>
        </c:dLbls>
        <c:gapWidth val="219"/>
        <c:axId val="145132160"/>
        <c:axId val="145138048"/>
      </c:barChart>
      <c:lineChart>
        <c:grouping val="standard"/>
        <c:varyColors val="0"/>
        <c:ser>
          <c:idx val="2"/>
          <c:order val="2"/>
          <c:tx>
            <c:strRef>
              <c:f>Instat1!$P$17</c:f>
              <c:strCache>
                <c:ptCount val="1"/>
                <c:pt idx="0">
                  <c:v>Total</c:v>
                </c:pt>
              </c:strCache>
            </c:strRef>
          </c:tx>
          <c:spPr>
            <a:ln w="28575" cap="rnd">
              <a:solidFill>
                <a:schemeClr val="accent3"/>
              </a:solidFill>
              <a:round/>
            </a:ln>
            <a:effectLst/>
          </c:spPr>
          <c:marker>
            <c:symbol val="none"/>
          </c:marker>
          <c:cat>
            <c:strRef>
              <c:f>Instat1!$Q$14:$AA$14</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Instat1!$Q$17:$AA$17</c:f>
              <c:numCache>
                <c:formatCode>0.0</c:formatCode>
                <c:ptCount val="11"/>
                <c:pt idx="0">
                  <c:v>51.9</c:v>
                </c:pt>
                <c:pt idx="1">
                  <c:v>49.6</c:v>
                </c:pt>
                <c:pt idx="2">
                  <c:v>44.1</c:v>
                </c:pt>
                <c:pt idx="3">
                  <c:v>44.3</c:v>
                </c:pt>
                <c:pt idx="4">
                  <c:v>46.2</c:v>
                </c:pt>
                <c:pt idx="5">
                  <c:v>48.7</c:v>
                </c:pt>
                <c:pt idx="6">
                  <c:v>50.3</c:v>
                </c:pt>
                <c:pt idx="7">
                  <c:v>52.1</c:v>
                </c:pt>
                <c:pt idx="8">
                  <c:v>53.4</c:v>
                </c:pt>
                <c:pt idx="9">
                  <c:v>52.5</c:v>
                </c:pt>
                <c:pt idx="10">
                  <c:v>52.9</c:v>
                </c:pt>
              </c:numCache>
            </c:numRef>
          </c:val>
          <c:smooth val="0"/>
          <c:extLst>
            <c:ext xmlns:c16="http://schemas.microsoft.com/office/drawing/2014/chart" uri="{C3380CC4-5D6E-409C-BE32-E72D297353CC}">
              <c16:uniqueId val="{00000002-3EC6-1044-B9E4-DD6FD17A53A6}"/>
            </c:ext>
          </c:extLst>
        </c:ser>
        <c:dLbls>
          <c:showLegendKey val="0"/>
          <c:showVal val="0"/>
          <c:showCatName val="0"/>
          <c:showSerName val="0"/>
          <c:showPercent val="0"/>
          <c:showBubbleSize val="0"/>
        </c:dLbls>
        <c:marker val="1"/>
        <c:smooth val="0"/>
        <c:axId val="145132160"/>
        <c:axId val="145138048"/>
      </c:lineChart>
      <c:catAx>
        <c:axId val="14513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38048"/>
        <c:crosses val="autoZero"/>
        <c:auto val="1"/>
        <c:lblAlgn val="ctr"/>
        <c:lblOffset val="100"/>
        <c:noMultiLvlLbl val="0"/>
      </c:catAx>
      <c:valAx>
        <c:axId val="1451380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3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Pjesëmarrja në forcat e punës dhe shkalla e papunësisë në rajon dhe BE, 2019</a:t>
            </a:r>
          </a:p>
        </c:rich>
      </c:tx>
      <c:overlay val="0"/>
      <c:spPr>
        <a:noFill/>
        <a:ln>
          <a:noFill/>
        </a:ln>
        <a:effectLst/>
      </c:spPr>
    </c:title>
    <c:autoTitleDeleted val="0"/>
    <c:plotArea>
      <c:layout/>
      <c:barChart>
        <c:barDir val="col"/>
        <c:grouping val="clustered"/>
        <c:varyColors val="0"/>
        <c:ser>
          <c:idx val="0"/>
          <c:order val="0"/>
          <c:tx>
            <c:strRef>
              <c:f>Data!$L$8</c:f>
              <c:strCache>
                <c:ptCount val="1"/>
                <c:pt idx="0">
                  <c:v>Pjesëmarrja në forcat e punës (15+)</c:v>
                </c:pt>
              </c:strCache>
            </c:strRef>
          </c:tx>
          <c:spPr>
            <a:solidFill>
              <a:schemeClr val="accent1"/>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DE6D-F349-8C91-1F08A23E123F}"/>
              </c:ext>
            </c:extLst>
          </c:dPt>
          <c:dPt>
            <c:idx val="6"/>
            <c:invertIfNegative val="0"/>
            <c:bubble3D val="0"/>
            <c:spPr>
              <a:solidFill>
                <a:schemeClr val="accent5"/>
              </a:solidFill>
              <a:ln>
                <a:noFill/>
              </a:ln>
              <a:effectLst/>
            </c:spPr>
            <c:extLst>
              <c:ext xmlns:c16="http://schemas.microsoft.com/office/drawing/2014/chart" uri="{C3380CC4-5D6E-409C-BE32-E72D297353CC}">
                <c16:uniqueId val="{00000003-DE6D-F349-8C91-1F08A23E123F}"/>
              </c:ext>
            </c:extLst>
          </c:dPt>
          <c:cat>
            <c:strRef>
              <c:f>Data!$M$7:$S$7</c:f>
              <c:strCache>
                <c:ptCount val="7"/>
                <c:pt idx="0">
                  <c:v>Shqipëria</c:v>
                </c:pt>
                <c:pt idx="1">
                  <c:v>Bosnja dhe Hercegovina</c:v>
                </c:pt>
                <c:pt idx="2">
                  <c:v>Kosova</c:v>
                </c:pt>
                <c:pt idx="3">
                  <c:v>Mali i Zi</c:v>
                </c:pt>
                <c:pt idx="4">
                  <c:v>Maqedonia e Veriut</c:v>
                </c:pt>
                <c:pt idx="5">
                  <c:v>Serbia</c:v>
                </c:pt>
                <c:pt idx="6">
                  <c:v>Bashkimi Europian</c:v>
                </c:pt>
              </c:strCache>
            </c:strRef>
          </c:cat>
          <c:val>
            <c:numRef>
              <c:f>Data!$M$8:$S$8</c:f>
              <c:numCache>
                <c:formatCode>General</c:formatCode>
                <c:ptCount val="7"/>
                <c:pt idx="0">
                  <c:v>60.310001373291001</c:v>
                </c:pt>
                <c:pt idx="1">
                  <c:v>41.799999237060497</c:v>
                </c:pt>
                <c:pt idx="2">
                  <c:v>35.700000762939503</c:v>
                </c:pt>
                <c:pt idx="3">
                  <c:v>57.409999847412102</c:v>
                </c:pt>
                <c:pt idx="4">
                  <c:v>55.470001220703097</c:v>
                </c:pt>
                <c:pt idx="5">
                  <c:v>54.630001068115199</c:v>
                </c:pt>
                <c:pt idx="6">
                  <c:v>57.577891365220893</c:v>
                </c:pt>
              </c:numCache>
            </c:numRef>
          </c:val>
          <c:extLst>
            <c:ext xmlns:c16="http://schemas.microsoft.com/office/drawing/2014/chart" uri="{C3380CC4-5D6E-409C-BE32-E72D297353CC}">
              <c16:uniqueId val="{00000004-DE6D-F349-8C91-1F08A23E123F}"/>
            </c:ext>
          </c:extLst>
        </c:ser>
        <c:ser>
          <c:idx val="1"/>
          <c:order val="1"/>
          <c:tx>
            <c:strRef>
              <c:f>Data!$L$9</c:f>
              <c:strCache>
                <c:ptCount val="1"/>
                <c:pt idx="0">
                  <c:v>Shkalla e papunësisë</c:v>
                </c:pt>
              </c:strCache>
            </c:strRef>
          </c:tx>
          <c:spPr>
            <a:solidFill>
              <a:schemeClr val="accent2"/>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6-DE6D-F349-8C91-1F08A23E123F}"/>
              </c:ext>
            </c:extLst>
          </c:dPt>
          <c:dPt>
            <c:idx val="6"/>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8-DE6D-F349-8C91-1F08A23E123F}"/>
              </c:ext>
            </c:extLst>
          </c:dPt>
          <c:cat>
            <c:strRef>
              <c:f>Data!$M$7:$S$7</c:f>
              <c:strCache>
                <c:ptCount val="7"/>
                <c:pt idx="0">
                  <c:v>Shqipëria</c:v>
                </c:pt>
                <c:pt idx="1">
                  <c:v>Bosnja dhe Hercegovina</c:v>
                </c:pt>
                <c:pt idx="2">
                  <c:v>Kosova</c:v>
                </c:pt>
                <c:pt idx="3">
                  <c:v>Mali i Zi</c:v>
                </c:pt>
                <c:pt idx="4">
                  <c:v>Maqedonia e Veriut</c:v>
                </c:pt>
                <c:pt idx="5">
                  <c:v>Serbia</c:v>
                </c:pt>
                <c:pt idx="6">
                  <c:v>Bashkimi Europian</c:v>
                </c:pt>
              </c:strCache>
            </c:strRef>
          </c:cat>
          <c:val>
            <c:numRef>
              <c:f>Data!$M$9:$S$9</c:f>
              <c:numCache>
                <c:formatCode>General</c:formatCode>
                <c:ptCount val="7"/>
                <c:pt idx="0">
                  <c:v>11.4700002670288</c:v>
                </c:pt>
                <c:pt idx="1">
                  <c:v>15.689999580383301</c:v>
                </c:pt>
                <c:pt idx="2">
                  <c:v>25.069999694824201</c:v>
                </c:pt>
                <c:pt idx="3">
                  <c:v>15.1300001144409</c:v>
                </c:pt>
                <c:pt idx="4">
                  <c:v>17.2600002288818</c:v>
                </c:pt>
                <c:pt idx="5">
                  <c:v>10.3900003433228</c:v>
                </c:pt>
                <c:pt idx="6">
                  <c:v>6.6920848087948599</c:v>
                </c:pt>
              </c:numCache>
            </c:numRef>
          </c:val>
          <c:extLst>
            <c:ext xmlns:c16="http://schemas.microsoft.com/office/drawing/2014/chart" uri="{C3380CC4-5D6E-409C-BE32-E72D297353CC}">
              <c16:uniqueId val="{00000009-DE6D-F349-8C91-1F08A23E123F}"/>
            </c:ext>
          </c:extLst>
        </c:ser>
        <c:dLbls>
          <c:showLegendKey val="0"/>
          <c:showVal val="0"/>
          <c:showCatName val="0"/>
          <c:showSerName val="0"/>
          <c:showPercent val="0"/>
          <c:showBubbleSize val="0"/>
        </c:dLbls>
        <c:gapWidth val="219"/>
        <c:overlap val="-27"/>
        <c:axId val="151266432"/>
        <c:axId val="151267968"/>
      </c:barChart>
      <c:catAx>
        <c:axId val="15126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67968"/>
        <c:crosses val="autoZero"/>
        <c:auto val="1"/>
        <c:lblAlgn val="ctr"/>
        <c:lblOffset val="100"/>
        <c:noMultiLvlLbl val="0"/>
      </c:catAx>
      <c:valAx>
        <c:axId val="15126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6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Popullsia e Shqipërisë, 2001-2022</a:t>
            </a:r>
          </a:p>
        </c:rich>
      </c:tx>
      <c:overlay val="0"/>
      <c:spPr>
        <a:noFill/>
        <a:ln>
          <a:noFill/>
        </a:ln>
        <a:effectLst/>
      </c:spPr>
    </c:title>
    <c:autoTitleDeleted val="0"/>
    <c:plotArea>
      <c:layout/>
      <c:barChart>
        <c:barDir val="col"/>
        <c:grouping val="clustered"/>
        <c:varyColors val="0"/>
        <c:ser>
          <c:idx val="0"/>
          <c:order val="0"/>
          <c:tx>
            <c:strRef>
              <c:f>Instat1!$B$5</c:f>
              <c:strCache>
                <c:ptCount val="1"/>
                <c:pt idx="0">
                  <c:v>Popullsia</c:v>
                </c:pt>
              </c:strCache>
            </c:strRef>
          </c:tx>
          <c:spPr>
            <a:solidFill>
              <a:schemeClr val="accent1"/>
            </a:solidFill>
            <a:ln>
              <a:noFill/>
            </a:ln>
            <a:effectLst/>
          </c:spPr>
          <c:invertIfNegative val="0"/>
          <c:cat>
            <c:strRef>
              <c:f>Instat1!$C$4:$X$4</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Instat1!$C$5:$X$5</c:f>
              <c:numCache>
                <c:formatCode>0</c:formatCode>
                <c:ptCount val="22"/>
                <c:pt idx="0">
                  <c:v>3063320</c:v>
                </c:pt>
                <c:pt idx="1">
                  <c:v>3057018</c:v>
                </c:pt>
                <c:pt idx="2">
                  <c:v>3044993</c:v>
                </c:pt>
                <c:pt idx="3">
                  <c:v>3034231</c:v>
                </c:pt>
                <c:pt idx="4">
                  <c:v>3019634</c:v>
                </c:pt>
                <c:pt idx="5">
                  <c:v>3003329</c:v>
                </c:pt>
                <c:pt idx="6">
                  <c:v>2981755</c:v>
                </c:pt>
                <c:pt idx="7">
                  <c:v>2958266</c:v>
                </c:pt>
                <c:pt idx="8">
                  <c:v>2936355</c:v>
                </c:pt>
                <c:pt idx="9">
                  <c:v>2918674</c:v>
                </c:pt>
                <c:pt idx="10">
                  <c:v>2907368</c:v>
                </c:pt>
                <c:pt idx="11">
                  <c:v>2903008</c:v>
                </c:pt>
                <c:pt idx="12">
                  <c:v>2897770</c:v>
                </c:pt>
                <c:pt idx="13">
                  <c:v>2892394</c:v>
                </c:pt>
                <c:pt idx="14">
                  <c:v>2885796</c:v>
                </c:pt>
                <c:pt idx="15">
                  <c:v>2875592</c:v>
                </c:pt>
                <c:pt idx="16">
                  <c:v>2876591</c:v>
                </c:pt>
                <c:pt idx="17">
                  <c:v>2870324</c:v>
                </c:pt>
                <c:pt idx="18">
                  <c:v>2862427</c:v>
                </c:pt>
                <c:pt idx="19">
                  <c:v>2845955</c:v>
                </c:pt>
                <c:pt idx="20">
                  <c:v>2829741</c:v>
                </c:pt>
                <c:pt idx="21">
                  <c:v>2793592</c:v>
                </c:pt>
              </c:numCache>
            </c:numRef>
          </c:val>
          <c:extLst>
            <c:ext xmlns:c16="http://schemas.microsoft.com/office/drawing/2014/chart" uri="{C3380CC4-5D6E-409C-BE32-E72D297353CC}">
              <c16:uniqueId val="{00000000-0BE6-4945-BB8B-0AEABF34E18B}"/>
            </c:ext>
          </c:extLst>
        </c:ser>
        <c:dLbls>
          <c:showLegendKey val="0"/>
          <c:showVal val="0"/>
          <c:showCatName val="0"/>
          <c:showSerName val="0"/>
          <c:showPercent val="0"/>
          <c:showBubbleSize val="0"/>
        </c:dLbls>
        <c:gapWidth val="219"/>
        <c:overlap val="-27"/>
        <c:axId val="151276928"/>
        <c:axId val="151291008"/>
      </c:barChart>
      <c:catAx>
        <c:axId val="15127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1291008"/>
        <c:crosses val="autoZero"/>
        <c:auto val="1"/>
        <c:lblAlgn val="ctr"/>
        <c:lblOffset val="100"/>
        <c:noMultiLvlLbl val="0"/>
      </c:catAx>
      <c:valAx>
        <c:axId val="151291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7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Të punësuar me pagë</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0</c:formatCode>
                <c:ptCount val="6"/>
                <c:pt idx="0">
                  <c:v>2016</c:v>
                </c:pt>
                <c:pt idx="1">
                  <c:v>2017</c:v>
                </c:pt>
                <c:pt idx="2">
                  <c:v>2018</c:v>
                </c:pt>
                <c:pt idx="3">
                  <c:v>2019</c:v>
                </c:pt>
                <c:pt idx="4">
                  <c:v>2020</c:v>
                </c:pt>
                <c:pt idx="5">
                  <c:v>2021</c:v>
                </c:pt>
              </c:numCache>
            </c:numRef>
          </c:cat>
          <c:val>
            <c:numRef>
              <c:f>Sheet1!$B$2:$G$2</c:f>
              <c:numCache>
                <c:formatCode>#,#00</c:formatCode>
                <c:ptCount val="6"/>
                <c:pt idx="0">
                  <c:v>41.2</c:v>
                </c:pt>
                <c:pt idx="1">
                  <c:v>44.1</c:v>
                </c:pt>
                <c:pt idx="2">
                  <c:v>44.5</c:v>
                </c:pt>
                <c:pt idx="3">
                  <c:v>45.7</c:v>
                </c:pt>
                <c:pt idx="4">
                  <c:v>46.1</c:v>
                </c:pt>
                <c:pt idx="5">
                  <c:v>47.9</c:v>
                </c:pt>
              </c:numCache>
            </c:numRef>
          </c:val>
          <c:smooth val="0"/>
          <c:extLst>
            <c:ext xmlns:c16="http://schemas.microsoft.com/office/drawing/2014/chart" uri="{C3380CC4-5D6E-409C-BE32-E72D297353CC}">
              <c16:uniqueId val="{00000000-21A1-A84C-8820-57FD9E45A722}"/>
            </c:ext>
          </c:extLst>
        </c:ser>
        <c:ser>
          <c:idx val="1"/>
          <c:order val="1"/>
          <c:tx>
            <c:strRef>
              <c:f>Sheet1!$A$3</c:f>
              <c:strCache>
                <c:ptCount val="1"/>
                <c:pt idx="0">
                  <c:v>Të vetë-punësuar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0</c:formatCode>
                <c:ptCount val="6"/>
                <c:pt idx="0">
                  <c:v>2016</c:v>
                </c:pt>
                <c:pt idx="1">
                  <c:v>2017</c:v>
                </c:pt>
                <c:pt idx="2">
                  <c:v>2018</c:v>
                </c:pt>
                <c:pt idx="3">
                  <c:v>2019</c:v>
                </c:pt>
                <c:pt idx="4">
                  <c:v>2020</c:v>
                </c:pt>
                <c:pt idx="5">
                  <c:v>2021</c:v>
                </c:pt>
              </c:numCache>
            </c:numRef>
          </c:cat>
          <c:val>
            <c:numRef>
              <c:f>Sheet1!$B$3:$G$3</c:f>
              <c:numCache>
                <c:formatCode>#,#00</c:formatCode>
                <c:ptCount val="6"/>
                <c:pt idx="0">
                  <c:v>34.9</c:v>
                </c:pt>
                <c:pt idx="1">
                  <c:v>35.799999999999997</c:v>
                </c:pt>
                <c:pt idx="2">
                  <c:v>34</c:v>
                </c:pt>
                <c:pt idx="3">
                  <c:v>32.200000000000003</c:v>
                </c:pt>
                <c:pt idx="4">
                  <c:v>33.299999999999997</c:v>
                </c:pt>
                <c:pt idx="5">
                  <c:v>32</c:v>
                </c:pt>
              </c:numCache>
            </c:numRef>
          </c:val>
          <c:smooth val="0"/>
          <c:extLst>
            <c:ext xmlns:c16="http://schemas.microsoft.com/office/drawing/2014/chart" uri="{C3380CC4-5D6E-409C-BE32-E72D297353CC}">
              <c16:uniqueId val="{00000001-21A1-A84C-8820-57FD9E45A722}"/>
            </c:ext>
          </c:extLst>
        </c:ser>
        <c:ser>
          <c:idx val="2"/>
          <c:order val="2"/>
          <c:tx>
            <c:strRef>
              <c:f>Sheet1!$A$4</c:f>
              <c:strCache>
                <c:ptCount val="1"/>
                <c:pt idx="0">
                  <c:v>Punëtorë pa pagesë në biznesin e familjes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0</c:formatCode>
                <c:ptCount val="6"/>
                <c:pt idx="0">
                  <c:v>2016</c:v>
                </c:pt>
                <c:pt idx="1">
                  <c:v>2017</c:v>
                </c:pt>
                <c:pt idx="2">
                  <c:v>2018</c:v>
                </c:pt>
                <c:pt idx="3">
                  <c:v>2019</c:v>
                </c:pt>
                <c:pt idx="4">
                  <c:v>2020</c:v>
                </c:pt>
                <c:pt idx="5">
                  <c:v>2021</c:v>
                </c:pt>
              </c:numCache>
            </c:numRef>
          </c:cat>
          <c:val>
            <c:numRef>
              <c:f>Sheet1!$B$4:$G$4</c:f>
              <c:numCache>
                <c:formatCode>#,#00</c:formatCode>
                <c:ptCount val="6"/>
                <c:pt idx="0">
                  <c:v>23.9</c:v>
                </c:pt>
                <c:pt idx="1">
                  <c:v>20.100000000000001</c:v>
                </c:pt>
                <c:pt idx="2">
                  <c:v>21.6</c:v>
                </c:pt>
                <c:pt idx="3">
                  <c:v>22</c:v>
                </c:pt>
                <c:pt idx="4">
                  <c:v>20.6</c:v>
                </c:pt>
                <c:pt idx="5">
                  <c:v>20.100000000000001</c:v>
                </c:pt>
              </c:numCache>
            </c:numRef>
          </c:val>
          <c:smooth val="0"/>
          <c:extLst>
            <c:ext xmlns:c16="http://schemas.microsoft.com/office/drawing/2014/chart" uri="{C3380CC4-5D6E-409C-BE32-E72D297353CC}">
              <c16:uniqueId val="{00000002-21A1-A84C-8820-57FD9E45A722}"/>
            </c:ext>
          </c:extLst>
        </c:ser>
        <c:ser>
          <c:idx val="3"/>
          <c:order val="3"/>
          <c:tx>
            <c:strRef>
              <c:f>Sheet1!$A$5</c:f>
              <c:strCache>
                <c:ptCount val="1"/>
                <c:pt idx="0">
                  <c:v>Punësimi informal në sektorin jo-bujqësor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0</c:formatCode>
                <c:ptCount val="6"/>
                <c:pt idx="0">
                  <c:v>2016</c:v>
                </c:pt>
                <c:pt idx="1">
                  <c:v>2017</c:v>
                </c:pt>
                <c:pt idx="2">
                  <c:v>2018</c:v>
                </c:pt>
                <c:pt idx="3">
                  <c:v>2019</c:v>
                </c:pt>
                <c:pt idx="4">
                  <c:v>2020</c:v>
                </c:pt>
                <c:pt idx="5">
                  <c:v>2021</c:v>
                </c:pt>
              </c:numCache>
            </c:numRef>
          </c:cat>
          <c:val>
            <c:numRef>
              <c:f>Sheet1!$B$5:$G$5</c:f>
              <c:numCache>
                <c:formatCode>#,#00</c:formatCode>
                <c:ptCount val="6"/>
                <c:pt idx="0">
                  <c:v>31.9</c:v>
                </c:pt>
                <c:pt idx="1">
                  <c:v>30.3</c:v>
                </c:pt>
                <c:pt idx="2">
                  <c:v>29.4</c:v>
                </c:pt>
                <c:pt idx="3">
                  <c:v>30</c:v>
                </c:pt>
                <c:pt idx="4">
                  <c:v>29.1</c:v>
                </c:pt>
                <c:pt idx="5">
                  <c:v>29.4</c:v>
                </c:pt>
              </c:numCache>
            </c:numRef>
          </c:val>
          <c:smooth val="0"/>
          <c:extLst>
            <c:ext xmlns:c16="http://schemas.microsoft.com/office/drawing/2014/chart" uri="{C3380CC4-5D6E-409C-BE32-E72D297353CC}">
              <c16:uniqueId val="{00000003-21A1-A84C-8820-57FD9E45A722}"/>
            </c:ext>
          </c:extLst>
        </c:ser>
        <c:dLbls>
          <c:showLegendKey val="0"/>
          <c:showVal val="0"/>
          <c:showCatName val="0"/>
          <c:showSerName val="0"/>
          <c:showPercent val="0"/>
          <c:showBubbleSize val="0"/>
        </c:dLbls>
        <c:marker val="1"/>
        <c:smooth val="0"/>
        <c:axId val="151398656"/>
        <c:axId val="151420928"/>
      </c:lineChart>
      <c:catAx>
        <c:axId val="15139865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420928"/>
        <c:crosses val="autoZero"/>
        <c:auto val="1"/>
        <c:lblAlgn val="ctr"/>
        <c:lblOffset val="100"/>
        <c:noMultiLvlLbl val="0"/>
      </c:catAx>
      <c:valAx>
        <c:axId val="151420928"/>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9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3533-D0E1-4C57-A45B-4146E585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17750</Words>
  <Characters>101178</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dc:creator>
  <cp:lastModifiedBy>Luljeta Dauti</cp:lastModifiedBy>
  <cp:revision>2</cp:revision>
  <cp:lastPrinted>2022-12-28T23:26:00Z</cp:lastPrinted>
  <dcterms:created xsi:type="dcterms:W3CDTF">2023-02-07T11:08:00Z</dcterms:created>
  <dcterms:modified xsi:type="dcterms:W3CDTF">2023-02-07T11:08:00Z</dcterms:modified>
</cp:coreProperties>
</file>