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8"/>
        <w:gridCol w:w="927"/>
        <w:gridCol w:w="990"/>
        <w:gridCol w:w="2610"/>
        <w:gridCol w:w="1260"/>
        <w:gridCol w:w="1485"/>
      </w:tblGrid>
      <w:tr w:rsidR="003428BD" w:rsidRPr="00E71564" w:rsidTr="009F296B">
        <w:trPr>
          <w:trHeight w:val="1568"/>
          <w:jc w:val="center"/>
        </w:trPr>
        <w:tc>
          <w:tcPr>
            <w:tcW w:w="496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 xml:space="preserve">EU </w:t>
            </w:r>
            <w:proofErr w:type="spellStart"/>
            <w:r w:rsidRPr="00E71564">
              <w:rPr>
                <w:rFonts w:ascii="Times New Roman" w:hAnsi="Times New Roman"/>
                <w:lang w:val="en-GB"/>
              </w:rPr>
              <w:t>Acquis</w:t>
            </w:r>
            <w:proofErr w:type="spellEnd"/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</w:p>
          <w:p w:rsidR="003428BD" w:rsidRDefault="003428BD" w:rsidP="009F296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E71564">
              <w:rPr>
                <w:rFonts w:ascii="Times New Roman" w:hAnsi="Times New Roman"/>
                <w:lang w:val="en-GB"/>
              </w:rPr>
              <w:t xml:space="preserve">CELEX Nr. </w:t>
            </w:r>
            <w:r w:rsidR="00A55D28" w:rsidRPr="00A55D28">
              <w:rPr>
                <w:rFonts w:ascii="Times New Roman" w:hAnsi="Times New Roman"/>
                <w:color w:val="000000"/>
              </w:rPr>
              <w:t>32014L0058</w:t>
            </w:r>
            <w:r w:rsidR="005C553D">
              <w:rPr>
                <w:rFonts w:ascii="Times New Roman" w:hAnsi="Times New Roman"/>
                <w:color w:val="000000"/>
              </w:rPr>
              <w:t>;</w:t>
            </w:r>
            <w:r w:rsidR="00A55D28">
              <w:rPr>
                <w:rFonts w:ascii="Times New Roman" w:hAnsi="Times New Roman"/>
                <w:color w:val="000000"/>
              </w:rPr>
              <w:t xml:space="preserve">  C</w:t>
            </w:r>
            <w:r w:rsidR="00A55D28" w:rsidRPr="00A55D28">
              <w:rPr>
                <w:rFonts w:ascii="Times New Roman" w:hAnsi="Times New Roman"/>
              </w:rPr>
              <w:t xml:space="preserve">OMMISSION IMPLEMENTING DIRECTIVE 2014/58/EU of 16 April 2014 setting up,  pursuant to  Directive  2007/23/EC of  the  European Parliament and  of  the  Council, a system for the traceability of pyrotechnic articles </w:t>
            </w:r>
            <w:r w:rsidRPr="00E71564">
              <w:rPr>
                <w:rFonts w:ascii="Times New Roman" w:hAnsi="Times New Roman"/>
                <w:lang w:val="en-GB"/>
              </w:rPr>
              <w:t xml:space="preserve">Official Gazette; </w:t>
            </w:r>
            <w:r w:rsidRPr="00E71564">
              <w:rPr>
                <w:rFonts w:ascii="Times New Roman" w:hAnsi="Times New Roman"/>
                <w:color w:val="000000"/>
              </w:rPr>
              <w:t xml:space="preserve">L series, no. </w:t>
            </w:r>
            <w:r w:rsidR="00A55D28">
              <w:rPr>
                <w:rFonts w:ascii="Times New Roman" w:hAnsi="Times New Roman"/>
                <w:color w:val="000000"/>
              </w:rPr>
              <w:t>115</w:t>
            </w:r>
            <w:r w:rsidRPr="00E71564">
              <w:rPr>
                <w:rFonts w:ascii="Times New Roman" w:hAnsi="Times New Roman"/>
                <w:color w:val="000000"/>
              </w:rPr>
              <w:t xml:space="preserve">, dated </w:t>
            </w:r>
            <w:r w:rsidR="00A55D28">
              <w:rPr>
                <w:rFonts w:ascii="Times New Roman" w:hAnsi="Times New Roman"/>
                <w:color w:val="000000"/>
              </w:rPr>
              <w:t>16</w:t>
            </w:r>
            <w:r w:rsidRPr="00E71564">
              <w:rPr>
                <w:rFonts w:ascii="Times New Roman" w:hAnsi="Times New Roman"/>
                <w:color w:val="000000"/>
              </w:rPr>
              <w:t>.0</w:t>
            </w:r>
            <w:r w:rsidR="005C553D">
              <w:rPr>
                <w:rFonts w:ascii="Times New Roman" w:hAnsi="Times New Roman"/>
                <w:color w:val="000000"/>
              </w:rPr>
              <w:t>8</w:t>
            </w:r>
            <w:r w:rsidRPr="00E71564">
              <w:rPr>
                <w:rFonts w:ascii="Times New Roman" w:hAnsi="Times New Roman"/>
                <w:color w:val="000000"/>
              </w:rPr>
              <w:t>.201</w:t>
            </w:r>
            <w:r w:rsidR="00A55D28">
              <w:rPr>
                <w:rFonts w:ascii="Times New Roman" w:hAnsi="Times New Roman"/>
                <w:color w:val="000000"/>
              </w:rPr>
              <w:t>4</w:t>
            </w:r>
            <w:r w:rsidRPr="00E71564">
              <w:rPr>
                <w:rFonts w:ascii="Times New Roman" w:hAnsi="Times New Roman"/>
                <w:color w:val="000000"/>
              </w:rPr>
              <w:t xml:space="preserve">, pages </w:t>
            </w:r>
            <w:r w:rsidR="00A55D28">
              <w:rPr>
                <w:rFonts w:ascii="Times New Roman" w:hAnsi="Times New Roman"/>
                <w:color w:val="000000"/>
              </w:rPr>
              <w:t>28</w:t>
            </w:r>
            <w:r w:rsidRPr="00E71564">
              <w:rPr>
                <w:rFonts w:ascii="Times New Roman" w:hAnsi="Times New Roman"/>
                <w:color w:val="000000"/>
              </w:rPr>
              <w:t>–</w:t>
            </w:r>
            <w:r w:rsidR="00A55D28">
              <w:rPr>
                <w:rFonts w:ascii="Times New Roman" w:hAnsi="Times New Roman"/>
                <w:color w:val="000000"/>
              </w:rPr>
              <w:t>31</w:t>
            </w:r>
          </w:p>
          <w:p w:rsidR="00A55D28" w:rsidRPr="00E71564" w:rsidRDefault="00A55D28" w:rsidP="009F296B">
            <w:pPr>
              <w:pStyle w:val="NoSpacing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7272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Albanian Legislation</w:t>
            </w:r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</w:p>
          <w:p w:rsidR="003428BD" w:rsidRPr="00E71564" w:rsidRDefault="00A55D28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Council of Ministries </w:t>
            </w:r>
            <w:r w:rsidR="00692548" w:rsidRPr="00E71564">
              <w:rPr>
                <w:rFonts w:ascii="Times New Roman" w:hAnsi="Times New Roman"/>
                <w:lang w:val="en-GB"/>
              </w:rPr>
              <w:t>Draft</w:t>
            </w:r>
            <w:r w:rsidR="00692548">
              <w:rPr>
                <w:rFonts w:ascii="Times New Roman" w:hAnsi="Times New Roman"/>
                <w:lang w:val="en-GB"/>
              </w:rPr>
              <w:t xml:space="preserve">- </w:t>
            </w:r>
            <w:r>
              <w:rPr>
                <w:rFonts w:ascii="Times New Roman" w:hAnsi="Times New Roman"/>
                <w:lang w:val="en-GB"/>
              </w:rPr>
              <w:t>Decision</w:t>
            </w:r>
            <w:r w:rsidR="003428BD" w:rsidRPr="00E71564">
              <w:rPr>
                <w:rFonts w:ascii="Times New Roman" w:hAnsi="Times New Roman"/>
                <w:lang w:val="en-GB"/>
              </w:rPr>
              <w:t xml:space="preserve">  “</w:t>
            </w:r>
            <w:r>
              <w:rPr>
                <w:rFonts w:ascii="Times New Roman" w:hAnsi="Times New Roman"/>
                <w:lang w:val="en-GB"/>
              </w:rPr>
              <w:t xml:space="preserve">On the </w:t>
            </w:r>
            <w:r w:rsidRPr="00A55D28">
              <w:rPr>
                <w:rFonts w:ascii="Times New Roman" w:hAnsi="Times New Roman"/>
                <w:lang w:val="en-GB"/>
              </w:rPr>
              <w:t xml:space="preserve">approval of rules and procedures for the establishment of the pyrotechnical </w:t>
            </w:r>
            <w:r w:rsidR="0099237E">
              <w:rPr>
                <w:rFonts w:ascii="Times New Roman" w:hAnsi="Times New Roman"/>
                <w:lang w:val="en-GB"/>
              </w:rPr>
              <w:t>articles</w:t>
            </w:r>
            <w:r w:rsidRPr="00A55D28">
              <w:rPr>
                <w:rFonts w:ascii="Times New Roman" w:hAnsi="Times New Roman"/>
                <w:lang w:val="en-GB"/>
              </w:rPr>
              <w:t xml:space="preserve"> tracking system</w:t>
            </w:r>
            <w:r w:rsidR="003428BD" w:rsidRPr="00E71564">
              <w:rPr>
                <w:rFonts w:ascii="Times New Roman" w:hAnsi="Times New Roman"/>
                <w:lang w:val="en-GB"/>
              </w:rPr>
              <w:t>”</w:t>
            </w:r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  <w:lang w:val="en-GB"/>
              </w:rPr>
            </w:pPr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</w:rPr>
            </w:pPr>
            <w:r w:rsidRPr="00E71564">
              <w:rPr>
                <w:rFonts w:ascii="Times New Roman" w:hAnsi="Times New Roman"/>
              </w:rPr>
              <w:t>P - partial Compliance</w:t>
            </w:r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</w:rPr>
            </w:pPr>
          </w:p>
          <w:p w:rsidR="003428BD" w:rsidRPr="00E71564" w:rsidRDefault="003428BD" w:rsidP="009F296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428BD" w:rsidRPr="00E71564" w:rsidTr="009F296B">
        <w:trPr>
          <w:trHeight w:val="468"/>
          <w:jc w:val="center"/>
        </w:trPr>
        <w:tc>
          <w:tcPr>
            <w:tcW w:w="1843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10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260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485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7</w:t>
            </w:r>
          </w:p>
        </w:tc>
      </w:tr>
      <w:tr w:rsidR="003428BD" w:rsidRPr="00E71564" w:rsidTr="009F296B">
        <w:trPr>
          <w:trHeight w:val="251"/>
          <w:jc w:val="center"/>
        </w:trPr>
        <w:tc>
          <w:tcPr>
            <w:tcW w:w="1843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Article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Text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Reference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Article</w:t>
            </w:r>
          </w:p>
        </w:tc>
        <w:tc>
          <w:tcPr>
            <w:tcW w:w="2610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Content</w:t>
            </w:r>
          </w:p>
        </w:tc>
        <w:tc>
          <w:tcPr>
            <w:tcW w:w="1260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Conformity</w:t>
            </w:r>
          </w:p>
        </w:tc>
        <w:tc>
          <w:tcPr>
            <w:tcW w:w="1485" w:type="dxa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 w:rsidRPr="00E71564">
              <w:rPr>
                <w:rFonts w:ascii="Times New Roman" w:hAnsi="Times New Roman"/>
                <w:lang w:val="en-GB"/>
              </w:rPr>
              <w:t>Remarks</w:t>
            </w:r>
          </w:p>
        </w:tc>
      </w:tr>
      <w:tr w:rsidR="003428BD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3428BD" w:rsidRPr="00E71564" w:rsidRDefault="00A55D28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CD4" w:rsidRPr="00BC7CD4" w:rsidRDefault="00BC7CD4" w:rsidP="00A55D28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BC7CD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Registration number</w:t>
            </w:r>
          </w:p>
          <w:p w:rsidR="00BC7CD4" w:rsidRDefault="00BC7CD4" w:rsidP="00A55D2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3428BD" w:rsidRPr="00E71564" w:rsidRDefault="00692548" w:rsidP="00A55D2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1. </w:t>
            </w:r>
            <w:r w:rsid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="00A55D28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yrotechnic articles shall be labelled with a registration number comprising the following: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8BD" w:rsidRPr="00E71564" w:rsidRDefault="00A06D25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428BD" w:rsidRPr="00A06D25" w:rsidRDefault="0099237E" w:rsidP="0099237E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Labelling of p</w:t>
            </w:r>
            <w:r w:rsidR="00A06D25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yrotechnic articles with a registration number 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containing</w:t>
            </w:r>
            <w:r w:rsidR="00A06D25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following: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8BD" w:rsidRPr="00E71564" w:rsidRDefault="00F66376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428BD" w:rsidRPr="00E71564" w:rsidRDefault="003428BD" w:rsidP="009F296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5D28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A55D28" w:rsidRPr="00A55D28" w:rsidRDefault="00A55D28" w:rsidP="009F2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5D28" w:rsidRPr="00E71564" w:rsidRDefault="00BC7CD4" w:rsidP="00BC7CD4">
            <w:pPr>
              <w:pStyle w:val="Normal0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 </w:t>
            </w:r>
            <w:r w:rsidR="00A55D28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four-digit identification number of the notified body that has issued EC type-examination certificate in accord­ance with the conformity assessment procedure referred to in Article 9(a) of Directive 2007/23/EC (Module B), or certificate of conformity in accordance with the conformity assessments </w:t>
            </w:r>
            <w:r w:rsidR="00A55D28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procedure referred to in Article 9(b) of Dir­ective 2007/23/EC (Module G) or quality system approval in accordance with the conformity assessment procedure referred to in Article 9(c) of Directive 2007/23/EC (Module H);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28" w:rsidRPr="00E71564" w:rsidRDefault="00A55D28" w:rsidP="009F296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D28" w:rsidRPr="00E71564" w:rsidRDefault="00A55D28" w:rsidP="009F296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9237E" w:rsidRDefault="0099237E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A06D25" w:rsidRDefault="0099237E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a) 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four-digi</w:t>
            </w:r>
            <w:r w:rsid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 identification number of the N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otified </w:t>
            </w:r>
            <w:r w:rsid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European B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ody that has issued EC type-examination certificate in accordance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with the 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procedure referred to in Article 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law</w:t>
            </w:r>
            <w:r w:rsid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no.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73/2021 “</w:t>
            </w:r>
            <w:r w:rsidR="00BC7CD4" w:rsidRP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 placing into the market and surveillance of pyrotechnic articles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”</w:t>
            </w:r>
            <w:r w:rsidR="00A06D25"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;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i; </w:t>
            </w:r>
            <w:r w:rsidR="00BC7CD4" w:rsidRP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EU-type examination</w:t>
            </w: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(Module B),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ii; </w:t>
            </w:r>
            <w:r w:rsidR="00BC7CD4" w:rsidRP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Conformity based on unit verification </w:t>
            </w: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(Module G) </w:t>
            </w:r>
          </w:p>
          <w:p w:rsidR="00A55D28" w:rsidRP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iii; </w:t>
            </w:r>
            <w:r w:rsidR="00BC7CD4" w:rsidRPr="00BC7CD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Conformity based on full quality assurance </w:t>
            </w: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(Module H);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5D28" w:rsidRPr="00E71564" w:rsidRDefault="00F66376" w:rsidP="009F296B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55D28" w:rsidRPr="00E71564" w:rsidRDefault="00A55D28" w:rsidP="009F296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06D25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A06D25" w:rsidRDefault="00A06D25" w:rsidP="00A0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6D25" w:rsidRDefault="00A06D25" w:rsidP="001E488E">
            <w:pPr>
              <w:pStyle w:val="Normal0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category of the pyrotechnic article for which conformity is certified in abbreviated format, in upper case: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—  F1, F2, F3 or F4 for fireworks of category 1, 2, 3 and 4 respectively,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—  T1 or T2 for theatrical pyrotechnic articles of category T1 and T2 respectively,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—  P1 or P2 for other pyrotechnic articles of category P1 and P2 respectively;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25" w:rsidRDefault="00A06D25" w:rsidP="00A0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D25" w:rsidRPr="00E71564" w:rsidRDefault="00A06D25" w:rsidP="00A06D2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06D25" w:rsidRDefault="001E488E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b) </w:t>
            </w:r>
            <w:r w:rsidR="00A06D25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category of the pyrotechnic article for which conformity is certified in abbreviated format, in upper case: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—  F1, F2, F3 or F4 for fireworks of category 1, 2, 3 and 4 respectively,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—  T1 or T2 for theatrical pyrotechnic articles of category T1 and T2 respectively, </w:t>
            </w:r>
          </w:p>
          <w:p w:rsidR="00A06D25" w:rsidRDefault="00A06D25" w:rsidP="00A06D25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—  P1 or P2 for other pyrotechnic articles of category P1 and P2 respectively;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D25" w:rsidRPr="00E71564" w:rsidRDefault="00F66376" w:rsidP="00A06D2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06D25" w:rsidRPr="00E71564" w:rsidRDefault="00A06D25" w:rsidP="00A06D2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06D25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A06D25" w:rsidRDefault="00A06D25" w:rsidP="00A0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6D25" w:rsidRPr="00A55D28" w:rsidRDefault="00A06D25" w:rsidP="00376073">
            <w:pPr>
              <w:pStyle w:val="Normal0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</w:t>
            </w:r>
            <w:proofErr w:type="gramEnd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processing number used by the notified body for the pyrotechnic article.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25" w:rsidRDefault="00A06D25" w:rsidP="00A0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D25" w:rsidRPr="00E71564" w:rsidRDefault="00A06D25" w:rsidP="00A06D2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06D25" w:rsidRPr="00A55D28" w:rsidRDefault="00376073" w:rsidP="00376073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c) </w:t>
            </w:r>
            <w:proofErr w:type="gramStart"/>
            <w:r w:rsidR="00A06D25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</w:t>
            </w:r>
            <w:proofErr w:type="gramEnd"/>
            <w:r w:rsidR="00A06D25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processing number used by the notified body for the pyrotechnic article.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6D25" w:rsidRPr="00E71564" w:rsidRDefault="00F66376" w:rsidP="00A06D2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06D25" w:rsidRPr="00E71564" w:rsidRDefault="00A06D25" w:rsidP="00A06D2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5D28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A55D28" w:rsidRDefault="00A55D28" w:rsidP="00A55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5D28" w:rsidRPr="00A55D28" w:rsidRDefault="00692548" w:rsidP="00A55D2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</w:t>
            </w:r>
            <w:r w:rsidR="00A55D28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 registration number shall be structured as follows: ‘XXXX — YY — ZZZZ...’, where XXXX refers to point (a) </w:t>
            </w:r>
            <w:r w:rsidR="00A55D28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of paragraph 1, YY refers to point (b) of paragraph 1 and ZZZZ... refers to point (c) of paragraph 1.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28" w:rsidRDefault="00A55D28" w:rsidP="00A55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D28" w:rsidRPr="00E71564" w:rsidRDefault="00A06D25" w:rsidP="00A55D28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55D28" w:rsidRPr="00E71564" w:rsidRDefault="00692548" w:rsidP="00361C0C">
            <w:pPr>
              <w:widowControl w:val="0"/>
              <w:tabs>
                <w:tab w:val="left" w:pos="1070"/>
              </w:tabs>
              <w:autoSpaceDE w:val="0"/>
              <w:autoSpaceDN w:val="0"/>
              <w:ind w:left="93" w:right="1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2. </w:t>
            </w:r>
            <w:r w:rsidR="00A06D25">
              <w:rPr>
                <w:rFonts w:ascii="Times New Roman" w:hAnsi="Times New Roman"/>
                <w:lang w:val="en-GB"/>
              </w:rPr>
              <w:t>th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e registration number shall be structured as follows: </w:t>
            </w:r>
            <w:r w:rsidR="00A06D25" w:rsidRPr="00A55D28">
              <w:rPr>
                <w:rFonts w:ascii="Times New Roman" w:hAnsi="Times New Roman"/>
                <w:lang w:val="en-GB"/>
              </w:rPr>
              <w:lastRenderedPageBreak/>
              <w:t xml:space="preserve">‘XXXX — YY — ZZZZ...’, where XXXX refers to </w:t>
            </w:r>
            <w:r w:rsidR="00361C0C">
              <w:rPr>
                <w:rFonts w:ascii="Times New Roman" w:hAnsi="Times New Roman"/>
                <w:lang w:val="en-GB"/>
              </w:rPr>
              <w:t>letter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(a) of </w:t>
            </w:r>
            <w:r>
              <w:rPr>
                <w:rFonts w:ascii="Times New Roman" w:hAnsi="Times New Roman"/>
                <w:lang w:val="en-GB"/>
              </w:rPr>
              <w:t>point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1, YY refers to </w:t>
            </w:r>
            <w:r w:rsidR="00361C0C">
              <w:rPr>
                <w:rFonts w:ascii="Times New Roman" w:hAnsi="Times New Roman"/>
                <w:lang w:val="en-GB"/>
              </w:rPr>
              <w:t>letter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(b) of </w:t>
            </w:r>
            <w:r>
              <w:rPr>
                <w:rFonts w:ascii="Times New Roman" w:hAnsi="Times New Roman"/>
                <w:lang w:val="en-GB"/>
              </w:rPr>
              <w:t>point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1 and ZZZZ... refers to </w:t>
            </w:r>
            <w:r w:rsidR="00361C0C">
              <w:rPr>
                <w:rFonts w:ascii="Times New Roman" w:hAnsi="Times New Roman"/>
                <w:lang w:val="en-GB"/>
              </w:rPr>
              <w:t>letter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(c) of </w:t>
            </w:r>
            <w:r>
              <w:rPr>
                <w:rFonts w:ascii="Times New Roman" w:hAnsi="Times New Roman"/>
                <w:lang w:val="en-GB"/>
              </w:rPr>
              <w:t>point</w:t>
            </w:r>
            <w:r w:rsidR="00A06D25" w:rsidRPr="00A55D28">
              <w:rPr>
                <w:rFonts w:ascii="Times New Roman" w:hAnsi="Times New Roman"/>
                <w:lang w:val="en-GB"/>
              </w:rPr>
              <w:t xml:space="preserve"> </w:t>
            </w:r>
            <w:r w:rsidR="00A06D25">
              <w:rPr>
                <w:rFonts w:ascii="Times New Roman" w:hAnsi="Times New Roman"/>
                <w:lang w:val="en-GB"/>
              </w:rPr>
              <w:t xml:space="preserve">1 of this </w:t>
            </w:r>
            <w:r>
              <w:rPr>
                <w:rFonts w:ascii="Times New Roman" w:hAnsi="Times New Roman"/>
                <w:lang w:val="en-GB"/>
              </w:rPr>
              <w:t>Decision</w:t>
            </w:r>
            <w:r w:rsidR="00A06D25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55D28" w:rsidRPr="00E71564" w:rsidRDefault="00F66376" w:rsidP="00A55D28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55D28" w:rsidRPr="00E71564" w:rsidRDefault="00A55D28" w:rsidP="00A55D2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A55D28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Obligations of notified bodies </w:t>
            </w: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Notified bodies carrying  out  conformity  assessment procedures pursuant to  Article  9  of  Directive 2007/23/EC shall maintain a register of pyrotechnic articles, for which they have issued EC type-examination certificates in accord­ance with the conformity assessment procedure referred to in Article 9(a) of Directive 2007/23/EC (Module B), or certifi­cates  of  conformity  in  accordance with  the  conformity  assessment procedure referred  to  in  Article  9(b)  of  Directive 2007/23/EC (Module G) or quality system approvals in accordance with the conformity assessment procedure referred to in Article 9(c) of Directive 2007/23/EC (Module H); in the format set out in the Annex to this Directive. </w:t>
            </w: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register of pyrotechnic articles shall contain at least the information on the items set out in the Annex. That infor­mation shall be kept for at least 10 years from the date on which the notified bodies have issued certificates or approvals referred to in the first subparagraph. </w:t>
            </w: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Notified bodies shall regularly update the register and make it publicly available on the internet.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3B76D1" w:rsidP="003B76D1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Non-Compliance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3B76D1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4B7470" w:rsidRPr="004B7470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A55D28" w:rsidRDefault="003B76D1" w:rsidP="004B7470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 Where the notification of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gramStart"/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  conformity</w:t>
            </w:r>
            <w:proofErr w:type="gramEnd"/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assessment body  is  withdrawn, that  body  shall  transfer the  register to another notified body or the competent authority of the Member State concerned.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B7470" w:rsidRPr="004B7470" w:rsidRDefault="004B7470" w:rsidP="004B7470">
            <w:pPr>
              <w:widowControl w:val="0"/>
              <w:tabs>
                <w:tab w:val="left" w:pos="1070"/>
              </w:tabs>
              <w:autoSpaceDE w:val="0"/>
              <w:autoSpaceDN w:val="0"/>
              <w:ind w:left="93" w:right="118"/>
              <w:jc w:val="both"/>
              <w:rPr>
                <w:rFonts w:ascii="Times New Roman" w:hAnsi="Times New Roman"/>
                <w:lang w:val="en-GB"/>
              </w:rPr>
            </w:pPr>
          </w:p>
          <w:p w:rsidR="004B7470" w:rsidRPr="004B7470" w:rsidRDefault="004B7470" w:rsidP="004B7470">
            <w:pPr>
              <w:widowControl w:val="0"/>
              <w:tabs>
                <w:tab w:val="left" w:pos="1070"/>
              </w:tabs>
              <w:autoSpaceDE w:val="0"/>
              <w:autoSpaceDN w:val="0"/>
              <w:ind w:left="93" w:right="118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4B7470" w:rsidRDefault="003B76D1" w:rsidP="004B7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 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4B7470" w:rsidRDefault="003B76D1" w:rsidP="004B7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053" w:rsidRPr="00987053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87053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Obligations of manufacturers and importers </w:t>
            </w:r>
          </w:p>
          <w:p w:rsidR="00987053" w:rsidRDefault="00987053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Manufacturers and importers of pyrotechnic articles shall: </w:t>
            </w: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Pr="00A55D28" w:rsidRDefault="004B7470" w:rsidP="0035047D">
            <w:pPr>
              <w:pStyle w:val="Normal0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keep a record of all registration numbers of pyrotechnic articles manufactured or imported by them together  with their trade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name, generic type and subtype, if applicable, and the site of manufacture for at least 10 years after the article has been placed on the market;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2265E7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Manufacturers and importers of pyrotechnic articles shall: </w:t>
            </w:r>
          </w:p>
          <w:p w:rsidR="004B7470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4B7470" w:rsidRPr="00A55D28" w:rsidRDefault="004B7470" w:rsidP="00ED3D16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a.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keep a record of all registration numbers of pyrotechnic articles manufactured or imported by them together with their trade name, generic type and subtype, if applicable, and the site of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manufacture for 10 years after the article has been placed on the market</w:t>
            </w:r>
            <w:r w:rsidR="0035047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ac</w:t>
            </w:r>
            <w:r w:rsidR="00ED3D1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cording to the format defined in</w:t>
            </w:r>
            <w:r w:rsidR="0035047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Annex I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A55D28" w:rsidRDefault="004B7470" w:rsidP="003D0CB8">
            <w:pPr>
              <w:pStyle w:val="Normal0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transfer the record to the competent authorities in case the manufacturer or importer is ceasing its activity;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B7470" w:rsidRPr="00A55D28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b.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transfers the record to the competent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licensing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authorities in case the manufacturer or importer is ceasing its activity;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A55D28" w:rsidRDefault="004B7470" w:rsidP="003D0CB8">
            <w:pPr>
              <w:pStyle w:val="Normal0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provide</w:t>
            </w:r>
            <w:proofErr w:type="gramEnd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competent authorities and market surveillance authorities of all Member States, upon their reasoned request, with the information referred to in point (a).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B7470" w:rsidRPr="00A55D28" w:rsidRDefault="003D0CB8" w:rsidP="003D0CB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dh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</w:t>
            </w:r>
            <w:proofErr w:type="gramStart"/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provide</w:t>
            </w:r>
            <w:proofErr w:type="gramEnd"/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competent authorities and market surveillance authorities of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all Member States, upon their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request, with the information referred in </w:t>
            </w:r>
            <w:r w:rsidR="00F663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letter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(a)</w:t>
            </w:r>
            <w:r w:rsidR="00F6637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this point.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04554E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4554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Transposition </w:t>
            </w:r>
          </w:p>
          <w:p w:rsidR="0004554E" w:rsidRDefault="0004554E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04554E" w:rsidRDefault="0004554E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1. 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Member </w:t>
            </w:r>
            <w:r w:rsidR="00F6637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States shall adopt and publish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by </w:t>
            </w:r>
            <w:r w:rsidR="00F6637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30 </w:t>
            </w:r>
            <w:proofErr w:type="gramStart"/>
            <w:r w:rsidR="00F6637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April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2015</w:t>
            </w:r>
            <w:proofErr w:type="gramEnd"/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at  the latest, the  laws,  regulations and  administrative provisions necessary to comply with  this  Directive. They </w:t>
            </w:r>
            <w:r w:rsidR="00F6637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shall forthwith</w:t>
            </w:r>
            <w:r w:rsidR="004B7470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communicate to the Commission the text of those provisions. </w:t>
            </w:r>
          </w:p>
          <w:p w:rsidR="0004554E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They shall apply those provisions from 17 October 2016. </w:t>
            </w:r>
          </w:p>
          <w:p w:rsidR="004B7470" w:rsidRPr="00A55D28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When Member States adopt 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those provisions, they shall contain a reference to this Directive or be accompanied by such </w:t>
            </w:r>
            <w:proofErr w:type="gramStart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  reference</w:t>
            </w:r>
            <w:proofErr w:type="gramEnd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on  the  occasion of  their  official  publication. Member </w:t>
            </w:r>
            <w:r w:rsidR="00F756D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States </w:t>
            </w:r>
            <w:proofErr w:type="gramStart"/>
            <w:r w:rsidR="00F756D6"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shall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determine</w:t>
            </w:r>
            <w:proofErr w:type="gramEnd"/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how  such  reference is  to  be made. 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B7470" w:rsidRPr="00E71564" w:rsidRDefault="004B7470" w:rsidP="004B7470">
            <w:pPr>
              <w:widowControl w:val="0"/>
              <w:tabs>
                <w:tab w:val="left" w:pos="1070"/>
              </w:tabs>
              <w:autoSpaceDE w:val="0"/>
              <w:autoSpaceDN w:val="0"/>
              <w:ind w:left="360" w:right="118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Non-compliance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F66376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6376" w:rsidRPr="00A55D28" w:rsidRDefault="00F66376" w:rsidP="00F66376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455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</w:t>
            </w: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Member States shall communicate to the Commission the text of the main provisions of national law which they adopt in the field covered by this Directive.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66376" w:rsidRPr="00E71564" w:rsidRDefault="00F66376" w:rsidP="00F66376">
            <w:pPr>
              <w:widowControl w:val="0"/>
              <w:tabs>
                <w:tab w:val="left" w:pos="1070"/>
              </w:tabs>
              <w:autoSpaceDE w:val="0"/>
              <w:autoSpaceDN w:val="0"/>
              <w:ind w:left="360" w:right="118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Non-compliance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F66376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6376" w:rsidRPr="00C83E50" w:rsidRDefault="00F66376" w:rsidP="00F66376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C83E50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Entry into force</w:t>
            </w:r>
          </w:p>
          <w:p w:rsidR="00C83E50" w:rsidRDefault="00C83E50" w:rsidP="00F66376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F66376" w:rsidRPr="00A55D28" w:rsidRDefault="00F66376" w:rsidP="00F66376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55D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This Directive shall enter into force on the twentieth day following that of its publication in the Official Journal of the European Union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66376" w:rsidRPr="00E71564" w:rsidRDefault="00F66376" w:rsidP="00F66376">
            <w:pPr>
              <w:widowControl w:val="0"/>
              <w:tabs>
                <w:tab w:val="left" w:pos="1070"/>
              </w:tabs>
              <w:autoSpaceDE w:val="0"/>
              <w:autoSpaceDN w:val="0"/>
              <w:ind w:left="360" w:right="118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Non-compliance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F66376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6376" w:rsidRPr="00A55D28" w:rsidRDefault="00F66376" w:rsidP="00F66376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This Directive is addressed to the Member States.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76" w:rsidRDefault="00F66376" w:rsidP="00F663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66376" w:rsidRPr="00E71564" w:rsidRDefault="00F66376" w:rsidP="00F66376">
            <w:pPr>
              <w:widowControl w:val="0"/>
              <w:tabs>
                <w:tab w:val="left" w:pos="1070"/>
              </w:tabs>
              <w:autoSpaceDE w:val="0"/>
              <w:autoSpaceDN w:val="0"/>
              <w:ind w:left="360" w:right="118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Non-compliance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66376" w:rsidRPr="00E71564" w:rsidRDefault="00F66376" w:rsidP="00F66376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Relevant for member states</w:t>
            </w:r>
          </w:p>
        </w:tc>
      </w:tr>
      <w:tr w:rsidR="004B7470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  <w:r w:rsidRPr="00A06D25">
              <w:rPr>
                <w:rFonts w:ascii="Times New Roman" w:hAnsi="Times New Roman"/>
                <w:lang w:val="en-GB"/>
              </w:rPr>
              <w:t>ANNEX</w:t>
            </w:r>
            <w:r w:rsidR="00C83E50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7470" w:rsidRPr="00A06D25" w:rsidRDefault="004B7470" w:rsidP="004B7470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Register format referred to in Article 2(1)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70" w:rsidRDefault="004B7470" w:rsidP="004B7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470" w:rsidRPr="00E71564" w:rsidRDefault="001344D5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 w:rsidRPr="00A06D25">
              <w:rPr>
                <w:rFonts w:ascii="Times New Roman" w:hAnsi="Times New Roman"/>
                <w:lang w:val="en-GB"/>
              </w:rPr>
              <w:t>ANNEX</w:t>
            </w:r>
            <w:r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B7470" w:rsidRPr="00E71564" w:rsidRDefault="00E97BFC" w:rsidP="00E97BFC">
            <w:pPr>
              <w:widowControl w:val="0"/>
              <w:tabs>
                <w:tab w:val="left" w:pos="1070"/>
              </w:tabs>
              <w:autoSpaceDE w:val="0"/>
              <w:autoSpaceDN w:val="0"/>
              <w:ind w:left="360" w:right="118" w:hanging="360"/>
              <w:jc w:val="both"/>
              <w:rPr>
                <w:rFonts w:ascii="Times New Roman" w:hAnsi="Times New Roman"/>
              </w:rPr>
            </w:pPr>
            <w:r w:rsidRPr="00A06D25">
              <w:rPr>
                <w:rFonts w:ascii="Times New Roman" w:hAnsi="Times New Roman"/>
                <w:lang w:val="en-GB"/>
              </w:rPr>
              <w:t xml:space="preserve">Register format referred to in </w:t>
            </w:r>
            <w:r>
              <w:rPr>
                <w:rFonts w:ascii="Times New Roman" w:hAnsi="Times New Roman"/>
                <w:lang w:val="en-GB"/>
              </w:rPr>
              <w:t>Point 3</w:t>
            </w:r>
            <w:bookmarkStart w:id="0" w:name="_GoBack"/>
            <w:bookmarkEnd w:id="0"/>
            <w:r w:rsidRPr="00A06D25">
              <w:rPr>
                <w:rFonts w:ascii="Times New Roman" w:hAnsi="Times New Roman"/>
                <w:lang w:val="en-GB"/>
              </w:rPr>
              <w:t>(1)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7470" w:rsidRPr="00E71564" w:rsidRDefault="00F66376" w:rsidP="004B747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B7470" w:rsidRPr="00E71564" w:rsidRDefault="004B7470" w:rsidP="004B747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981B41" w:rsidRPr="00E71564" w:rsidTr="00A55D28">
        <w:trPr>
          <w:trHeight w:val="838"/>
          <w:jc w:val="center"/>
        </w:trPr>
        <w:tc>
          <w:tcPr>
            <w:tcW w:w="1843" w:type="dxa"/>
            <w:vAlign w:val="center"/>
          </w:tcPr>
          <w:p w:rsidR="00981B41" w:rsidRPr="00A06D25" w:rsidRDefault="00981B41" w:rsidP="00981B4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FAF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Registration number</w:t>
            </w:r>
          </w:p>
          <w:p w:rsidR="00525FAF" w:rsidRDefault="00525FAF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Date of issue of EC type- examination certificate (Module B), certificate of conformity (Module G) or quality system approval (Module H) and date of </w:t>
            </w: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expiry where applicable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Manufacturer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Type of product (generic) and subtype if applicable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Production phase conformity module(1)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Notified body undertaking production phase conformity assessment(1)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Additional information       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Pr="00952B50" w:rsidRDefault="00952B50" w:rsidP="00952B50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/>
              <w:spacing w:before="240" w:after="24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6D25">
              <w:rPr>
                <w:rFonts w:ascii="Times New Roman" w:hAnsi="Times New Roman"/>
                <w:lang w:val="en-GB"/>
              </w:rPr>
              <w:t xml:space="preserve">(1)   Always has to be filled in if under responsibility of the notified body carrying out conformity assessment procedure referred to in Article 9(a) of Directive 2007/23/EC (Module B). Not required for conformity assessment procedures referred to in Article 9(b) and (c) (Modules G and H). Information shall be given (where known) if another notified body is involved.   </w:t>
            </w: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52B50" w:rsidRP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981B41" w:rsidRP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41" w:rsidRPr="00952B50" w:rsidRDefault="00981B41" w:rsidP="00981B41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B41" w:rsidRPr="00952B50" w:rsidRDefault="00981B41" w:rsidP="00981B41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525FAF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Registration number</w:t>
            </w:r>
          </w:p>
          <w:p w:rsidR="00525FAF" w:rsidRDefault="00525FAF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Date of issue of EC type- examination certificate (Module B), certificate of conformity (Module G) or quality system approval </w:t>
            </w: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(Module H) and date of expiry where applicable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952B50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Manufacturer </w:t>
            </w:r>
          </w:p>
          <w:p w:rsidR="00952B50" w:rsidRDefault="00952B50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BC760F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Type of product (generic) and subtype if applicable </w:t>
            </w:r>
          </w:p>
          <w:p w:rsidR="00BC760F" w:rsidRDefault="00BC760F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BC760F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Production phase conformity module(1) </w:t>
            </w:r>
          </w:p>
          <w:p w:rsidR="00BC760F" w:rsidRDefault="00BC760F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BC760F" w:rsidRDefault="00981B41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Notified body undertaking production phase conformity assessment(1) </w:t>
            </w:r>
          </w:p>
          <w:p w:rsidR="00BC760F" w:rsidRDefault="00BC760F" w:rsidP="00981B41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BC760F" w:rsidRDefault="00981B41" w:rsidP="00BC760F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06D2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Additional information        </w:t>
            </w:r>
          </w:p>
          <w:p w:rsidR="00981B41" w:rsidRPr="00A06D25" w:rsidRDefault="00BC760F" w:rsidP="00BC760F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/>
              <w:spacing w:before="240" w:after="240" w:line="240" w:lineRule="auto"/>
              <w:jc w:val="both"/>
              <w:textAlignment w:val="baseline"/>
              <w:rPr>
                <w:rFonts w:ascii="Times New Roman" w:hAnsi="Times New Roman"/>
                <w:lang w:val="en-GB"/>
              </w:rPr>
            </w:pPr>
            <w:r w:rsidRPr="00A06D25">
              <w:rPr>
                <w:rFonts w:ascii="Times New Roman" w:hAnsi="Times New Roman"/>
                <w:lang w:val="en-GB"/>
              </w:rPr>
              <w:t>(1)   Always has to be filled in if under responsibility of the notified body carrying out conformity assessment procedure referred to in Article 9(a) of Directive 2007/23/EC (Module B). Not required for conformity assessment procedures referred to in Article 9(b) and (c) (Modules G and H). Information shall be given (where known) if another notified body is involved.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1B41" w:rsidRPr="00E71564" w:rsidRDefault="00981B41" w:rsidP="00981B41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full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81B41" w:rsidRPr="00E71564" w:rsidRDefault="00981B41" w:rsidP="00981B4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796652" w:rsidRPr="00E71564" w:rsidRDefault="00796652">
      <w:pPr>
        <w:rPr>
          <w:rFonts w:ascii="Times New Roman" w:hAnsi="Times New Roman"/>
        </w:rPr>
      </w:pPr>
    </w:p>
    <w:sectPr w:rsidR="00796652" w:rsidRPr="00E71564" w:rsidSect="003428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59" w:rsidRDefault="00844B59" w:rsidP="00E71564">
      <w:pPr>
        <w:spacing w:after="0" w:line="240" w:lineRule="auto"/>
      </w:pPr>
      <w:r>
        <w:separator/>
      </w:r>
    </w:p>
  </w:endnote>
  <w:endnote w:type="continuationSeparator" w:id="0">
    <w:p w:rsidR="00844B59" w:rsidRDefault="00844B59" w:rsidP="00E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59" w:rsidRDefault="00844B59" w:rsidP="00E71564">
      <w:pPr>
        <w:spacing w:after="0" w:line="240" w:lineRule="auto"/>
      </w:pPr>
      <w:r>
        <w:separator/>
      </w:r>
    </w:p>
  </w:footnote>
  <w:footnote w:type="continuationSeparator" w:id="0">
    <w:p w:rsidR="00844B59" w:rsidRDefault="00844B59" w:rsidP="00E7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AF08377C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74429FB4"/>
    <w:lvl w:ilvl="0" w:tplc="041C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F"/>
    <w:multiLevelType w:val="hybridMultilevel"/>
    <w:tmpl w:val="7627211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6"/>
    <w:multiLevelType w:val="hybridMultilevel"/>
    <w:tmpl w:val="00885E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9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F"/>
    <w:multiLevelType w:val="hybridMultilevel"/>
    <w:tmpl w:val="BFBAFBDA"/>
    <w:lvl w:ilvl="0" w:tplc="04090017">
      <w:start w:val="1"/>
      <w:numFmt w:val="lowerLetter"/>
      <w:lvlText w:val="%1)"/>
      <w:lvlJc w:val="left"/>
      <w:pPr>
        <w:ind w:left="990" w:firstLine="0"/>
      </w:pPr>
    </w:lvl>
    <w:lvl w:ilvl="1" w:tplc="FFFFFFFF">
      <w:start w:val="1"/>
      <w:numFmt w:val="bullet"/>
      <w:lvlText w:val=""/>
      <w:lvlJc w:val="left"/>
      <w:pPr>
        <w:ind w:left="990" w:firstLine="0"/>
      </w:pPr>
    </w:lvl>
    <w:lvl w:ilvl="2" w:tplc="FFFFFFFF">
      <w:start w:val="1"/>
      <w:numFmt w:val="bullet"/>
      <w:lvlText w:val=""/>
      <w:lvlJc w:val="left"/>
      <w:pPr>
        <w:ind w:left="990" w:firstLine="0"/>
      </w:pPr>
    </w:lvl>
    <w:lvl w:ilvl="3" w:tplc="FFFFFFFF">
      <w:start w:val="1"/>
      <w:numFmt w:val="bullet"/>
      <w:lvlText w:val=""/>
      <w:lvlJc w:val="left"/>
      <w:pPr>
        <w:ind w:left="990" w:firstLine="0"/>
      </w:pPr>
    </w:lvl>
    <w:lvl w:ilvl="4" w:tplc="FFFFFFFF">
      <w:start w:val="1"/>
      <w:numFmt w:val="bullet"/>
      <w:lvlText w:val=""/>
      <w:lvlJc w:val="left"/>
      <w:pPr>
        <w:ind w:left="990" w:firstLine="0"/>
      </w:pPr>
    </w:lvl>
    <w:lvl w:ilvl="5" w:tplc="FFFFFFFF">
      <w:start w:val="1"/>
      <w:numFmt w:val="bullet"/>
      <w:lvlText w:val=""/>
      <w:lvlJc w:val="left"/>
      <w:pPr>
        <w:ind w:left="990" w:firstLine="0"/>
      </w:pPr>
    </w:lvl>
    <w:lvl w:ilvl="6" w:tplc="FFFFFFFF">
      <w:start w:val="1"/>
      <w:numFmt w:val="bullet"/>
      <w:lvlText w:val=""/>
      <w:lvlJc w:val="left"/>
      <w:pPr>
        <w:ind w:left="990" w:firstLine="0"/>
      </w:pPr>
    </w:lvl>
    <w:lvl w:ilvl="7" w:tplc="FFFFFFFF">
      <w:start w:val="1"/>
      <w:numFmt w:val="bullet"/>
      <w:lvlText w:val=""/>
      <w:lvlJc w:val="left"/>
      <w:pPr>
        <w:ind w:left="990" w:firstLine="0"/>
      </w:pPr>
    </w:lvl>
    <w:lvl w:ilvl="8" w:tplc="FFFFFFFF">
      <w:start w:val="1"/>
      <w:numFmt w:val="bullet"/>
      <w:lvlText w:val=""/>
      <w:lvlJc w:val="left"/>
      <w:pPr>
        <w:ind w:left="990" w:firstLine="0"/>
      </w:pPr>
    </w:lvl>
  </w:abstractNum>
  <w:abstractNum w:abstractNumId="6">
    <w:nsid w:val="00000052"/>
    <w:multiLevelType w:val="hybridMultilevel"/>
    <w:tmpl w:val="2A155DB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2"/>
    <w:multiLevelType w:val="hybridMultilevel"/>
    <w:tmpl w:val="4427069A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4"/>
    <w:multiLevelType w:val="hybridMultilevel"/>
    <w:tmpl w:val="2157F6B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2331678"/>
    <w:multiLevelType w:val="multilevel"/>
    <w:tmpl w:val="D272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0238546B"/>
    <w:multiLevelType w:val="multilevel"/>
    <w:tmpl w:val="AE149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904B4D"/>
    <w:multiLevelType w:val="hybridMultilevel"/>
    <w:tmpl w:val="3D9E36E0"/>
    <w:lvl w:ilvl="0" w:tplc="041C001B">
      <w:start w:val="1"/>
      <w:numFmt w:val="lowerRoman"/>
      <w:lvlText w:val="%1."/>
      <w:lvlJc w:val="right"/>
      <w:pPr>
        <w:ind w:left="90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A1A3127"/>
    <w:multiLevelType w:val="multilevel"/>
    <w:tmpl w:val="AD5E8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3876DA"/>
    <w:multiLevelType w:val="hybridMultilevel"/>
    <w:tmpl w:val="1DD02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45764"/>
    <w:multiLevelType w:val="multilevel"/>
    <w:tmpl w:val="DB26D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0F798C"/>
    <w:multiLevelType w:val="hybridMultilevel"/>
    <w:tmpl w:val="3ECEADE2"/>
    <w:lvl w:ilvl="0" w:tplc="2932ED9E">
      <w:start w:val="1"/>
      <w:numFmt w:val="lowerLetter"/>
      <w:lvlText w:val="%1)"/>
      <w:lvlJc w:val="left"/>
      <w:pPr>
        <w:ind w:left="81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384" w:hanging="360"/>
      </w:pPr>
    </w:lvl>
    <w:lvl w:ilvl="2" w:tplc="041C001B" w:tentative="1">
      <w:start w:val="1"/>
      <w:numFmt w:val="lowerRoman"/>
      <w:lvlText w:val="%3."/>
      <w:lvlJc w:val="right"/>
      <w:pPr>
        <w:ind w:left="2104" w:hanging="180"/>
      </w:pPr>
    </w:lvl>
    <w:lvl w:ilvl="3" w:tplc="041C000F" w:tentative="1">
      <w:start w:val="1"/>
      <w:numFmt w:val="decimal"/>
      <w:lvlText w:val="%4."/>
      <w:lvlJc w:val="left"/>
      <w:pPr>
        <w:ind w:left="2824" w:hanging="360"/>
      </w:pPr>
    </w:lvl>
    <w:lvl w:ilvl="4" w:tplc="041C0019" w:tentative="1">
      <w:start w:val="1"/>
      <w:numFmt w:val="lowerLetter"/>
      <w:lvlText w:val="%5."/>
      <w:lvlJc w:val="left"/>
      <w:pPr>
        <w:ind w:left="3544" w:hanging="360"/>
      </w:pPr>
    </w:lvl>
    <w:lvl w:ilvl="5" w:tplc="041C001B" w:tentative="1">
      <w:start w:val="1"/>
      <w:numFmt w:val="lowerRoman"/>
      <w:lvlText w:val="%6."/>
      <w:lvlJc w:val="right"/>
      <w:pPr>
        <w:ind w:left="4264" w:hanging="180"/>
      </w:pPr>
    </w:lvl>
    <w:lvl w:ilvl="6" w:tplc="041C000F" w:tentative="1">
      <w:start w:val="1"/>
      <w:numFmt w:val="decimal"/>
      <w:lvlText w:val="%7."/>
      <w:lvlJc w:val="left"/>
      <w:pPr>
        <w:ind w:left="4984" w:hanging="360"/>
      </w:pPr>
    </w:lvl>
    <w:lvl w:ilvl="7" w:tplc="041C0019" w:tentative="1">
      <w:start w:val="1"/>
      <w:numFmt w:val="lowerLetter"/>
      <w:lvlText w:val="%8."/>
      <w:lvlJc w:val="left"/>
      <w:pPr>
        <w:ind w:left="5704" w:hanging="360"/>
      </w:pPr>
    </w:lvl>
    <w:lvl w:ilvl="8" w:tplc="041C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>
    <w:nsid w:val="0E226C3A"/>
    <w:multiLevelType w:val="hybridMultilevel"/>
    <w:tmpl w:val="BCA0C91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F512B3"/>
    <w:multiLevelType w:val="hybridMultilevel"/>
    <w:tmpl w:val="A4B4300C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>
      <w:start w:val="1"/>
      <w:numFmt w:val="lowerLetter"/>
      <w:lvlText w:val="%2."/>
      <w:lvlJc w:val="left"/>
      <w:pPr>
        <w:ind w:left="1170" w:hanging="360"/>
      </w:pPr>
    </w:lvl>
    <w:lvl w:ilvl="2" w:tplc="041C001B">
      <w:start w:val="1"/>
      <w:numFmt w:val="lowerRoman"/>
      <w:lvlText w:val="%3."/>
      <w:lvlJc w:val="right"/>
      <w:pPr>
        <w:ind w:left="1890" w:hanging="180"/>
      </w:pPr>
    </w:lvl>
    <w:lvl w:ilvl="3" w:tplc="041C000F">
      <w:start w:val="1"/>
      <w:numFmt w:val="decimal"/>
      <w:lvlText w:val="%4."/>
      <w:lvlJc w:val="left"/>
      <w:pPr>
        <w:ind w:left="2610" w:hanging="360"/>
      </w:pPr>
    </w:lvl>
    <w:lvl w:ilvl="4" w:tplc="041C0019">
      <w:start w:val="1"/>
      <w:numFmt w:val="lowerLetter"/>
      <w:lvlText w:val="%5."/>
      <w:lvlJc w:val="left"/>
      <w:pPr>
        <w:ind w:left="3330" w:hanging="360"/>
      </w:pPr>
    </w:lvl>
    <w:lvl w:ilvl="5" w:tplc="041C001B">
      <w:start w:val="1"/>
      <w:numFmt w:val="lowerRoman"/>
      <w:lvlText w:val="%6."/>
      <w:lvlJc w:val="right"/>
      <w:pPr>
        <w:ind w:left="4050" w:hanging="180"/>
      </w:pPr>
    </w:lvl>
    <w:lvl w:ilvl="6" w:tplc="041C000F">
      <w:start w:val="1"/>
      <w:numFmt w:val="decimal"/>
      <w:lvlText w:val="%7."/>
      <w:lvlJc w:val="left"/>
      <w:pPr>
        <w:ind w:left="4770" w:hanging="360"/>
      </w:pPr>
    </w:lvl>
    <w:lvl w:ilvl="7" w:tplc="041C0019">
      <w:start w:val="1"/>
      <w:numFmt w:val="lowerLetter"/>
      <w:lvlText w:val="%8."/>
      <w:lvlJc w:val="left"/>
      <w:pPr>
        <w:ind w:left="5490" w:hanging="360"/>
      </w:pPr>
    </w:lvl>
    <w:lvl w:ilvl="8" w:tplc="041C001B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113E2ABC"/>
    <w:multiLevelType w:val="hybridMultilevel"/>
    <w:tmpl w:val="0D04A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E2721"/>
    <w:multiLevelType w:val="hybridMultilevel"/>
    <w:tmpl w:val="D95E6FE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30525"/>
    <w:multiLevelType w:val="hybridMultilevel"/>
    <w:tmpl w:val="E2C8C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F248AF"/>
    <w:multiLevelType w:val="hybridMultilevel"/>
    <w:tmpl w:val="5EFC6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C3520C"/>
    <w:multiLevelType w:val="multilevel"/>
    <w:tmpl w:val="D00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6C232E"/>
    <w:multiLevelType w:val="multilevel"/>
    <w:tmpl w:val="856C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E50761"/>
    <w:multiLevelType w:val="multilevel"/>
    <w:tmpl w:val="AB265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CA4721"/>
    <w:multiLevelType w:val="hybridMultilevel"/>
    <w:tmpl w:val="E59E6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032F1A"/>
    <w:multiLevelType w:val="multilevel"/>
    <w:tmpl w:val="6F1C1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13F61"/>
    <w:multiLevelType w:val="hybridMultilevel"/>
    <w:tmpl w:val="F894CD6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3A1D8C"/>
    <w:multiLevelType w:val="hybridMultilevel"/>
    <w:tmpl w:val="9C10B188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6265D9"/>
    <w:multiLevelType w:val="hybridMultilevel"/>
    <w:tmpl w:val="0C22B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5D7F8A"/>
    <w:multiLevelType w:val="multilevel"/>
    <w:tmpl w:val="55343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8A3B69"/>
    <w:multiLevelType w:val="multilevel"/>
    <w:tmpl w:val="F158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300111"/>
    <w:multiLevelType w:val="multilevel"/>
    <w:tmpl w:val="45E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4330A"/>
    <w:multiLevelType w:val="hybridMultilevel"/>
    <w:tmpl w:val="A4B4300C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>
      <w:start w:val="1"/>
      <w:numFmt w:val="lowerLetter"/>
      <w:lvlText w:val="%2."/>
      <w:lvlJc w:val="left"/>
      <w:pPr>
        <w:ind w:left="1170" w:hanging="360"/>
      </w:pPr>
    </w:lvl>
    <w:lvl w:ilvl="2" w:tplc="041C001B">
      <w:start w:val="1"/>
      <w:numFmt w:val="lowerRoman"/>
      <w:lvlText w:val="%3."/>
      <w:lvlJc w:val="right"/>
      <w:pPr>
        <w:ind w:left="1890" w:hanging="180"/>
      </w:pPr>
    </w:lvl>
    <w:lvl w:ilvl="3" w:tplc="041C000F">
      <w:start w:val="1"/>
      <w:numFmt w:val="decimal"/>
      <w:lvlText w:val="%4."/>
      <w:lvlJc w:val="left"/>
      <w:pPr>
        <w:ind w:left="2610" w:hanging="360"/>
      </w:pPr>
    </w:lvl>
    <w:lvl w:ilvl="4" w:tplc="041C0019">
      <w:start w:val="1"/>
      <w:numFmt w:val="lowerLetter"/>
      <w:lvlText w:val="%5."/>
      <w:lvlJc w:val="left"/>
      <w:pPr>
        <w:ind w:left="3330" w:hanging="360"/>
      </w:pPr>
    </w:lvl>
    <w:lvl w:ilvl="5" w:tplc="041C001B">
      <w:start w:val="1"/>
      <w:numFmt w:val="lowerRoman"/>
      <w:lvlText w:val="%6."/>
      <w:lvlJc w:val="right"/>
      <w:pPr>
        <w:ind w:left="4050" w:hanging="180"/>
      </w:pPr>
    </w:lvl>
    <w:lvl w:ilvl="6" w:tplc="041C000F">
      <w:start w:val="1"/>
      <w:numFmt w:val="decimal"/>
      <w:lvlText w:val="%7."/>
      <w:lvlJc w:val="left"/>
      <w:pPr>
        <w:ind w:left="4770" w:hanging="360"/>
      </w:pPr>
    </w:lvl>
    <w:lvl w:ilvl="7" w:tplc="041C0019">
      <w:start w:val="1"/>
      <w:numFmt w:val="lowerLetter"/>
      <w:lvlText w:val="%8."/>
      <w:lvlJc w:val="left"/>
      <w:pPr>
        <w:ind w:left="5490" w:hanging="360"/>
      </w:pPr>
    </w:lvl>
    <w:lvl w:ilvl="8" w:tplc="041C001B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324B182C"/>
    <w:multiLevelType w:val="multilevel"/>
    <w:tmpl w:val="30C4186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851D7C"/>
    <w:multiLevelType w:val="multilevel"/>
    <w:tmpl w:val="9E4EA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F72CD0"/>
    <w:multiLevelType w:val="hybridMultilevel"/>
    <w:tmpl w:val="C788523A"/>
    <w:lvl w:ilvl="0" w:tplc="041C001B">
      <w:start w:val="1"/>
      <w:numFmt w:val="lowerRoman"/>
      <w:lvlText w:val="%1."/>
      <w:lvlJc w:val="righ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035B7E"/>
    <w:multiLevelType w:val="hybridMultilevel"/>
    <w:tmpl w:val="3DA8C1E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BB6A75"/>
    <w:multiLevelType w:val="hybridMultilevel"/>
    <w:tmpl w:val="6004F6B8"/>
    <w:lvl w:ilvl="0" w:tplc="9C9EBF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946417"/>
    <w:multiLevelType w:val="multilevel"/>
    <w:tmpl w:val="186A2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8F00FF"/>
    <w:multiLevelType w:val="hybridMultilevel"/>
    <w:tmpl w:val="915E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EC7513"/>
    <w:multiLevelType w:val="hybridMultilevel"/>
    <w:tmpl w:val="6064754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36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292FC4"/>
    <w:multiLevelType w:val="hybridMultilevel"/>
    <w:tmpl w:val="69263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E31553"/>
    <w:multiLevelType w:val="hybridMultilevel"/>
    <w:tmpl w:val="852689E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B605873"/>
    <w:multiLevelType w:val="hybridMultilevel"/>
    <w:tmpl w:val="9F04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3A0961"/>
    <w:multiLevelType w:val="hybridMultilevel"/>
    <w:tmpl w:val="16DAF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771F6E"/>
    <w:multiLevelType w:val="hybridMultilevel"/>
    <w:tmpl w:val="58F6389C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36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8F03E0"/>
    <w:multiLevelType w:val="hybridMultilevel"/>
    <w:tmpl w:val="B9EC2440"/>
    <w:lvl w:ilvl="0" w:tplc="14F69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78258B"/>
    <w:multiLevelType w:val="hybridMultilevel"/>
    <w:tmpl w:val="DC32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F329F7"/>
    <w:multiLevelType w:val="hybridMultilevel"/>
    <w:tmpl w:val="9F54C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3A3A15"/>
    <w:multiLevelType w:val="hybridMultilevel"/>
    <w:tmpl w:val="53BE3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B33E67"/>
    <w:multiLevelType w:val="multilevel"/>
    <w:tmpl w:val="66E25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5D150D"/>
    <w:multiLevelType w:val="multilevel"/>
    <w:tmpl w:val="91E45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B057CD"/>
    <w:multiLevelType w:val="hybridMultilevel"/>
    <w:tmpl w:val="20CECB2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BB7570"/>
    <w:multiLevelType w:val="multilevel"/>
    <w:tmpl w:val="3DE4B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63405C80"/>
    <w:multiLevelType w:val="hybridMultilevel"/>
    <w:tmpl w:val="E034BF92"/>
    <w:lvl w:ilvl="0" w:tplc="86A00B9C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D70E4B"/>
    <w:multiLevelType w:val="hybridMultilevel"/>
    <w:tmpl w:val="43FEBB16"/>
    <w:lvl w:ilvl="0" w:tplc="E7CE4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4171402"/>
    <w:multiLevelType w:val="multilevel"/>
    <w:tmpl w:val="A3BC0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0D7BE6"/>
    <w:multiLevelType w:val="hybridMultilevel"/>
    <w:tmpl w:val="8198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FF157D"/>
    <w:multiLevelType w:val="multilevel"/>
    <w:tmpl w:val="0BBC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7B85A53"/>
    <w:multiLevelType w:val="hybridMultilevel"/>
    <w:tmpl w:val="C788523A"/>
    <w:lvl w:ilvl="0" w:tplc="041C001B">
      <w:start w:val="1"/>
      <w:numFmt w:val="lowerRoman"/>
      <w:lvlText w:val="%1."/>
      <w:lvlJc w:val="righ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F56D25"/>
    <w:multiLevelType w:val="multilevel"/>
    <w:tmpl w:val="DC5E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C7769B"/>
    <w:multiLevelType w:val="hybridMultilevel"/>
    <w:tmpl w:val="87DC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CB289E"/>
    <w:multiLevelType w:val="multilevel"/>
    <w:tmpl w:val="C1EA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>
    <w:nsid w:val="6F641714"/>
    <w:multiLevelType w:val="multilevel"/>
    <w:tmpl w:val="0EF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C05568"/>
    <w:multiLevelType w:val="hybridMultilevel"/>
    <w:tmpl w:val="53484B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022D60"/>
    <w:multiLevelType w:val="hybridMultilevel"/>
    <w:tmpl w:val="DF9C108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45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7D06E0"/>
    <w:multiLevelType w:val="hybridMultilevel"/>
    <w:tmpl w:val="ADECBDB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65586B"/>
    <w:multiLevelType w:val="multilevel"/>
    <w:tmpl w:val="AF18E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9601E3"/>
    <w:multiLevelType w:val="multilevel"/>
    <w:tmpl w:val="378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8D090A"/>
    <w:multiLevelType w:val="multilevel"/>
    <w:tmpl w:val="EAE63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5D07B50"/>
    <w:multiLevelType w:val="hybridMultilevel"/>
    <w:tmpl w:val="384C3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0F418D"/>
    <w:multiLevelType w:val="hybridMultilevel"/>
    <w:tmpl w:val="CF9E61A8"/>
    <w:lvl w:ilvl="0" w:tplc="041C0017">
      <w:start w:val="1"/>
      <w:numFmt w:val="lowerLetter"/>
      <w:lvlText w:val="%1)"/>
      <w:lvlJc w:val="left"/>
      <w:pPr>
        <w:ind w:left="45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996DD5"/>
    <w:multiLevelType w:val="hybridMultilevel"/>
    <w:tmpl w:val="5F7448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7C649AF"/>
    <w:multiLevelType w:val="hybridMultilevel"/>
    <w:tmpl w:val="DD2EEC1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5773A5"/>
    <w:multiLevelType w:val="hybridMultilevel"/>
    <w:tmpl w:val="B5981AF6"/>
    <w:lvl w:ilvl="0" w:tplc="97204E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382FE8"/>
    <w:multiLevelType w:val="hybridMultilevel"/>
    <w:tmpl w:val="F6B65D9E"/>
    <w:lvl w:ilvl="0" w:tplc="895874E0">
      <w:start w:val="1"/>
      <w:numFmt w:val="decimal"/>
      <w:lvlText w:val="%1."/>
      <w:lvlJc w:val="left"/>
      <w:pPr>
        <w:ind w:left="360" w:hanging="360"/>
      </w:pPr>
    </w:lvl>
    <w:lvl w:ilvl="1" w:tplc="0188F91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36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BAE0821"/>
    <w:multiLevelType w:val="multilevel"/>
    <w:tmpl w:val="FA72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5F3C25"/>
    <w:multiLevelType w:val="multilevel"/>
    <w:tmpl w:val="195C4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74584B"/>
    <w:multiLevelType w:val="hybridMultilevel"/>
    <w:tmpl w:val="F10C232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55"/>
  </w:num>
  <w:num w:numId="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</w:num>
  <w:num w:numId="19">
    <w:abstractNumId w:val="28"/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"/>
  </w:num>
  <w:num w:numId="29">
    <w:abstractNumId w:val="73"/>
  </w:num>
  <w:num w:numId="30">
    <w:abstractNumId w:val="44"/>
  </w:num>
  <w:num w:numId="31">
    <w:abstractNumId w:val="58"/>
  </w:num>
  <w:num w:numId="32">
    <w:abstractNumId w:val="79"/>
  </w:num>
  <w:num w:numId="33">
    <w:abstractNumId w:val="18"/>
  </w:num>
  <w:num w:numId="34">
    <w:abstractNumId w:val="20"/>
  </w:num>
  <w:num w:numId="35">
    <w:abstractNumId w:val="29"/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42"/>
  </w:num>
  <w:num w:numId="39">
    <w:abstractNumId w:val="40"/>
  </w:num>
  <w:num w:numId="40">
    <w:abstractNumId w:val="48"/>
  </w:num>
  <w:num w:numId="41">
    <w:abstractNumId w:val="21"/>
  </w:num>
  <w:num w:numId="42">
    <w:abstractNumId w:val="53"/>
  </w:num>
  <w:num w:numId="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9"/>
  </w:num>
  <w:num w:numId="69">
    <w:abstractNumId w:val="56"/>
  </w:num>
  <w:num w:numId="70">
    <w:abstractNumId w:val="54"/>
  </w:num>
  <w:num w:numId="71">
    <w:abstractNumId w:val="65"/>
  </w:num>
  <w:num w:numId="72">
    <w:abstractNumId w:val="37"/>
  </w:num>
  <w:num w:numId="73">
    <w:abstractNumId w:val="62"/>
  </w:num>
  <w:num w:numId="74">
    <w:abstractNumId w:val="8"/>
  </w:num>
  <w:num w:numId="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5"/>
  </w:num>
  <w:num w:numId="77">
    <w:abstractNumId w:val="13"/>
  </w:num>
  <w:num w:numId="78">
    <w:abstractNumId w:val="49"/>
  </w:num>
  <w:num w:numId="79">
    <w:abstractNumId w:val="71"/>
  </w:num>
  <w:num w:numId="80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BD"/>
    <w:rsid w:val="00036DFB"/>
    <w:rsid w:val="0004554E"/>
    <w:rsid w:val="00071C31"/>
    <w:rsid w:val="000C0C4A"/>
    <w:rsid w:val="000D2BC9"/>
    <w:rsid w:val="001344D5"/>
    <w:rsid w:val="00144A66"/>
    <w:rsid w:val="001E488E"/>
    <w:rsid w:val="002265E7"/>
    <w:rsid w:val="002A686C"/>
    <w:rsid w:val="00303AFC"/>
    <w:rsid w:val="003428BD"/>
    <w:rsid w:val="0035047D"/>
    <w:rsid w:val="00361C0C"/>
    <w:rsid w:val="00376073"/>
    <w:rsid w:val="003B76D1"/>
    <w:rsid w:val="003D0CB8"/>
    <w:rsid w:val="004B7470"/>
    <w:rsid w:val="004D184D"/>
    <w:rsid w:val="00525FAF"/>
    <w:rsid w:val="00586B21"/>
    <w:rsid w:val="005C553D"/>
    <w:rsid w:val="0065753A"/>
    <w:rsid w:val="00692548"/>
    <w:rsid w:val="006C0D8A"/>
    <w:rsid w:val="00761A50"/>
    <w:rsid w:val="00796652"/>
    <w:rsid w:val="00844B59"/>
    <w:rsid w:val="00883C88"/>
    <w:rsid w:val="00952B50"/>
    <w:rsid w:val="00981B41"/>
    <w:rsid w:val="00987053"/>
    <w:rsid w:val="0099237E"/>
    <w:rsid w:val="009B08D8"/>
    <w:rsid w:val="009F296B"/>
    <w:rsid w:val="00A06D25"/>
    <w:rsid w:val="00A55D28"/>
    <w:rsid w:val="00B83F8A"/>
    <w:rsid w:val="00BC760F"/>
    <w:rsid w:val="00BC7CD4"/>
    <w:rsid w:val="00C55382"/>
    <w:rsid w:val="00C83E50"/>
    <w:rsid w:val="00DE251D"/>
    <w:rsid w:val="00E71564"/>
    <w:rsid w:val="00E72303"/>
    <w:rsid w:val="00E97BFC"/>
    <w:rsid w:val="00ED3D16"/>
    <w:rsid w:val="00F66376"/>
    <w:rsid w:val="00F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B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8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28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B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28BD"/>
    <w:rPr>
      <w:rFonts w:ascii="Times New Roman" w:eastAsia="Times New Roman" w:hAnsi="Times New Roman" w:cs="Times New Roman"/>
      <w:bCs/>
      <w:sz w:val="28"/>
      <w:szCs w:val="28"/>
      <w:lang w:val="it-IT"/>
    </w:rPr>
  </w:style>
  <w:style w:type="paragraph" w:customStyle="1" w:styleId="Normal0">
    <w:name w:val="[Normal]"/>
    <w:link w:val="NormalChar"/>
    <w:rsid w:val="003428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NormalChar">
    <w:name w:val="[Normal] Char"/>
    <w:link w:val="Normal0"/>
    <w:rsid w:val="003428BD"/>
    <w:rPr>
      <w:rFonts w:ascii="Arial" w:eastAsia="Calibri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428BD"/>
  </w:style>
  <w:style w:type="paragraph" w:styleId="NoSpacing">
    <w:name w:val="No Spacing"/>
    <w:uiPriority w:val="1"/>
    <w:qFormat/>
    <w:rsid w:val="003428B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428BD"/>
    <w:pPr>
      <w:ind w:left="720"/>
      <w:contextualSpacing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8BD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428B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8B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8BD"/>
    <w:pPr>
      <w:spacing w:after="0" w:line="240" w:lineRule="auto"/>
    </w:pPr>
    <w:rPr>
      <w:rFonts w:eastAsia="Times New Roman"/>
      <w:sz w:val="20"/>
      <w:szCs w:val="20"/>
      <w:lang w:val="sq-AL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8BD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3428BD"/>
    <w:rPr>
      <w:vertAlign w:val="superscript"/>
    </w:rPr>
  </w:style>
  <w:style w:type="paragraph" w:customStyle="1" w:styleId="Normal1">
    <w:name w:val="Normal1"/>
    <w:basedOn w:val="Normal"/>
    <w:rsid w:val="003428BD"/>
    <w:pPr>
      <w:spacing w:before="109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italic">
    <w:name w:val="italic"/>
    <w:rsid w:val="003428BD"/>
    <w:rPr>
      <w:i/>
      <w:iCs/>
    </w:rPr>
  </w:style>
  <w:style w:type="character" w:customStyle="1" w:styleId="bold">
    <w:name w:val="bold"/>
    <w:basedOn w:val="DefaultParagraphFont"/>
    <w:rsid w:val="003428BD"/>
  </w:style>
  <w:style w:type="paragraph" w:customStyle="1" w:styleId="Default">
    <w:name w:val="Default"/>
    <w:rsid w:val="003428B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q-AL"/>
    </w:rPr>
  </w:style>
  <w:style w:type="paragraph" w:styleId="BodyText">
    <w:name w:val="Body Text"/>
    <w:basedOn w:val="Normal"/>
    <w:link w:val="BodyTextChar"/>
    <w:uiPriority w:val="1"/>
    <w:qFormat/>
    <w:rsid w:val="003428BD"/>
    <w:pPr>
      <w:widowControl w:val="0"/>
      <w:autoSpaceDE w:val="0"/>
      <w:autoSpaceDN w:val="0"/>
      <w:spacing w:after="0" w:line="240" w:lineRule="auto"/>
    </w:pPr>
    <w:rPr>
      <w:rFonts w:ascii="PMingLiU" w:eastAsia="PMingLiU" w:hAnsi="PMingLiU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428BD"/>
    <w:rPr>
      <w:rFonts w:ascii="PMingLiU" w:eastAsia="PMingLiU" w:hAnsi="PMingLiU" w:cs="Times New Roman"/>
      <w:sz w:val="19"/>
      <w:szCs w:val="19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28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28BD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Normal10">
    <w:name w:val="Normal1"/>
    <w:basedOn w:val="Normal"/>
    <w:rsid w:val="003428BD"/>
    <w:pPr>
      <w:spacing w:before="109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rsid w:val="00342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8B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3428B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D"/>
    <w:rPr>
      <w:rFonts w:ascii="Segoe UI" w:eastAsia="Calibri" w:hAnsi="Segoe UI" w:cs="Times New Roman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8BD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8BD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M1">
    <w:name w:val="CM1"/>
    <w:basedOn w:val="Default"/>
    <w:next w:val="Default"/>
    <w:uiPriority w:val="99"/>
    <w:rsid w:val="003428BD"/>
    <w:rPr>
      <w:rFonts w:cs="Arial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6C0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gclearfix">
    <w:name w:val="legclearfix"/>
    <w:basedOn w:val="Normal"/>
    <w:rsid w:val="00E71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A5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B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8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28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B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28BD"/>
    <w:rPr>
      <w:rFonts w:ascii="Times New Roman" w:eastAsia="Times New Roman" w:hAnsi="Times New Roman" w:cs="Times New Roman"/>
      <w:bCs/>
      <w:sz w:val="28"/>
      <w:szCs w:val="28"/>
      <w:lang w:val="it-IT"/>
    </w:rPr>
  </w:style>
  <w:style w:type="paragraph" w:customStyle="1" w:styleId="Normal0">
    <w:name w:val="[Normal]"/>
    <w:link w:val="NormalChar"/>
    <w:rsid w:val="003428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NormalChar">
    <w:name w:val="[Normal] Char"/>
    <w:link w:val="Normal0"/>
    <w:rsid w:val="003428BD"/>
    <w:rPr>
      <w:rFonts w:ascii="Arial" w:eastAsia="Calibri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428BD"/>
  </w:style>
  <w:style w:type="paragraph" w:styleId="NoSpacing">
    <w:name w:val="No Spacing"/>
    <w:uiPriority w:val="1"/>
    <w:qFormat/>
    <w:rsid w:val="003428B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428BD"/>
    <w:pPr>
      <w:ind w:left="720"/>
      <w:contextualSpacing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8BD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428B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8B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8BD"/>
    <w:pPr>
      <w:spacing w:after="0" w:line="240" w:lineRule="auto"/>
    </w:pPr>
    <w:rPr>
      <w:rFonts w:eastAsia="Times New Roman"/>
      <w:sz w:val="20"/>
      <w:szCs w:val="20"/>
      <w:lang w:val="sq-AL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8BD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3428BD"/>
    <w:rPr>
      <w:vertAlign w:val="superscript"/>
    </w:rPr>
  </w:style>
  <w:style w:type="paragraph" w:customStyle="1" w:styleId="Normal1">
    <w:name w:val="Normal1"/>
    <w:basedOn w:val="Normal"/>
    <w:rsid w:val="003428BD"/>
    <w:pPr>
      <w:spacing w:before="109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italic">
    <w:name w:val="italic"/>
    <w:rsid w:val="003428BD"/>
    <w:rPr>
      <w:i/>
      <w:iCs/>
    </w:rPr>
  </w:style>
  <w:style w:type="character" w:customStyle="1" w:styleId="bold">
    <w:name w:val="bold"/>
    <w:basedOn w:val="DefaultParagraphFont"/>
    <w:rsid w:val="003428BD"/>
  </w:style>
  <w:style w:type="paragraph" w:customStyle="1" w:styleId="Default">
    <w:name w:val="Default"/>
    <w:rsid w:val="003428B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q-AL"/>
    </w:rPr>
  </w:style>
  <w:style w:type="paragraph" w:styleId="BodyText">
    <w:name w:val="Body Text"/>
    <w:basedOn w:val="Normal"/>
    <w:link w:val="BodyTextChar"/>
    <w:uiPriority w:val="1"/>
    <w:qFormat/>
    <w:rsid w:val="003428BD"/>
    <w:pPr>
      <w:widowControl w:val="0"/>
      <w:autoSpaceDE w:val="0"/>
      <w:autoSpaceDN w:val="0"/>
      <w:spacing w:after="0" w:line="240" w:lineRule="auto"/>
    </w:pPr>
    <w:rPr>
      <w:rFonts w:ascii="PMingLiU" w:eastAsia="PMingLiU" w:hAnsi="PMingLiU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428BD"/>
    <w:rPr>
      <w:rFonts w:ascii="PMingLiU" w:eastAsia="PMingLiU" w:hAnsi="PMingLiU" w:cs="Times New Roman"/>
      <w:sz w:val="19"/>
      <w:szCs w:val="19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28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28BD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Normal10">
    <w:name w:val="Normal1"/>
    <w:basedOn w:val="Normal"/>
    <w:rsid w:val="003428BD"/>
    <w:pPr>
      <w:spacing w:before="109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rsid w:val="00342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8B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3428B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D"/>
    <w:rPr>
      <w:rFonts w:ascii="Segoe UI" w:eastAsia="Calibri" w:hAnsi="Segoe UI" w:cs="Times New Roman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8BD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8BD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M1">
    <w:name w:val="CM1"/>
    <w:basedOn w:val="Default"/>
    <w:next w:val="Default"/>
    <w:uiPriority w:val="99"/>
    <w:rsid w:val="003428BD"/>
    <w:rPr>
      <w:rFonts w:cs="Arial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6C0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gclearfix">
    <w:name w:val="legclearfix"/>
    <w:basedOn w:val="Normal"/>
    <w:rsid w:val="00E71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A5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Hodaj</dc:creator>
  <cp:keywords/>
  <dc:description/>
  <cp:lastModifiedBy>Sp2 Mbeshtetje Ligjore Usht</cp:lastModifiedBy>
  <cp:revision>26</cp:revision>
  <dcterms:created xsi:type="dcterms:W3CDTF">2021-07-22T12:43:00Z</dcterms:created>
  <dcterms:modified xsi:type="dcterms:W3CDTF">2021-08-05T09:56:00Z</dcterms:modified>
</cp:coreProperties>
</file>