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15B42" w14:textId="77777777" w:rsidR="00F9548F" w:rsidRPr="000F0607" w:rsidRDefault="00F9548F" w:rsidP="00F9548F">
      <w:pPr>
        <w:spacing w:after="0"/>
        <w:jc w:val="center"/>
        <w:rPr>
          <w:rFonts w:ascii="Times New Roman" w:hAnsi="Times New Roman"/>
          <w:b/>
          <w:color w:val="000000"/>
          <w:sz w:val="28"/>
          <w:szCs w:val="28"/>
        </w:rPr>
      </w:pPr>
      <w:r w:rsidRPr="000F0607">
        <w:rPr>
          <w:rFonts w:ascii="Times New Roman" w:hAnsi="Times New Roman"/>
          <w:b/>
          <w:color w:val="000000"/>
          <w:sz w:val="28"/>
          <w:szCs w:val="28"/>
        </w:rPr>
        <w:t>RELACION</w:t>
      </w:r>
    </w:p>
    <w:p w14:paraId="7706D44E" w14:textId="77777777" w:rsidR="00F9548F" w:rsidRPr="000F0607" w:rsidRDefault="00F9548F" w:rsidP="00F9548F">
      <w:pPr>
        <w:spacing w:after="0"/>
        <w:jc w:val="center"/>
        <w:rPr>
          <w:rFonts w:ascii="Times New Roman" w:hAnsi="Times New Roman"/>
          <w:b/>
          <w:color w:val="000000"/>
          <w:sz w:val="28"/>
          <w:szCs w:val="28"/>
        </w:rPr>
      </w:pPr>
    </w:p>
    <w:p w14:paraId="5C0BB2AA" w14:textId="77777777" w:rsidR="00F9548F" w:rsidRPr="000F0607" w:rsidRDefault="00F9548F" w:rsidP="00F9548F">
      <w:pPr>
        <w:spacing w:after="0"/>
        <w:jc w:val="center"/>
        <w:rPr>
          <w:rFonts w:ascii="Times New Roman" w:hAnsi="Times New Roman"/>
          <w:b/>
          <w:color w:val="000000"/>
          <w:sz w:val="28"/>
          <w:szCs w:val="28"/>
        </w:rPr>
      </w:pPr>
      <w:r w:rsidRPr="000F0607">
        <w:rPr>
          <w:rFonts w:ascii="Times New Roman" w:hAnsi="Times New Roman"/>
          <w:b/>
          <w:color w:val="000000"/>
          <w:sz w:val="28"/>
          <w:szCs w:val="28"/>
        </w:rPr>
        <w:t>PËR PROJEKTLIGJIN</w:t>
      </w:r>
    </w:p>
    <w:p w14:paraId="47D20730" w14:textId="77777777" w:rsidR="00F9548F" w:rsidRPr="000F0607" w:rsidRDefault="00F9548F" w:rsidP="00F9548F">
      <w:pPr>
        <w:spacing w:after="0"/>
        <w:jc w:val="center"/>
        <w:rPr>
          <w:rFonts w:ascii="Times New Roman" w:hAnsi="Times New Roman"/>
          <w:b/>
          <w:color w:val="000000"/>
          <w:sz w:val="28"/>
          <w:szCs w:val="28"/>
        </w:rPr>
      </w:pPr>
    </w:p>
    <w:p w14:paraId="5F6A97B3" w14:textId="77777777" w:rsidR="00F9548F" w:rsidRPr="000F0607" w:rsidRDefault="00F9548F" w:rsidP="00F9548F">
      <w:pPr>
        <w:jc w:val="center"/>
        <w:rPr>
          <w:rFonts w:ascii="Times New Roman" w:hAnsi="Times New Roman"/>
          <w:b/>
          <w:sz w:val="28"/>
          <w:szCs w:val="28"/>
          <w:u w:val="single"/>
        </w:rPr>
      </w:pPr>
      <w:r w:rsidRPr="000F0607">
        <w:rPr>
          <w:rFonts w:ascii="Times New Roman" w:hAnsi="Times New Roman"/>
          <w:b/>
          <w:sz w:val="28"/>
          <w:szCs w:val="28"/>
          <w:u w:val="single"/>
        </w:rPr>
        <w:t xml:space="preserve">PËR </w:t>
      </w:r>
    </w:p>
    <w:p w14:paraId="174A9103" w14:textId="77777777" w:rsidR="007749B8" w:rsidRPr="000F0607" w:rsidRDefault="0098201E" w:rsidP="007749B8">
      <w:pPr>
        <w:jc w:val="center"/>
        <w:rPr>
          <w:rFonts w:ascii="Times New Roman" w:hAnsi="Times New Roman"/>
          <w:b/>
          <w:sz w:val="28"/>
          <w:szCs w:val="28"/>
          <w:u w:val="single"/>
        </w:rPr>
      </w:pPr>
      <w:r w:rsidRPr="000F0607">
        <w:rPr>
          <w:rFonts w:ascii="Times New Roman" w:hAnsi="Times New Roman"/>
          <w:b/>
          <w:sz w:val="28"/>
          <w:szCs w:val="28"/>
          <w:u w:val="single"/>
        </w:rPr>
        <w:t>PËR MBROJTJEN E TË DHËNAVE PERSONALE</w:t>
      </w:r>
    </w:p>
    <w:p w14:paraId="22A9D18B" w14:textId="77777777" w:rsidR="00F9548F" w:rsidRPr="000F0607" w:rsidRDefault="00F9548F" w:rsidP="00F9548F">
      <w:pPr>
        <w:jc w:val="both"/>
        <w:rPr>
          <w:rFonts w:ascii="Times New Roman" w:hAnsi="Times New Roman"/>
          <w:sz w:val="28"/>
          <w:szCs w:val="28"/>
        </w:rPr>
      </w:pPr>
      <w:r w:rsidRPr="000F0607">
        <w:rPr>
          <w:rFonts w:ascii="Times New Roman" w:hAnsi="Times New Roman"/>
          <w:b/>
          <w:color w:val="000000"/>
          <w:sz w:val="28"/>
          <w:szCs w:val="28"/>
        </w:rPr>
        <w:t>I.</w:t>
      </w:r>
      <w:r w:rsidRPr="000F0607">
        <w:rPr>
          <w:rFonts w:ascii="Times New Roman" w:hAnsi="Times New Roman"/>
          <w:b/>
          <w:color w:val="000000"/>
          <w:sz w:val="28"/>
          <w:szCs w:val="28"/>
        </w:rPr>
        <w:tab/>
        <w:t>QËLLIMI I PROJEKTAKTIT DHE OBJEKTIVAT QË SYNOHEN TË ARRIHEN</w:t>
      </w:r>
    </w:p>
    <w:p w14:paraId="67D896D6" w14:textId="2503B403"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Mbrojtja e të dhënave personale, është një e drejtë</w:t>
      </w:r>
      <w:r w:rsidR="001011B7">
        <w:rPr>
          <w:rFonts w:ascii="Times New Roman" w:hAnsi="Times New Roman"/>
          <w:sz w:val="28"/>
          <w:szCs w:val="28"/>
        </w:rPr>
        <w:t xml:space="preserve"> themelore e individit</w:t>
      </w:r>
      <w:r w:rsidRPr="000F0607">
        <w:rPr>
          <w:rFonts w:ascii="Times New Roman" w:hAnsi="Times New Roman"/>
          <w:sz w:val="28"/>
          <w:szCs w:val="28"/>
        </w:rPr>
        <w:t xml:space="preserve"> e parashikuar në nenin 35 të Kushtetutës së Republikës së Shqipërisë. Kuadri ligjor shqiptar për mbrojtjen e të dhënave personale, përbëhet nga ligji nr.9887, datë 10.03.2008</w:t>
      </w:r>
      <w:r w:rsidR="00B254A0" w:rsidRPr="000F0607">
        <w:rPr>
          <w:rFonts w:ascii="Times New Roman" w:hAnsi="Times New Roman"/>
          <w:sz w:val="28"/>
          <w:szCs w:val="28"/>
        </w:rPr>
        <w:t xml:space="preserve"> “</w:t>
      </w:r>
      <w:r w:rsidRPr="000F0607">
        <w:rPr>
          <w:rFonts w:ascii="Times New Roman" w:hAnsi="Times New Roman"/>
          <w:sz w:val="28"/>
          <w:szCs w:val="28"/>
        </w:rPr>
        <w:t>Për mbrojtjen e të dhënave personale</w:t>
      </w:r>
      <w:r w:rsidR="00B254A0" w:rsidRPr="000F0607">
        <w:rPr>
          <w:rFonts w:ascii="Times New Roman" w:hAnsi="Times New Roman"/>
          <w:sz w:val="28"/>
          <w:szCs w:val="28"/>
        </w:rPr>
        <w:t>”</w:t>
      </w:r>
      <w:r w:rsidRPr="000F0607">
        <w:rPr>
          <w:rFonts w:ascii="Times New Roman" w:hAnsi="Times New Roman"/>
          <w:sz w:val="28"/>
          <w:szCs w:val="28"/>
        </w:rPr>
        <w:t xml:space="preserve">, i ndryshuar (në vijim “ligji për mbrojtjen e të dhënave personale”) dhe aktet nënligjore të tij, i përafruar në mënyrë të plotë me Direktivën 95/46/EC të Bashkimit Evropian (në vijim “BE”). </w:t>
      </w:r>
    </w:p>
    <w:p w14:paraId="7B1F8BAC" w14:textId="77777777" w:rsidR="00B254A0" w:rsidRPr="000F0607" w:rsidRDefault="00B254A0" w:rsidP="0098201E">
      <w:pPr>
        <w:spacing w:after="0"/>
        <w:jc w:val="both"/>
        <w:rPr>
          <w:rFonts w:ascii="Times New Roman" w:hAnsi="Times New Roman"/>
          <w:sz w:val="28"/>
          <w:szCs w:val="28"/>
        </w:rPr>
      </w:pPr>
    </w:p>
    <w:p w14:paraId="043E2FF6" w14:textId="77777777" w:rsidR="00B254A0"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Në janar të vitit 2012, Komisioni Evropian propozoi një tërësi masash ligjore, me qëllim përditësimin dhe modernizimin e normave të Direktivës 95/46/EC mbi mbrojtjen e të dhënave dhe të vendimit kuadër 2008/977/JHA në lidhje me mbrojtjen e të dhënave të përpunuara në kuadër të bashkëpunimit policor dhe gjyqësor në fushën penale. </w:t>
      </w:r>
      <w:r w:rsidR="00B254A0" w:rsidRPr="000F0607">
        <w:rPr>
          <w:rFonts w:ascii="Times New Roman" w:hAnsi="Times New Roman"/>
          <w:sz w:val="28"/>
          <w:szCs w:val="28"/>
        </w:rPr>
        <w:t xml:space="preserve">Në këtë kuadër është miratuar dhe ka hyrë në fuqi </w:t>
      </w:r>
      <w:r w:rsidRPr="000F0607">
        <w:rPr>
          <w:rFonts w:ascii="Times New Roman" w:hAnsi="Times New Roman"/>
          <w:sz w:val="28"/>
          <w:szCs w:val="28"/>
        </w:rPr>
        <w:t>Rregullorja (BE) 2016/679 e Parlamentit Evropian dhe e Këshillit e datës 27 prill 2016 mbi mbrojtjen e personave fizikë në lidhje me përpunimin e të dhënave personale dhe për lëvizjen e lirë të këtyre të dhënave dhe shfuqizimin e Direktivës 95/46/EC (në vijim “GDP</w:t>
      </w:r>
      <w:r w:rsidR="00B254A0" w:rsidRPr="000F0607">
        <w:rPr>
          <w:rFonts w:ascii="Times New Roman" w:hAnsi="Times New Roman"/>
          <w:sz w:val="28"/>
          <w:szCs w:val="28"/>
        </w:rPr>
        <w:t>R”).</w:t>
      </w:r>
    </w:p>
    <w:p w14:paraId="60C2A830"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 </w:t>
      </w:r>
    </w:p>
    <w:p w14:paraId="26BB1FA4"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Kjo reformë synon të krijojë një tërësi rregullash të njëtrajtshme në gjithë Bashkimin Evropian, të përshtatura për epokën digjitale, me qëllim përmirësimin e sigurisë juridike dhe përforcimin e besimit të qytetarëve dhe ndërmarrjeve tek tregu unik digjital. Qëllimi kryesor i GDPR, është t'u japë individëve më shumë kontroll mbi të dhënat e tyre personale dhe të thjeshtojë mjedisin rregullator për biznesin ndërkombëtar dhe administratën publike duke unifikuar rregulloren brenda BE.  </w:t>
      </w:r>
    </w:p>
    <w:p w14:paraId="73B9A720" w14:textId="77777777" w:rsidR="00B254A0" w:rsidRPr="000F0607" w:rsidRDefault="00B254A0" w:rsidP="0098201E">
      <w:pPr>
        <w:spacing w:after="0"/>
        <w:jc w:val="both"/>
        <w:rPr>
          <w:rFonts w:ascii="Times New Roman" w:hAnsi="Times New Roman"/>
          <w:sz w:val="28"/>
          <w:szCs w:val="28"/>
        </w:rPr>
      </w:pPr>
    </w:p>
    <w:p w14:paraId="344D5A95"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Reforma gjithashtu përfshin edhe Direktivën që ka të bëjë me mbrojtjen e personave fizikë në lidhje me përpunimin e të dhënave personale nga autoritetet </w:t>
      </w:r>
      <w:r w:rsidRPr="000F0607">
        <w:rPr>
          <w:rFonts w:ascii="Times New Roman" w:hAnsi="Times New Roman"/>
          <w:sz w:val="28"/>
          <w:szCs w:val="28"/>
        </w:rPr>
        <w:lastRenderedPageBreak/>
        <w:t>kompetente për qëllimet e parandalimit, hetimit, zbulimit dhe ndjekjes të veprave penale ose ekzekutimin e dënimeve penale, dhe lëvizjen e lirë të të dhënave të tilla (në vijim Direktiva) dhe shfuqizimit të vendimit 2008/977/JHA të Këshillit.</w:t>
      </w:r>
    </w:p>
    <w:p w14:paraId="1698C599" w14:textId="77777777" w:rsidR="00B254A0" w:rsidRPr="000F0607" w:rsidRDefault="00B254A0" w:rsidP="0098201E">
      <w:pPr>
        <w:spacing w:after="0"/>
        <w:jc w:val="both"/>
        <w:rPr>
          <w:rFonts w:ascii="Times New Roman" w:hAnsi="Times New Roman"/>
          <w:sz w:val="28"/>
          <w:szCs w:val="28"/>
        </w:rPr>
      </w:pPr>
    </w:p>
    <w:p w14:paraId="7DE12C49" w14:textId="3D058DCD"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Nevoja për përafrimin e legjislacionit në fuqi për mbrojtjen e të dhënave personale me acquis të BE në këtë fushë, është e rëndësishme me qëllim që qytetarëve shqiptarë t’u garantohen standardet më të larta evropiane në fushën e mbrojtjes së të dhënave personale në një kohë kur përpunimi i të dhënave personale në epokën digjitale është shumëfishuar. </w:t>
      </w:r>
    </w:p>
    <w:p w14:paraId="426CE514" w14:textId="77777777" w:rsidR="00B254A0" w:rsidRPr="000F0607" w:rsidRDefault="00B254A0" w:rsidP="0098201E">
      <w:pPr>
        <w:spacing w:after="0"/>
        <w:jc w:val="both"/>
        <w:rPr>
          <w:rFonts w:ascii="Times New Roman" w:hAnsi="Times New Roman"/>
          <w:sz w:val="28"/>
          <w:szCs w:val="28"/>
        </w:rPr>
      </w:pPr>
    </w:p>
    <w:p w14:paraId="669D1425" w14:textId="356DA405"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Në këtë k</w:t>
      </w:r>
      <w:bookmarkStart w:id="0" w:name="_GoBack"/>
      <w:bookmarkEnd w:id="0"/>
      <w:r w:rsidRPr="000F0607">
        <w:rPr>
          <w:rFonts w:ascii="Times New Roman" w:hAnsi="Times New Roman"/>
          <w:sz w:val="28"/>
          <w:szCs w:val="28"/>
        </w:rPr>
        <w:t xml:space="preserve">ontekst, për vetë rëndësinë që mbart reforma e BE për mbrojtjen e të dhënave personale, si dhe në kuadër të procesit të integrimit evropian, si një detyrim që buron nga Marrëveshja e Stabilizim Asociimit, Zyra e Komisionerit për të Drejtën e Informimit dhe Mbrojtjen e të Dhënave Personale (në vijim “Zyra e Komisionerit”), me mbështetjen e ekspertëve të projektit të binjakëzimit “Mbështetje institucionit për përafrimin e legjislacionit mbi mbrojtjen e të dhënave personale me acquis-in e Bashkimit Evropian” që po asiston institucionin në këtë proces, ka hartuar projektligjin “Për mbrojtjen e të dhënave personale”, qëllimi i të cilit është të përmirësojë rregullat për mbrojtjen e individëve në lidhje me përpunimin e të dhënave të tyre, në përputhje me </w:t>
      </w:r>
      <w:r w:rsidR="00B254A0" w:rsidRPr="000F0607">
        <w:rPr>
          <w:rFonts w:ascii="Times New Roman" w:hAnsi="Times New Roman"/>
          <w:sz w:val="28"/>
          <w:szCs w:val="28"/>
        </w:rPr>
        <w:t>standardet</w:t>
      </w:r>
      <w:r w:rsidRPr="000F0607">
        <w:rPr>
          <w:rFonts w:ascii="Times New Roman" w:hAnsi="Times New Roman"/>
          <w:sz w:val="28"/>
          <w:szCs w:val="28"/>
        </w:rPr>
        <w:t xml:space="preserve"> e BE në fushën e mbrojtjes së të dhënave personale. </w:t>
      </w:r>
    </w:p>
    <w:p w14:paraId="331AAE27" w14:textId="77777777" w:rsidR="00B254A0" w:rsidRPr="000F0607" w:rsidRDefault="00B254A0" w:rsidP="0098201E">
      <w:pPr>
        <w:spacing w:after="0"/>
        <w:jc w:val="both"/>
        <w:rPr>
          <w:rFonts w:ascii="Times New Roman" w:hAnsi="Times New Roman"/>
          <w:sz w:val="28"/>
          <w:szCs w:val="28"/>
        </w:rPr>
      </w:pPr>
    </w:p>
    <w:p w14:paraId="2197D86D"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Objektivat që synohen të arrihen nëpërmjet këtij projektligji janë: </w:t>
      </w:r>
    </w:p>
    <w:p w14:paraId="5956814C"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1. </w:t>
      </w:r>
      <w:r w:rsidR="0098201E" w:rsidRPr="000F0607">
        <w:rPr>
          <w:rFonts w:ascii="Times New Roman" w:hAnsi="Times New Roman"/>
          <w:sz w:val="28"/>
          <w:szCs w:val="28"/>
        </w:rPr>
        <w:t>Harmonizimi me acquis communautaire dhe zbatimi i standardeve të BE në fushën e mbrojtjes së të dhënave personale, duke u përshtatur me sfidat e kohës dhe konceptet e reja në fushën e mbrojtjes së të dhënave personale;</w:t>
      </w:r>
    </w:p>
    <w:p w14:paraId="66AB272F" w14:textId="77777777" w:rsidR="00B254A0"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2. </w:t>
      </w:r>
      <w:r w:rsidR="0098201E" w:rsidRPr="000F0607">
        <w:rPr>
          <w:rFonts w:ascii="Times New Roman" w:hAnsi="Times New Roman"/>
          <w:sz w:val="28"/>
          <w:szCs w:val="28"/>
        </w:rPr>
        <w:t>Qytetarëve tu garantohet një nivel më i lartë kontrolli mbi të dhënat e tyre personale;</w:t>
      </w:r>
    </w:p>
    <w:p w14:paraId="4F0B2977"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3. </w:t>
      </w:r>
      <w:r w:rsidR="0098201E" w:rsidRPr="000F0607">
        <w:rPr>
          <w:rFonts w:ascii="Times New Roman" w:hAnsi="Times New Roman"/>
          <w:sz w:val="28"/>
          <w:szCs w:val="28"/>
        </w:rPr>
        <w:t>Garantimi i mbrojtjes së të dhënave personale në mënyrë sa më efektive nëpërmjet rritjes së “përgjegjshmërisë” së kontrolluesve dhe përpunuesve në procesin dinamik të përpunimit të të dhënave personale;</w:t>
      </w:r>
    </w:p>
    <w:p w14:paraId="7A428994"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4. </w:t>
      </w:r>
      <w:r w:rsidR="0098201E" w:rsidRPr="000F0607">
        <w:rPr>
          <w:rFonts w:ascii="Times New Roman" w:hAnsi="Times New Roman"/>
          <w:sz w:val="28"/>
          <w:szCs w:val="28"/>
        </w:rPr>
        <w:t xml:space="preserve">Sigurimi i mbikëqyrjes efektive të zbatimit të legjislacionit për mbrojtjen e të dhënave personale nëpërmjet forcimit të rolit të Zyrës së Komisionerit në cilësinë e autoritetit përgjegjës për garantimin e kësaj të drejte; </w:t>
      </w:r>
    </w:p>
    <w:p w14:paraId="65A4DA51"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5. </w:t>
      </w:r>
      <w:r w:rsidR="0098201E" w:rsidRPr="000F0607">
        <w:rPr>
          <w:rFonts w:ascii="Times New Roman" w:hAnsi="Times New Roman"/>
          <w:sz w:val="28"/>
          <w:szCs w:val="28"/>
        </w:rPr>
        <w:t>Garantimi i një trajtimi më të mirë i mbrojtjes së të dhënave në lidhje me sfidat e reja të privatësisë që rezultojnë nga përdorimi në rritje i mjeteve teknologjike, si dhe qarkullimit gjithnjë e më të madh të të dhënave personale në botën digjitale;</w:t>
      </w:r>
    </w:p>
    <w:p w14:paraId="00583078"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6. </w:t>
      </w:r>
      <w:r w:rsidR="0098201E" w:rsidRPr="000F0607">
        <w:rPr>
          <w:rFonts w:ascii="Times New Roman" w:hAnsi="Times New Roman"/>
          <w:sz w:val="28"/>
          <w:szCs w:val="28"/>
        </w:rPr>
        <w:t>Krijimi i një kuadri ligjor gjithpërfshirës, duke garantuar edhe mbrojtjen e të dhënave personale në lidhje me përpunimin e të dhënave nga autoritetet kompetente për qëllimet e parandalimit, hetimit, zbulimit ose ndjekjes penale të veprave penale ose ekzekutimin e dënimeve penale, dhe lëvizjen e lirë të të dhënave të tilla;</w:t>
      </w:r>
    </w:p>
    <w:p w14:paraId="5248134E" w14:textId="77777777" w:rsidR="0098201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 xml:space="preserve">7. </w:t>
      </w:r>
      <w:r w:rsidR="0098201E" w:rsidRPr="000F0607">
        <w:rPr>
          <w:rFonts w:ascii="Times New Roman" w:hAnsi="Times New Roman"/>
          <w:sz w:val="28"/>
          <w:szCs w:val="28"/>
        </w:rPr>
        <w:t xml:space="preserve">Heqja e pengesave ekzistuese për përfshirjen e kontrolluesve që operojnë në Shqipëri, në tregun digjital evropian dhe nxitja e rritjes ekonomike, inovacionit dhe krijimit të vendeve të punës; </w:t>
      </w:r>
    </w:p>
    <w:p w14:paraId="32197B85" w14:textId="77777777" w:rsidR="00E9477E" w:rsidRPr="000F0607" w:rsidRDefault="00B254A0" w:rsidP="0098201E">
      <w:pPr>
        <w:spacing w:after="0"/>
        <w:jc w:val="both"/>
        <w:rPr>
          <w:rFonts w:ascii="Times New Roman" w:hAnsi="Times New Roman"/>
          <w:sz w:val="28"/>
          <w:szCs w:val="28"/>
        </w:rPr>
      </w:pPr>
      <w:r w:rsidRPr="000F0607">
        <w:rPr>
          <w:rFonts w:ascii="Times New Roman" w:hAnsi="Times New Roman"/>
          <w:sz w:val="28"/>
          <w:szCs w:val="28"/>
        </w:rPr>
        <w:t>8. P</w:t>
      </w:r>
      <w:r w:rsidR="0098201E" w:rsidRPr="000F0607">
        <w:rPr>
          <w:rFonts w:ascii="Times New Roman" w:hAnsi="Times New Roman"/>
          <w:sz w:val="28"/>
          <w:szCs w:val="28"/>
        </w:rPr>
        <w:t>ërfshirj</w:t>
      </w:r>
      <w:r w:rsidRPr="000F0607">
        <w:rPr>
          <w:rFonts w:ascii="Times New Roman" w:hAnsi="Times New Roman"/>
          <w:sz w:val="28"/>
          <w:szCs w:val="28"/>
        </w:rPr>
        <w:t xml:space="preserve">a </w:t>
      </w:r>
      <w:r w:rsidR="0098201E" w:rsidRPr="000F0607">
        <w:rPr>
          <w:rFonts w:ascii="Times New Roman" w:hAnsi="Times New Roman"/>
          <w:sz w:val="28"/>
          <w:szCs w:val="28"/>
        </w:rPr>
        <w:t>e Shqipërisë në listën e shteteve për të cilat Komisioni Europian përcakton se ofron sistem të përshtatshëm të mbrojtjes së të dhënave personale me qëllim që importimi i të dhënave personale nga BE të kryhet lehtësisht.</w:t>
      </w:r>
    </w:p>
    <w:p w14:paraId="16A45990" w14:textId="77777777" w:rsidR="00F9548F" w:rsidRPr="000F0607" w:rsidRDefault="00F9548F" w:rsidP="00F9548F">
      <w:pPr>
        <w:spacing w:after="0"/>
        <w:jc w:val="both"/>
        <w:rPr>
          <w:rFonts w:ascii="Times New Roman" w:hAnsi="Times New Roman"/>
          <w:sz w:val="28"/>
          <w:szCs w:val="28"/>
        </w:rPr>
      </w:pPr>
    </w:p>
    <w:p w14:paraId="3A0C9E4A" w14:textId="77777777" w:rsidR="00F9548F" w:rsidRPr="000F0607" w:rsidRDefault="00F9548F" w:rsidP="00F9548F">
      <w:pPr>
        <w:spacing w:after="0"/>
        <w:jc w:val="both"/>
        <w:rPr>
          <w:rFonts w:ascii="Times New Roman" w:hAnsi="Times New Roman"/>
          <w:b/>
          <w:color w:val="000000"/>
          <w:sz w:val="28"/>
          <w:szCs w:val="28"/>
        </w:rPr>
      </w:pPr>
      <w:r w:rsidRPr="000F0607">
        <w:rPr>
          <w:rFonts w:ascii="Times New Roman" w:hAnsi="Times New Roman"/>
          <w:b/>
          <w:color w:val="000000"/>
          <w:sz w:val="28"/>
          <w:szCs w:val="28"/>
        </w:rPr>
        <w:t>II.</w:t>
      </w:r>
      <w:r w:rsidRPr="000F0607">
        <w:rPr>
          <w:rFonts w:ascii="Times New Roman" w:hAnsi="Times New Roman"/>
          <w:b/>
          <w:color w:val="000000"/>
          <w:sz w:val="28"/>
          <w:szCs w:val="28"/>
        </w:rPr>
        <w:tab/>
        <w:t>VLERËSIMI I PROJEKTAKTIT NË RAPORT ME PROGRAMIN POLITIK TË KËSHILLIT TË MINISTRAVE, ME PROGRAMIN ANALITIK TË AKTEVE DHE DOKUMENTE TË TJERA POLITIKE</w:t>
      </w:r>
    </w:p>
    <w:p w14:paraId="11214079" w14:textId="77777777" w:rsidR="00F9548F" w:rsidRPr="000F0607" w:rsidRDefault="00F9548F" w:rsidP="00F9548F">
      <w:pPr>
        <w:spacing w:after="0"/>
        <w:jc w:val="both"/>
        <w:rPr>
          <w:rFonts w:ascii="Times New Roman" w:hAnsi="Times New Roman"/>
          <w:b/>
          <w:color w:val="000000"/>
          <w:sz w:val="28"/>
          <w:szCs w:val="28"/>
        </w:rPr>
      </w:pPr>
    </w:p>
    <w:p w14:paraId="43B30F4A" w14:textId="77777777" w:rsidR="0098201E" w:rsidRPr="000F0607" w:rsidRDefault="0098201E" w:rsidP="0098201E">
      <w:pPr>
        <w:tabs>
          <w:tab w:val="left" w:pos="284"/>
        </w:tabs>
        <w:spacing w:after="0"/>
        <w:contextualSpacing/>
        <w:jc w:val="both"/>
        <w:rPr>
          <w:rFonts w:ascii="Times New Roman" w:eastAsia="Times New Roman" w:hAnsi="Times New Roman"/>
          <w:sz w:val="28"/>
          <w:szCs w:val="28"/>
        </w:rPr>
      </w:pPr>
      <w:r w:rsidRPr="000F0607">
        <w:rPr>
          <w:rFonts w:ascii="Times New Roman" w:eastAsia="Times New Roman" w:hAnsi="Times New Roman"/>
          <w:sz w:val="28"/>
          <w:szCs w:val="28"/>
        </w:rPr>
        <w:t>Ky projektligji është parashikuar në Programin e Përgjithshëm Analitik të Projektakteve që i paraqiten për shqyrtim në Këshillin e Ministrave gjatë katërmujorit të tretë të vitit 2022.</w:t>
      </w:r>
    </w:p>
    <w:p w14:paraId="475E5F9A" w14:textId="77777777" w:rsidR="0098201E" w:rsidRPr="000F0607" w:rsidRDefault="0098201E" w:rsidP="0098201E">
      <w:pPr>
        <w:tabs>
          <w:tab w:val="left" w:pos="284"/>
        </w:tabs>
        <w:spacing w:after="0"/>
        <w:contextualSpacing/>
        <w:jc w:val="both"/>
        <w:rPr>
          <w:rFonts w:ascii="Times New Roman" w:eastAsia="Times New Roman" w:hAnsi="Times New Roman"/>
          <w:sz w:val="28"/>
          <w:szCs w:val="28"/>
        </w:rPr>
      </w:pPr>
    </w:p>
    <w:p w14:paraId="0A8668FF" w14:textId="77777777" w:rsidR="00F9548F" w:rsidRPr="000F0607" w:rsidRDefault="0098201E" w:rsidP="0098201E">
      <w:pPr>
        <w:tabs>
          <w:tab w:val="left" w:pos="284"/>
        </w:tabs>
        <w:spacing w:after="0"/>
        <w:contextualSpacing/>
        <w:jc w:val="both"/>
        <w:rPr>
          <w:rFonts w:ascii="Times New Roman" w:eastAsia="Times New Roman" w:hAnsi="Times New Roman"/>
          <w:sz w:val="28"/>
          <w:szCs w:val="28"/>
        </w:rPr>
      </w:pPr>
      <w:r w:rsidRPr="000F0607">
        <w:rPr>
          <w:rFonts w:ascii="Times New Roman" w:eastAsia="Times New Roman" w:hAnsi="Times New Roman"/>
          <w:sz w:val="28"/>
          <w:szCs w:val="28"/>
        </w:rPr>
        <w:t>Në Planin Kombëtar të Integrimit Evropian 2022 – 2024, është parashikuar harmonizimi i legjislacionit për mbrojtjen e të dhënave personale me GDPR dhe Direktivën e Policisë në tre mujorin e katërt të vitit 2022</w:t>
      </w:r>
      <w:r w:rsidR="00F9548F" w:rsidRPr="000F0607">
        <w:rPr>
          <w:rFonts w:ascii="Times New Roman" w:eastAsia="Times New Roman" w:hAnsi="Times New Roman"/>
          <w:sz w:val="28"/>
          <w:szCs w:val="28"/>
        </w:rPr>
        <w:t>.</w:t>
      </w:r>
    </w:p>
    <w:p w14:paraId="6176AE24" w14:textId="77777777" w:rsidR="00F9548F" w:rsidRPr="000F0607" w:rsidRDefault="00F9548F" w:rsidP="00F9548F">
      <w:pPr>
        <w:tabs>
          <w:tab w:val="left" w:pos="284"/>
        </w:tabs>
        <w:spacing w:after="0"/>
        <w:contextualSpacing/>
        <w:jc w:val="both"/>
        <w:rPr>
          <w:rFonts w:ascii="Times New Roman" w:eastAsia="Times New Roman" w:hAnsi="Times New Roman"/>
          <w:sz w:val="28"/>
          <w:szCs w:val="28"/>
        </w:rPr>
      </w:pPr>
    </w:p>
    <w:p w14:paraId="21037B10" w14:textId="77777777" w:rsidR="00F9548F" w:rsidRPr="000F0607" w:rsidRDefault="00F9548F" w:rsidP="00F9548F">
      <w:pPr>
        <w:spacing w:after="0"/>
        <w:jc w:val="both"/>
        <w:rPr>
          <w:rFonts w:ascii="Times New Roman" w:hAnsi="Times New Roman"/>
          <w:b/>
          <w:color w:val="000000"/>
          <w:sz w:val="28"/>
          <w:szCs w:val="28"/>
        </w:rPr>
      </w:pPr>
      <w:r w:rsidRPr="000F0607">
        <w:rPr>
          <w:rFonts w:ascii="Times New Roman" w:hAnsi="Times New Roman"/>
          <w:b/>
          <w:color w:val="000000"/>
          <w:sz w:val="28"/>
          <w:szCs w:val="28"/>
        </w:rPr>
        <w:t>III.</w:t>
      </w:r>
      <w:r w:rsidRPr="000F0607">
        <w:rPr>
          <w:rFonts w:ascii="Times New Roman" w:hAnsi="Times New Roman"/>
          <w:b/>
          <w:color w:val="000000"/>
          <w:sz w:val="28"/>
          <w:szCs w:val="28"/>
        </w:rPr>
        <w:tab/>
        <w:t>ARGUMENTIMI I PROJEKTAKTIT LIDHUR ME PËRPARËSITË, PROBLEMATIKAT, EFEKTET E PRITSHME</w:t>
      </w:r>
    </w:p>
    <w:p w14:paraId="1D94E271" w14:textId="77777777" w:rsidR="00F9548F" w:rsidRPr="000F0607" w:rsidRDefault="00F9548F" w:rsidP="00F9548F">
      <w:pPr>
        <w:spacing w:after="0"/>
        <w:jc w:val="both"/>
        <w:rPr>
          <w:rFonts w:ascii="Times New Roman" w:hAnsi="Times New Roman"/>
          <w:b/>
          <w:color w:val="000000"/>
          <w:sz w:val="28"/>
          <w:szCs w:val="28"/>
        </w:rPr>
      </w:pPr>
    </w:p>
    <w:p w14:paraId="73BFC36B" w14:textId="77777777" w:rsidR="00E07D8D" w:rsidRPr="000F0607" w:rsidRDefault="0098201E" w:rsidP="00E07D8D">
      <w:pPr>
        <w:spacing w:after="160"/>
        <w:jc w:val="both"/>
        <w:rPr>
          <w:rFonts w:ascii="Times New Roman" w:hAnsi="Times New Roman"/>
          <w:color w:val="000000"/>
          <w:sz w:val="28"/>
          <w:szCs w:val="28"/>
        </w:rPr>
      </w:pPr>
      <w:r w:rsidRPr="000F0607">
        <w:rPr>
          <w:rFonts w:ascii="Times New Roman" w:hAnsi="Times New Roman"/>
          <w:color w:val="000000"/>
          <w:sz w:val="28"/>
          <w:szCs w:val="28"/>
        </w:rPr>
        <w:t>Mbrojtja e të dhënave personale është një e drejtë themelore e individit që përfaqëson gjithashtu një vlerë shoqërore dhe juridike.</w:t>
      </w:r>
      <w:r w:rsidR="00E07D8D" w:rsidRPr="000F0607">
        <w:rPr>
          <w:rFonts w:ascii="Times New Roman" w:hAnsi="Times New Roman"/>
          <w:color w:val="000000"/>
          <w:sz w:val="28"/>
          <w:szCs w:val="28"/>
        </w:rPr>
        <w:t xml:space="preserve"> Megjithatë, ajo nuk është një e drejtë absolute, por duhet të zbatohet duke marrë në konsideratë funksionin e saj në shoqëri, si dhe balancën me të drejtat e tjera themelore.</w:t>
      </w:r>
    </w:p>
    <w:p w14:paraId="1EB8CCD2" w14:textId="77777777" w:rsidR="00E07D8D" w:rsidRPr="000F0607" w:rsidRDefault="00E07D8D" w:rsidP="00E07D8D">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Ritmi i shpejtë i ndryshimeve teknologjike dhe globalizimit kanë transformuar thellësisht mënyrën në të cilën një sasi gjithnjë e në rritje e të dhënave personale mblidhet, aksesohet, përdoret dhe transferohet. Mënyra të reja për shpërndarjen e informacionit nëpërmjet rrjeteve sociale dhe ruajtjen e sasive të mëdha të të dhënave në distancë, janë bërë pjesë e jetës për të gjithë qytetarët. Në të njëjtën kohë, të dhënat personale janë bërë asete për shumë biznese si një pjesë e rëndësishme e aktiviteteve të tyre ekonomike. </w:t>
      </w:r>
    </w:p>
    <w:p w14:paraId="32964BF6" w14:textId="77777777" w:rsidR="00E07D8D" w:rsidRPr="000F0607" w:rsidRDefault="00E07D8D" w:rsidP="00E07D8D">
      <w:pPr>
        <w:spacing w:after="160"/>
        <w:jc w:val="both"/>
        <w:rPr>
          <w:rFonts w:ascii="Times New Roman" w:hAnsi="Times New Roman"/>
          <w:color w:val="000000"/>
          <w:sz w:val="28"/>
          <w:szCs w:val="28"/>
        </w:rPr>
      </w:pPr>
      <w:r w:rsidRPr="000F0607">
        <w:rPr>
          <w:rFonts w:ascii="Times New Roman" w:hAnsi="Times New Roman"/>
          <w:color w:val="000000"/>
          <w:sz w:val="28"/>
          <w:szCs w:val="28"/>
        </w:rPr>
        <w:t>Të gjitha sa më sipër sjellin si pasojë evidentimin e mundësisë dhe rrezikut që informacioni dhe të dhënat personale të qytetarëve, për më tepër ato sensitive, të aksesohen ose publikohen nga persona të paautorizuar, duke cenuar rëndë të drejtën për mbrojtjen e të dhënave personale. Në këto kushte, paraqitet domosdoshmëria për të marrë masat e duhura për vendosjen e mekanizmave për mbrojtjen e të dhënave personale.</w:t>
      </w:r>
    </w:p>
    <w:p w14:paraId="4AECF4A2" w14:textId="77777777" w:rsidR="00E07D8D" w:rsidRPr="000F0607" w:rsidRDefault="00E07D8D" w:rsidP="00E07D8D">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Kuadri ligjor në fuqi për mbrojtjen e të dhënave personale, nuk është i përafruar me GDPR dhe Direktivën e Policisë, i cili aktualisht është një nga prioritetet e qeverisë shqiptare si një nga detyrimet e parashikuara në aktet komëbtare dhe ndërkombëtare. Nevoja për përafrimin e legjislacionit në fuqi për mbrojtjen e të dhënave personale me acquis të BE në këtë fushë, është e rëndësishme me qëllim që qytetarëve shqiptarë t’u garantohen standardet më të larta evropiane në fushën e mbrojtjes së të dhënave personale në një kohë kur përpunimi i të dhënave personale në epokën digjitale është shumëfishuar dhe ligji aktual nuk mund të ofrojë mbrojtje të përshtatshme. </w:t>
      </w:r>
    </w:p>
    <w:p w14:paraId="7F71C3A3" w14:textId="77777777" w:rsidR="0098201E" w:rsidRPr="000F0607" w:rsidRDefault="00E07D8D" w:rsidP="0098201E">
      <w:pPr>
        <w:spacing w:after="160"/>
        <w:jc w:val="both"/>
        <w:rPr>
          <w:rFonts w:ascii="Times New Roman" w:hAnsi="Times New Roman"/>
          <w:color w:val="000000"/>
          <w:sz w:val="28"/>
          <w:szCs w:val="28"/>
        </w:rPr>
      </w:pPr>
      <w:r w:rsidRPr="000F0607">
        <w:rPr>
          <w:rFonts w:ascii="Times New Roman" w:hAnsi="Times New Roman"/>
          <w:color w:val="000000"/>
          <w:sz w:val="28"/>
          <w:szCs w:val="28"/>
        </w:rPr>
        <w:t>Në këtë kontekst, për vetë rëndësinë që mbart reforma e BE-së për mbrojtjen e të dhënave personale, si dhe në kuadër të procesit të integrimit evropian, si një detyrim që buron nga Marrëveshja e Stabilizim Asociimit, përafrimi i legjislacionit aktual në fuqi për mbrojtjen e të dhënave personale me acquis të BE-së në këtë fushë, është një domosdoshmëri</w:t>
      </w:r>
      <w:r w:rsidR="0098201E" w:rsidRPr="000F0607">
        <w:rPr>
          <w:rFonts w:ascii="Times New Roman" w:hAnsi="Times New Roman"/>
          <w:color w:val="000000"/>
          <w:sz w:val="28"/>
          <w:szCs w:val="28"/>
        </w:rPr>
        <w:t xml:space="preserve">. </w:t>
      </w:r>
    </w:p>
    <w:p w14:paraId="4A6B4DC8" w14:textId="77777777" w:rsidR="0098201E" w:rsidRPr="000F0607" w:rsidRDefault="0098201E" w:rsidP="0098201E">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Për sa më sipër, Zyra e Komisionerit intensifikoi hapat për harmonizimin e legjislacionit në fuqi për mbrojtjen e të dhënave personale me </w:t>
      </w:r>
      <w:r w:rsidRPr="000F0607">
        <w:rPr>
          <w:rFonts w:ascii="Times New Roman" w:hAnsi="Times New Roman"/>
          <w:i/>
          <w:color w:val="000000"/>
          <w:sz w:val="28"/>
          <w:szCs w:val="28"/>
        </w:rPr>
        <w:t>acquis</w:t>
      </w:r>
      <w:r w:rsidRPr="000F0607">
        <w:rPr>
          <w:rFonts w:ascii="Times New Roman" w:hAnsi="Times New Roman"/>
          <w:color w:val="000000"/>
          <w:sz w:val="28"/>
          <w:szCs w:val="28"/>
        </w:rPr>
        <w:t xml:space="preserve"> në këtë fushë, nëpërmjet përfitimit të projektit të binjakëzimit të </w:t>
      </w:r>
      <w:r w:rsidRPr="000F0607">
        <w:rPr>
          <w:rFonts w:ascii="Times New Roman" w:hAnsi="Times New Roman"/>
          <w:sz w:val="28"/>
          <w:szCs w:val="28"/>
        </w:rPr>
        <w:t>financuar nga programi i BE IPA 2017</w:t>
      </w:r>
      <w:r w:rsidRPr="000F0607">
        <w:rPr>
          <w:rFonts w:ascii="Times New Roman" w:hAnsi="Times New Roman"/>
          <w:color w:val="000000"/>
          <w:sz w:val="28"/>
          <w:szCs w:val="28"/>
        </w:rPr>
        <w:t xml:space="preserve"> sipas aktivitetit </w:t>
      </w:r>
      <w:r w:rsidRPr="000F0607">
        <w:rPr>
          <w:rFonts w:ascii="Times New Roman" w:hAnsi="Times New Roman"/>
          <w:i/>
          <w:color w:val="000000"/>
          <w:sz w:val="28"/>
          <w:szCs w:val="28"/>
        </w:rPr>
        <w:t>“Mbështetje institucionit për përafrimin e legjislacionit mbi mbrojtjen e të dhënave personale me acquis-in e Bashkimit Evropian”</w:t>
      </w:r>
      <w:r w:rsidRPr="000F0607">
        <w:rPr>
          <w:rFonts w:ascii="Times New Roman" w:hAnsi="Times New Roman"/>
          <w:color w:val="000000"/>
          <w:sz w:val="28"/>
          <w:szCs w:val="28"/>
        </w:rPr>
        <w:t xml:space="preserve">. </w:t>
      </w:r>
    </w:p>
    <w:p w14:paraId="1193DE61" w14:textId="77777777" w:rsidR="0098201E" w:rsidRPr="000F0607" w:rsidRDefault="0098201E" w:rsidP="0098201E">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Me mbështetjen e ekspertëve të projektit të binjakëzimit, Zyra e Komisionerit ka hartuar </w:t>
      </w:r>
      <w:r w:rsidR="00E07D8D" w:rsidRPr="000F0607">
        <w:rPr>
          <w:rFonts w:ascii="Times New Roman" w:hAnsi="Times New Roman"/>
          <w:color w:val="000000"/>
          <w:sz w:val="28"/>
          <w:szCs w:val="28"/>
        </w:rPr>
        <w:t>projektligjin</w:t>
      </w:r>
      <w:r w:rsidRPr="000F0607">
        <w:rPr>
          <w:rFonts w:ascii="Times New Roman" w:hAnsi="Times New Roman"/>
          <w:color w:val="000000"/>
          <w:sz w:val="28"/>
          <w:szCs w:val="28"/>
        </w:rPr>
        <w:t xml:space="preserve"> </w:t>
      </w:r>
      <w:r w:rsidRPr="000F0607">
        <w:rPr>
          <w:rFonts w:ascii="Times New Roman" w:hAnsi="Times New Roman"/>
          <w:i/>
          <w:color w:val="000000"/>
          <w:sz w:val="28"/>
          <w:szCs w:val="28"/>
        </w:rPr>
        <w:t>“Për mbrojtjen e të dhënave personale”,</w:t>
      </w:r>
      <w:r w:rsidRPr="000F0607">
        <w:rPr>
          <w:rFonts w:ascii="Times New Roman" w:hAnsi="Times New Roman"/>
          <w:color w:val="000000"/>
          <w:sz w:val="28"/>
          <w:szCs w:val="28"/>
        </w:rPr>
        <w:t xml:space="preserve"> i cili nëpërmjet risive që sjell, garanton për qytetarët, në cilësinë e subjekteve të të dhënave, </w:t>
      </w:r>
      <w:r w:rsidR="00E07D8D" w:rsidRPr="000F0607">
        <w:rPr>
          <w:rFonts w:ascii="Times New Roman" w:hAnsi="Times New Roman"/>
          <w:color w:val="000000"/>
          <w:sz w:val="28"/>
          <w:szCs w:val="28"/>
        </w:rPr>
        <w:t>standardet</w:t>
      </w:r>
      <w:r w:rsidRPr="000F0607">
        <w:rPr>
          <w:rFonts w:ascii="Times New Roman" w:hAnsi="Times New Roman"/>
          <w:color w:val="000000"/>
          <w:sz w:val="28"/>
          <w:szCs w:val="28"/>
        </w:rPr>
        <w:t xml:space="preserve"> më të larta evropianë në fushën e mbrojtjes së të dhënave personale. </w:t>
      </w:r>
    </w:p>
    <w:p w14:paraId="70C6F837" w14:textId="77777777" w:rsidR="0098201E" w:rsidRPr="000F0607" w:rsidRDefault="0098201E" w:rsidP="0098201E">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Duke </w:t>
      </w:r>
      <w:r w:rsidR="00E07D8D" w:rsidRPr="000F0607">
        <w:rPr>
          <w:rFonts w:ascii="Times New Roman" w:hAnsi="Times New Roman"/>
          <w:color w:val="000000"/>
          <w:sz w:val="28"/>
          <w:szCs w:val="28"/>
        </w:rPr>
        <w:t>qenë</w:t>
      </w:r>
      <w:r w:rsidRPr="000F0607">
        <w:rPr>
          <w:rFonts w:ascii="Times New Roman" w:hAnsi="Times New Roman"/>
          <w:color w:val="000000"/>
          <w:sz w:val="28"/>
          <w:szCs w:val="28"/>
        </w:rPr>
        <w:t xml:space="preserve"> se GDPR vjen si vazhdimësi e Direktivës 95/46/ EC për mbrojtjen e të dhënave personale, edhe projektligji i propozuar, nuk prezanton një sistem krejtësisht të ri të mbrojtjes së të dhënave në Shqipëri, por përmirëson dhe detajon më në hollësi rregullat e ligjit në fuqi për mbrojtjen e të dhënave personale. </w:t>
      </w:r>
    </w:p>
    <w:p w14:paraId="13B61F00" w14:textId="3962718F" w:rsidR="007D19AC" w:rsidRPr="000F0607" w:rsidRDefault="00BB7B44" w:rsidP="0098201E">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Projektligji ka përmirësuar një pjesë të konsiderueshme dispozitash të ligjit aktual ndërsa janë shtuar edhe dispozita të reja në kuadër të përafrimit me </w:t>
      </w:r>
      <w:r w:rsidRPr="000F0607">
        <w:rPr>
          <w:rFonts w:ascii="Times New Roman" w:hAnsi="Times New Roman"/>
          <w:i/>
          <w:color w:val="000000"/>
          <w:sz w:val="28"/>
          <w:szCs w:val="28"/>
        </w:rPr>
        <w:t>acquis</w:t>
      </w:r>
      <w:r w:rsidRPr="000F0607">
        <w:rPr>
          <w:rFonts w:ascii="Times New Roman" w:hAnsi="Times New Roman"/>
          <w:color w:val="000000"/>
          <w:sz w:val="28"/>
          <w:szCs w:val="28"/>
        </w:rPr>
        <w:t xml:space="preserve"> të BE. </w:t>
      </w:r>
    </w:p>
    <w:p w14:paraId="4CCFF56D" w14:textId="77777777" w:rsidR="0098201E" w:rsidRPr="000F0607" w:rsidRDefault="0098201E" w:rsidP="0098201E">
      <w:pPr>
        <w:spacing w:after="160"/>
        <w:jc w:val="both"/>
        <w:rPr>
          <w:rFonts w:ascii="Times New Roman" w:hAnsi="Times New Roman"/>
          <w:sz w:val="28"/>
          <w:szCs w:val="28"/>
        </w:rPr>
      </w:pPr>
      <w:r w:rsidRPr="000F0607">
        <w:rPr>
          <w:rFonts w:ascii="Times New Roman" w:hAnsi="Times New Roman"/>
          <w:color w:val="000000"/>
          <w:sz w:val="28"/>
          <w:szCs w:val="28"/>
        </w:rPr>
        <w:t xml:space="preserve">Risitë që sjell projektligji në mënyrë të përmbledhur janë si më poshtë: </w:t>
      </w:r>
    </w:p>
    <w:p w14:paraId="610739CD" w14:textId="77777777"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color w:val="000000"/>
          <w:sz w:val="28"/>
          <w:szCs w:val="28"/>
        </w:rPr>
        <w:t>Zgjerohen të drejtat e subjektit të të dhënave dhe përmirësohen të drejtat që ai gëzon aktualisht me qëllim garantimin e një niveli kontrolli më të lartë mbi të dhënat e tij personale. Në këtë kuadër:</w:t>
      </w:r>
    </w:p>
    <w:p w14:paraId="6D415A31"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E drejta për informim përmirësohet duke garantuar që informacioni i kërkuar nga subjekti i të dhënave, të jepet nga kontrolluesi në një formë koncize, transparente, të kuptueshme dhe lehtësisht të aksesueshme, veçanërisht kur informacioni u drejtohet fëmijëve;</w:t>
      </w:r>
    </w:p>
    <w:p w14:paraId="7F2DF924"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 xml:space="preserve">E drejta e aksesit që gëzon subjekti i të dhënave garanton tashmë mundësinë për të që të marrë nga kontrolluesi një kategori më të </w:t>
      </w:r>
      <w:r w:rsidR="00E07D8D" w:rsidRPr="000F0607">
        <w:rPr>
          <w:rFonts w:ascii="Times New Roman" w:hAnsi="Times New Roman"/>
          <w:i/>
          <w:sz w:val="28"/>
          <w:szCs w:val="28"/>
        </w:rPr>
        <w:t>gjerë</w:t>
      </w:r>
      <w:r w:rsidRPr="000F0607">
        <w:rPr>
          <w:rFonts w:ascii="Times New Roman" w:hAnsi="Times New Roman"/>
          <w:i/>
          <w:sz w:val="28"/>
          <w:szCs w:val="28"/>
        </w:rPr>
        <w:t xml:space="preserve"> informacioni nëse të dhënat e tij personale janë duke u përpunuar;</w:t>
      </w:r>
    </w:p>
    <w:p w14:paraId="21BBD749"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E drejta për të kërkuar bllokimin e përpunimit detajohet duke specifikuar konkretisht arsyet e mundshme të subjektit të të dhënave për të kërkuar bllokimin e tyre;</w:t>
      </w:r>
    </w:p>
    <w:p w14:paraId="3E3ED314"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Prezantohet për herë të parë “e drejta për tu harruar” e cila mund të konsiderohet si një e drejtë e re e subjektit të të dhënave në konteksin e zhvillimeve teknologjike, megjithatë është një përmirësim i të drejtës së subjektit për të kërkuar fshirjen e të dhënave personale, diktuar nga kushtet e zhvillimit teknologjik. Kjo e drejtë shërben si një garanci në mjedisin online për subjektin e të dhënave, duke detyruar ofruesit e motorëve të kërkimit të fshijnë me kërkesë të subjektit të të dhënave informacionin në lidhje me të, i cili me kalimin e kohës nuk është më i nevojshmëm, por kur gjendet ka një ndikim negativ në reputacionin e tij. Qëllimi i kësaj të drejte është të eleminojë çdo gjurmë të të dhënave të çdo personi që dëshiron të “harrohet” përgjithmonë nga rrjetet sociale dhe motorët e kërkimit në internet si Google apo platforma të tjera kërkimi.</w:t>
      </w:r>
    </w:p>
    <w:p w14:paraId="0B346BA7"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 xml:space="preserve">Garantohet për herë të parë “e drejta për transferueshmërinë e të dhënave” e cila synon ti ofrojë mundësinë subjektit të të dhënave për të lëvizur, kopjuar ose transmetuar lehtësisht të dhënat personale nga një kontrollues tek një kontrollues tjetër për qëllime të caktuara. </w:t>
      </w:r>
    </w:p>
    <w:p w14:paraId="7512A0C9" w14:textId="77777777" w:rsidR="0098201E" w:rsidRPr="000F0607" w:rsidRDefault="0098201E" w:rsidP="0098201E">
      <w:pPr>
        <w:spacing w:after="0"/>
        <w:jc w:val="both"/>
        <w:rPr>
          <w:rFonts w:ascii="Times New Roman" w:hAnsi="Times New Roman"/>
          <w:i/>
          <w:sz w:val="28"/>
          <w:szCs w:val="28"/>
        </w:rPr>
      </w:pPr>
    </w:p>
    <w:p w14:paraId="66AF24EC" w14:textId="77777777" w:rsidR="0098201E" w:rsidRPr="000F0607" w:rsidRDefault="0098201E" w:rsidP="0098201E">
      <w:pPr>
        <w:numPr>
          <w:ilvl w:val="0"/>
          <w:numId w:val="6"/>
        </w:numPr>
        <w:tabs>
          <w:tab w:val="left" w:pos="1080"/>
        </w:tabs>
        <w:spacing w:after="160" w:line="259" w:lineRule="auto"/>
        <w:ind w:left="360"/>
        <w:contextualSpacing/>
        <w:jc w:val="both"/>
        <w:rPr>
          <w:rFonts w:ascii="Times New Roman" w:hAnsi="Times New Roman"/>
          <w:sz w:val="28"/>
          <w:szCs w:val="28"/>
        </w:rPr>
      </w:pPr>
      <w:r w:rsidRPr="000F0607">
        <w:rPr>
          <w:rFonts w:ascii="Times New Roman" w:hAnsi="Times New Roman"/>
          <w:bCs/>
          <w:sz w:val="28"/>
          <w:szCs w:val="28"/>
        </w:rPr>
        <w:t xml:space="preserve">Përfshihen detyrime të reja për kontrolluesit dhe përpunuesit të cilat prezantohen për herë të parë në legjislacionin për mbrojtjen e të dhënave personale me qëllim garantimin më efektiv të sigurisë së informacionit në procesin e përpunimit të të dhënave personale. Konkretisht: </w:t>
      </w:r>
    </w:p>
    <w:p w14:paraId="68284CC5" w14:textId="77777777"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bCs/>
          <w:i/>
          <w:sz w:val="28"/>
          <w:szCs w:val="28"/>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w:t>
      </w:r>
    </w:p>
    <w:p w14:paraId="6D161601" w14:textId="77777777"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bCs/>
          <w:i/>
          <w:sz w:val="28"/>
          <w:szCs w:val="28"/>
        </w:rPr>
        <w:t>Detyrimi për tu konsultuar paraprakisht me Komisionerin përpara fillimit të përpunimit të dhënave, në rast se ky përpunim rezulton me rrezik të lartë për subjektin e të dhënave;</w:t>
      </w:r>
    </w:p>
    <w:p w14:paraId="0357088C" w14:textId="77777777"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bCs/>
          <w:i/>
          <w:sz w:val="28"/>
          <w:szCs w:val="28"/>
        </w:rPr>
        <w:t>Detyrimi për njoftim i Komisionerit në rast cenimi të të dhënave personale, si dhe subjekteve të të dhënave kur rreziqet e shkaktuara nga cenimi i të dhënave mund të të jenë të larta;</w:t>
      </w:r>
    </w:p>
    <w:p w14:paraId="3CEF90CA" w14:textId="0124C4D9"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i/>
          <w:sz w:val="28"/>
          <w:szCs w:val="28"/>
        </w:rPr>
        <w:t xml:space="preserve">Prezantimi i konceptit të </w:t>
      </w:r>
      <w:r w:rsidRPr="000F0607">
        <w:rPr>
          <w:rFonts w:ascii="Times New Roman" w:hAnsi="Times New Roman"/>
          <w:bCs/>
          <w:i/>
          <w:sz w:val="28"/>
          <w:szCs w:val="28"/>
        </w:rPr>
        <w:t xml:space="preserve">mbrojtjes së të dhënave në projektim (by design) dhe mbrojtjes në mënyrë të paracaktuar (by default) si dhe </w:t>
      </w:r>
      <w:r w:rsidRPr="000F0607">
        <w:rPr>
          <w:rFonts w:ascii="Times New Roman" w:hAnsi="Times New Roman"/>
          <w:i/>
          <w:sz w:val="28"/>
          <w:szCs w:val="28"/>
        </w:rPr>
        <w:t xml:space="preserve">inkurajimi i </w:t>
      </w:r>
      <w:r w:rsidR="00216BCD" w:rsidRPr="000F0607">
        <w:rPr>
          <w:rFonts w:ascii="Times New Roman" w:hAnsi="Times New Roman"/>
          <w:i/>
          <w:sz w:val="28"/>
          <w:szCs w:val="28"/>
        </w:rPr>
        <w:t>kontrolluesve dhe përpunues</w:t>
      </w:r>
      <w:r w:rsidRPr="000F0607">
        <w:rPr>
          <w:rFonts w:ascii="Times New Roman" w:hAnsi="Times New Roman"/>
          <w:i/>
          <w:sz w:val="28"/>
          <w:szCs w:val="28"/>
        </w:rPr>
        <w:t>ve për përdorimin e këtyre teknologjive;</w:t>
      </w:r>
    </w:p>
    <w:p w14:paraId="4D927C7C" w14:textId="7AA065B6"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i/>
          <w:sz w:val="28"/>
          <w:szCs w:val="28"/>
          <w:lang w:eastAsia="x-none"/>
        </w:rPr>
        <w:t>Detyrimi i organeve të sektorit publik dhe privat për emërimin e një nëpunësi të mbrojtjes së të dhënave me qëllim garantimin e përputhshmërisë së organizatës ku bën pjesë me kërkesat e ligjit për mbrojtjen e të dhënave personale gjatë proces</w:t>
      </w:r>
      <w:r w:rsidR="00216BCD" w:rsidRPr="000F0607">
        <w:rPr>
          <w:rFonts w:ascii="Times New Roman" w:hAnsi="Times New Roman"/>
          <w:i/>
          <w:sz w:val="28"/>
          <w:szCs w:val="28"/>
          <w:lang w:eastAsia="x-none"/>
        </w:rPr>
        <w:t>e</w:t>
      </w:r>
      <w:r w:rsidRPr="000F0607">
        <w:rPr>
          <w:rFonts w:ascii="Times New Roman" w:hAnsi="Times New Roman"/>
          <w:i/>
          <w:sz w:val="28"/>
          <w:szCs w:val="28"/>
          <w:lang w:eastAsia="x-none"/>
        </w:rPr>
        <w:t>ve përpunuese të të dhënave që kryejnë në kuadër të ushtrimit të veprimtarisë së tyre;</w:t>
      </w:r>
    </w:p>
    <w:p w14:paraId="07BE787E" w14:textId="77777777"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i/>
          <w:sz w:val="28"/>
          <w:szCs w:val="28"/>
        </w:rPr>
        <w:t xml:space="preserve">Hartimi i kodeve të sjelljes </w:t>
      </w:r>
      <w:r w:rsidRPr="000F0607">
        <w:rPr>
          <w:rFonts w:ascii="Times New Roman" w:hAnsi="Times New Roman"/>
          <w:i/>
          <w:sz w:val="28"/>
          <w:szCs w:val="28"/>
          <w:lang w:eastAsia="x-none"/>
        </w:rPr>
        <w:t>për kategori të caktuar kontrolluesish dhe përpunuesish të cilat kanë për qëllim të kontribuojnë në zbatimin sa më të mirë të ligjit për mbrojtjen e të dhënave personale nga këta të fundit;</w:t>
      </w:r>
    </w:p>
    <w:p w14:paraId="31212C47" w14:textId="71550ED4"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bCs/>
          <w:i/>
          <w:sz w:val="28"/>
          <w:szCs w:val="28"/>
        </w:rPr>
        <w:t>Organe Monitoruese të akredituara nga Komisioneri të cilët kanë si mision monitorimin e përput</w:t>
      </w:r>
      <w:r w:rsidR="00216BCD" w:rsidRPr="000F0607">
        <w:rPr>
          <w:rFonts w:ascii="Times New Roman" w:hAnsi="Times New Roman"/>
          <w:bCs/>
          <w:i/>
          <w:sz w:val="28"/>
          <w:szCs w:val="28"/>
        </w:rPr>
        <w:t>hshmërinë ose jo të kontrolluesve dhe përpunues</w:t>
      </w:r>
      <w:r w:rsidRPr="000F0607">
        <w:rPr>
          <w:rFonts w:ascii="Times New Roman" w:hAnsi="Times New Roman"/>
          <w:bCs/>
          <w:i/>
          <w:sz w:val="28"/>
          <w:szCs w:val="28"/>
        </w:rPr>
        <w:t>ve me kodin e sjelljes në rast se këta të fundit kanë marrë përsipër ti përmbahen atij;</w:t>
      </w:r>
    </w:p>
    <w:p w14:paraId="60AC639A" w14:textId="77777777" w:rsidR="0098201E" w:rsidRPr="000F0607" w:rsidRDefault="0098201E" w:rsidP="0098201E">
      <w:pPr>
        <w:numPr>
          <w:ilvl w:val="1"/>
          <w:numId w:val="5"/>
        </w:numPr>
        <w:tabs>
          <w:tab w:val="left" w:pos="1080"/>
        </w:tabs>
        <w:spacing w:after="160" w:line="259" w:lineRule="auto"/>
        <w:ind w:left="720"/>
        <w:contextualSpacing/>
        <w:jc w:val="both"/>
        <w:rPr>
          <w:rFonts w:ascii="Times New Roman" w:hAnsi="Times New Roman"/>
          <w:bCs/>
          <w:i/>
          <w:sz w:val="28"/>
          <w:szCs w:val="28"/>
        </w:rPr>
      </w:pPr>
      <w:r w:rsidRPr="000F0607">
        <w:rPr>
          <w:rFonts w:ascii="Times New Roman" w:hAnsi="Times New Roman"/>
          <w:i/>
          <w:sz w:val="28"/>
          <w:szCs w:val="28"/>
          <w:lang w:eastAsia="x-none"/>
        </w:rPr>
        <w:t xml:space="preserve">Ngritja e mekanizmit të certifikimit, si një </w:t>
      </w:r>
      <w:r w:rsidRPr="000F0607">
        <w:rPr>
          <w:rFonts w:ascii="Times New Roman" w:hAnsi="Times New Roman"/>
          <w:i/>
          <w:sz w:val="28"/>
          <w:szCs w:val="28"/>
        </w:rPr>
        <w:t>instrument i cili demonstron se një proces përpunimi është në</w:t>
      </w:r>
      <w:r w:rsidRPr="000F0607">
        <w:rPr>
          <w:rFonts w:ascii="Times New Roman" w:hAnsi="Times New Roman"/>
          <w:i/>
          <w:sz w:val="28"/>
          <w:szCs w:val="28"/>
          <w:lang w:eastAsia="x-none"/>
        </w:rPr>
        <w:t xml:space="preserve"> përputhje me kuadrin ligjor për mbrojtjen e të dhënave personale dhe se gjatë procesit të përpunimit të të dhënave ekzistojnë garanci të mjaftueshme për sigurinë e tyre. </w:t>
      </w:r>
    </w:p>
    <w:p w14:paraId="5075F38B" w14:textId="77777777" w:rsidR="0098201E" w:rsidRPr="000F0607" w:rsidRDefault="0098201E" w:rsidP="0098201E">
      <w:pPr>
        <w:tabs>
          <w:tab w:val="left" w:pos="1080"/>
        </w:tabs>
        <w:spacing w:after="160"/>
        <w:ind w:left="180"/>
        <w:contextualSpacing/>
        <w:jc w:val="both"/>
        <w:rPr>
          <w:rFonts w:ascii="Times New Roman" w:hAnsi="Times New Roman"/>
          <w:sz w:val="28"/>
          <w:szCs w:val="28"/>
        </w:rPr>
      </w:pPr>
    </w:p>
    <w:p w14:paraId="580D0B37" w14:textId="77777777"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bCs/>
          <w:color w:val="000000"/>
          <w:sz w:val="28"/>
          <w:szCs w:val="28"/>
        </w:rPr>
        <w:t xml:space="preserve">Parimet dhe kriteret për përpunimin e të dhënave personale edhe pse mbeten të njëjta, përshkruhen në mënyrë më të detajuar dhe të hollësishme. Në këtë kuadër: </w:t>
      </w:r>
    </w:p>
    <w:p w14:paraId="07741028"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bCs/>
          <w:i/>
          <w:color w:val="000000"/>
          <w:sz w:val="28"/>
          <w:szCs w:val="28"/>
        </w:rPr>
        <w:t>Forcohen kriteret për dhënien dhe vlefshmërinë e pëlqimit të subjektit të të dhënave si dhe trajtohen aspektet praktike që lidhen me pëlqimin e fëmijëve ose pëlqimin me mjete elektronike;</w:t>
      </w:r>
    </w:p>
    <w:p w14:paraId="0A9C7379" w14:textId="009AE5C5"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bCs/>
          <w:i/>
          <w:color w:val="000000"/>
          <w:sz w:val="28"/>
          <w:szCs w:val="28"/>
        </w:rPr>
        <w:t>Integrohet në mënyrë eksplicite “parimi i përgjegjshmërisë”</w:t>
      </w:r>
      <w:r w:rsidR="00216BCD" w:rsidRPr="000F0607">
        <w:rPr>
          <w:rFonts w:ascii="Times New Roman" w:hAnsi="Times New Roman"/>
          <w:bCs/>
          <w:i/>
          <w:color w:val="000000"/>
          <w:sz w:val="28"/>
          <w:szCs w:val="28"/>
        </w:rPr>
        <w:t xml:space="preserve"> së kontrolluesve dhe përpunues</w:t>
      </w:r>
      <w:r w:rsidRPr="000F0607">
        <w:rPr>
          <w:rFonts w:ascii="Times New Roman" w:hAnsi="Times New Roman"/>
          <w:bCs/>
          <w:i/>
          <w:color w:val="000000"/>
          <w:sz w:val="28"/>
          <w:szCs w:val="28"/>
        </w:rPr>
        <w:t>ve në procesin e përpunimit të të dhënave personale, të cilët tashmë duhet të jenë në gj</w:t>
      </w:r>
      <w:r w:rsidR="00216BCD" w:rsidRPr="000F0607">
        <w:rPr>
          <w:rFonts w:ascii="Times New Roman" w:hAnsi="Times New Roman"/>
          <w:bCs/>
          <w:i/>
          <w:color w:val="000000"/>
          <w:sz w:val="28"/>
          <w:szCs w:val="28"/>
        </w:rPr>
        <w:t>e</w:t>
      </w:r>
      <w:r w:rsidRPr="000F0607">
        <w:rPr>
          <w:rFonts w:ascii="Times New Roman" w:hAnsi="Times New Roman"/>
          <w:bCs/>
          <w:i/>
          <w:color w:val="000000"/>
          <w:sz w:val="28"/>
          <w:szCs w:val="28"/>
        </w:rPr>
        <w:t xml:space="preserve">ndje të demonstrojnë </w:t>
      </w:r>
      <w:r w:rsidRPr="000F0607">
        <w:rPr>
          <w:rFonts w:ascii="Times New Roman" w:hAnsi="Times New Roman"/>
          <w:i/>
          <w:sz w:val="28"/>
          <w:szCs w:val="28"/>
        </w:rPr>
        <w:t>përputhshmëri me kërkesat e legjislacionit për mbrojtjen e të dhënave personale.</w:t>
      </w:r>
    </w:p>
    <w:p w14:paraId="2F06B17D" w14:textId="77777777" w:rsidR="0098201E" w:rsidRPr="000F0607" w:rsidRDefault="0098201E" w:rsidP="0098201E">
      <w:pPr>
        <w:spacing w:after="0"/>
        <w:ind w:left="180"/>
        <w:contextualSpacing/>
        <w:jc w:val="both"/>
        <w:rPr>
          <w:rFonts w:ascii="Times New Roman" w:hAnsi="Times New Roman"/>
          <w:sz w:val="28"/>
          <w:szCs w:val="28"/>
        </w:rPr>
      </w:pPr>
    </w:p>
    <w:p w14:paraId="2ED3DBA8" w14:textId="255748A4"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bCs/>
          <w:sz w:val="28"/>
          <w:szCs w:val="28"/>
        </w:rPr>
        <w:t xml:space="preserve">Shtohet kategoria e të dhënave personale </w:t>
      </w:r>
      <w:r w:rsidRPr="000F0607">
        <w:rPr>
          <w:rFonts w:ascii="Times New Roman" w:hAnsi="Times New Roman"/>
          <w:bCs/>
          <w:i/>
          <w:sz w:val="28"/>
          <w:szCs w:val="28"/>
        </w:rPr>
        <w:t xml:space="preserve">“sensitive” </w:t>
      </w:r>
      <w:r w:rsidRPr="000F0607">
        <w:rPr>
          <w:rFonts w:ascii="Times New Roman" w:hAnsi="Times New Roman"/>
          <w:bCs/>
          <w:sz w:val="28"/>
          <w:szCs w:val="28"/>
        </w:rPr>
        <w:t>me</w:t>
      </w:r>
      <w:r w:rsidRPr="000F0607">
        <w:rPr>
          <w:rFonts w:ascii="Times New Roman" w:hAnsi="Times New Roman"/>
          <w:bCs/>
          <w:i/>
          <w:sz w:val="28"/>
          <w:szCs w:val="28"/>
        </w:rPr>
        <w:t xml:space="preserve"> “</w:t>
      </w:r>
      <w:r w:rsidRPr="000F0607">
        <w:rPr>
          <w:rFonts w:ascii="Times New Roman" w:hAnsi="Times New Roman"/>
          <w:i/>
          <w:sz w:val="28"/>
          <w:szCs w:val="28"/>
        </w:rPr>
        <w:t>të dhëna gjenetike”</w:t>
      </w:r>
      <w:r w:rsidRPr="000F0607">
        <w:rPr>
          <w:rFonts w:ascii="Times New Roman" w:hAnsi="Times New Roman"/>
          <w:sz w:val="28"/>
          <w:szCs w:val="28"/>
        </w:rPr>
        <w:t>,</w:t>
      </w:r>
      <w:r w:rsidRPr="000F0607">
        <w:rPr>
          <w:rFonts w:ascii="Times New Roman" w:hAnsi="Times New Roman"/>
          <w:i/>
          <w:sz w:val="28"/>
          <w:szCs w:val="28"/>
        </w:rPr>
        <w:t xml:space="preserve"> “të dhëna biometrike”,</w:t>
      </w:r>
      <w:r w:rsidRPr="000F0607">
        <w:rPr>
          <w:rFonts w:ascii="Times New Roman" w:hAnsi="Times New Roman"/>
          <w:sz w:val="28"/>
          <w:szCs w:val="28"/>
        </w:rPr>
        <w:t xml:space="preserve"> </w:t>
      </w:r>
      <w:r w:rsidRPr="000F0607">
        <w:rPr>
          <w:rFonts w:ascii="Times New Roman" w:hAnsi="Times New Roman"/>
          <w:i/>
          <w:sz w:val="28"/>
          <w:szCs w:val="28"/>
        </w:rPr>
        <w:t>“të dhëna për orientimin seksual”</w:t>
      </w:r>
      <w:r w:rsidRPr="000F0607">
        <w:rPr>
          <w:rFonts w:ascii="Times New Roman" w:hAnsi="Times New Roman"/>
          <w:sz w:val="28"/>
          <w:szCs w:val="28"/>
        </w:rPr>
        <w:t xml:space="preserve"> dhe në të njëjtën kohë paraqitet si kusht t</w:t>
      </w:r>
      <w:r w:rsidR="00216BCD" w:rsidRPr="000F0607">
        <w:rPr>
          <w:rFonts w:ascii="Times New Roman" w:hAnsi="Times New Roman"/>
          <w:sz w:val="28"/>
          <w:szCs w:val="28"/>
        </w:rPr>
        <w:t>helbësor detyrimi i kontrolluesve dhe përpunues</w:t>
      </w:r>
      <w:r w:rsidRPr="000F0607">
        <w:rPr>
          <w:rFonts w:ascii="Times New Roman" w:hAnsi="Times New Roman"/>
          <w:sz w:val="28"/>
          <w:szCs w:val="28"/>
        </w:rPr>
        <w:t xml:space="preserve">ve për të garantuar masa mbrojtëse të përshtatshme me qëllim përpunimin e ligjshëm të tyre. </w:t>
      </w:r>
    </w:p>
    <w:p w14:paraId="109E8E4E" w14:textId="77777777" w:rsidR="0098201E" w:rsidRPr="000F0607" w:rsidRDefault="0098201E" w:rsidP="0098201E">
      <w:pPr>
        <w:spacing w:after="0"/>
        <w:ind w:left="360"/>
        <w:contextualSpacing/>
        <w:jc w:val="both"/>
        <w:rPr>
          <w:rFonts w:ascii="Times New Roman" w:hAnsi="Times New Roman"/>
          <w:sz w:val="28"/>
          <w:szCs w:val="28"/>
        </w:rPr>
      </w:pPr>
    </w:p>
    <w:p w14:paraId="2DC60ABF" w14:textId="5CF1CDD4"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bCs/>
          <w:sz w:val="28"/>
          <w:szCs w:val="28"/>
        </w:rPr>
        <w:t xml:space="preserve">Përpunimi i të dhënave personale për qëllime të posaçme rregullohet në mënyrë </w:t>
      </w:r>
      <w:r w:rsidRPr="000F0607">
        <w:rPr>
          <w:rFonts w:ascii="Times New Roman" w:hAnsi="Times New Roman"/>
          <w:sz w:val="28"/>
          <w:szCs w:val="28"/>
        </w:rPr>
        <w:t>shumë</w:t>
      </w:r>
      <w:r w:rsidRPr="000F0607">
        <w:rPr>
          <w:rFonts w:ascii="Times New Roman" w:hAnsi="Times New Roman"/>
          <w:bCs/>
          <w:sz w:val="28"/>
          <w:szCs w:val="28"/>
        </w:rPr>
        <w:t xml:space="preserve"> më </w:t>
      </w:r>
      <w:r w:rsidR="00216BCD" w:rsidRPr="000F0607">
        <w:rPr>
          <w:rFonts w:ascii="Times New Roman" w:hAnsi="Times New Roman"/>
          <w:bCs/>
          <w:sz w:val="28"/>
          <w:szCs w:val="28"/>
        </w:rPr>
        <w:t>gjithëpërfshirëse</w:t>
      </w:r>
      <w:r w:rsidRPr="000F0607">
        <w:rPr>
          <w:rFonts w:ascii="Times New Roman" w:hAnsi="Times New Roman"/>
          <w:bCs/>
          <w:sz w:val="28"/>
          <w:szCs w:val="28"/>
        </w:rPr>
        <w:t xml:space="preserve"> dhe të hollësishme, ndërsa shtohen dy dispozita të reja në këtë kuadër që lidhen me: </w:t>
      </w:r>
    </w:p>
    <w:p w14:paraId="21971502" w14:textId="77777777" w:rsidR="0098201E" w:rsidRPr="000F0607" w:rsidRDefault="0098201E" w:rsidP="0098201E">
      <w:pPr>
        <w:spacing w:after="160"/>
        <w:ind w:left="720"/>
        <w:contextualSpacing/>
        <w:rPr>
          <w:rFonts w:ascii="Times New Roman" w:hAnsi="Times New Roman"/>
          <w:sz w:val="28"/>
          <w:szCs w:val="28"/>
        </w:rPr>
      </w:pPr>
    </w:p>
    <w:p w14:paraId="3C0DBC7A"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 xml:space="preserve">përpunimin e të dhënave personale dhe të drejtën e </w:t>
      </w:r>
      <w:r w:rsidRPr="000F0607">
        <w:rPr>
          <w:rFonts w:ascii="Times New Roman" w:hAnsi="Times New Roman"/>
          <w:bCs/>
          <w:i/>
          <w:sz w:val="28"/>
          <w:szCs w:val="28"/>
        </w:rPr>
        <w:t>aksesit në informacionin e sektorit publik me qëllim që të garantohet balanca midis këtyre dy të drejtave</w:t>
      </w:r>
      <w:r w:rsidRPr="000F0607">
        <w:rPr>
          <w:rFonts w:ascii="Times New Roman" w:hAnsi="Times New Roman"/>
          <w:i/>
          <w:sz w:val="28"/>
          <w:szCs w:val="28"/>
        </w:rPr>
        <w:t xml:space="preserve"> themelore;</w:t>
      </w:r>
    </w:p>
    <w:p w14:paraId="76046A7C" w14:textId="77777777" w:rsidR="0098201E" w:rsidRPr="000F0607" w:rsidRDefault="0098201E" w:rsidP="0098201E">
      <w:pPr>
        <w:numPr>
          <w:ilvl w:val="0"/>
          <w:numId w:val="7"/>
        </w:numPr>
        <w:spacing w:after="0" w:line="259" w:lineRule="auto"/>
        <w:ind w:left="720"/>
        <w:contextualSpacing/>
        <w:jc w:val="both"/>
        <w:rPr>
          <w:rFonts w:ascii="Times New Roman" w:hAnsi="Times New Roman"/>
          <w:i/>
          <w:sz w:val="28"/>
          <w:szCs w:val="28"/>
        </w:rPr>
      </w:pPr>
      <w:r w:rsidRPr="000F0607">
        <w:rPr>
          <w:rFonts w:ascii="Times New Roman" w:hAnsi="Times New Roman"/>
          <w:i/>
          <w:sz w:val="28"/>
          <w:szCs w:val="28"/>
        </w:rPr>
        <w:t>përpunimin e të dhënave personale për qëllime marketingu të drejtpërdrejtë ku prezantohen rregulla dhe instrumente të reja për mbrojtjen e interesave të subjekteve të të dhënave në kontekstin e ushtrimit të kësaj veprimtarie.</w:t>
      </w:r>
    </w:p>
    <w:p w14:paraId="227612E8" w14:textId="77777777" w:rsidR="0098201E" w:rsidRPr="000F0607" w:rsidRDefault="0098201E" w:rsidP="0098201E">
      <w:pPr>
        <w:spacing w:after="0"/>
        <w:ind w:left="180"/>
        <w:contextualSpacing/>
        <w:jc w:val="both"/>
        <w:rPr>
          <w:rFonts w:ascii="Times New Roman" w:hAnsi="Times New Roman"/>
          <w:i/>
          <w:sz w:val="28"/>
          <w:szCs w:val="28"/>
        </w:rPr>
      </w:pPr>
    </w:p>
    <w:p w14:paraId="26C00B80" w14:textId="3DB9447B"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bCs/>
          <w:sz w:val="28"/>
          <w:szCs w:val="28"/>
        </w:rPr>
        <w:t xml:space="preserve">Integrohen për herë të parë rastet për lejimin e transferimit të të dhënave personale pa autorizimin e Komisionerit në </w:t>
      </w:r>
      <w:r w:rsidR="00216BCD" w:rsidRPr="000F0607">
        <w:rPr>
          <w:rFonts w:ascii="Times New Roman" w:hAnsi="Times New Roman"/>
          <w:bCs/>
          <w:sz w:val="28"/>
          <w:szCs w:val="28"/>
        </w:rPr>
        <w:t>vendet</w:t>
      </w:r>
      <w:r w:rsidRPr="000F0607">
        <w:rPr>
          <w:rFonts w:ascii="Times New Roman" w:hAnsi="Times New Roman"/>
          <w:bCs/>
          <w:sz w:val="28"/>
          <w:szCs w:val="28"/>
        </w:rPr>
        <w:t xml:space="preserve"> me nivel të pamjaftueshëm mbrojtje të të dhënave duke prezantuar në këtë kuadër instrumente të reja që garantojnë masa të përshtatshme mbrojtëse për të drejtat dhe liritë themelore si: </w:t>
      </w:r>
      <w:r w:rsidRPr="000F0607">
        <w:rPr>
          <w:rFonts w:ascii="Times New Roman" w:hAnsi="Times New Roman"/>
          <w:i/>
          <w:sz w:val="28"/>
          <w:szCs w:val="28"/>
        </w:rPr>
        <w:t xml:space="preserve">"Klauzola </w:t>
      </w:r>
      <w:r w:rsidRPr="000F0607">
        <w:rPr>
          <w:rFonts w:ascii="Times New Roman" w:hAnsi="Times New Roman"/>
          <w:bCs/>
          <w:i/>
          <w:sz w:val="28"/>
          <w:szCs w:val="28"/>
        </w:rPr>
        <w:t>standarde të mbrojtjes së të dhënave"</w:t>
      </w:r>
      <w:r w:rsidRPr="000F0607">
        <w:rPr>
          <w:rFonts w:ascii="Times New Roman" w:hAnsi="Times New Roman"/>
          <w:i/>
          <w:sz w:val="28"/>
          <w:szCs w:val="28"/>
        </w:rPr>
        <w:t xml:space="preserve"> </w:t>
      </w:r>
      <w:r w:rsidRPr="000F0607">
        <w:rPr>
          <w:rFonts w:ascii="Times New Roman" w:hAnsi="Times New Roman"/>
          <w:sz w:val="28"/>
          <w:szCs w:val="28"/>
        </w:rPr>
        <w:t xml:space="preserve">dhe </w:t>
      </w:r>
      <w:r w:rsidRPr="000F0607">
        <w:rPr>
          <w:rFonts w:ascii="Times New Roman" w:hAnsi="Times New Roman"/>
          <w:bCs/>
          <w:i/>
          <w:sz w:val="28"/>
          <w:szCs w:val="28"/>
        </w:rPr>
        <w:t xml:space="preserve">"Rregullat e detyrueshme të </w:t>
      </w:r>
      <w:r w:rsidR="00216BCD" w:rsidRPr="000F0607">
        <w:rPr>
          <w:rFonts w:ascii="Times New Roman" w:hAnsi="Times New Roman"/>
          <w:bCs/>
          <w:i/>
          <w:sz w:val="28"/>
          <w:szCs w:val="28"/>
        </w:rPr>
        <w:t>grupit të shoqërive tregtare</w:t>
      </w:r>
      <w:r w:rsidRPr="000F0607">
        <w:rPr>
          <w:rFonts w:ascii="Times New Roman" w:hAnsi="Times New Roman"/>
          <w:bCs/>
          <w:i/>
          <w:sz w:val="28"/>
          <w:szCs w:val="28"/>
        </w:rPr>
        <w:t>"</w:t>
      </w:r>
      <w:r w:rsidRPr="000F0607">
        <w:rPr>
          <w:rFonts w:ascii="Times New Roman" w:hAnsi="Times New Roman"/>
          <w:i/>
          <w:sz w:val="28"/>
          <w:szCs w:val="28"/>
        </w:rPr>
        <w:t xml:space="preserve">, </w:t>
      </w:r>
      <w:r w:rsidRPr="000F0607">
        <w:rPr>
          <w:rFonts w:ascii="Times New Roman" w:hAnsi="Times New Roman"/>
          <w:sz w:val="28"/>
          <w:szCs w:val="28"/>
        </w:rPr>
        <w:t>të cilat</w:t>
      </w:r>
      <w:r w:rsidRPr="000F0607">
        <w:rPr>
          <w:rFonts w:ascii="Times New Roman" w:hAnsi="Times New Roman"/>
          <w:i/>
          <w:sz w:val="28"/>
          <w:szCs w:val="28"/>
        </w:rPr>
        <w:t xml:space="preserve"> </w:t>
      </w:r>
      <w:r w:rsidRPr="000F0607">
        <w:rPr>
          <w:rFonts w:ascii="Times New Roman" w:hAnsi="Times New Roman"/>
          <w:sz w:val="28"/>
          <w:szCs w:val="28"/>
        </w:rPr>
        <w:t>s</w:t>
      </w:r>
      <w:r w:rsidRPr="000F0607">
        <w:rPr>
          <w:rFonts w:ascii="Times New Roman" w:hAnsi="Times New Roman"/>
          <w:bCs/>
          <w:sz w:val="28"/>
          <w:szCs w:val="28"/>
        </w:rPr>
        <w:t xml:space="preserve">hërbejnë si një mekanizëm për ofrimin e garancive të duhura për transferimet e të dhënave. </w:t>
      </w:r>
    </w:p>
    <w:p w14:paraId="3085F056" w14:textId="77777777" w:rsidR="0098201E" w:rsidRPr="000F0607" w:rsidRDefault="0098201E" w:rsidP="0098201E">
      <w:pPr>
        <w:spacing w:after="0"/>
        <w:ind w:left="360"/>
        <w:contextualSpacing/>
        <w:jc w:val="both"/>
        <w:rPr>
          <w:rFonts w:ascii="Times New Roman" w:hAnsi="Times New Roman"/>
          <w:sz w:val="28"/>
          <w:szCs w:val="28"/>
        </w:rPr>
      </w:pPr>
    </w:p>
    <w:p w14:paraId="1D61EDFC" w14:textId="77777777"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color w:val="000000"/>
          <w:sz w:val="28"/>
          <w:szCs w:val="28"/>
        </w:rPr>
        <w:t xml:space="preserve">Parashikohen për herë të parë rregulla mbi përpunimin e të dhënave personale nga autoritetet kompetente për sigurinë publike ose kombëtare dhe për parandalimin dhe ndjekjen e veprave penale në kuadër të </w:t>
      </w:r>
      <w:r w:rsidRPr="000F0607">
        <w:rPr>
          <w:rFonts w:ascii="Times New Roman" w:hAnsi="Times New Roman"/>
          <w:sz w:val="28"/>
          <w:szCs w:val="28"/>
        </w:rPr>
        <w:t xml:space="preserve">transpozimit të Direktivës së BE 2016/680 </w:t>
      </w:r>
      <w:r w:rsidRPr="000F0607">
        <w:rPr>
          <w:rFonts w:ascii="Times New Roman" w:hAnsi="Times New Roman"/>
          <w:color w:val="000000"/>
          <w:sz w:val="28"/>
          <w:szCs w:val="28"/>
        </w:rPr>
        <w:t xml:space="preserve">e Parlamentit Evropian dhe e Këshillit të 27 prillit 2016 </w:t>
      </w:r>
      <w:r w:rsidRPr="000F0607">
        <w:rPr>
          <w:rFonts w:ascii="Times New Roman" w:hAnsi="Times New Roman"/>
          <w:i/>
          <w:color w:val="000000"/>
          <w:sz w:val="28"/>
          <w:szCs w:val="28"/>
        </w:rPr>
        <w:t>“</w:t>
      </w:r>
      <w:r w:rsidRPr="000F0607">
        <w:rPr>
          <w:rFonts w:ascii="Times New Roman" w:hAnsi="Times New Roman"/>
          <w:i/>
          <w:sz w:val="28"/>
          <w:szCs w:val="28"/>
        </w:rPr>
        <w:t xml:space="preserve">Për mbrojtjen e personave fizikë në lidhje me përpunimin e të dhënave personale nga autoritetet kompetente me qëllim parandalimin, hetimin, zbulimin, ndjekjen penale të veprave penale apo ekzekutimin e dënimeve penale dhe për lëvizjen e lirë të këtyre të dhënave”, </w:t>
      </w:r>
      <w:r w:rsidRPr="000F0607">
        <w:rPr>
          <w:rFonts w:ascii="Times New Roman" w:hAnsi="Times New Roman"/>
          <w:sz w:val="28"/>
          <w:szCs w:val="28"/>
        </w:rPr>
        <w:t>të cilat</w:t>
      </w:r>
      <w:r w:rsidRPr="000F0607">
        <w:rPr>
          <w:rFonts w:ascii="Times New Roman" w:hAnsi="Times New Roman"/>
          <w:i/>
          <w:sz w:val="28"/>
          <w:szCs w:val="28"/>
        </w:rPr>
        <w:t xml:space="preserve"> </w:t>
      </w:r>
      <w:r w:rsidRPr="000F0607">
        <w:rPr>
          <w:rFonts w:ascii="Times New Roman" w:hAnsi="Times New Roman"/>
          <w:color w:val="000000"/>
          <w:sz w:val="28"/>
          <w:szCs w:val="28"/>
        </w:rPr>
        <w:t xml:space="preserve">konsiderohen si </w:t>
      </w:r>
      <w:r w:rsidRPr="000F0607">
        <w:rPr>
          <w:rFonts w:ascii="Times New Roman" w:hAnsi="Times New Roman"/>
          <w:i/>
          <w:color w:val="000000"/>
          <w:sz w:val="28"/>
          <w:szCs w:val="28"/>
        </w:rPr>
        <w:t>lex specialis</w:t>
      </w:r>
      <w:r w:rsidRPr="000F0607">
        <w:rPr>
          <w:rFonts w:ascii="Times New Roman" w:hAnsi="Times New Roman"/>
          <w:color w:val="000000"/>
          <w:sz w:val="28"/>
          <w:szCs w:val="28"/>
        </w:rPr>
        <w:t xml:space="preserve"> për përpunimin e të dhënave personale në këtë fushë. </w:t>
      </w:r>
    </w:p>
    <w:p w14:paraId="50F38EC0" w14:textId="77777777" w:rsidR="0098201E" w:rsidRPr="000F0607" w:rsidRDefault="0098201E" w:rsidP="0098201E">
      <w:pPr>
        <w:spacing w:after="160"/>
        <w:ind w:left="720"/>
        <w:contextualSpacing/>
        <w:rPr>
          <w:rFonts w:ascii="Times New Roman" w:hAnsi="Times New Roman"/>
          <w:color w:val="000000"/>
          <w:sz w:val="28"/>
          <w:szCs w:val="28"/>
        </w:rPr>
      </w:pPr>
    </w:p>
    <w:p w14:paraId="2AB82A0D" w14:textId="77777777" w:rsidR="0098201E" w:rsidRPr="000F0607" w:rsidRDefault="0098201E" w:rsidP="0098201E">
      <w:pPr>
        <w:spacing w:after="0"/>
        <w:ind w:left="360"/>
        <w:contextualSpacing/>
        <w:jc w:val="both"/>
        <w:rPr>
          <w:rFonts w:ascii="Times New Roman" w:hAnsi="Times New Roman"/>
          <w:color w:val="000000"/>
          <w:sz w:val="28"/>
          <w:szCs w:val="28"/>
        </w:rPr>
      </w:pPr>
      <w:r w:rsidRPr="000F0607">
        <w:rPr>
          <w:rFonts w:ascii="Times New Roman" w:hAnsi="Times New Roman"/>
          <w:color w:val="000000"/>
          <w:sz w:val="28"/>
          <w:szCs w:val="28"/>
        </w:rPr>
        <w:t>Bashkëpunimi duke shkëmbyer informacion midis autoriteteve kompetente është një nga instrumentet kryesore për të luftuar krimin dhe rreziqet për sigurinë publike dhe kombëtare.</w:t>
      </w:r>
      <w:r w:rsidRPr="000F0607">
        <w:rPr>
          <w:rFonts w:ascii="Times New Roman" w:hAnsi="Times New Roman"/>
          <w:bCs/>
          <w:color w:val="000000"/>
          <w:kern w:val="24"/>
          <w:sz w:val="28"/>
          <w:szCs w:val="28"/>
        </w:rPr>
        <w:t xml:space="preserve"> </w:t>
      </w:r>
      <w:r w:rsidRPr="000F0607">
        <w:rPr>
          <w:rFonts w:ascii="Times New Roman" w:hAnsi="Times New Roman"/>
          <w:bCs/>
          <w:color w:val="000000"/>
          <w:sz w:val="28"/>
          <w:szCs w:val="28"/>
        </w:rPr>
        <w:t xml:space="preserve">Ky bashkëpunim do të jetë ligjërisht i mundur </w:t>
      </w:r>
      <w:r w:rsidRPr="000F0607">
        <w:rPr>
          <w:rFonts w:ascii="Times New Roman" w:hAnsi="Times New Roman"/>
          <w:color w:val="000000"/>
          <w:sz w:val="28"/>
          <w:szCs w:val="28"/>
        </w:rPr>
        <w:t xml:space="preserve">edhe midis autoriteteve kompetente të vendeve të ndryshme ose të organizatave ndërkombëtare. </w:t>
      </w:r>
    </w:p>
    <w:p w14:paraId="76320771" w14:textId="77777777" w:rsidR="0098201E" w:rsidRPr="000F0607" w:rsidRDefault="0098201E" w:rsidP="0098201E">
      <w:pPr>
        <w:spacing w:after="0"/>
        <w:jc w:val="both"/>
        <w:rPr>
          <w:rFonts w:ascii="Times New Roman" w:hAnsi="Times New Roman"/>
          <w:sz w:val="28"/>
          <w:szCs w:val="28"/>
        </w:rPr>
      </w:pPr>
    </w:p>
    <w:p w14:paraId="78546844" w14:textId="77777777" w:rsidR="0098201E" w:rsidRPr="000F0607"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sz w:val="28"/>
          <w:szCs w:val="28"/>
        </w:rPr>
        <w:t>Forcohet mandati i Komisionerit në interes të pavarësisë së tij dhe zgjerohen kompetencat në fushën e mbrojtjes së të dhënave personale duke përfshirë gjithashtu për herë të parë, k</w:t>
      </w:r>
      <w:r w:rsidRPr="000F0607">
        <w:rPr>
          <w:rFonts w:ascii="Times New Roman" w:hAnsi="Times New Roman"/>
          <w:sz w:val="28"/>
          <w:szCs w:val="28"/>
          <w:shd w:val="clear" w:color="auto" w:fill="FFFFFF"/>
        </w:rPr>
        <w:t xml:space="preserve">ompetenca ndihmëse, si ato hetimore dhe korrigjuese, në funksion të përmbushjes së detyrimeve të tij. </w:t>
      </w:r>
    </w:p>
    <w:p w14:paraId="59310066" w14:textId="77777777" w:rsidR="0098201E" w:rsidRPr="000F0607" w:rsidRDefault="0098201E" w:rsidP="0098201E">
      <w:pPr>
        <w:spacing w:after="0"/>
        <w:ind w:left="360"/>
        <w:contextualSpacing/>
        <w:jc w:val="both"/>
        <w:rPr>
          <w:rFonts w:ascii="Times New Roman" w:hAnsi="Times New Roman"/>
          <w:sz w:val="28"/>
          <w:szCs w:val="28"/>
        </w:rPr>
      </w:pPr>
    </w:p>
    <w:p w14:paraId="47E92118" w14:textId="77777777" w:rsidR="0098201E" w:rsidRPr="000F0607" w:rsidRDefault="0098201E" w:rsidP="0098201E">
      <w:pPr>
        <w:spacing w:after="0"/>
        <w:ind w:left="360"/>
        <w:contextualSpacing/>
        <w:jc w:val="both"/>
        <w:rPr>
          <w:rFonts w:ascii="Times New Roman" w:hAnsi="Times New Roman"/>
          <w:color w:val="000000"/>
          <w:sz w:val="28"/>
          <w:szCs w:val="28"/>
        </w:rPr>
      </w:pPr>
      <w:r w:rsidRPr="000F0607">
        <w:rPr>
          <w:rFonts w:ascii="Times New Roman" w:hAnsi="Times New Roman"/>
          <w:sz w:val="28"/>
          <w:szCs w:val="28"/>
          <w:shd w:val="clear" w:color="auto" w:fill="FFFFFF"/>
        </w:rPr>
        <w:t xml:space="preserve">Nga ana tjetër, kompetencat e Komisionerit kufizohen vetëm në fushën e mbrojtjes së të dhënave personale, duke përjashtuar rregullimin me këtë ligj të kompetencave të tij në fushën e të drejtës për informim. Këto kompetenca do </w:t>
      </w:r>
      <w:r w:rsidRPr="000F0607">
        <w:rPr>
          <w:rFonts w:ascii="Times New Roman" w:hAnsi="Times New Roman"/>
          <w:bCs/>
          <w:sz w:val="28"/>
          <w:szCs w:val="28"/>
        </w:rPr>
        <w:t>të përcaktohen në ligjin e posaçëm p</w:t>
      </w:r>
      <w:r w:rsidRPr="000F0607">
        <w:rPr>
          <w:rFonts w:ascii="Times New Roman" w:hAnsi="Times New Roman"/>
          <w:sz w:val="28"/>
          <w:szCs w:val="28"/>
        </w:rPr>
        <w:t>ër të drejtën e informimit</w:t>
      </w:r>
      <w:r w:rsidRPr="000F0607">
        <w:rPr>
          <w:rFonts w:ascii="Times New Roman" w:hAnsi="Times New Roman"/>
          <w:color w:val="000000"/>
          <w:sz w:val="28"/>
          <w:szCs w:val="28"/>
        </w:rPr>
        <w:t xml:space="preserve">. </w:t>
      </w:r>
    </w:p>
    <w:p w14:paraId="55A77FF7" w14:textId="77777777" w:rsidR="0098201E" w:rsidRPr="000F0607" w:rsidRDefault="0098201E" w:rsidP="0098201E">
      <w:pPr>
        <w:spacing w:after="0"/>
        <w:jc w:val="both"/>
        <w:rPr>
          <w:rFonts w:ascii="Times New Roman" w:hAnsi="Times New Roman"/>
          <w:sz w:val="28"/>
          <w:szCs w:val="28"/>
        </w:rPr>
      </w:pPr>
    </w:p>
    <w:p w14:paraId="15E5164D" w14:textId="397EAC02" w:rsidR="0098201E" w:rsidRDefault="0098201E" w:rsidP="0098201E">
      <w:pPr>
        <w:numPr>
          <w:ilvl w:val="0"/>
          <w:numId w:val="6"/>
        </w:numPr>
        <w:spacing w:after="0" w:line="259" w:lineRule="auto"/>
        <w:ind w:left="360"/>
        <w:contextualSpacing/>
        <w:jc w:val="both"/>
        <w:rPr>
          <w:rFonts w:ascii="Times New Roman" w:hAnsi="Times New Roman"/>
          <w:sz w:val="28"/>
          <w:szCs w:val="28"/>
        </w:rPr>
      </w:pPr>
      <w:r w:rsidRPr="000F0607">
        <w:rPr>
          <w:rFonts w:ascii="Times New Roman" w:hAnsi="Times New Roman"/>
          <w:sz w:val="28"/>
          <w:szCs w:val="28"/>
          <w:shd w:val="clear" w:color="auto" w:fill="FFFFFF"/>
        </w:rPr>
        <w:t xml:space="preserve">Një risi që sjell projektligji është rishikimi i sanksioneve administrative në rritje, me qëllim </w:t>
      </w:r>
      <w:r w:rsidRPr="000F0607">
        <w:rPr>
          <w:rFonts w:ascii="Times New Roman" w:hAnsi="Times New Roman"/>
          <w:sz w:val="28"/>
          <w:szCs w:val="28"/>
        </w:rPr>
        <w:t xml:space="preserve">përputhshmërinë me GDPR. Ky është një tregues i qartë për rëndësinë që ka mbrojtja e të dhënave personale dhe zbatimi i detyrimeve që burojnë nga kuadri ligjor në këtë fushë. </w:t>
      </w:r>
    </w:p>
    <w:p w14:paraId="756B14CE" w14:textId="77777777" w:rsidR="00651C16" w:rsidRDefault="00651C16" w:rsidP="00651C16">
      <w:pPr>
        <w:shd w:val="clear" w:color="auto" w:fill="FFFFFF"/>
        <w:tabs>
          <w:tab w:val="left" w:pos="1080"/>
        </w:tabs>
        <w:spacing w:after="160"/>
        <w:contextualSpacing/>
        <w:jc w:val="both"/>
        <w:rPr>
          <w:rFonts w:ascii="Times New Roman" w:hAnsi="Times New Roman"/>
          <w:sz w:val="28"/>
          <w:szCs w:val="28"/>
        </w:rPr>
      </w:pPr>
      <w:r>
        <w:rPr>
          <w:rFonts w:ascii="Times New Roman" w:hAnsi="Times New Roman"/>
          <w:sz w:val="28"/>
          <w:szCs w:val="28"/>
        </w:rPr>
        <w:tab/>
      </w:r>
    </w:p>
    <w:p w14:paraId="747EC5FA" w14:textId="77777777" w:rsidR="00F24F88" w:rsidRDefault="00651C16" w:rsidP="00651C16">
      <w:pPr>
        <w:shd w:val="clear" w:color="auto" w:fill="FFFFFF"/>
        <w:tabs>
          <w:tab w:val="left" w:pos="1080"/>
        </w:tabs>
        <w:spacing w:after="160"/>
        <w:contextualSpacing/>
        <w:jc w:val="both"/>
        <w:rPr>
          <w:rFonts w:ascii="Times New Roman" w:hAnsi="Times New Roman"/>
          <w:sz w:val="28"/>
          <w:szCs w:val="28"/>
        </w:rPr>
      </w:pPr>
      <w:r>
        <w:rPr>
          <w:rFonts w:ascii="Times New Roman" w:hAnsi="Times New Roman"/>
          <w:sz w:val="28"/>
          <w:szCs w:val="28"/>
        </w:rPr>
        <w:t>Sanksionet administrative janë rishikuar duke u bazuar në të dhënat e disponueshme nga INSTAT d</w:t>
      </w:r>
      <w:r w:rsidR="00F24F88">
        <w:rPr>
          <w:rFonts w:ascii="Times New Roman" w:hAnsi="Times New Roman"/>
          <w:sz w:val="28"/>
          <w:szCs w:val="28"/>
        </w:rPr>
        <w:t xml:space="preserve">he EUROSTAT mbi pagën mesatare, si një komponent i rëndësishëm i aftësisë paguese të subjekteve në caktimin e masës se sanksionit administrativ. </w:t>
      </w:r>
    </w:p>
    <w:p w14:paraId="01D0597C" w14:textId="77777777" w:rsidR="00F24F88" w:rsidRDefault="00F24F88" w:rsidP="00651C16">
      <w:pPr>
        <w:shd w:val="clear" w:color="auto" w:fill="FFFFFF"/>
        <w:tabs>
          <w:tab w:val="left" w:pos="1080"/>
        </w:tabs>
        <w:spacing w:after="160"/>
        <w:contextualSpacing/>
        <w:jc w:val="both"/>
        <w:rPr>
          <w:rFonts w:ascii="Times New Roman" w:hAnsi="Times New Roman"/>
          <w:sz w:val="28"/>
          <w:szCs w:val="28"/>
        </w:rPr>
      </w:pPr>
    </w:p>
    <w:p w14:paraId="65C607AD" w14:textId="77195014" w:rsidR="00651C16" w:rsidRDefault="00651C16" w:rsidP="00651C16">
      <w:pPr>
        <w:shd w:val="clear" w:color="auto" w:fill="FFFFFF"/>
        <w:tabs>
          <w:tab w:val="left" w:pos="1080"/>
        </w:tabs>
        <w:spacing w:after="160"/>
        <w:contextualSpacing/>
        <w:jc w:val="both"/>
        <w:rPr>
          <w:rFonts w:ascii="Times New Roman" w:hAnsi="Times New Roman"/>
          <w:sz w:val="28"/>
          <w:szCs w:val="28"/>
        </w:rPr>
      </w:pPr>
      <w:r>
        <w:rPr>
          <w:rFonts w:ascii="Times New Roman" w:hAnsi="Times New Roman"/>
          <w:sz w:val="28"/>
          <w:szCs w:val="28"/>
        </w:rPr>
        <w:t>Sipas INSTAT paga mesatare bruto në Shqipëri</w:t>
      </w:r>
      <w:r>
        <w:rPr>
          <w:rStyle w:val="FootnoteReference"/>
          <w:rFonts w:ascii="Times New Roman" w:hAnsi="Times New Roman"/>
          <w:sz w:val="28"/>
          <w:szCs w:val="28"/>
        </w:rPr>
        <w:footnoteReference w:id="1"/>
      </w:r>
      <w:r>
        <w:rPr>
          <w:rFonts w:ascii="Times New Roman" w:hAnsi="Times New Roman"/>
          <w:sz w:val="28"/>
          <w:szCs w:val="28"/>
        </w:rPr>
        <w:t xml:space="preserve"> në vitin 2021 </w:t>
      </w:r>
      <w:r w:rsidRPr="00651C16">
        <w:rPr>
          <w:rFonts w:ascii="Times New Roman" w:hAnsi="Times New Roman"/>
          <w:sz w:val="28"/>
          <w:szCs w:val="28"/>
        </w:rPr>
        <w:t xml:space="preserve">për një të punësuar me pagë, gjatë tremujorit të katërt 2021, </w:t>
      </w:r>
      <w:r w:rsidR="000038A0">
        <w:rPr>
          <w:rFonts w:ascii="Times New Roman" w:hAnsi="Times New Roman"/>
          <w:sz w:val="28"/>
          <w:szCs w:val="28"/>
        </w:rPr>
        <w:t>ishte</w:t>
      </w:r>
      <w:r w:rsidRPr="00651C16">
        <w:rPr>
          <w:rFonts w:ascii="Times New Roman" w:hAnsi="Times New Roman"/>
          <w:sz w:val="28"/>
          <w:szCs w:val="28"/>
        </w:rPr>
        <w:t xml:space="preserve"> 59.565 lekë</w:t>
      </w:r>
      <w:r>
        <w:rPr>
          <w:rFonts w:ascii="Times New Roman" w:hAnsi="Times New Roman"/>
          <w:sz w:val="28"/>
          <w:szCs w:val="28"/>
        </w:rPr>
        <w:t xml:space="preserve">. Kjo pagë e llogaritur në neto shkon në masën </w:t>
      </w:r>
      <w:r w:rsidR="000B7980">
        <w:rPr>
          <w:rFonts w:ascii="Times New Roman" w:hAnsi="Times New Roman"/>
          <w:sz w:val="28"/>
          <w:szCs w:val="28"/>
        </w:rPr>
        <w:t xml:space="preserve">në masën </w:t>
      </w:r>
      <w:r w:rsidRPr="00651C16">
        <w:rPr>
          <w:rFonts w:ascii="Times New Roman" w:hAnsi="Times New Roman"/>
          <w:sz w:val="28"/>
          <w:szCs w:val="28"/>
        </w:rPr>
        <w:t>49</w:t>
      </w:r>
      <w:r>
        <w:rPr>
          <w:rFonts w:ascii="Times New Roman" w:hAnsi="Times New Roman"/>
          <w:sz w:val="28"/>
          <w:szCs w:val="28"/>
        </w:rPr>
        <w:t>.</w:t>
      </w:r>
      <w:r w:rsidRPr="00651C16">
        <w:rPr>
          <w:rFonts w:ascii="Times New Roman" w:hAnsi="Times New Roman"/>
          <w:sz w:val="28"/>
          <w:szCs w:val="28"/>
        </w:rPr>
        <w:t>050</w:t>
      </w:r>
      <w:r>
        <w:rPr>
          <w:rFonts w:ascii="Times New Roman" w:hAnsi="Times New Roman"/>
          <w:sz w:val="28"/>
          <w:szCs w:val="28"/>
        </w:rPr>
        <w:t xml:space="preserve"> lekë ose </w:t>
      </w:r>
      <w:r w:rsidR="00F24F88">
        <w:rPr>
          <w:rFonts w:ascii="Times New Roman" w:hAnsi="Times New Roman"/>
          <w:sz w:val="28"/>
          <w:szCs w:val="28"/>
        </w:rPr>
        <w:t>406 Euro</w:t>
      </w:r>
      <w:r w:rsidR="00F24F88">
        <w:rPr>
          <w:rStyle w:val="FootnoteReference"/>
          <w:rFonts w:ascii="Times New Roman" w:hAnsi="Times New Roman"/>
          <w:sz w:val="28"/>
          <w:szCs w:val="28"/>
        </w:rPr>
        <w:footnoteReference w:id="2"/>
      </w:r>
      <w:r w:rsidR="00F24F88">
        <w:rPr>
          <w:rFonts w:ascii="Times New Roman" w:hAnsi="Times New Roman"/>
          <w:sz w:val="28"/>
          <w:szCs w:val="28"/>
        </w:rPr>
        <w:t xml:space="preserve">. </w:t>
      </w:r>
    </w:p>
    <w:p w14:paraId="4B999680" w14:textId="6A956B4C" w:rsidR="00651C16" w:rsidRDefault="00651C16" w:rsidP="00F24F88">
      <w:pPr>
        <w:shd w:val="clear" w:color="auto" w:fill="FFFFFF"/>
        <w:tabs>
          <w:tab w:val="left" w:pos="1080"/>
        </w:tabs>
        <w:spacing w:after="160"/>
        <w:contextualSpacing/>
        <w:jc w:val="both"/>
        <w:rPr>
          <w:rFonts w:ascii="Times New Roman" w:hAnsi="Times New Roman"/>
          <w:sz w:val="28"/>
          <w:szCs w:val="28"/>
        </w:rPr>
      </w:pPr>
      <w:r>
        <w:rPr>
          <w:rFonts w:ascii="Times New Roman" w:hAnsi="Times New Roman"/>
          <w:sz w:val="28"/>
          <w:szCs w:val="28"/>
        </w:rPr>
        <w:t>Ndërkohë sipas EUROSTAT në total</w:t>
      </w:r>
      <w:r w:rsidR="00F24F88">
        <w:rPr>
          <w:rFonts w:ascii="Times New Roman" w:hAnsi="Times New Roman"/>
          <w:sz w:val="28"/>
          <w:szCs w:val="28"/>
        </w:rPr>
        <w:t>,</w:t>
      </w:r>
      <w:r>
        <w:rPr>
          <w:rFonts w:ascii="Times New Roman" w:hAnsi="Times New Roman"/>
          <w:sz w:val="28"/>
          <w:szCs w:val="28"/>
        </w:rPr>
        <w:t xml:space="preserve"> paga mesatare neto vjetore në 27 vendet e Bashkimit Europian ishte </w:t>
      </w:r>
      <w:r w:rsidRPr="00651C16">
        <w:rPr>
          <w:rFonts w:ascii="Times New Roman" w:hAnsi="Times New Roman"/>
          <w:sz w:val="28"/>
          <w:szCs w:val="28"/>
        </w:rPr>
        <w:t>14.436</w:t>
      </w:r>
      <w:r w:rsidR="00F24F88">
        <w:rPr>
          <w:rStyle w:val="FootnoteReference"/>
          <w:rFonts w:ascii="Times New Roman" w:hAnsi="Times New Roman"/>
          <w:sz w:val="28"/>
          <w:szCs w:val="28"/>
        </w:rPr>
        <w:footnoteReference w:id="3"/>
      </w:r>
      <w:r w:rsidRPr="00651C16">
        <w:rPr>
          <w:rFonts w:ascii="Times New Roman" w:hAnsi="Times New Roman"/>
          <w:sz w:val="28"/>
          <w:szCs w:val="28"/>
        </w:rPr>
        <w:t xml:space="preserve"> Euro</w:t>
      </w:r>
      <w:r>
        <w:rPr>
          <w:rFonts w:ascii="Times New Roman" w:hAnsi="Times New Roman"/>
          <w:sz w:val="28"/>
          <w:szCs w:val="28"/>
        </w:rPr>
        <w:t xml:space="preserve">, pra </w:t>
      </w:r>
      <w:r w:rsidRPr="00651C16">
        <w:rPr>
          <w:rFonts w:ascii="Times New Roman" w:hAnsi="Times New Roman"/>
          <w:sz w:val="28"/>
          <w:szCs w:val="28"/>
        </w:rPr>
        <w:t xml:space="preserve">1.203 Euro </w:t>
      </w:r>
      <w:r>
        <w:rPr>
          <w:rFonts w:ascii="Times New Roman" w:hAnsi="Times New Roman"/>
          <w:sz w:val="28"/>
          <w:szCs w:val="28"/>
        </w:rPr>
        <w:t>në muaj.</w:t>
      </w:r>
    </w:p>
    <w:p w14:paraId="3469E0DD" w14:textId="5CE44790" w:rsidR="00F24F88" w:rsidRDefault="00F24F88" w:rsidP="00F24F88">
      <w:pPr>
        <w:shd w:val="clear" w:color="auto" w:fill="FFFFFF"/>
        <w:tabs>
          <w:tab w:val="left" w:pos="1080"/>
        </w:tabs>
        <w:spacing w:after="160"/>
        <w:contextualSpacing/>
        <w:jc w:val="both"/>
        <w:rPr>
          <w:rFonts w:ascii="Times New Roman" w:hAnsi="Times New Roman"/>
          <w:sz w:val="28"/>
          <w:szCs w:val="28"/>
        </w:rPr>
      </w:pPr>
    </w:p>
    <w:p w14:paraId="3C9A51E1" w14:textId="7F87B70E" w:rsidR="00F24F88" w:rsidRDefault="00F24F88" w:rsidP="00F24F88">
      <w:pPr>
        <w:shd w:val="clear" w:color="auto" w:fill="FFFFFF"/>
        <w:tabs>
          <w:tab w:val="left" w:pos="1080"/>
        </w:tabs>
        <w:spacing w:after="160"/>
        <w:contextualSpacing/>
        <w:jc w:val="both"/>
        <w:rPr>
          <w:rFonts w:ascii="Times New Roman" w:hAnsi="Times New Roman"/>
          <w:sz w:val="28"/>
          <w:szCs w:val="28"/>
        </w:rPr>
      </w:pPr>
      <w:r>
        <w:rPr>
          <w:rFonts w:ascii="Times New Roman" w:hAnsi="Times New Roman"/>
          <w:sz w:val="28"/>
          <w:szCs w:val="28"/>
        </w:rPr>
        <w:t>Pra, paga mesatare neto në muaj në Bashkimin Europian është</w:t>
      </w:r>
      <w:r w:rsidRPr="00F24F88">
        <w:rPr>
          <w:rFonts w:ascii="Times New Roman" w:hAnsi="Times New Roman"/>
          <w:sz w:val="28"/>
          <w:szCs w:val="28"/>
        </w:rPr>
        <w:t xml:space="preserve"> </w:t>
      </w:r>
      <w:r>
        <w:rPr>
          <w:rFonts w:ascii="Times New Roman" w:hAnsi="Times New Roman"/>
          <w:sz w:val="28"/>
          <w:szCs w:val="28"/>
        </w:rPr>
        <w:t>përafërsisht 3 herë më e lartë se paga mesatare neto në muaj në Republikën e Shqipërisë.</w:t>
      </w:r>
      <w:r w:rsidR="008A714B">
        <w:rPr>
          <w:rFonts w:ascii="Times New Roman" w:hAnsi="Times New Roman"/>
          <w:sz w:val="28"/>
          <w:szCs w:val="28"/>
        </w:rPr>
        <w:t xml:space="preserve"> Në këto kushte, ky raport është reflektuar edhe në përcaktimin e masës së sanksioneve administrative të parashikuara nga ligji</w:t>
      </w:r>
    </w:p>
    <w:p w14:paraId="6360A553" w14:textId="77777777" w:rsidR="00651C16" w:rsidRDefault="00651C16" w:rsidP="00651C16">
      <w:pPr>
        <w:spacing w:after="0" w:line="259" w:lineRule="auto"/>
        <w:contextualSpacing/>
        <w:jc w:val="both"/>
        <w:rPr>
          <w:rFonts w:ascii="Times New Roman" w:hAnsi="Times New Roman"/>
          <w:sz w:val="28"/>
          <w:szCs w:val="28"/>
        </w:rPr>
      </w:pPr>
    </w:p>
    <w:p w14:paraId="30F87CE7" w14:textId="77777777" w:rsidR="00F9548F" w:rsidRPr="000F0607" w:rsidRDefault="00F9548F" w:rsidP="00F9548F">
      <w:pPr>
        <w:jc w:val="both"/>
        <w:rPr>
          <w:rFonts w:ascii="Times New Roman" w:hAnsi="Times New Roman"/>
          <w:b/>
          <w:color w:val="000000"/>
          <w:sz w:val="28"/>
          <w:szCs w:val="28"/>
        </w:rPr>
      </w:pPr>
      <w:r w:rsidRPr="000F0607">
        <w:rPr>
          <w:rFonts w:ascii="Times New Roman" w:hAnsi="Times New Roman"/>
          <w:b/>
          <w:color w:val="000000"/>
          <w:sz w:val="28"/>
          <w:szCs w:val="28"/>
        </w:rPr>
        <w:t>IV.</w:t>
      </w:r>
      <w:r w:rsidRPr="000F0607">
        <w:rPr>
          <w:rFonts w:ascii="Times New Roman" w:hAnsi="Times New Roman"/>
          <w:b/>
          <w:color w:val="000000"/>
          <w:sz w:val="28"/>
          <w:szCs w:val="28"/>
        </w:rPr>
        <w:tab/>
        <w:t>VLERËSIMI I LIGJSHMËRISË, KUSHTETUTSHMËRISË DHE HARMONIZIMI ME LEGJISLACIONIN NË FUQI VENDAS E NDËRKOMBËTAR</w:t>
      </w:r>
    </w:p>
    <w:p w14:paraId="47DC7F09" w14:textId="39247E67" w:rsidR="0098201E" w:rsidRPr="000F0607" w:rsidRDefault="0098201E" w:rsidP="0098201E">
      <w:pPr>
        <w:tabs>
          <w:tab w:val="left" w:pos="993"/>
        </w:tabs>
        <w:jc w:val="both"/>
        <w:rPr>
          <w:rFonts w:ascii="Times New Roman" w:hAnsi="Times New Roman"/>
          <w:color w:val="000000"/>
          <w:sz w:val="28"/>
          <w:szCs w:val="28"/>
        </w:rPr>
      </w:pPr>
      <w:r w:rsidRPr="000F0607">
        <w:rPr>
          <w:rFonts w:ascii="Times New Roman" w:hAnsi="Times New Roman"/>
          <w:color w:val="000000"/>
          <w:sz w:val="28"/>
          <w:szCs w:val="28"/>
        </w:rPr>
        <w:t>Projektligji është tnë përputhje me nenin 78 dhe 83, pika 1, të Kushtetutës, si dhe garanton respektimin e të drejtave dhe lirive themelore të individit.</w:t>
      </w:r>
    </w:p>
    <w:p w14:paraId="7102634B" w14:textId="77777777" w:rsidR="0098201E" w:rsidRPr="000F0607" w:rsidRDefault="0098201E" w:rsidP="0098201E">
      <w:pPr>
        <w:tabs>
          <w:tab w:val="left" w:pos="993"/>
        </w:tabs>
        <w:jc w:val="both"/>
        <w:rPr>
          <w:rFonts w:ascii="Times New Roman" w:hAnsi="Times New Roman"/>
          <w:color w:val="000000"/>
          <w:sz w:val="28"/>
          <w:szCs w:val="28"/>
        </w:rPr>
      </w:pPr>
      <w:r w:rsidRPr="000F0607">
        <w:rPr>
          <w:rFonts w:ascii="Times New Roman" w:hAnsi="Times New Roman"/>
          <w:color w:val="000000"/>
          <w:sz w:val="28"/>
          <w:szCs w:val="28"/>
        </w:rPr>
        <w:t xml:space="preserve">Në përputhje me nenin 26 të ligjit nr. 9000, datë 30.01.2003 “Për organizimin dhe funksionimin e Këshillit të Ministrave”, Ministri i Drejtësisë është autoriteti i deleguar për propozimin e këtij projektligji, ndaj edhe nisma e propozuar, paraqitet si një iniciativë për shqyrtim dhe miratim nga Këshilli i Ministrave, në mbështetje të neneve 81, pika 1, dhe 100, të Kushtetutës. </w:t>
      </w:r>
    </w:p>
    <w:p w14:paraId="03A82B16" w14:textId="77777777" w:rsidR="001410EB" w:rsidRPr="000F0607" w:rsidRDefault="0098201E" w:rsidP="0098201E">
      <w:pPr>
        <w:tabs>
          <w:tab w:val="left" w:pos="993"/>
        </w:tabs>
        <w:jc w:val="both"/>
        <w:rPr>
          <w:rFonts w:ascii="Times New Roman" w:hAnsi="Times New Roman"/>
          <w:color w:val="000000"/>
          <w:sz w:val="28"/>
          <w:szCs w:val="28"/>
        </w:rPr>
      </w:pPr>
      <w:r w:rsidRPr="000F0607">
        <w:rPr>
          <w:rFonts w:ascii="Times New Roman" w:hAnsi="Times New Roman"/>
          <w:color w:val="000000"/>
          <w:sz w:val="28"/>
          <w:szCs w:val="28"/>
        </w:rPr>
        <w:t>Projektligji i propozuar është në përputhje me nenin 35 të Kushtetutës së Republikës së Shqipërisë, ligjin nr. 8137 datë 31.7.1996 “Për ratifikimin e Konventës Evropiane për mbrojtjen e të drejtave të njeriut dhe lirive themelore”, nenin 8 të saj, si dhe me parimet e përgjithshme të legjislacionit vendas e ndërkombëtar</w:t>
      </w:r>
      <w:r w:rsidR="00F9548F" w:rsidRPr="000F0607">
        <w:rPr>
          <w:rFonts w:ascii="Times New Roman" w:hAnsi="Times New Roman"/>
          <w:color w:val="000000"/>
          <w:sz w:val="28"/>
          <w:szCs w:val="28"/>
        </w:rPr>
        <w:t>.</w:t>
      </w:r>
      <w:r w:rsidR="001410EB" w:rsidRPr="000F0607">
        <w:rPr>
          <w:rFonts w:ascii="Times New Roman" w:hAnsi="Times New Roman"/>
          <w:color w:val="000000"/>
          <w:sz w:val="28"/>
          <w:szCs w:val="28"/>
        </w:rPr>
        <w:t xml:space="preserve"> </w:t>
      </w:r>
    </w:p>
    <w:p w14:paraId="6589A1C3" w14:textId="77777777" w:rsidR="00F9548F" w:rsidRPr="000F0607" w:rsidRDefault="00F9548F" w:rsidP="00F9548F">
      <w:pPr>
        <w:spacing w:after="0"/>
        <w:jc w:val="both"/>
        <w:rPr>
          <w:rFonts w:ascii="Times New Roman" w:hAnsi="Times New Roman"/>
          <w:b/>
          <w:color w:val="000000"/>
          <w:sz w:val="28"/>
          <w:szCs w:val="28"/>
        </w:rPr>
      </w:pPr>
      <w:r w:rsidRPr="000F0607">
        <w:rPr>
          <w:rFonts w:ascii="Times New Roman" w:hAnsi="Times New Roman"/>
          <w:b/>
          <w:color w:val="000000"/>
          <w:sz w:val="28"/>
          <w:szCs w:val="28"/>
        </w:rPr>
        <w:t>V.</w:t>
      </w:r>
      <w:r w:rsidRPr="000F0607">
        <w:rPr>
          <w:rFonts w:ascii="Times New Roman" w:hAnsi="Times New Roman"/>
          <w:b/>
          <w:color w:val="000000"/>
          <w:sz w:val="28"/>
          <w:szCs w:val="28"/>
        </w:rPr>
        <w:tab/>
        <w:t>VLERËSIMI I SHKALLËS SË PËRAFRIMIT ME ACQUIS COMMUNAUTAIRE (PËR PROJEKTAKET NORMATIVE)</w:t>
      </w:r>
    </w:p>
    <w:p w14:paraId="6C0FAD93" w14:textId="77777777" w:rsidR="00F9548F" w:rsidRPr="000F0607" w:rsidRDefault="00F9548F" w:rsidP="00F9548F">
      <w:pPr>
        <w:tabs>
          <w:tab w:val="left" w:pos="284"/>
        </w:tabs>
        <w:spacing w:after="0"/>
        <w:contextualSpacing/>
        <w:jc w:val="both"/>
        <w:rPr>
          <w:rFonts w:ascii="Times New Roman" w:eastAsia="Times New Roman" w:hAnsi="Times New Roman"/>
          <w:sz w:val="28"/>
          <w:szCs w:val="28"/>
        </w:rPr>
      </w:pPr>
    </w:p>
    <w:p w14:paraId="3082C448" w14:textId="77777777" w:rsidR="0098201E" w:rsidRPr="000F0607" w:rsidRDefault="0098201E" w:rsidP="0098201E">
      <w:pPr>
        <w:spacing w:after="0"/>
        <w:jc w:val="both"/>
        <w:rPr>
          <w:rFonts w:ascii="Times New Roman" w:hAnsi="Times New Roman"/>
          <w:b/>
          <w:sz w:val="28"/>
          <w:szCs w:val="28"/>
        </w:rPr>
      </w:pPr>
      <w:r w:rsidRPr="000F0607">
        <w:rPr>
          <w:rFonts w:ascii="Times New Roman" w:hAnsi="Times New Roman"/>
          <w:sz w:val="28"/>
          <w:szCs w:val="28"/>
        </w:rPr>
        <w:t xml:space="preserve">Ky projektligj synon përafrim me </w:t>
      </w:r>
      <w:r w:rsidRPr="000F0607">
        <w:rPr>
          <w:rFonts w:ascii="Times New Roman" w:hAnsi="Times New Roman"/>
          <w:i/>
          <w:sz w:val="28"/>
          <w:szCs w:val="28"/>
        </w:rPr>
        <w:t>acquis communautaire</w:t>
      </w:r>
      <w:r w:rsidRPr="000F0607">
        <w:rPr>
          <w:rFonts w:ascii="Times New Roman" w:hAnsi="Times New Roman"/>
          <w:sz w:val="28"/>
          <w:szCs w:val="28"/>
        </w:rPr>
        <w:t xml:space="preserve"> dhe konkretisht transpozimin e Rregullores (BE) 2016/679 e Parlamentit Evropian dhe e Këshillit të 27 prillit 2016 </w:t>
      </w:r>
      <w:r w:rsidRPr="000F0607">
        <w:rPr>
          <w:rFonts w:ascii="Times New Roman" w:hAnsi="Times New Roman"/>
          <w:i/>
          <w:sz w:val="28"/>
          <w:szCs w:val="28"/>
        </w:rPr>
        <w:t>“Për mbrojtjen e personave fizikë lidhur me përpunimin e të dhënave personale dhe për lëvizjen e lirë të këtyre të dhënave dhe shfuqizimin e direktivës 95/46/KE”</w:t>
      </w:r>
      <w:r w:rsidRPr="000F0607">
        <w:rPr>
          <w:rFonts w:ascii="Times New Roman" w:hAnsi="Times New Roman"/>
          <w:sz w:val="28"/>
          <w:szCs w:val="28"/>
        </w:rPr>
        <w:t xml:space="preserve"> dhe Direktivën (BE) 2016/680 e Parlamentit Evropian dhe e Këshillit të 27 prillit 2016 </w:t>
      </w:r>
      <w:r w:rsidRPr="000F0607">
        <w:rPr>
          <w:rFonts w:ascii="Times New Roman" w:hAnsi="Times New Roman"/>
          <w:i/>
          <w:sz w:val="28"/>
          <w:szCs w:val="28"/>
        </w:rPr>
        <w:t>“Për mbrojtjen e personave fizikë në lidhje me përpunimin e të dhënave personale nga autoritetet kompetente me qëllim parandalimin, hetimin, zbulimin, ndjekjen penale të veprave penale apo ekzekutimin e dënimeve penale dhe për lëvizjen e lirë të këtyre të dhënave”</w:t>
      </w:r>
      <w:r w:rsidRPr="000F0607">
        <w:rPr>
          <w:rFonts w:ascii="Times New Roman" w:hAnsi="Times New Roman"/>
          <w:sz w:val="28"/>
          <w:szCs w:val="28"/>
        </w:rPr>
        <w:t xml:space="preserve">. </w:t>
      </w:r>
    </w:p>
    <w:p w14:paraId="23B0DCF1" w14:textId="77777777" w:rsidR="00F9548F" w:rsidRPr="000F0607" w:rsidRDefault="00F9548F" w:rsidP="00F9548F">
      <w:pPr>
        <w:spacing w:after="0"/>
        <w:jc w:val="both"/>
        <w:rPr>
          <w:rFonts w:ascii="Times New Roman" w:hAnsi="Times New Roman"/>
          <w:color w:val="000000"/>
          <w:sz w:val="28"/>
          <w:szCs w:val="28"/>
        </w:rPr>
      </w:pPr>
    </w:p>
    <w:p w14:paraId="5318DAC6" w14:textId="77777777" w:rsidR="00F9548F" w:rsidRPr="000F0607" w:rsidRDefault="00F9548F" w:rsidP="00F9548F">
      <w:pPr>
        <w:spacing w:after="0"/>
        <w:jc w:val="both"/>
        <w:rPr>
          <w:rFonts w:ascii="Times New Roman" w:hAnsi="Times New Roman"/>
          <w:b/>
          <w:color w:val="000000"/>
          <w:sz w:val="28"/>
          <w:szCs w:val="28"/>
        </w:rPr>
      </w:pPr>
      <w:r w:rsidRPr="000F0607">
        <w:rPr>
          <w:rFonts w:ascii="Times New Roman" w:hAnsi="Times New Roman"/>
          <w:b/>
          <w:color w:val="000000"/>
          <w:sz w:val="28"/>
          <w:szCs w:val="28"/>
        </w:rPr>
        <w:t>VI.</w:t>
      </w:r>
      <w:r w:rsidRPr="000F0607">
        <w:rPr>
          <w:rFonts w:ascii="Times New Roman" w:hAnsi="Times New Roman"/>
          <w:b/>
          <w:color w:val="000000"/>
          <w:sz w:val="28"/>
          <w:szCs w:val="28"/>
        </w:rPr>
        <w:tab/>
        <w:t>PËRMBLEDHJE SHPJEGUESE E PËRMBAJTJES SË PROJEKTAKTIT</w:t>
      </w:r>
    </w:p>
    <w:p w14:paraId="7B8DB3DE" w14:textId="77777777" w:rsidR="00F9548F" w:rsidRPr="000F0607" w:rsidRDefault="00F9548F" w:rsidP="00F9548F">
      <w:pPr>
        <w:spacing w:after="0"/>
        <w:jc w:val="both"/>
        <w:rPr>
          <w:rFonts w:ascii="Times New Roman" w:hAnsi="Times New Roman"/>
          <w:b/>
          <w:color w:val="000000"/>
          <w:sz w:val="28"/>
          <w:szCs w:val="28"/>
        </w:rPr>
      </w:pPr>
    </w:p>
    <w:p w14:paraId="063A58F8" w14:textId="60E26D73"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Projektligji i propozuar përmban gjithsej 10</w:t>
      </w:r>
      <w:r w:rsidR="00216BCD" w:rsidRPr="000F0607">
        <w:rPr>
          <w:rFonts w:ascii="Times New Roman" w:hAnsi="Times New Roman"/>
          <w:sz w:val="28"/>
          <w:szCs w:val="28"/>
        </w:rPr>
        <w:t>2</w:t>
      </w:r>
      <w:r w:rsidRPr="000F0607">
        <w:rPr>
          <w:rFonts w:ascii="Times New Roman" w:hAnsi="Times New Roman"/>
          <w:sz w:val="28"/>
          <w:szCs w:val="28"/>
        </w:rPr>
        <w:t xml:space="preserve"> nene, të strukturuara në VI Pjesë, të cilat ndahen në Kapituj, e këto të fundit në Seksione, përmbajtja e të cilave parashtrohet në mënyrë të përmbledhur, si më poshtë vijon:</w:t>
      </w:r>
    </w:p>
    <w:p w14:paraId="0773C564" w14:textId="77777777" w:rsidR="0098201E" w:rsidRPr="000F0607" w:rsidRDefault="0098201E" w:rsidP="0098201E">
      <w:pPr>
        <w:spacing w:after="0"/>
        <w:jc w:val="both"/>
        <w:rPr>
          <w:rFonts w:ascii="Times New Roman" w:hAnsi="Times New Roman"/>
          <w:sz w:val="28"/>
          <w:szCs w:val="28"/>
        </w:rPr>
      </w:pPr>
    </w:p>
    <w:p w14:paraId="6A22BC71" w14:textId="77777777" w:rsidR="00A8203C" w:rsidRPr="000F0607" w:rsidRDefault="0098201E" w:rsidP="0098201E">
      <w:pPr>
        <w:spacing w:after="160"/>
        <w:jc w:val="both"/>
        <w:rPr>
          <w:rFonts w:ascii="Times New Roman" w:hAnsi="Times New Roman"/>
          <w:sz w:val="28"/>
          <w:szCs w:val="28"/>
        </w:rPr>
      </w:pPr>
      <w:r w:rsidRPr="000F0607">
        <w:rPr>
          <w:rFonts w:ascii="Times New Roman" w:hAnsi="Times New Roman"/>
          <w:b/>
          <w:sz w:val="28"/>
          <w:szCs w:val="28"/>
        </w:rPr>
        <w:t xml:space="preserve">Pjesa e I </w:t>
      </w:r>
      <w:r w:rsidRPr="000F0607">
        <w:rPr>
          <w:rFonts w:ascii="Times New Roman" w:hAnsi="Times New Roman"/>
          <w:sz w:val="28"/>
          <w:szCs w:val="28"/>
        </w:rPr>
        <w:t>përmban dispozita që rregullojnë objektin</w:t>
      </w:r>
      <w:r w:rsidR="00A8203C" w:rsidRPr="000F0607">
        <w:rPr>
          <w:rFonts w:ascii="Times New Roman" w:hAnsi="Times New Roman"/>
          <w:sz w:val="28"/>
          <w:szCs w:val="28"/>
        </w:rPr>
        <w:t>, qëllimin, fushën e zbatimit lëndor dhe atij territorial, si dhe përkufizimet.</w:t>
      </w:r>
    </w:p>
    <w:p w14:paraId="15208288" w14:textId="7E693D32" w:rsidR="00A8203C" w:rsidRPr="000F0607" w:rsidRDefault="00A8203C" w:rsidP="00A8203C">
      <w:pPr>
        <w:spacing w:after="0"/>
        <w:jc w:val="both"/>
        <w:rPr>
          <w:rFonts w:ascii="Times New Roman" w:hAnsi="Times New Roman"/>
          <w:sz w:val="28"/>
          <w:szCs w:val="28"/>
        </w:rPr>
      </w:pPr>
      <w:r w:rsidRPr="000F0607">
        <w:rPr>
          <w:rFonts w:ascii="Times New Roman" w:hAnsi="Times New Roman"/>
          <w:sz w:val="28"/>
          <w:szCs w:val="28"/>
        </w:rPr>
        <w:t>Në nenet 3 dhe 4 të projektligjit përkufizohet fusha e zbatimit lëndor dhe territorial të tij.</w:t>
      </w:r>
    </w:p>
    <w:p w14:paraId="265DA74B" w14:textId="77777777" w:rsidR="00A8203C" w:rsidRPr="000F0607" w:rsidRDefault="00A8203C" w:rsidP="00A8203C">
      <w:pPr>
        <w:spacing w:after="0"/>
        <w:jc w:val="both"/>
        <w:rPr>
          <w:rFonts w:ascii="Times New Roman" w:hAnsi="Times New Roman"/>
          <w:sz w:val="28"/>
          <w:szCs w:val="28"/>
        </w:rPr>
      </w:pPr>
    </w:p>
    <w:p w14:paraId="7994DDB7" w14:textId="2CBC497A" w:rsidR="00B62523" w:rsidRPr="000F0607" w:rsidRDefault="00A8203C" w:rsidP="00A8203C">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Sa i përket këtyre çështjeve vlen të theksohet se projektligji synon të garantojë mbrojtjen e të dhënave personale të personave fizikë, pavarësisht shtetësisë ose vendbanimit. Megjithatë, vlen të theksohet se ligji nuk do zbatohet për të dhënat personale të personave që kanë vdekur, </w:t>
      </w:r>
      <w:r w:rsidRPr="000F0607">
        <w:rPr>
          <w:rFonts w:ascii="Times New Roman" w:hAnsi="Times New Roman"/>
          <w:sz w:val="28"/>
          <w:szCs w:val="28"/>
        </w:rPr>
        <w:t>për përpunimin e të dhënave personale nga individët, për qëllime personale ose familjare</w:t>
      </w:r>
      <w:r w:rsidRPr="000F0607">
        <w:rPr>
          <w:rFonts w:ascii="Times New Roman" w:hAnsi="Times New Roman"/>
          <w:color w:val="000000"/>
          <w:sz w:val="28"/>
          <w:szCs w:val="28"/>
        </w:rPr>
        <w:t xml:space="preserve"> dhe as për përpunimin e të dhënave personale që kanë të bëjnë me personat juridikë dhe në veçanti shoqëritë tregtare të themeluara si persona juridikë, duke përfshirë emrin, formën dhe të dhënat e kontaktit të personit juridik. Gjithashtu, të përjashtuara nga fusha e zbatimit lëndor, përfshirë për qëllime statistikore ose kërkimore, është edhe informacioni anonim, përkatësisht informacioni që nuk lidhet me një person fizik të identifikuar ose të identifikueshëm ose me të dhënat personale të bëra anonime në atë mënyrë që subjekti i të dhënave të mos jetë i identifikueshëm. </w:t>
      </w:r>
    </w:p>
    <w:p w14:paraId="1F381B33" w14:textId="08B3583C" w:rsidR="00A8203C" w:rsidRPr="000F0607" w:rsidRDefault="00A8203C" w:rsidP="00A8203C">
      <w:pPr>
        <w:spacing w:after="160"/>
        <w:jc w:val="both"/>
        <w:rPr>
          <w:rFonts w:ascii="Times New Roman" w:hAnsi="Times New Roman"/>
          <w:color w:val="000000"/>
          <w:sz w:val="28"/>
          <w:szCs w:val="28"/>
        </w:rPr>
      </w:pPr>
      <w:r w:rsidRPr="000F0607">
        <w:rPr>
          <w:rFonts w:ascii="Times New Roman" w:hAnsi="Times New Roman"/>
          <w:color w:val="000000"/>
          <w:sz w:val="28"/>
          <w:szCs w:val="28"/>
        </w:rPr>
        <w:t>Sa i përket fushës së zbatimit territorial, ky ligj do të zbatohet për përpunimin e të dhënave personale në kuadër të veprimtarive të një kontrolluesi ose përpunuesi të vendosur në Republikën e Shqipërisë, pavarësisht nëse përpunimi zhvillohet ose jo në Republikën e Shqipërisë. Në këtë kuptim, termi “i vendosur” nënkupton ushtrimin efektiv dhe real të veprimtarisë nëpërmjet marrëveshjeve të qëndrueshme, Forma juridike e këtyre marrëveshjeve, qoftë nëpërmjet një dege apo një filiali me personalitet juridik, nuk ndikon në këtë drejtim.</w:t>
      </w:r>
    </w:p>
    <w:p w14:paraId="46783D68" w14:textId="77777777" w:rsidR="00A8203C" w:rsidRPr="000F0607" w:rsidRDefault="00A8203C" w:rsidP="00A8203C">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Ky ligj do të zbatohet edhe për përpunimin e të dhënave nga një kontrollues që nuk është vendosur në Republikën e Shqipërisë, por proceset e përpunimit kanë të bëjnë me ofrimin e mallrave ose shërbimeve, me kundërshpërblim ose jo, tek subjekte të të dhënave në Republikën e Shqipërisë. Në mënyrë që të arrihet në përfundimin se kontrolluesi apo përpunuesi i ofron mallra dhe shërbime subjekteve të të dhënave në Republikën e Shqipërisë, duhet që paraprakisht të sigurohet nëse është e qartë që ata parashikojnë ofrimin e mallrave apo shërbimeve këtyre subjekteve. </w:t>
      </w:r>
    </w:p>
    <w:p w14:paraId="0DD89C5F" w14:textId="77777777" w:rsidR="00A8203C" w:rsidRPr="000F0607" w:rsidRDefault="00A8203C" w:rsidP="00A8203C">
      <w:pPr>
        <w:spacing w:after="160"/>
        <w:jc w:val="both"/>
        <w:rPr>
          <w:rFonts w:ascii="Times New Roman" w:hAnsi="Times New Roman"/>
          <w:color w:val="000000"/>
          <w:sz w:val="28"/>
          <w:szCs w:val="28"/>
        </w:rPr>
      </w:pPr>
      <w:r w:rsidRPr="000F0607">
        <w:rPr>
          <w:rFonts w:ascii="Times New Roman" w:hAnsi="Times New Roman"/>
          <w:color w:val="000000"/>
          <w:sz w:val="28"/>
          <w:szCs w:val="28"/>
        </w:rPr>
        <w:t>Aksesueshmëria e thjeshtë e faqes së internetit të kontrolluesit, përpunuesit ose e një ndërmjetësi në RSH, e një adrese emaili ose e detajeve të tjera kontakti, ose përdorimi i një gjuhe të përdorur përgjithësisht në vendin e tretë ku është vendosur kontrolluesi, nuk është e mjaftueshme për të arritur në përfundimin që mallrat dhe shërbimet i ofrohen subjekteve të të dhënave në Republikën e Shqipërisë. Nga ana tjetër, faktorët të tjerë si përdorimi i një gjuhe të përdorur gjerësisht ose monedhës së Republikës së Shqipërisë, si dhe mundësia e porositjes së mallrave dhe shërbimeve në atë gjuhë ose përmendja e klientëve ose përdoruesve që janë në Republikën e Shqipërisë, mund ta bëjnë të qartë se kontrolluesi parashikon ofrimin e mallrave ose shërbimeve për subjektet e të dhënave në RSH.</w:t>
      </w:r>
    </w:p>
    <w:p w14:paraId="49F396F8" w14:textId="69631F41" w:rsidR="00A8203C" w:rsidRPr="000F0607" w:rsidRDefault="00A8203C" w:rsidP="00A8203C">
      <w:pPr>
        <w:spacing w:after="160"/>
        <w:jc w:val="both"/>
        <w:rPr>
          <w:rFonts w:ascii="Times New Roman" w:hAnsi="Times New Roman"/>
          <w:color w:val="000000"/>
          <w:sz w:val="28"/>
          <w:szCs w:val="28"/>
        </w:rPr>
      </w:pPr>
      <w:r w:rsidRPr="000F0607">
        <w:rPr>
          <w:rFonts w:ascii="Times New Roman" w:hAnsi="Times New Roman"/>
          <w:color w:val="000000"/>
          <w:sz w:val="28"/>
          <w:szCs w:val="28"/>
        </w:rPr>
        <w:t xml:space="preserve">Gjithashtu, ligji do të zbatohet në lidhje me për përpunimin e të dhënave personale </w:t>
      </w:r>
      <w:r w:rsidRPr="000F0607">
        <w:rPr>
          <w:rFonts w:ascii="Times New Roman" w:hAnsi="Times New Roman"/>
          <w:sz w:val="28"/>
          <w:szCs w:val="28"/>
        </w:rPr>
        <w:t>nga një kontrollues që nuk është vendosur në Republikën e Shqipërisë, por proceset e përpunimit kanë të bëjnë me vëzhgimin e sjelljes së subjekteve të të dhënave, për aq sa kjo sjellje shfaqet në Republikën e Shqipërisë. Për të përcaktuar nëse një aktivitet përpunimi mund të konsiderohet si monitorim i sjelljes së subjekteve të të dhënave, duhet të konstatohet nëse personat fizikë gjurmohen në internet duke përfshirë përdorimin e mundshëm të mëvonshëm të teknikave të përpunimit të të dhënave personale që konsistojnë në profilizimin e një personi fizik, veçanërisht për të marrë vendime në lidhje me të ose për të analizuar apo parashikuar preferencat, sjelljet dhe qëndrimet e tij personale.</w:t>
      </w:r>
    </w:p>
    <w:p w14:paraId="4511589C" w14:textId="631B1830" w:rsidR="00A8203C" w:rsidRPr="000F0607" w:rsidRDefault="00A8203C" w:rsidP="00A8203C">
      <w:pPr>
        <w:spacing w:after="0"/>
        <w:jc w:val="both"/>
        <w:rPr>
          <w:rFonts w:ascii="Times New Roman" w:hAnsi="Times New Roman"/>
          <w:bCs/>
          <w:sz w:val="28"/>
          <w:szCs w:val="28"/>
        </w:rPr>
      </w:pPr>
      <w:r w:rsidRPr="000F0607">
        <w:rPr>
          <w:rFonts w:ascii="Times New Roman" w:hAnsi="Times New Roman"/>
          <w:bCs/>
          <w:sz w:val="28"/>
          <w:szCs w:val="28"/>
        </w:rPr>
        <w:t>Meqenëse tiparet kryesore të rregullave të reja nuk ndryshojnë në thelb nga parashikimet e ligjit në fuqi, përkufizimet dhe termat kryesorë të përdorura në projektligj mbeten të njëjta. M</w:t>
      </w:r>
      <w:r w:rsidRPr="000F0607">
        <w:rPr>
          <w:rFonts w:ascii="Times New Roman" w:hAnsi="Times New Roman"/>
          <w:sz w:val="28"/>
          <w:szCs w:val="28"/>
        </w:rPr>
        <w:t xml:space="preserve">egjithatë ka disa risi të cilat janë reflektuar në </w:t>
      </w:r>
      <w:r w:rsidRPr="000F0607">
        <w:rPr>
          <w:rFonts w:ascii="Times New Roman" w:hAnsi="Times New Roman"/>
          <w:color w:val="000000"/>
          <w:sz w:val="28"/>
          <w:szCs w:val="28"/>
        </w:rPr>
        <w:t>nenin 5 i cili përmban përkufizimin e termave të projektligjit.</w:t>
      </w:r>
    </w:p>
    <w:p w14:paraId="45813E0D" w14:textId="77777777" w:rsidR="00A8203C" w:rsidRPr="000F0607" w:rsidRDefault="00A8203C" w:rsidP="00A8203C">
      <w:pPr>
        <w:spacing w:after="0"/>
        <w:jc w:val="both"/>
        <w:rPr>
          <w:rFonts w:ascii="Times New Roman" w:hAnsi="Times New Roman"/>
          <w:color w:val="000000"/>
          <w:sz w:val="28"/>
          <w:szCs w:val="28"/>
        </w:rPr>
      </w:pPr>
    </w:p>
    <w:p w14:paraId="0A36605A" w14:textId="4D373CE5" w:rsidR="00A8203C" w:rsidRPr="000F0607" w:rsidRDefault="00A8203C" w:rsidP="00A8203C">
      <w:pPr>
        <w:spacing w:after="0"/>
        <w:jc w:val="both"/>
        <w:rPr>
          <w:rFonts w:ascii="Times New Roman" w:hAnsi="Times New Roman"/>
          <w:sz w:val="28"/>
          <w:szCs w:val="28"/>
        </w:rPr>
      </w:pPr>
      <w:r w:rsidRPr="000F0607">
        <w:rPr>
          <w:rFonts w:ascii="Times New Roman" w:hAnsi="Times New Roman"/>
          <w:color w:val="000000"/>
          <w:sz w:val="28"/>
          <w:szCs w:val="28"/>
        </w:rPr>
        <w:t xml:space="preserve">Në këtë kuadër janë zëvendësuar dhe plotësuar përkufizimet e parashikuara në ligjin për mbrojtjen e të dhënave personale në fuqi si dhe janë propozuar </w:t>
      </w:r>
      <w:r w:rsidRPr="000F0607">
        <w:rPr>
          <w:rFonts w:ascii="Times New Roman" w:hAnsi="Times New Roman"/>
          <w:bCs/>
          <w:color w:val="000000"/>
          <w:sz w:val="28"/>
          <w:szCs w:val="28"/>
        </w:rPr>
        <w:t>ndryshime të vogla</w:t>
      </w:r>
      <w:r w:rsidRPr="000F0607">
        <w:rPr>
          <w:rFonts w:ascii="Times New Roman" w:hAnsi="Times New Roman"/>
          <w:color w:val="000000"/>
          <w:sz w:val="28"/>
          <w:szCs w:val="28"/>
        </w:rPr>
        <w:t xml:space="preserve"> në mënyrë që të arrihet përputhshmëria me përkufizimet e termave të GDPR si p.sh: në përkufizimin e</w:t>
      </w:r>
      <w:r w:rsidRPr="000F0607">
        <w:rPr>
          <w:rFonts w:ascii="Times New Roman" w:hAnsi="Times New Roman"/>
          <w:i/>
          <w:color w:val="000000"/>
          <w:sz w:val="28"/>
          <w:szCs w:val="28"/>
        </w:rPr>
        <w:t xml:space="preserve"> “</w:t>
      </w:r>
      <w:r w:rsidRPr="000F0607">
        <w:rPr>
          <w:rFonts w:ascii="Times New Roman" w:hAnsi="Times New Roman"/>
          <w:bCs/>
          <w:i/>
          <w:color w:val="000000"/>
          <w:sz w:val="28"/>
          <w:szCs w:val="28"/>
        </w:rPr>
        <w:t>pëlqimit</w:t>
      </w:r>
      <w:r w:rsidRPr="000F0607">
        <w:rPr>
          <w:rFonts w:ascii="Times New Roman" w:hAnsi="Times New Roman"/>
          <w:i/>
          <w:color w:val="000000"/>
          <w:sz w:val="28"/>
          <w:szCs w:val="28"/>
        </w:rPr>
        <w:t>”,</w:t>
      </w:r>
      <w:r w:rsidRPr="000F0607">
        <w:rPr>
          <w:rFonts w:ascii="Times New Roman" w:hAnsi="Times New Roman"/>
          <w:color w:val="000000"/>
          <w:sz w:val="28"/>
          <w:szCs w:val="28"/>
        </w:rPr>
        <w:t xml:space="preserve"> hiqet kërkesa për pëlqimin me </w:t>
      </w:r>
      <w:r w:rsidRPr="000F0607">
        <w:rPr>
          <w:rFonts w:ascii="Times New Roman" w:hAnsi="Times New Roman"/>
          <w:i/>
          <w:color w:val="000000"/>
          <w:sz w:val="28"/>
          <w:szCs w:val="28"/>
        </w:rPr>
        <w:t>“</w:t>
      </w:r>
      <w:r w:rsidRPr="000F0607">
        <w:rPr>
          <w:rFonts w:ascii="Times New Roman" w:hAnsi="Times New Roman"/>
          <w:i/>
          <w:iCs/>
          <w:color w:val="000000"/>
          <w:sz w:val="28"/>
          <w:szCs w:val="28"/>
        </w:rPr>
        <w:t>shkrim”</w:t>
      </w:r>
      <w:r w:rsidRPr="000F0607">
        <w:rPr>
          <w:rFonts w:ascii="Times New Roman" w:hAnsi="Times New Roman"/>
          <w:i/>
          <w:color w:val="000000"/>
          <w:sz w:val="28"/>
          <w:szCs w:val="28"/>
        </w:rPr>
        <w:t>.</w:t>
      </w:r>
      <w:r w:rsidRPr="000F0607">
        <w:rPr>
          <w:rFonts w:ascii="Times New Roman" w:hAnsi="Times New Roman"/>
          <w:color w:val="000000"/>
          <w:sz w:val="28"/>
          <w:szCs w:val="28"/>
        </w:rPr>
        <w:t xml:space="preserve"> J</w:t>
      </w:r>
      <w:r w:rsidRPr="000F0607">
        <w:rPr>
          <w:rFonts w:ascii="Times New Roman" w:hAnsi="Times New Roman"/>
          <w:bCs/>
          <w:color w:val="000000"/>
          <w:sz w:val="28"/>
          <w:szCs w:val="28"/>
        </w:rPr>
        <w:t>anë shtuar disa terma</w:t>
      </w:r>
      <w:r w:rsidRPr="000F0607">
        <w:rPr>
          <w:rFonts w:ascii="Times New Roman" w:hAnsi="Times New Roman"/>
          <w:color w:val="000000"/>
          <w:sz w:val="28"/>
          <w:szCs w:val="28"/>
        </w:rPr>
        <w:t xml:space="preserve">, si </w:t>
      </w:r>
      <w:r w:rsidRPr="000F0607">
        <w:rPr>
          <w:rFonts w:ascii="Times New Roman" w:hAnsi="Times New Roman"/>
          <w:i/>
          <w:color w:val="000000"/>
          <w:sz w:val="28"/>
          <w:szCs w:val="28"/>
        </w:rPr>
        <w:t>“përpunimi i mëtejshëm”, “qëllimi i pajtueshëm”, “profilizimi”, “</w:t>
      </w:r>
      <w:r w:rsidRPr="000F0607">
        <w:rPr>
          <w:rFonts w:ascii="Times New Roman" w:hAnsi="Times New Roman"/>
          <w:i/>
          <w:sz w:val="28"/>
          <w:szCs w:val="28"/>
        </w:rPr>
        <w:t xml:space="preserve">të dhëna të pseudonimizuara”, “të dhëna gjenetike”, “të dhëna biometrike”, “të dhëna penale”, “kontrollues i ligjshëm”, “pëlqim”, “Komisioneri”, “cenimi i të dhënave personale”, “ndërmarrje”, “grup ndërmarrjesh”, “klauzola standarde të mbrojtjes së të dhënave”, “rregullat e detyrueshme të koorporatave”, “kod sjellje”, dhe “mekanizëm certifikimi”, </w:t>
      </w:r>
      <w:r w:rsidRPr="000F0607">
        <w:rPr>
          <w:rFonts w:ascii="Times New Roman" w:hAnsi="Times New Roman"/>
          <w:sz w:val="28"/>
          <w:szCs w:val="28"/>
        </w:rPr>
        <w:t>ndërsa disa përkufizime të tjera janë fshirë pasi nuk përdoren më në një kuptim specifik në tekstin e projektligjit të ri.</w:t>
      </w:r>
    </w:p>
    <w:p w14:paraId="026D17CA" w14:textId="07FDE825" w:rsidR="00B62523" w:rsidRPr="000F0607" w:rsidRDefault="00B62523" w:rsidP="00A8203C">
      <w:pPr>
        <w:spacing w:after="0"/>
        <w:jc w:val="both"/>
        <w:rPr>
          <w:rFonts w:ascii="Times New Roman" w:hAnsi="Times New Roman"/>
          <w:sz w:val="28"/>
          <w:szCs w:val="28"/>
        </w:rPr>
      </w:pPr>
      <w:r w:rsidRPr="000F0607">
        <w:rPr>
          <w:rFonts w:ascii="Times New Roman" w:hAnsi="Times New Roman"/>
          <w:sz w:val="28"/>
          <w:szCs w:val="28"/>
        </w:rPr>
        <w:t xml:space="preserve">Rëndësi të veçantë paraqet përkufizimi i të dhënave personale dhe subjektit të të dhënave personale. Sipas ligjit, parimet e mbrojtjes së të dhënave personale zbatohen për çdo informacion në lidhje me një person të identifikuar ose të identifikueshëm. </w:t>
      </w:r>
      <w:r w:rsidR="002D5CFF" w:rsidRPr="000F0607">
        <w:rPr>
          <w:rFonts w:ascii="Times New Roman" w:hAnsi="Times New Roman"/>
          <w:sz w:val="28"/>
          <w:szCs w:val="28"/>
        </w:rPr>
        <w:t xml:space="preserve">Në </w:t>
      </w:r>
      <w:r w:rsidRPr="000F0607">
        <w:rPr>
          <w:rFonts w:ascii="Times New Roman" w:hAnsi="Times New Roman"/>
          <w:sz w:val="28"/>
          <w:szCs w:val="28"/>
        </w:rPr>
        <w:t xml:space="preserve">këtë kuptim, të dhënat e pseudonimizuara të cilat mund t'i atribuohen një personi fizik duke përdorur informacione shtesë, duhet të konsiderohen si informacion për një person fizik të identifikueshëm. </w:t>
      </w:r>
    </w:p>
    <w:p w14:paraId="72AF6DF3" w14:textId="77777777" w:rsidR="00B62523" w:rsidRPr="000F0607" w:rsidRDefault="00B62523" w:rsidP="00A8203C">
      <w:pPr>
        <w:spacing w:after="0"/>
        <w:jc w:val="both"/>
        <w:rPr>
          <w:rFonts w:ascii="Times New Roman" w:hAnsi="Times New Roman"/>
          <w:sz w:val="28"/>
          <w:szCs w:val="28"/>
        </w:rPr>
      </w:pPr>
    </w:p>
    <w:p w14:paraId="7F682FA4" w14:textId="203526FB" w:rsidR="0098201E" w:rsidRPr="000F0607" w:rsidRDefault="00B62523" w:rsidP="006413DB">
      <w:pPr>
        <w:spacing w:after="0"/>
        <w:jc w:val="both"/>
        <w:rPr>
          <w:rFonts w:ascii="Times New Roman" w:hAnsi="Times New Roman"/>
          <w:color w:val="000000"/>
          <w:sz w:val="28"/>
          <w:szCs w:val="28"/>
        </w:rPr>
      </w:pPr>
      <w:r w:rsidRPr="000F0607">
        <w:rPr>
          <w:rFonts w:ascii="Times New Roman" w:hAnsi="Times New Roman"/>
          <w:sz w:val="28"/>
          <w:szCs w:val="28"/>
        </w:rPr>
        <w:t xml:space="preserve">Për të përcaktuar nëse një person fizik është i identifikueshëm, duhet të merren parasysh të gjitha mjetet me gjasa të arsyeshme për t'u përdorur, si p.sh. veçimi, qoftë nga kontrolluesi ose nga një person tjetër për të identifikuar personin fizik drejtpërdrejt ose tërthorazi. Për të përcaktuar nëse mjetet kanë gjasa të arsyeshme të përdoren për identifikimin e personit fizik, duhet të merren parasysh të gjithë faktorët objektivë, siç janë kostot dhe sasia e kohës së nevojshme për identifikimin, duke marrë parasysh teknologjinë e disponueshme në kohën e përpunimi dhe zhvillimet teknologjike. </w:t>
      </w:r>
    </w:p>
    <w:p w14:paraId="32252148" w14:textId="77777777" w:rsidR="006413DB" w:rsidRPr="000F0607" w:rsidRDefault="006413DB" w:rsidP="006413DB">
      <w:pPr>
        <w:spacing w:after="0"/>
        <w:jc w:val="both"/>
        <w:rPr>
          <w:rFonts w:ascii="Times New Roman" w:hAnsi="Times New Roman"/>
          <w:color w:val="000000"/>
          <w:sz w:val="28"/>
          <w:szCs w:val="28"/>
        </w:rPr>
      </w:pPr>
    </w:p>
    <w:p w14:paraId="27CB46D9" w14:textId="12E5D8FF" w:rsidR="009E2FFE" w:rsidRPr="000F0607" w:rsidRDefault="009E2FFE" w:rsidP="0098201E">
      <w:pPr>
        <w:spacing w:after="160"/>
        <w:jc w:val="both"/>
        <w:rPr>
          <w:rFonts w:ascii="Times New Roman" w:hAnsi="Times New Roman"/>
          <w:sz w:val="28"/>
          <w:szCs w:val="28"/>
        </w:rPr>
      </w:pPr>
      <w:r w:rsidRPr="000F0607">
        <w:rPr>
          <w:rFonts w:ascii="Times New Roman" w:hAnsi="Times New Roman"/>
          <w:sz w:val="28"/>
          <w:szCs w:val="28"/>
        </w:rPr>
        <w:t>Sa i përket identifikuesit në internet të përmendur në përkufizimin e subjektit të të dhënave, sqarohet se sipas GDPR, personat fizikë mund të lidhen me identifikues në internet të ofruar nga pajisjet, aplikacionet, mjetet dhe protokollet e tyre, si adresat e protokollit të internetit, cookies ose identifikues të tjerë siç mund të jenë taget e identifikimit të frekuencës së radios. Këto identifikues mund të lënë gjurmë të cilat, veçanërisht kur kombinohen me identifikues unikë dhe informacione të tjera të marra nga serverët, mund të përdoren për të krijuar profile të personave fizikë dhe për t'i identifikuar ata.</w:t>
      </w:r>
    </w:p>
    <w:p w14:paraId="6460910F" w14:textId="26DFA531" w:rsidR="0098201E" w:rsidRPr="000F0607" w:rsidRDefault="0098201E" w:rsidP="0098201E">
      <w:pPr>
        <w:spacing w:after="0"/>
        <w:jc w:val="both"/>
        <w:rPr>
          <w:rFonts w:ascii="Times New Roman" w:hAnsi="Times New Roman"/>
          <w:sz w:val="28"/>
          <w:szCs w:val="28"/>
        </w:rPr>
      </w:pPr>
      <w:r w:rsidRPr="000F0607">
        <w:rPr>
          <w:rFonts w:ascii="Times New Roman" w:hAnsi="Times New Roman"/>
          <w:b/>
          <w:sz w:val="28"/>
          <w:szCs w:val="28"/>
        </w:rPr>
        <w:t>Pjesa e II</w:t>
      </w:r>
      <w:r w:rsidRPr="000F0607">
        <w:rPr>
          <w:rFonts w:ascii="Times New Roman" w:hAnsi="Times New Roman"/>
          <w:sz w:val="28"/>
          <w:szCs w:val="28"/>
        </w:rPr>
        <w:t xml:space="preserve"> përmban dispozita që rregullojnë përpunimin e të dhënave personale në sektorin publik dhe privat, me përjashtim të çështjeve të rregulluara në Pjesën III të projektligjit. </w:t>
      </w:r>
    </w:p>
    <w:p w14:paraId="6CD113E0" w14:textId="77777777" w:rsidR="00A8203C" w:rsidRPr="000F0607" w:rsidRDefault="00A8203C" w:rsidP="0098201E">
      <w:pPr>
        <w:spacing w:after="0"/>
        <w:jc w:val="both"/>
        <w:rPr>
          <w:rFonts w:ascii="Times New Roman" w:hAnsi="Times New Roman"/>
          <w:sz w:val="28"/>
          <w:szCs w:val="28"/>
        </w:rPr>
      </w:pPr>
    </w:p>
    <w:p w14:paraId="5AF417ED" w14:textId="300AA8D0"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Seksioni 1</w:t>
      </w:r>
      <w:r w:rsidR="0062597E" w:rsidRPr="000F0607">
        <w:rPr>
          <w:rFonts w:ascii="Times New Roman" w:hAnsi="Times New Roman"/>
          <w:sz w:val="28"/>
          <w:szCs w:val="28"/>
        </w:rPr>
        <w:t xml:space="preserve"> i Kapitullit I, </w:t>
      </w:r>
      <w:r w:rsidRPr="000F0607">
        <w:rPr>
          <w:rFonts w:ascii="Times New Roman" w:hAnsi="Times New Roman"/>
          <w:sz w:val="28"/>
          <w:szCs w:val="28"/>
        </w:rPr>
        <w:t xml:space="preserve">përmban dispozita mbi </w:t>
      </w:r>
      <w:r w:rsidR="0062597E" w:rsidRPr="000F0607">
        <w:rPr>
          <w:rFonts w:ascii="Times New Roman" w:hAnsi="Times New Roman"/>
          <w:sz w:val="28"/>
          <w:szCs w:val="28"/>
        </w:rPr>
        <w:t xml:space="preserve">parimet dhe </w:t>
      </w:r>
      <w:r w:rsidRPr="000F0607">
        <w:rPr>
          <w:rFonts w:ascii="Times New Roman" w:hAnsi="Times New Roman"/>
          <w:sz w:val="28"/>
          <w:szCs w:val="28"/>
        </w:rPr>
        <w:t>kriteret për përpunimin e ligjshëm të të dhënave personale, parashikuar në nenet 6 – 10 të projektligjit.</w:t>
      </w:r>
    </w:p>
    <w:p w14:paraId="5CC85741" w14:textId="77777777" w:rsidR="00A8203C" w:rsidRPr="000F0607" w:rsidRDefault="00A8203C" w:rsidP="0098201E">
      <w:pPr>
        <w:spacing w:after="0"/>
        <w:jc w:val="both"/>
        <w:rPr>
          <w:rFonts w:ascii="Times New Roman" w:hAnsi="Times New Roman"/>
          <w:bCs/>
          <w:sz w:val="28"/>
          <w:szCs w:val="28"/>
        </w:rPr>
      </w:pPr>
    </w:p>
    <w:p w14:paraId="714B7FB1" w14:textId="6CFECD3D" w:rsidR="0098201E" w:rsidRPr="000F0607" w:rsidRDefault="0098201E" w:rsidP="0098201E">
      <w:pPr>
        <w:spacing w:after="0"/>
        <w:jc w:val="both"/>
        <w:rPr>
          <w:rFonts w:ascii="Times New Roman" w:hAnsi="Times New Roman"/>
          <w:bCs/>
          <w:sz w:val="28"/>
          <w:szCs w:val="28"/>
        </w:rPr>
      </w:pPr>
      <w:r w:rsidRPr="000F0607">
        <w:rPr>
          <w:rFonts w:ascii="Times New Roman" w:hAnsi="Times New Roman"/>
          <w:bCs/>
          <w:sz w:val="28"/>
          <w:szCs w:val="28"/>
        </w:rPr>
        <w:t>Në nenin 6 të projektligjit, shtohet një</w:t>
      </w:r>
      <w:r w:rsidRPr="000F0607">
        <w:rPr>
          <w:rFonts w:ascii="Times New Roman" w:hAnsi="Times New Roman"/>
          <w:sz w:val="28"/>
          <w:szCs w:val="28"/>
        </w:rPr>
        <w:t xml:space="preserve"> ndër parimet më të rëndësishme </w:t>
      </w:r>
      <w:r w:rsidRPr="000F0607">
        <w:rPr>
          <w:rFonts w:ascii="Times New Roman" w:hAnsi="Times New Roman"/>
          <w:bCs/>
          <w:sz w:val="28"/>
          <w:szCs w:val="28"/>
        </w:rPr>
        <w:t xml:space="preserve">në funksion të rritjes së përgjegjshmërisë së kontrolluesve dhe përpunuesve në procesin dinamik të përpunimit të të dhënave personale siç është </w:t>
      </w:r>
      <w:r w:rsidRPr="000F0607">
        <w:rPr>
          <w:rFonts w:ascii="Times New Roman" w:hAnsi="Times New Roman"/>
          <w:bCs/>
          <w:i/>
          <w:sz w:val="28"/>
          <w:szCs w:val="28"/>
        </w:rPr>
        <w:t>“parimi i përgjegjshmërisë”</w:t>
      </w:r>
      <w:r w:rsidRPr="000F0607">
        <w:rPr>
          <w:rFonts w:ascii="Times New Roman" w:hAnsi="Times New Roman"/>
          <w:bCs/>
          <w:sz w:val="28"/>
          <w:szCs w:val="28"/>
        </w:rPr>
        <w:t xml:space="preserve"> sipas të cilit kontrolluesit dhe përpunuesit jo vetëm që duhet të jenë përgjegjës, por gjithashtu duhet të jenë në gjendje të paraqesin përputhshmëri me parimet e mbrojtjes së të dhënave në procesin e përpunimit të tyre.</w:t>
      </w:r>
      <w:r w:rsidR="00F06E0F" w:rsidRPr="000F0607">
        <w:rPr>
          <w:rFonts w:ascii="Times New Roman" w:hAnsi="Times New Roman"/>
          <w:bCs/>
          <w:sz w:val="28"/>
          <w:szCs w:val="28"/>
        </w:rPr>
        <w:t xml:space="preserve"> </w:t>
      </w:r>
    </w:p>
    <w:p w14:paraId="06148697" w14:textId="77777777" w:rsidR="00216BCD" w:rsidRPr="000F0607" w:rsidRDefault="00216BCD" w:rsidP="0098201E">
      <w:pPr>
        <w:spacing w:after="0"/>
        <w:jc w:val="both"/>
        <w:rPr>
          <w:rFonts w:ascii="Times New Roman" w:hAnsi="Times New Roman"/>
          <w:sz w:val="28"/>
          <w:szCs w:val="28"/>
        </w:rPr>
      </w:pPr>
    </w:p>
    <w:p w14:paraId="4E38FC3B" w14:textId="1C6E959E" w:rsidR="0062597E" w:rsidRPr="000F0607" w:rsidRDefault="0098201E" w:rsidP="0098201E">
      <w:pPr>
        <w:spacing w:after="0"/>
        <w:jc w:val="both"/>
        <w:rPr>
          <w:rFonts w:ascii="Times New Roman" w:hAnsi="Times New Roman"/>
          <w:bCs/>
          <w:color w:val="000000"/>
          <w:sz w:val="28"/>
          <w:szCs w:val="28"/>
        </w:rPr>
      </w:pPr>
      <w:r w:rsidRPr="000F0607">
        <w:rPr>
          <w:rFonts w:ascii="Times New Roman" w:hAnsi="Times New Roman"/>
          <w:sz w:val="28"/>
          <w:szCs w:val="28"/>
        </w:rPr>
        <w:t>Kriteret për përpunimin e ligjshëm të të dhënave personale të reflektuara në nenin 7, mbetën të njëjta me ato të ligjit në fuqi, megjithatë në përputhje me kërkesat e GDPR, f</w:t>
      </w:r>
      <w:r w:rsidRPr="000F0607">
        <w:rPr>
          <w:rFonts w:ascii="Times New Roman" w:hAnsi="Times New Roman"/>
          <w:bCs/>
          <w:color w:val="000000"/>
          <w:sz w:val="28"/>
          <w:szCs w:val="28"/>
        </w:rPr>
        <w:t>orcohen kriteret për vlefshmërinë e pëlqimit të subjektit të të dhënave të parashikuara në nenin 8.</w:t>
      </w:r>
      <w:r w:rsidR="0062597E" w:rsidRPr="000F0607">
        <w:rPr>
          <w:rFonts w:ascii="Times New Roman" w:hAnsi="Times New Roman"/>
          <w:bCs/>
          <w:color w:val="000000"/>
          <w:sz w:val="28"/>
          <w:szCs w:val="28"/>
        </w:rPr>
        <w:t xml:space="preserve"> </w:t>
      </w:r>
      <w:r w:rsidR="00C64E98" w:rsidRPr="000F0607">
        <w:rPr>
          <w:rFonts w:ascii="Times New Roman" w:hAnsi="Times New Roman"/>
          <w:bCs/>
          <w:color w:val="000000"/>
          <w:sz w:val="28"/>
          <w:szCs w:val="28"/>
        </w:rPr>
        <w:t xml:space="preserve"> Sa i takon kësaj çështje, sqarohet se pëlqimi duhet të jepet për të gjitha veprimet e përpunimit që kryhen për të njëjtin qëllim. Kur përpunimi ka qëllime të shumëfishta, subjekti i të dhënave duhet të japë pëlqimin për të gjithë qëllimet e përpunimit. </w:t>
      </w:r>
    </w:p>
    <w:p w14:paraId="2BAC50BB" w14:textId="77777777" w:rsidR="0062597E" w:rsidRPr="000F0607" w:rsidRDefault="0062597E" w:rsidP="0098201E">
      <w:pPr>
        <w:spacing w:after="0"/>
        <w:jc w:val="both"/>
        <w:rPr>
          <w:rFonts w:ascii="Times New Roman" w:hAnsi="Times New Roman"/>
          <w:bCs/>
          <w:color w:val="000000"/>
          <w:sz w:val="28"/>
          <w:szCs w:val="28"/>
        </w:rPr>
      </w:pPr>
    </w:p>
    <w:p w14:paraId="786EAA53" w14:textId="70A5B2A2" w:rsidR="0098201E" w:rsidRPr="000F0607" w:rsidRDefault="0098201E" w:rsidP="0098201E">
      <w:pPr>
        <w:spacing w:after="0"/>
        <w:jc w:val="both"/>
        <w:rPr>
          <w:rFonts w:ascii="Times New Roman" w:hAnsi="Times New Roman"/>
          <w:bCs/>
          <w:color w:val="000000"/>
          <w:sz w:val="28"/>
          <w:szCs w:val="28"/>
        </w:rPr>
      </w:pPr>
      <w:r w:rsidRPr="000F0607">
        <w:rPr>
          <w:rFonts w:ascii="Times New Roman" w:hAnsi="Times New Roman"/>
          <w:bCs/>
          <w:color w:val="000000"/>
          <w:sz w:val="28"/>
          <w:szCs w:val="28"/>
        </w:rPr>
        <w:t>Gjithashtu, trajtohen aspektet praktike që lidhen me pëlqimin e fëmijëve ose pëlqimin me mjete elektronike diktuar nga kushtet e zhvillimit teknologjik.</w:t>
      </w:r>
    </w:p>
    <w:p w14:paraId="6F04D3B2" w14:textId="6AAAFD98" w:rsidR="0062597E" w:rsidRPr="000F0607" w:rsidRDefault="0062597E" w:rsidP="0098201E">
      <w:pPr>
        <w:spacing w:after="0"/>
        <w:jc w:val="both"/>
        <w:rPr>
          <w:rFonts w:ascii="Times New Roman" w:hAnsi="Times New Roman"/>
          <w:bCs/>
          <w:color w:val="000000"/>
          <w:sz w:val="28"/>
          <w:szCs w:val="28"/>
        </w:rPr>
      </w:pPr>
    </w:p>
    <w:p w14:paraId="48892A43" w14:textId="18E5C2A8" w:rsidR="0098201E" w:rsidRPr="000F0607" w:rsidRDefault="0098201E" w:rsidP="0098201E">
      <w:pPr>
        <w:spacing w:after="0"/>
        <w:jc w:val="both"/>
        <w:rPr>
          <w:rFonts w:ascii="Times New Roman" w:hAnsi="Times New Roman"/>
          <w:bCs/>
          <w:color w:val="000000"/>
          <w:sz w:val="28"/>
          <w:szCs w:val="28"/>
        </w:rPr>
      </w:pPr>
      <w:r w:rsidRPr="000F0607">
        <w:rPr>
          <w:rFonts w:ascii="Times New Roman" w:hAnsi="Times New Roman"/>
          <w:bCs/>
          <w:color w:val="000000"/>
          <w:sz w:val="28"/>
          <w:szCs w:val="28"/>
        </w:rPr>
        <w:t>Në këtë kuptim me përfshirjen e këtyre risive, parashikohet mundësia e dhënies së pëlqimit jo domosdoshmërisht vetëm në formën e një deklarate me shkrim sikurse është e përcaktuar në ligjin aktual, por nëpërmjet çdo elementi tregues të vullnetit të subjektit të të dhënave, q</w:t>
      </w:r>
      <w:r w:rsidR="00216BCD" w:rsidRPr="000F0607">
        <w:rPr>
          <w:rFonts w:ascii="Times New Roman" w:hAnsi="Times New Roman"/>
          <w:bCs/>
          <w:color w:val="000000"/>
          <w:sz w:val="28"/>
          <w:szCs w:val="28"/>
        </w:rPr>
        <w:t>ë mund të jetë një deklaratë ose</w:t>
      </w:r>
      <w:r w:rsidRPr="000F0607">
        <w:rPr>
          <w:rFonts w:ascii="Times New Roman" w:hAnsi="Times New Roman"/>
          <w:bCs/>
          <w:color w:val="000000"/>
          <w:sz w:val="28"/>
          <w:szCs w:val="28"/>
        </w:rPr>
        <w:t xml:space="preserve"> një veprim i qartë pohues sikundër mund të jetë një “klikim”</w:t>
      </w:r>
      <w:r w:rsidR="00216BCD" w:rsidRPr="000F0607">
        <w:rPr>
          <w:rFonts w:ascii="Times New Roman" w:hAnsi="Times New Roman"/>
          <w:bCs/>
          <w:color w:val="000000"/>
          <w:sz w:val="28"/>
          <w:szCs w:val="28"/>
        </w:rPr>
        <w:t>,</w:t>
      </w:r>
      <w:r w:rsidRPr="000F0607">
        <w:rPr>
          <w:rFonts w:ascii="Times New Roman" w:hAnsi="Times New Roman"/>
          <w:bCs/>
          <w:color w:val="000000"/>
          <w:sz w:val="28"/>
          <w:szCs w:val="28"/>
        </w:rPr>
        <w:t xml:space="preserve"> kur ky pëlqim kërkohet të jepet në formë elektronike. </w:t>
      </w:r>
    </w:p>
    <w:p w14:paraId="51272CC6" w14:textId="77777777" w:rsidR="0098201E" w:rsidRPr="000F0607" w:rsidRDefault="0098201E" w:rsidP="0098201E">
      <w:pPr>
        <w:spacing w:after="0"/>
        <w:jc w:val="both"/>
        <w:rPr>
          <w:rFonts w:ascii="Times New Roman" w:hAnsi="Times New Roman"/>
          <w:sz w:val="28"/>
          <w:szCs w:val="28"/>
        </w:rPr>
      </w:pPr>
    </w:p>
    <w:p w14:paraId="66ED7900" w14:textId="00C50A49" w:rsidR="0098201E" w:rsidRPr="000F0607" w:rsidRDefault="0098201E" w:rsidP="0098201E">
      <w:pPr>
        <w:spacing w:after="0"/>
        <w:jc w:val="both"/>
        <w:rPr>
          <w:rFonts w:ascii="Times New Roman" w:hAnsi="Times New Roman"/>
          <w:sz w:val="28"/>
          <w:szCs w:val="28"/>
        </w:rPr>
      </w:pPr>
      <w:r w:rsidRPr="000F0607">
        <w:rPr>
          <w:rFonts w:ascii="Times New Roman" w:hAnsi="Times New Roman"/>
          <w:bCs/>
          <w:sz w:val="28"/>
          <w:szCs w:val="28"/>
        </w:rPr>
        <w:t xml:space="preserve">Shtohet kategoria e të dhënave personale </w:t>
      </w:r>
      <w:r w:rsidRPr="000F0607">
        <w:rPr>
          <w:rFonts w:ascii="Times New Roman" w:hAnsi="Times New Roman"/>
          <w:bCs/>
          <w:i/>
          <w:sz w:val="28"/>
          <w:szCs w:val="28"/>
        </w:rPr>
        <w:t xml:space="preserve">“sensitive” </w:t>
      </w:r>
      <w:r w:rsidRPr="000F0607">
        <w:rPr>
          <w:rFonts w:ascii="Times New Roman" w:hAnsi="Times New Roman"/>
          <w:bCs/>
          <w:sz w:val="28"/>
          <w:szCs w:val="28"/>
        </w:rPr>
        <w:t xml:space="preserve">të reflektuara në nenin </w:t>
      </w:r>
      <w:r w:rsidR="00216BCD" w:rsidRPr="000F0607">
        <w:rPr>
          <w:rFonts w:ascii="Times New Roman" w:hAnsi="Times New Roman"/>
          <w:bCs/>
          <w:sz w:val="28"/>
          <w:szCs w:val="28"/>
        </w:rPr>
        <w:t>5</w:t>
      </w:r>
      <w:r w:rsidRPr="000F0607">
        <w:rPr>
          <w:rFonts w:ascii="Times New Roman" w:hAnsi="Times New Roman"/>
          <w:bCs/>
          <w:sz w:val="28"/>
          <w:szCs w:val="28"/>
        </w:rPr>
        <w:t xml:space="preserve"> të projektligjit duke përfshirë në të edhe të dhëna si:</w:t>
      </w:r>
      <w:r w:rsidRPr="000F0607">
        <w:rPr>
          <w:rFonts w:ascii="Times New Roman" w:hAnsi="Times New Roman"/>
          <w:sz w:val="28"/>
          <w:szCs w:val="28"/>
        </w:rPr>
        <w:t xml:space="preserve"> të dhëna gjenetike, të dhëna biometrike kur ato përdoren për identifikim unik dhe të dhëna për orientimin seksual. Detyra për të siguruar masa mbrojtëse të përshtatshme kur përpunohen të dhëna sensitive, është një risi dhe tani paraqitet si një kusht i përgjithshëm për përpunimin e ligjshëm të këtyre të dhënave. </w:t>
      </w:r>
    </w:p>
    <w:p w14:paraId="3F47E35F" w14:textId="77777777" w:rsidR="0098201E" w:rsidRPr="000F0607" w:rsidRDefault="0098201E" w:rsidP="0098201E">
      <w:pPr>
        <w:spacing w:after="0"/>
        <w:jc w:val="both"/>
        <w:rPr>
          <w:rFonts w:ascii="Times New Roman" w:hAnsi="Times New Roman"/>
          <w:sz w:val="28"/>
          <w:szCs w:val="28"/>
        </w:rPr>
      </w:pPr>
    </w:p>
    <w:p w14:paraId="43EA7C58"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Parashikohen për herë të parë rregulla mbi përpunimin e ligjshëm të të dhënave penale të cilat reflektohen në nenin 10 të projektligjit.</w:t>
      </w:r>
    </w:p>
    <w:p w14:paraId="15B104BA" w14:textId="77777777" w:rsidR="0098201E" w:rsidRPr="000F0607" w:rsidRDefault="0098201E" w:rsidP="0098201E">
      <w:pPr>
        <w:spacing w:after="0"/>
        <w:jc w:val="both"/>
        <w:rPr>
          <w:rFonts w:ascii="Times New Roman" w:hAnsi="Times New Roman"/>
          <w:sz w:val="28"/>
          <w:szCs w:val="28"/>
        </w:rPr>
      </w:pPr>
    </w:p>
    <w:p w14:paraId="430F155C" w14:textId="3BBF6286" w:rsidR="0098201E" w:rsidRPr="000F0607" w:rsidRDefault="0098201E" w:rsidP="0098201E">
      <w:pPr>
        <w:spacing w:after="0"/>
        <w:jc w:val="both"/>
        <w:rPr>
          <w:rFonts w:ascii="Times New Roman" w:hAnsi="Times New Roman"/>
          <w:bCs/>
          <w:i/>
          <w:sz w:val="28"/>
          <w:szCs w:val="28"/>
        </w:rPr>
      </w:pPr>
      <w:r w:rsidRPr="000F0607">
        <w:rPr>
          <w:rFonts w:ascii="Times New Roman" w:hAnsi="Times New Roman"/>
          <w:sz w:val="28"/>
          <w:szCs w:val="28"/>
        </w:rPr>
        <w:t xml:space="preserve">Seksioni 2 përmban dispozita mbi transferimin ndërkombëtar të të dhënave parashikuar në nenet 11–14 të projektligjit. Kushtet për ligjshmërinë e transferimit ndërkombëtar mbeten thuajse të njëjta, megjithatë </w:t>
      </w:r>
      <w:r w:rsidRPr="000F0607">
        <w:rPr>
          <w:rFonts w:ascii="Times New Roman" w:hAnsi="Times New Roman"/>
          <w:bCs/>
          <w:sz w:val="28"/>
          <w:szCs w:val="28"/>
        </w:rPr>
        <w:t xml:space="preserve">një risi që sjell projektligji, është përfshirja e rasteve për lejimin e transferimit të të dhënave personale pa autorizimin e Komisionerit në </w:t>
      </w:r>
      <w:r w:rsidR="00D0659D" w:rsidRPr="000F0607">
        <w:rPr>
          <w:rFonts w:ascii="Times New Roman" w:hAnsi="Times New Roman"/>
          <w:bCs/>
          <w:sz w:val="28"/>
          <w:szCs w:val="28"/>
        </w:rPr>
        <w:t>vendet</w:t>
      </w:r>
      <w:r w:rsidRPr="000F0607">
        <w:rPr>
          <w:rFonts w:ascii="Times New Roman" w:hAnsi="Times New Roman"/>
          <w:bCs/>
          <w:sz w:val="28"/>
          <w:szCs w:val="28"/>
        </w:rPr>
        <w:t xml:space="preserve"> me nivel të pamjaftueshëm mbrojtje të të dhënave të reflektuara në nenin 13 të tij, duke prezantuar gjithashtu në këtë kuadër, instru</w:t>
      </w:r>
      <w:r w:rsidR="00216BCD" w:rsidRPr="000F0607">
        <w:rPr>
          <w:rFonts w:ascii="Times New Roman" w:hAnsi="Times New Roman"/>
          <w:bCs/>
          <w:sz w:val="28"/>
          <w:szCs w:val="28"/>
        </w:rPr>
        <w:t>mente</w:t>
      </w:r>
      <w:r w:rsidRPr="000F0607">
        <w:rPr>
          <w:rFonts w:ascii="Times New Roman" w:hAnsi="Times New Roman"/>
          <w:bCs/>
          <w:sz w:val="28"/>
          <w:szCs w:val="28"/>
        </w:rPr>
        <w:t xml:space="preserve"> të reja që garantojnë masa të përshtatshme mbrojtëse për të drejtat dhe liritë e subjekteve të të dhënave si: </w:t>
      </w:r>
      <w:r w:rsidRPr="000F0607">
        <w:rPr>
          <w:rFonts w:ascii="Times New Roman" w:hAnsi="Times New Roman"/>
          <w:i/>
          <w:sz w:val="28"/>
          <w:szCs w:val="28"/>
        </w:rPr>
        <w:t xml:space="preserve">"Klauzola </w:t>
      </w:r>
      <w:r w:rsidRPr="000F0607">
        <w:rPr>
          <w:rFonts w:ascii="Times New Roman" w:hAnsi="Times New Roman"/>
          <w:bCs/>
          <w:i/>
          <w:sz w:val="28"/>
          <w:szCs w:val="28"/>
        </w:rPr>
        <w:t>standarde të mbrojtjes së të dhënave"</w:t>
      </w:r>
      <w:r w:rsidRPr="000F0607">
        <w:rPr>
          <w:rFonts w:ascii="Times New Roman" w:hAnsi="Times New Roman"/>
          <w:i/>
          <w:sz w:val="28"/>
          <w:szCs w:val="28"/>
        </w:rPr>
        <w:t xml:space="preserve"> </w:t>
      </w:r>
      <w:r w:rsidRPr="000F0607">
        <w:rPr>
          <w:rFonts w:ascii="Times New Roman" w:hAnsi="Times New Roman"/>
          <w:sz w:val="28"/>
          <w:szCs w:val="28"/>
        </w:rPr>
        <w:t>dhe</w:t>
      </w:r>
      <w:r w:rsidRPr="000F0607">
        <w:rPr>
          <w:rFonts w:ascii="Times New Roman" w:hAnsi="Times New Roman"/>
          <w:i/>
          <w:sz w:val="28"/>
          <w:szCs w:val="28"/>
        </w:rPr>
        <w:t xml:space="preserve"> </w:t>
      </w:r>
      <w:r w:rsidRPr="000F0607">
        <w:rPr>
          <w:rFonts w:ascii="Times New Roman" w:hAnsi="Times New Roman"/>
          <w:bCs/>
          <w:i/>
          <w:sz w:val="28"/>
          <w:szCs w:val="28"/>
        </w:rPr>
        <w:t xml:space="preserve">"Rregullat e detyrueshme të korporatave". </w:t>
      </w:r>
    </w:p>
    <w:p w14:paraId="34B33055" w14:textId="77777777" w:rsidR="0098201E" w:rsidRPr="000F0607" w:rsidRDefault="0098201E" w:rsidP="0098201E">
      <w:pPr>
        <w:spacing w:after="0"/>
        <w:jc w:val="both"/>
        <w:rPr>
          <w:rFonts w:ascii="Times New Roman" w:hAnsi="Times New Roman"/>
          <w:bCs/>
          <w:sz w:val="28"/>
          <w:szCs w:val="28"/>
        </w:rPr>
      </w:pPr>
    </w:p>
    <w:p w14:paraId="5951F269" w14:textId="77777777" w:rsidR="0098201E" w:rsidRPr="000F0607" w:rsidRDefault="0098201E" w:rsidP="0098201E">
      <w:pPr>
        <w:spacing w:after="0"/>
        <w:jc w:val="both"/>
        <w:rPr>
          <w:rFonts w:ascii="Times New Roman" w:hAnsi="Times New Roman"/>
          <w:bCs/>
          <w:sz w:val="28"/>
          <w:szCs w:val="28"/>
        </w:rPr>
      </w:pPr>
      <w:r w:rsidRPr="000F0607">
        <w:rPr>
          <w:rFonts w:ascii="Times New Roman" w:hAnsi="Times New Roman"/>
          <w:bCs/>
          <w:sz w:val="28"/>
          <w:szCs w:val="28"/>
        </w:rPr>
        <w:t xml:space="preserve">Në këtë kuadër shtohet një dispozitë e re </w:t>
      </w:r>
      <w:r w:rsidRPr="000F0607">
        <w:rPr>
          <w:rFonts w:ascii="Times New Roman" w:hAnsi="Times New Roman"/>
          <w:bCs/>
          <w:i/>
          <w:sz w:val="28"/>
          <w:szCs w:val="28"/>
        </w:rPr>
        <w:t>“Rregullat e detyrueshme të korporatave”</w:t>
      </w:r>
      <w:r w:rsidRPr="000F0607">
        <w:rPr>
          <w:rFonts w:ascii="Times New Roman" w:hAnsi="Times New Roman"/>
          <w:bCs/>
          <w:sz w:val="28"/>
          <w:szCs w:val="28"/>
        </w:rPr>
        <w:t xml:space="preserve"> parashikuar në nenin 14 të projektligjit që shërben si një mekanizëm për ofrimin e garancive të duhura për transferimet e të dhënave.</w:t>
      </w:r>
      <w:r w:rsidRPr="000F0607">
        <w:rPr>
          <w:rFonts w:ascii="Times New Roman" w:hAnsi="Times New Roman"/>
          <w:bCs/>
          <w:color w:val="FF0000"/>
          <w:sz w:val="28"/>
          <w:szCs w:val="28"/>
        </w:rPr>
        <w:t xml:space="preserve"> </w:t>
      </w:r>
    </w:p>
    <w:p w14:paraId="37CD9590" w14:textId="77777777" w:rsidR="0098201E" w:rsidRPr="000F0607" w:rsidRDefault="0098201E" w:rsidP="0098201E">
      <w:pPr>
        <w:spacing w:after="0"/>
        <w:jc w:val="both"/>
        <w:rPr>
          <w:rFonts w:ascii="Times New Roman" w:hAnsi="Times New Roman"/>
          <w:b/>
          <w:bCs/>
          <w:sz w:val="28"/>
          <w:szCs w:val="28"/>
        </w:rPr>
      </w:pPr>
    </w:p>
    <w:p w14:paraId="64EF92F9" w14:textId="77777777" w:rsidR="0098201E" w:rsidRPr="000F0607" w:rsidRDefault="0098201E" w:rsidP="0098201E">
      <w:pPr>
        <w:autoSpaceDE w:val="0"/>
        <w:autoSpaceDN w:val="0"/>
        <w:spacing w:after="160"/>
        <w:jc w:val="both"/>
        <w:rPr>
          <w:rFonts w:ascii="Times New Roman" w:hAnsi="Times New Roman"/>
          <w:bCs/>
          <w:color w:val="000000"/>
          <w:sz w:val="28"/>
          <w:szCs w:val="28"/>
        </w:rPr>
      </w:pPr>
      <w:r w:rsidRPr="000F0607">
        <w:rPr>
          <w:rFonts w:ascii="Times New Roman" w:hAnsi="Times New Roman"/>
          <w:bCs/>
          <w:color w:val="000000"/>
          <w:sz w:val="28"/>
          <w:szCs w:val="28"/>
        </w:rPr>
        <w:t>Seksioni 3 përmban dispozita mbi përpunimin e të dhënave për qëllime të posaçme të reflektuara përkatësisht në nenet 15 – 18 të projektligjit. Të gjitha këto dispozita janë shumë</w:t>
      </w:r>
      <w:r w:rsidRPr="000F0607">
        <w:rPr>
          <w:rFonts w:ascii="Times New Roman" w:hAnsi="Times New Roman"/>
          <w:b/>
          <w:bCs/>
          <w:color w:val="000000"/>
          <w:sz w:val="28"/>
          <w:szCs w:val="28"/>
        </w:rPr>
        <w:t xml:space="preserve"> </w:t>
      </w:r>
      <w:r w:rsidRPr="000F0607">
        <w:rPr>
          <w:rFonts w:ascii="Times New Roman" w:hAnsi="Times New Roman"/>
          <w:bCs/>
          <w:color w:val="000000"/>
          <w:sz w:val="28"/>
          <w:szCs w:val="28"/>
        </w:rPr>
        <w:t xml:space="preserve">më gjithëpërfshirëse dhe të hollësishme në krahasim me dispozitat e ligjit aktual në fuqi. Ndër të tjera, propozohen dy dispozita të reja që rregullojnë: </w:t>
      </w:r>
    </w:p>
    <w:p w14:paraId="55E6363E" w14:textId="77777777" w:rsidR="0098201E" w:rsidRPr="000F0607" w:rsidRDefault="0098201E" w:rsidP="0098201E">
      <w:pPr>
        <w:numPr>
          <w:ilvl w:val="0"/>
          <w:numId w:val="8"/>
        </w:numPr>
        <w:spacing w:after="0" w:line="259" w:lineRule="auto"/>
        <w:jc w:val="both"/>
        <w:rPr>
          <w:rFonts w:ascii="Times New Roman" w:hAnsi="Times New Roman"/>
          <w:bCs/>
          <w:i/>
          <w:color w:val="000000"/>
          <w:sz w:val="28"/>
          <w:szCs w:val="28"/>
        </w:rPr>
      </w:pPr>
      <w:r w:rsidRPr="000F0607">
        <w:rPr>
          <w:rFonts w:ascii="Times New Roman" w:hAnsi="Times New Roman"/>
          <w:bCs/>
          <w:i/>
          <w:color w:val="000000"/>
          <w:sz w:val="28"/>
          <w:szCs w:val="28"/>
        </w:rPr>
        <w:t>Përpunimin e të dhënave personale dhe aksesi i informacionit në sektorin publik  (neni 17);</w:t>
      </w:r>
    </w:p>
    <w:p w14:paraId="7BBBD5EA" w14:textId="77777777" w:rsidR="0098201E" w:rsidRPr="000F0607" w:rsidRDefault="0098201E" w:rsidP="0098201E">
      <w:pPr>
        <w:numPr>
          <w:ilvl w:val="0"/>
          <w:numId w:val="8"/>
        </w:numPr>
        <w:spacing w:after="0" w:line="259" w:lineRule="auto"/>
        <w:jc w:val="both"/>
        <w:rPr>
          <w:rFonts w:ascii="Times New Roman" w:hAnsi="Times New Roman"/>
          <w:bCs/>
          <w:i/>
          <w:color w:val="000000"/>
          <w:sz w:val="28"/>
          <w:szCs w:val="28"/>
        </w:rPr>
      </w:pPr>
      <w:r w:rsidRPr="000F0607">
        <w:rPr>
          <w:rFonts w:ascii="Times New Roman" w:hAnsi="Times New Roman"/>
          <w:bCs/>
          <w:i/>
          <w:color w:val="000000"/>
          <w:sz w:val="28"/>
          <w:szCs w:val="28"/>
        </w:rPr>
        <w:t>Përpunimin e të dhënave për qëllime të marketingut të drejtpërdrejtë (neni 18).</w:t>
      </w:r>
    </w:p>
    <w:p w14:paraId="700A79B3" w14:textId="77777777" w:rsidR="0098201E" w:rsidRPr="000F0607" w:rsidRDefault="0098201E" w:rsidP="0098201E">
      <w:pPr>
        <w:spacing w:after="0"/>
        <w:jc w:val="both"/>
        <w:rPr>
          <w:rFonts w:ascii="Times New Roman" w:hAnsi="Times New Roman"/>
          <w:bCs/>
          <w:sz w:val="28"/>
          <w:szCs w:val="28"/>
        </w:rPr>
      </w:pPr>
    </w:p>
    <w:p w14:paraId="5CEBC66E" w14:textId="77777777" w:rsidR="0098201E" w:rsidRPr="000F0607" w:rsidRDefault="0098201E" w:rsidP="0098201E">
      <w:pPr>
        <w:spacing w:after="0"/>
        <w:jc w:val="both"/>
        <w:rPr>
          <w:rFonts w:ascii="Times New Roman" w:hAnsi="Times New Roman"/>
          <w:bCs/>
          <w:sz w:val="28"/>
          <w:szCs w:val="28"/>
        </w:rPr>
      </w:pPr>
      <w:r w:rsidRPr="000F0607">
        <w:rPr>
          <w:rFonts w:ascii="Times New Roman" w:hAnsi="Times New Roman"/>
          <w:bCs/>
          <w:sz w:val="28"/>
          <w:szCs w:val="28"/>
        </w:rPr>
        <w:t>Qëllimi i këtyre dispozitave është garantimi i balancës midis të drejtës për mbrojtjen e të dhënave personale dhe të drejtës për informim gjatë procesit të përpunimit të të dhënave si dy të drejta themelore të individit, si dhe prezantimi i rregullave dhe instrumenteve për mbrojtjen e jetës private në kontekstin e marketingut të drejtpërdrejtë.</w:t>
      </w:r>
    </w:p>
    <w:p w14:paraId="5C285448" w14:textId="77777777" w:rsidR="0098201E" w:rsidRPr="000F0607" w:rsidRDefault="0098201E" w:rsidP="0098201E">
      <w:pPr>
        <w:spacing w:after="0"/>
        <w:jc w:val="both"/>
        <w:rPr>
          <w:rFonts w:ascii="Times New Roman" w:hAnsi="Times New Roman"/>
          <w:bCs/>
          <w:sz w:val="28"/>
          <w:szCs w:val="28"/>
        </w:rPr>
      </w:pPr>
    </w:p>
    <w:p w14:paraId="123644B2"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bCs/>
          <w:sz w:val="28"/>
          <w:szCs w:val="28"/>
        </w:rPr>
        <w:t xml:space="preserve">Kapitulli II përmban dispozita mbi të drejtat e subjektit të të dhënave personale, reflektuar në nenet 19 - 28 të Seksionit 1 të projektligjit, të cilat në përputhje me GDPR janë më të detajuara dhe forcojnë më shumë pozitën e subjektit të të dhënave personale. </w:t>
      </w:r>
      <w:r w:rsidRPr="000F0607">
        <w:rPr>
          <w:rFonts w:ascii="Times New Roman" w:hAnsi="Times New Roman"/>
          <w:sz w:val="28"/>
          <w:szCs w:val="28"/>
        </w:rPr>
        <w:t xml:space="preserve">Në këtë kuadër: </w:t>
      </w:r>
    </w:p>
    <w:p w14:paraId="46F621C7" w14:textId="77777777" w:rsidR="0098201E" w:rsidRPr="000F0607" w:rsidRDefault="0098201E" w:rsidP="0098201E">
      <w:pPr>
        <w:numPr>
          <w:ilvl w:val="0"/>
          <w:numId w:val="8"/>
        </w:numPr>
        <w:spacing w:after="0" w:line="259" w:lineRule="auto"/>
        <w:contextualSpacing/>
        <w:jc w:val="both"/>
        <w:rPr>
          <w:rFonts w:ascii="Times New Roman" w:hAnsi="Times New Roman"/>
          <w:i/>
          <w:sz w:val="28"/>
          <w:szCs w:val="28"/>
        </w:rPr>
      </w:pPr>
      <w:r w:rsidRPr="000F0607">
        <w:rPr>
          <w:rFonts w:ascii="Times New Roman" w:hAnsi="Times New Roman"/>
          <w:i/>
          <w:sz w:val="28"/>
          <w:szCs w:val="28"/>
        </w:rPr>
        <w:t>E drejta për informim që aktualisht gëzon subjekti i të dhënave, e parashikuar në nenin 20 të projektligjit, përmirësohet duke garantuar që informacioni i kërkuar prej tij, të jepet nga kontrolluesi në një formë koncize, transparente, të kuptueshme dhe lehtësisht të aksesueshme, veçanërisht kur informacioni u drejtohet të miturve;</w:t>
      </w:r>
    </w:p>
    <w:p w14:paraId="6B7AA336" w14:textId="77777777" w:rsidR="0098201E" w:rsidRPr="000F0607" w:rsidRDefault="0098201E" w:rsidP="0098201E">
      <w:pPr>
        <w:numPr>
          <w:ilvl w:val="0"/>
          <w:numId w:val="8"/>
        </w:numPr>
        <w:spacing w:after="0" w:line="259" w:lineRule="auto"/>
        <w:contextualSpacing/>
        <w:jc w:val="both"/>
        <w:rPr>
          <w:rFonts w:ascii="Times New Roman" w:hAnsi="Times New Roman"/>
          <w:i/>
          <w:sz w:val="28"/>
          <w:szCs w:val="28"/>
        </w:rPr>
      </w:pPr>
      <w:r w:rsidRPr="000F0607">
        <w:rPr>
          <w:rFonts w:ascii="Times New Roman" w:hAnsi="Times New Roman"/>
          <w:i/>
          <w:sz w:val="28"/>
          <w:szCs w:val="28"/>
        </w:rPr>
        <w:t>E drejta e aksesit, parashikuar në nenin 21 të projektligjit, garantohet tashmë duke i ofruar mundësinë që të marrë nga kontrolluesi një kategori më të gjërë informacioni nëse të dhënat e tij personale janë duke u përpunuar;</w:t>
      </w:r>
    </w:p>
    <w:p w14:paraId="5AD4393D" w14:textId="77777777" w:rsidR="0098201E" w:rsidRPr="000F0607" w:rsidRDefault="0098201E" w:rsidP="0098201E">
      <w:pPr>
        <w:numPr>
          <w:ilvl w:val="0"/>
          <w:numId w:val="8"/>
        </w:numPr>
        <w:spacing w:after="0" w:line="259" w:lineRule="auto"/>
        <w:contextualSpacing/>
        <w:jc w:val="both"/>
        <w:rPr>
          <w:rFonts w:ascii="Times New Roman" w:hAnsi="Times New Roman"/>
          <w:i/>
          <w:sz w:val="28"/>
          <w:szCs w:val="28"/>
        </w:rPr>
      </w:pPr>
      <w:r w:rsidRPr="000F0607">
        <w:rPr>
          <w:rFonts w:ascii="Times New Roman" w:hAnsi="Times New Roman"/>
          <w:i/>
          <w:sz w:val="28"/>
          <w:szCs w:val="28"/>
        </w:rPr>
        <w:t>Dispozita mbi të drejtën për të bllokuar përpunimin e të dhënave e parashikuar në nenin 24 të projektligjit detajohet duke specifikuar konkretisht për subjektin e të dhënave arsyet e mundshme për “bllokimin” e përpunimit;</w:t>
      </w:r>
    </w:p>
    <w:p w14:paraId="1AA4C549" w14:textId="77777777" w:rsidR="0098201E" w:rsidRPr="000F0607" w:rsidRDefault="0098201E" w:rsidP="0098201E">
      <w:pPr>
        <w:numPr>
          <w:ilvl w:val="0"/>
          <w:numId w:val="8"/>
        </w:numPr>
        <w:spacing w:after="0" w:line="259" w:lineRule="auto"/>
        <w:contextualSpacing/>
        <w:jc w:val="both"/>
        <w:rPr>
          <w:rFonts w:ascii="Times New Roman" w:hAnsi="Times New Roman"/>
          <w:i/>
          <w:sz w:val="28"/>
          <w:szCs w:val="28"/>
        </w:rPr>
      </w:pPr>
      <w:r w:rsidRPr="000F0607">
        <w:rPr>
          <w:rFonts w:ascii="Times New Roman" w:hAnsi="Times New Roman"/>
          <w:i/>
          <w:sz w:val="28"/>
          <w:szCs w:val="28"/>
        </w:rPr>
        <w:t>E drejta për korrigjim dhe fshirje, e drejta për të kundërshtuar dhe e drejta për të mos ju nënshtruar vendimmarrjes automatike të parashikuara përkatësisht në nenet 22, 26 dhe 27 të projektligjit janë përmirësuar për të ardhur në linjë me frymën e GDPR;</w:t>
      </w:r>
    </w:p>
    <w:p w14:paraId="3E31391E" w14:textId="77777777" w:rsidR="0098201E" w:rsidRPr="000F0607" w:rsidRDefault="0098201E" w:rsidP="0098201E">
      <w:pPr>
        <w:spacing w:after="0"/>
        <w:jc w:val="both"/>
        <w:rPr>
          <w:rFonts w:ascii="Times New Roman" w:hAnsi="Times New Roman"/>
          <w:sz w:val="28"/>
          <w:szCs w:val="28"/>
        </w:rPr>
      </w:pPr>
    </w:p>
    <w:p w14:paraId="01690533"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Ndër të tjera, prezantohen dy të drejta të reja për subjektin e të dhënave me qëllim forcimin e kontrollit mbi të dhënat e tij personale në mjedisin digjital si:</w:t>
      </w:r>
    </w:p>
    <w:p w14:paraId="34F92C13" w14:textId="77777777" w:rsidR="0098201E" w:rsidRPr="000F0607" w:rsidRDefault="0098201E" w:rsidP="0098201E">
      <w:pPr>
        <w:spacing w:after="0"/>
        <w:jc w:val="both"/>
        <w:rPr>
          <w:rFonts w:ascii="Times New Roman" w:hAnsi="Times New Roman"/>
          <w:sz w:val="28"/>
          <w:szCs w:val="28"/>
        </w:rPr>
      </w:pPr>
    </w:p>
    <w:p w14:paraId="561CB7BC" w14:textId="77777777" w:rsidR="0098201E" w:rsidRPr="000F0607" w:rsidRDefault="0098201E" w:rsidP="0098201E">
      <w:pPr>
        <w:numPr>
          <w:ilvl w:val="1"/>
          <w:numId w:val="5"/>
        </w:numPr>
        <w:spacing w:after="0" w:line="259" w:lineRule="auto"/>
        <w:jc w:val="both"/>
        <w:rPr>
          <w:rFonts w:ascii="Times New Roman" w:hAnsi="Times New Roman"/>
          <w:i/>
          <w:sz w:val="28"/>
          <w:szCs w:val="28"/>
        </w:rPr>
      </w:pPr>
      <w:r w:rsidRPr="000F0607">
        <w:rPr>
          <w:rFonts w:ascii="Times New Roman" w:hAnsi="Times New Roman"/>
          <w:i/>
          <w:sz w:val="28"/>
          <w:szCs w:val="28"/>
        </w:rPr>
        <w:t>E drejta për t’u harruar (neni 23);</w:t>
      </w:r>
    </w:p>
    <w:p w14:paraId="26C17CAE" w14:textId="77777777" w:rsidR="0098201E" w:rsidRPr="000F0607" w:rsidRDefault="0098201E" w:rsidP="0098201E">
      <w:pPr>
        <w:numPr>
          <w:ilvl w:val="1"/>
          <w:numId w:val="5"/>
        </w:numPr>
        <w:spacing w:after="0" w:line="259" w:lineRule="auto"/>
        <w:jc w:val="both"/>
        <w:rPr>
          <w:rFonts w:ascii="Times New Roman" w:hAnsi="Times New Roman"/>
          <w:i/>
          <w:sz w:val="28"/>
          <w:szCs w:val="28"/>
        </w:rPr>
      </w:pPr>
      <w:r w:rsidRPr="000F0607">
        <w:rPr>
          <w:rFonts w:ascii="Times New Roman" w:hAnsi="Times New Roman"/>
          <w:i/>
          <w:sz w:val="28"/>
          <w:szCs w:val="28"/>
        </w:rPr>
        <w:t>E drejta për transferueshmërinë</w:t>
      </w:r>
      <w:r w:rsidRPr="000F0607">
        <w:rPr>
          <w:rFonts w:ascii="Times New Roman" w:hAnsi="Times New Roman"/>
          <w:b/>
          <w:bCs/>
          <w:sz w:val="28"/>
          <w:szCs w:val="28"/>
        </w:rPr>
        <w:t xml:space="preserve"> </w:t>
      </w:r>
      <w:r w:rsidRPr="000F0607">
        <w:rPr>
          <w:rFonts w:ascii="Times New Roman" w:hAnsi="Times New Roman"/>
          <w:i/>
          <w:sz w:val="28"/>
          <w:szCs w:val="28"/>
        </w:rPr>
        <w:t>e të dhënave (neni 25);</w:t>
      </w:r>
    </w:p>
    <w:p w14:paraId="67D8E50B" w14:textId="77777777" w:rsidR="0098201E" w:rsidRPr="000F0607" w:rsidRDefault="0098201E" w:rsidP="0098201E">
      <w:pPr>
        <w:spacing w:after="0"/>
        <w:jc w:val="both"/>
        <w:rPr>
          <w:rFonts w:ascii="Times New Roman" w:hAnsi="Times New Roman"/>
          <w:i/>
          <w:sz w:val="28"/>
          <w:szCs w:val="28"/>
        </w:rPr>
      </w:pPr>
    </w:p>
    <w:p w14:paraId="06D7BBEE"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E drejta për tu harruar, mund të konsiderohet si një e drejtë e re e subjektit të të dhënave në konteksin e zhvillimeve teknologjike, megjithatë është një përmirësim i të drejtës së subjektit për të kërkuar fshirjen e të dhënave personale, diktuar nga kushtet e zhvillimit teknologjik.</w:t>
      </w:r>
    </w:p>
    <w:p w14:paraId="1D514047"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Kjo e drejtë shërben si një garanci në mjedisin online për subjektin e të dhënave, duke detyruar ofruesit e motorëve të kërkimit të fshijnë me kërkesë të këtij të fundit, informacionin në lidhje me të, i cili me kalimin e kohës nuk është më i nevojshëm, por kur gjendet ka një ndikim negativ në reputacionin e tij. Gjithashtu, ofruesit e motorëve të kërkimit kanë detyrimin të njoftojnë çdo palë të tretë ku kanë përhapur këto informacione për të fshirë ato. </w:t>
      </w:r>
    </w:p>
    <w:p w14:paraId="511B9AB7" w14:textId="77777777" w:rsidR="0098201E" w:rsidRPr="000F0607" w:rsidRDefault="0098201E" w:rsidP="0098201E">
      <w:pPr>
        <w:spacing w:after="0"/>
        <w:jc w:val="both"/>
        <w:rPr>
          <w:rFonts w:ascii="Times New Roman" w:hAnsi="Times New Roman"/>
          <w:sz w:val="28"/>
          <w:szCs w:val="28"/>
        </w:rPr>
      </w:pPr>
    </w:p>
    <w:p w14:paraId="2B0B3DCA"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Qëllimi i kësaj të drejte është të eliminojë çdo gjurmë të të dhënave të çdo personi që dëshiron të “harrohet” përgjithmonë nga rrjetet sociale dhe motorët e kërkimit në internet si Google apo motorë të tjera kërkimi.</w:t>
      </w:r>
    </w:p>
    <w:p w14:paraId="694E4A05" w14:textId="77777777" w:rsidR="0098201E" w:rsidRPr="000F0607" w:rsidRDefault="0098201E" w:rsidP="0098201E">
      <w:pPr>
        <w:spacing w:after="0"/>
        <w:jc w:val="both"/>
        <w:rPr>
          <w:rFonts w:ascii="Times New Roman" w:hAnsi="Times New Roman"/>
          <w:i/>
          <w:sz w:val="28"/>
          <w:szCs w:val="28"/>
        </w:rPr>
      </w:pPr>
    </w:p>
    <w:p w14:paraId="7B7A8146"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E drejta për transferueshmërinë e të dhënave, synon ti ofrojë mundësinë subjektit të të dhënave për të transferuar, kopjuar ose transmetuar lehtësisht të dhënat personale nga një kontrollues tek një kontrollues tjetër për qëllime të caktuara që lidhen me ofrimin/marrjen e shërbimeve të shoqërisë së informacionit. </w:t>
      </w:r>
    </w:p>
    <w:p w14:paraId="25BE4401" w14:textId="77777777" w:rsidR="0098201E" w:rsidRPr="000F0607" w:rsidRDefault="0098201E" w:rsidP="0098201E">
      <w:pPr>
        <w:spacing w:after="0"/>
        <w:jc w:val="both"/>
        <w:rPr>
          <w:rFonts w:ascii="Times New Roman" w:hAnsi="Times New Roman"/>
          <w:sz w:val="28"/>
          <w:szCs w:val="28"/>
        </w:rPr>
      </w:pPr>
    </w:p>
    <w:p w14:paraId="0F43B1A8" w14:textId="77777777" w:rsidR="0098201E" w:rsidRPr="000F0607" w:rsidRDefault="0098201E" w:rsidP="0098201E">
      <w:pPr>
        <w:spacing w:after="0"/>
        <w:jc w:val="both"/>
        <w:rPr>
          <w:rFonts w:ascii="Times New Roman" w:hAnsi="Times New Roman"/>
          <w:sz w:val="28"/>
          <w:szCs w:val="28"/>
        </w:rPr>
      </w:pPr>
      <w:r w:rsidRPr="000F0607">
        <w:rPr>
          <w:rFonts w:ascii="Times New Roman" w:hAnsi="Times New Roman"/>
          <w:bCs/>
          <w:sz w:val="28"/>
          <w:szCs w:val="28"/>
        </w:rPr>
        <w:t>Mënyra se si kontrolluesit reagojnë ndaj kërkesave të personave fizikë</w:t>
      </w:r>
      <w:r w:rsidRPr="000F0607">
        <w:rPr>
          <w:rFonts w:ascii="Times New Roman" w:hAnsi="Times New Roman"/>
          <w:sz w:val="28"/>
          <w:szCs w:val="28"/>
        </w:rPr>
        <w:t xml:space="preserve"> në lidhje me përpunimin e të dhënave të tyre nga kontrolluesi tashmë rregullohet në mënyrë gjithëpërfshirëse në nenin 19, ndërsa shtohet një dispozitë e re parashikuar në nenin 28 të projektligjit mbi kufizimet e të drejtave të subjektit të të dhënave për arsyet e parashikuara në këtë dispozitë. </w:t>
      </w:r>
    </w:p>
    <w:p w14:paraId="330344F6" w14:textId="77777777" w:rsidR="0098201E" w:rsidRPr="000F0607" w:rsidRDefault="0098201E" w:rsidP="0098201E">
      <w:pPr>
        <w:spacing w:after="0"/>
        <w:jc w:val="both"/>
        <w:rPr>
          <w:rFonts w:ascii="Times New Roman" w:hAnsi="Times New Roman"/>
          <w:sz w:val="28"/>
          <w:szCs w:val="28"/>
        </w:rPr>
      </w:pPr>
    </w:p>
    <w:p w14:paraId="1F795D6C" w14:textId="3CF4851F" w:rsidR="0098201E" w:rsidRPr="000F0607" w:rsidRDefault="0098201E" w:rsidP="0098201E">
      <w:pPr>
        <w:tabs>
          <w:tab w:val="left" w:pos="1080"/>
        </w:tabs>
        <w:spacing w:after="160"/>
        <w:jc w:val="both"/>
        <w:rPr>
          <w:rFonts w:ascii="Times New Roman" w:hAnsi="Times New Roman"/>
          <w:bCs/>
          <w:sz w:val="28"/>
          <w:szCs w:val="28"/>
        </w:rPr>
      </w:pPr>
      <w:r w:rsidRPr="000F0607">
        <w:rPr>
          <w:rFonts w:ascii="Times New Roman" w:hAnsi="Times New Roman"/>
          <w:bCs/>
          <w:sz w:val="28"/>
          <w:szCs w:val="28"/>
        </w:rPr>
        <w:t>Kapitulli I</w:t>
      </w:r>
      <w:r w:rsidR="00D0659D">
        <w:rPr>
          <w:rFonts w:ascii="Times New Roman" w:hAnsi="Times New Roman"/>
          <w:bCs/>
          <w:sz w:val="28"/>
          <w:szCs w:val="28"/>
        </w:rPr>
        <w:t>II</w:t>
      </w:r>
      <w:r w:rsidRPr="000F0607">
        <w:rPr>
          <w:rFonts w:ascii="Times New Roman" w:hAnsi="Times New Roman"/>
          <w:bCs/>
          <w:sz w:val="28"/>
          <w:szCs w:val="28"/>
        </w:rPr>
        <w:t xml:space="preserve">, përmban dispozita që rregullojnë në mënyrë shumë më të detajuar detyrimet e kontrolluesve dhe përpunuesve të parashikuara në nenet 29 – 47 të projektligjit. </w:t>
      </w:r>
    </w:p>
    <w:p w14:paraId="0E01B9BA" w14:textId="25F7ACAE" w:rsidR="0098201E" w:rsidRPr="000F0607" w:rsidRDefault="0098201E" w:rsidP="0098201E">
      <w:pPr>
        <w:tabs>
          <w:tab w:val="left" w:pos="1080"/>
        </w:tabs>
        <w:spacing w:after="160"/>
        <w:jc w:val="both"/>
        <w:rPr>
          <w:rFonts w:ascii="Times New Roman" w:hAnsi="Times New Roman"/>
          <w:bCs/>
          <w:sz w:val="28"/>
          <w:szCs w:val="28"/>
        </w:rPr>
      </w:pPr>
      <w:r w:rsidRPr="000F0607">
        <w:rPr>
          <w:rFonts w:ascii="Times New Roman" w:hAnsi="Times New Roman"/>
          <w:bCs/>
          <w:sz w:val="28"/>
          <w:szCs w:val="28"/>
        </w:rPr>
        <w:t>Gjithashtu, shtohen detyrime të reja ndaj kontrolluesve dhe përpunuesve me qëllim garantimin më efektiv të sigurisë së informacionit në procesin e përpunimit të të dhënave personale si më poshtë:</w:t>
      </w:r>
    </w:p>
    <w:p w14:paraId="733EBE9A"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bCs/>
          <w:i/>
          <w:sz w:val="28"/>
          <w:szCs w:val="28"/>
        </w:rPr>
      </w:pPr>
      <w:r w:rsidRPr="000F0607">
        <w:rPr>
          <w:rFonts w:ascii="Times New Roman" w:hAnsi="Times New Roman"/>
          <w:bCs/>
          <w:i/>
          <w:sz w:val="28"/>
          <w:szCs w:val="28"/>
        </w:rPr>
        <w:t>Kryerja e vlerësimit të ndikimit në mbrojtjen e të dhënave personale përpara fillimit të një procesi përpunimi me qëllim identifikimin e rreziqeve të mundshme për të drejtat dhe liritë e subjektit të të dhënave dhe minimizimin e tyre sa më shpejt të jetë e mundur nëse rezulton se ky përpunim përbën rrezik të lartë (Neni 36);</w:t>
      </w:r>
    </w:p>
    <w:p w14:paraId="49231653"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bCs/>
          <w:i/>
          <w:sz w:val="28"/>
          <w:szCs w:val="28"/>
        </w:rPr>
        <w:t>Detyrimi për tu konsultuar paraprakisht me Komisionerin përpara fillimit të përpunimit të të dhënave, në rast se ky përpunim rezulton me rrezik të lartë për subjektin e të dhënave (Neni 37);</w:t>
      </w:r>
    </w:p>
    <w:p w14:paraId="621C5C12"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bCs/>
          <w:i/>
          <w:sz w:val="28"/>
          <w:szCs w:val="28"/>
        </w:rPr>
        <w:t>Detyrimi për njoftim i Komisionerit në rast cenimi të të dhënave personale, si dhe subjekteve të të dhënave kur rreziqet e shkaktuara nga cenimi i të dhënave mund të të jenë të larta (Neni 38);</w:t>
      </w:r>
    </w:p>
    <w:p w14:paraId="75050A48"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i/>
          <w:sz w:val="28"/>
          <w:szCs w:val="28"/>
        </w:rPr>
        <w:t xml:space="preserve">Prezantimi i konceptit të </w:t>
      </w:r>
      <w:r w:rsidRPr="000F0607">
        <w:rPr>
          <w:rFonts w:ascii="Times New Roman" w:hAnsi="Times New Roman"/>
          <w:bCs/>
          <w:i/>
          <w:sz w:val="28"/>
          <w:szCs w:val="28"/>
        </w:rPr>
        <w:t xml:space="preserve">mbrojtjes së të dhënave në projektim (by design) dhe mbrojtjes në mënyrë të paracaktuar (by default) si dhe </w:t>
      </w:r>
      <w:r w:rsidRPr="000F0607">
        <w:rPr>
          <w:rFonts w:ascii="Times New Roman" w:hAnsi="Times New Roman"/>
          <w:i/>
          <w:sz w:val="28"/>
          <w:szCs w:val="28"/>
        </w:rPr>
        <w:t>inkurajimi i kontrolluesëve dhe përpunuesëve për përdorimin e këtyre teknologjive (Neni 41);</w:t>
      </w:r>
    </w:p>
    <w:p w14:paraId="5D687400"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i/>
          <w:sz w:val="28"/>
          <w:szCs w:val="28"/>
          <w:lang w:eastAsia="x-none"/>
        </w:rPr>
        <w:t>Detyrimi i organeve të sektorit publik dhe privat për emërimin e një nëpunësi të mbrojtjes së të dhënave me qëllim garantimin e përputhshmërisë së organizatës ku bën pjesë me kërkesat e ligjit për mbrojtjen e të dhënave personale gjatë procesve përpunuese të të dhënave që kryejnë në kuadër të ushtrimit të veprimtarisë së tyre (nenet 42-43);</w:t>
      </w:r>
    </w:p>
    <w:p w14:paraId="0B3709FB"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i/>
          <w:sz w:val="28"/>
          <w:szCs w:val="28"/>
        </w:rPr>
        <w:t xml:space="preserve">Hartimi i kodeve të sjelljes </w:t>
      </w:r>
      <w:r w:rsidRPr="000F0607">
        <w:rPr>
          <w:rFonts w:ascii="Times New Roman" w:hAnsi="Times New Roman"/>
          <w:i/>
          <w:sz w:val="28"/>
          <w:szCs w:val="28"/>
          <w:lang w:eastAsia="x-none"/>
        </w:rPr>
        <w:t>për kategori të caktuar kontrolluesish dhe përpunuesish të cilat kanë për qëllim të kontribuojnë në zbatimin sa më të mirë të ligjit për mbrojtjen e të dhënave personale nga këta të fundit (Neni 44);</w:t>
      </w:r>
    </w:p>
    <w:p w14:paraId="59869DD3" w14:textId="3A912364"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bCs/>
          <w:i/>
          <w:sz w:val="28"/>
          <w:szCs w:val="28"/>
        </w:rPr>
        <w:t>Organet Monitoruese të akredituara nga Komisioneri të cilët kanë si mision monitorimin e përputhshmërinë të kontrolluesve dhe përpunuesve me kodin e sjelljes në rast se këta të fundit kanë marrë përsipër ti përmbahen atij (Neni 45);</w:t>
      </w:r>
    </w:p>
    <w:p w14:paraId="1C6197F9" w14:textId="77777777" w:rsidR="0098201E" w:rsidRPr="000F0607" w:rsidRDefault="0098201E" w:rsidP="0098201E">
      <w:pPr>
        <w:numPr>
          <w:ilvl w:val="1"/>
          <w:numId w:val="5"/>
        </w:numPr>
        <w:tabs>
          <w:tab w:val="left" w:pos="1080"/>
        </w:tabs>
        <w:spacing w:after="160" w:line="259" w:lineRule="auto"/>
        <w:ind w:left="360"/>
        <w:contextualSpacing/>
        <w:jc w:val="both"/>
        <w:rPr>
          <w:rFonts w:ascii="Times New Roman" w:hAnsi="Times New Roman"/>
          <w:i/>
          <w:sz w:val="28"/>
          <w:szCs w:val="28"/>
        </w:rPr>
      </w:pPr>
      <w:r w:rsidRPr="000F0607">
        <w:rPr>
          <w:rFonts w:ascii="Times New Roman" w:hAnsi="Times New Roman"/>
          <w:i/>
          <w:sz w:val="28"/>
          <w:szCs w:val="28"/>
          <w:lang w:eastAsia="x-none"/>
        </w:rPr>
        <w:t xml:space="preserve">Ngritja e mekanizmit të certifikimit, si një </w:t>
      </w:r>
      <w:r w:rsidRPr="000F0607">
        <w:rPr>
          <w:rFonts w:ascii="Times New Roman" w:hAnsi="Times New Roman"/>
          <w:i/>
          <w:sz w:val="28"/>
          <w:szCs w:val="28"/>
        </w:rPr>
        <w:t>instrument i cili demonstron se një proces përpunimi është në</w:t>
      </w:r>
      <w:r w:rsidRPr="000F0607">
        <w:rPr>
          <w:rFonts w:ascii="Times New Roman" w:hAnsi="Times New Roman"/>
          <w:i/>
          <w:sz w:val="28"/>
          <w:szCs w:val="28"/>
          <w:lang w:eastAsia="x-none"/>
        </w:rPr>
        <w:t xml:space="preserve"> përputhje me kuadrin ligjor për mbrojtjen e të dhënave personale dhe se gjatë procesit të përpunimit të të dhënave ekzistojnë garanci të mjaftueshme për sigurinë e tyre (Neni 46 – 47). </w:t>
      </w:r>
    </w:p>
    <w:p w14:paraId="670FE9A5" w14:textId="10ED3439" w:rsidR="0098201E" w:rsidRPr="000F0607" w:rsidRDefault="0098201E" w:rsidP="0098201E">
      <w:pPr>
        <w:autoSpaceDE w:val="0"/>
        <w:autoSpaceDN w:val="0"/>
        <w:spacing w:before="120" w:after="0"/>
        <w:jc w:val="both"/>
        <w:rPr>
          <w:rFonts w:ascii="Times New Roman" w:hAnsi="Times New Roman"/>
          <w:color w:val="000000"/>
          <w:sz w:val="28"/>
          <w:szCs w:val="28"/>
        </w:rPr>
      </w:pPr>
      <w:r w:rsidRPr="000F0607">
        <w:rPr>
          <w:rFonts w:ascii="Times New Roman" w:hAnsi="Times New Roman"/>
          <w:bCs/>
          <w:color w:val="000000"/>
          <w:sz w:val="28"/>
          <w:szCs w:val="28"/>
        </w:rPr>
        <w:t>Përpunimi i të dhënave personale nga dy ose më shumë kontrollues vërehet gjithnjë e më shumë ditët e sotme, ndaj duke q</w:t>
      </w:r>
      <w:r w:rsidR="00D0659D">
        <w:rPr>
          <w:rFonts w:ascii="Times New Roman" w:hAnsi="Times New Roman"/>
          <w:bCs/>
          <w:color w:val="000000"/>
          <w:sz w:val="28"/>
          <w:szCs w:val="28"/>
        </w:rPr>
        <w:t>e</w:t>
      </w:r>
      <w:r w:rsidRPr="000F0607">
        <w:rPr>
          <w:rFonts w:ascii="Times New Roman" w:hAnsi="Times New Roman"/>
          <w:bCs/>
          <w:color w:val="000000"/>
          <w:sz w:val="28"/>
          <w:szCs w:val="28"/>
        </w:rPr>
        <w:t>në se kjo çështje</w:t>
      </w:r>
      <w:r w:rsidRPr="000F0607">
        <w:rPr>
          <w:rFonts w:ascii="Times New Roman" w:hAnsi="Times New Roman"/>
          <w:color w:val="000000"/>
          <w:sz w:val="28"/>
          <w:szCs w:val="28"/>
        </w:rPr>
        <w:t xml:space="preserve"> po bëhet gjithnjë e më e rëndësishme, në interes</w:t>
      </w:r>
      <w:r w:rsidRPr="000F0607">
        <w:rPr>
          <w:rFonts w:ascii="Times New Roman" w:hAnsi="Times New Roman"/>
          <w:bCs/>
          <w:color w:val="000000"/>
          <w:sz w:val="28"/>
          <w:szCs w:val="28"/>
        </w:rPr>
        <w:t xml:space="preserve"> të fuqizimit të subjektit të të dhënave</w:t>
      </w:r>
      <w:r w:rsidRPr="000F0607">
        <w:rPr>
          <w:rFonts w:ascii="Times New Roman" w:hAnsi="Times New Roman"/>
          <w:color w:val="000000"/>
          <w:sz w:val="28"/>
          <w:szCs w:val="28"/>
        </w:rPr>
        <w:t xml:space="preserve"> për ushtrimin e të drejtave të tij, në projektligj është shtuar një dispozitë e re që rregullon detyrimet e kontrolluesve të përbashkët, konkretisht neni 30. </w:t>
      </w:r>
    </w:p>
    <w:p w14:paraId="68835600" w14:textId="77777777" w:rsidR="0098201E" w:rsidRPr="000F0607" w:rsidRDefault="0098201E" w:rsidP="0098201E">
      <w:pPr>
        <w:autoSpaceDE w:val="0"/>
        <w:autoSpaceDN w:val="0"/>
        <w:spacing w:before="120" w:after="0"/>
        <w:jc w:val="both"/>
        <w:rPr>
          <w:rFonts w:ascii="Times New Roman" w:hAnsi="Times New Roman"/>
          <w:color w:val="000000"/>
          <w:sz w:val="28"/>
          <w:szCs w:val="28"/>
        </w:rPr>
      </w:pPr>
      <w:r w:rsidRPr="000F0607">
        <w:rPr>
          <w:rFonts w:ascii="Times New Roman" w:hAnsi="Times New Roman"/>
          <w:color w:val="000000"/>
          <w:sz w:val="28"/>
          <w:szCs w:val="28"/>
        </w:rPr>
        <w:t>Përveç sa më sipër, me qëllim garantimin e të drejtave të subjektit të të dhënave dhe përputhshmërisë me detyrimet e ligjit për mbrojtjen e të dhënave personale, m</w:t>
      </w:r>
      <w:r w:rsidRPr="000F0607">
        <w:rPr>
          <w:rFonts w:ascii="Times New Roman" w:hAnsi="Times New Roman"/>
          <w:bCs/>
          <w:color w:val="000000"/>
          <w:sz w:val="28"/>
          <w:szCs w:val="28"/>
        </w:rPr>
        <w:t>arrëdhënia midis kontrolluesit dhe përpunuesit</w:t>
      </w:r>
      <w:r w:rsidRPr="000F0607">
        <w:rPr>
          <w:rFonts w:ascii="Times New Roman" w:hAnsi="Times New Roman"/>
          <w:color w:val="000000"/>
          <w:sz w:val="28"/>
          <w:szCs w:val="28"/>
        </w:rPr>
        <w:t xml:space="preserve"> të parashikuar në nenin 31, duhet të rregullohet nga një kontratë e shkruar. Ndërsa sa i përket përmbajtjes së saj, neni 31 përmban një rregullim më të gjerë. </w:t>
      </w:r>
    </w:p>
    <w:p w14:paraId="11872FE5" w14:textId="77777777" w:rsidR="0098201E" w:rsidRPr="000F0607" w:rsidRDefault="0098201E" w:rsidP="0098201E">
      <w:pPr>
        <w:spacing w:after="0"/>
        <w:jc w:val="both"/>
        <w:rPr>
          <w:rFonts w:ascii="Times New Roman" w:hAnsi="Times New Roman"/>
          <w:sz w:val="28"/>
          <w:szCs w:val="28"/>
        </w:rPr>
      </w:pPr>
    </w:p>
    <w:p w14:paraId="0A451B44" w14:textId="77777777" w:rsidR="0098201E" w:rsidRPr="000F0607" w:rsidRDefault="0098201E" w:rsidP="0098201E">
      <w:pPr>
        <w:spacing w:after="0"/>
        <w:contextualSpacing/>
        <w:jc w:val="both"/>
        <w:rPr>
          <w:rFonts w:ascii="Times New Roman" w:hAnsi="Times New Roman"/>
          <w:color w:val="000000"/>
          <w:sz w:val="28"/>
          <w:szCs w:val="28"/>
        </w:rPr>
      </w:pPr>
      <w:r w:rsidRPr="000F0607">
        <w:rPr>
          <w:rFonts w:ascii="Times New Roman" w:hAnsi="Times New Roman"/>
          <w:b/>
          <w:color w:val="000000"/>
          <w:sz w:val="28"/>
          <w:szCs w:val="28"/>
        </w:rPr>
        <w:t>Pjesa III</w:t>
      </w:r>
      <w:r w:rsidRPr="000F0607">
        <w:rPr>
          <w:rFonts w:ascii="Times New Roman" w:hAnsi="Times New Roman"/>
          <w:color w:val="000000"/>
          <w:sz w:val="28"/>
          <w:szCs w:val="28"/>
        </w:rPr>
        <w:t xml:space="preserve"> përmban dispozita që </w:t>
      </w:r>
      <w:r w:rsidRPr="000F0607">
        <w:rPr>
          <w:rFonts w:ascii="Times New Roman" w:hAnsi="Times New Roman"/>
          <w:sz w:val="28"/>
          <w:szCs w:val="28"/>
        </w:rPr>
        <w:t xml:space="preserve">rregullojnë </w:t>
      </w:r>
      <w:r w:rsidRPr="000F0607">
        <w:rPr>
          <w:rFonts w:ascii="Times New Roman" w:hAnsi="Times New Roman"/>
          <w:color w:val="000000"/>
          <w:sz w:val="28"/>
          <w:szCs w:val="28"/>
        </w:rPr>
        <w:t xml:space="preserve">për herë të parë </w:t>
      </w:r>
      <w:r w:rsidRPr="000F0607">
        <w:rPr>
          <w:rFonts w:ascii="Times New Roman" w:hAnsi="Times New Roman"/>
          <w:sz w:val="28"/>
          <w:szCs w:val="28"/>
        </w:rPr>
        <w:t xml:space="preserve">përpunimin e të dhënave personale </w:t>
      </w:r>
      <w:r w:rsidRPr="000F0607">
        <w:rPr>
          <w:rFonts w:ascii="Times New Roman" w:hAnsi="Times New Roman"/>
          <w:color w:val="000000"/>
          <w:sz w:val="28"/>
          <w:szCs w:val="28"/>
        </w:rPr>
        <w:t xml:space="preserve">nga autoritetet kompetente për sigurinë publike ose kombëtare dhe për parandalimin dhe ndjekjen e veprave penale në kuadër të </w:t>
      </w:r>
      <w:r w:rsidRPr="000F0607">
        <w:rPr>
          <w:rFonts w:ascii="Times New Roman" w:hAnsi="Times New Roman"/>
          <w:sz w:val="28"/>
          <w:szCs w:val="28"/>
        </w:rPr>
        <w:t xml:space="preserve">transpozimit të Direktivës së BE 2016/680 </w:t>
      </w:r>
      <w:r w:rsidRPr="000F0607">
        <w:rPr>
          <w:rFonts w:ascii="Times New Roman" w:hAnsi="Times New Roman"/>
          <w:color w:val="000000"/>
          <w:sz w:val="28"/>
          <w:szCs w:val="28"/>
        </w:rPr>
        <w:t xml:space="preserve">e Parlamentit Evropian dhe e Këshillit të 27 prillit 2016 </w:t>
      </w:r>
      <w:r w:rsidRPr="000F0607">
        <w:rPr>
          <w:rFonts w:ascii="Times New Roman" w:hAnsi="Times New Roman"/>
          <w:i/>
          <w:color w:val="000000"/>
          <w:sz w:val="28"/>
          <w:szCs w:val="28"/>
        </w:rPr>
        <w:t>“</w:t>
      </w:r>
      <w:r w:rsidRPr="000F0607">
        <w:rPr>
          <w:rFonts w:ascii="Times New Roman" w:hAnsi="Times New Roman"/>
          <w:i/>
          <w:sz w:val="28"/>
          <w:szCs w:val="28"/>
        </w:rPr>
        <w:t xml:space="preserve">Për mbrojtjen e personave fizikë në lidhje me përpunimin e të dhënave personale nga autoritetet kompetente me qëllim parandalimin, hetimin, zbulimin, ndjekjen penale të veprave penale apo ekzekutimin e dënimeve penale dhe për lëvizjen e lirë të këtyre të dhënave”, </w:t>
      </w:r>
      <w:r w:rsidRPr="000F0607">
        <w:rPr>
          <w:rFonts w:ascii="Times New Roman" w:hAnsi="Times New Roman"/>
          <w:sz w:val="28"/>
          <w:szCs w:val="28"/>
        </w:rPr>
        <w:t>të cilat</w:t>
      </w:r>
      <w:r w:rsidRPr="000F0607">
        <w:rPr>
          <w:rFonts w:ascii="Times New Roman" w:hAnsi="Times New Roman"/>
          <w:i/>
          <w:sz w:val="28"/>
          <w:szCs w:val="28"/>
        </w:rPr>
        <w:t xml:space="preserve"> </w:t>
      </w:r>
      <w:r w:rsidRPr="000F0607">
        <w:rPr>
          <w:rFonts w:ascii="Times New Roman" w:hAnsi="Times New Roman"/>
          <w:color w:val="000000"/>
          <w:sz w:val="28"/>
          <w:szCs w:val="28"/>
        </w:rPr>
        <w:t xml:space="preserve">konsiderohen si </w:t>
      </w:r>
      <w:r w:rsidRPr="000F0607">
        <w:rPr>
          <w:rFonts w:ascii="Times New Roman" w:hAnsi="Times New Roman"/>
          <w:i/>
          <w:color w:val="000000"/>
          <w:sz w:val="28"/>
          <w:szCs w:val="28"/>
        </w:rPr>
        <w:t>lex specialis</w:t>
      </w:r>
      <w:r w:rsidRPr="000F0607">
        <w:rPr>
          <w:rFonts w:ascii="Times New Roman" w:hAnsi="Times New Roman"/>
          <w:color w:val="000000"/>
          <w:sz w:val="28"/>
          <w:szCs w:val="28"/>
        </w:rPr>
        <w:t xml:space="preserve"> për përpunimin e të dhënave personale në këtë fushë. Përkatësisht nenet 48 -76 të projektligjit. </w:t>
      </w:r>
    </w:p>
    <w:p w14:paraId="1833C697" w14:textId="77777777" w:rsidR="0098201E" w:rsidRPr="000F0607" w:rsidRDefault="0098201E" w:rsidP="0098201E">
      <w:pPr>
        <w:spacing w:after="0"/>
        <w:jc w:val="both"/>
        <w:rPr>
          <w:rFonts w:ascii="Times New Roman" w:hAnsi="Times New Roman"/>
          <w:color w:val="000000"/>
          <w:sz w:val="28"/>
          <w:szCs w:val="28"/>
        </w:rPr>
      </w:pPr>
    </w:p>
    <w:p w14:paraId="15563BE4" w14:textId="77777777" w:rsidR="0098201E" w:rsidRPr="000F0607" w:rsidRDefault="0098201E" w:rsidP="0098201E">
      <w:pPr>
        <w:spacing w:after="0"/>
        <w:jc w:val="both"/>
        <w:rPr>
          <w:rFonts w:ascii="Times New Roman" w:hAnsi="Times New Roman"/>
          <w:color w:val="000000"/>
          <w:sz w:val="28"/>
          <w:szCs w:val="28"/>
        </w:rPr>
      </w:pPr>
      <w:r w:rsidRPr="000F0607">
        <w:rPr>
          <w:rFonts w:ascii="Times New Roman" w:hAnsi="Times New Roman"/>
          <w:color w:val="000000"/>
          <w:sz w:val="28"/>
          <w:szCs w:val="28"/>
        </w:rPr>
        <w:t>R</w:t>
      </w:r>
      <w:r w:rsidRPr="000F0607">
        <w:rPr>
          <w:rFonts w:ascii="Times New Roman" w:hAnsi="Times New Roman"/>
          <w:sz w:val="28"/>
          <w:szCs w:val="28"/>
        </w:rPr>
        <w:t>regullat bazohen mbi të njëjtat parime të përgjithshme si</w:t>
      </w:r>
      <w:r w:rsidRPr="000F0607">
        <w:rPr>
          <w:rFonts w:ascii="Times New Roman" w:hAnsi="Times New Roman"/>
          <w:color w:val="000000"/>
          <w:sz w:val="28"/>
          <w:szCs w:val="28"/>
        </w:rPr>
        <w:t xml:space="preserve"> në Pjesën II të projektligjit, por duke marrë parasysh kërkesat e veçanta të përpunimit në fushën e zbatimit të ligjit për këtë pjesë. </w:t>
      </w:r>
    </w:p>
    <w:p w14:paraId="284453AD" w14:textId="77777777" w:rsidR="0098201E" w:rsidRPr="000F0607" w:rsidRDefault="0098201E" w:rsidP="0098201E">
      <w:pPr>
        <w:spacing w:after="0"/>
        <w:jc w:val="both"/>
        <w:rPr>
          <w:rFonts w:ascii="Times New Roman" w:hAnsi="Times New Roman"/>
          <w:color w:val="000000"/>
          <w:sz w:val="28"/>
          <w:szCs w:val="28"/>
        </w:rPr>
      </w:pPr>
    </w:p>
    <w:p w14:paraId="604AD003" w14:textId="77777777" w:rsidR="0098201E" w:rsidRPr="000F0607" w:rsidRDefault="0098201E" w:rsidP="0098201E">
      <w:pPr>
        <w:spacing w:after="0"/>
        <w:jc w:val="both"/>
        <w:rPr>
          <w:rFonts w:ascii="Times New Roman" w:hAnsi="Times New Roman"/>
          <w:color w:val="000000"/>
          <w:sz w:val="28"/>
          <w:szCs w:val="28"/>
        </w:rPr>
      </w:pPr>
      <w:r w:rsidRPr="000F0607">
        <w:rPr>
          <w:rFonts w:ascii="Times New Roman" w:hAnsi="Times New Roman"/>
          <w:color w:val="000000"/>
          <w:sz w:val="28"/>
          <w:szCs w:val="28"/>
        </w:rPr>
        <w:t xml:space="preserve">Përkufizimet e termave të përmendur në nenin 3 të projektligjit janë të njëjta edhe kur këto do duhet të përdoren për qëllime të Pjesës III. Vetëm termi </w:t>
      </w:r>
      <w:r w:rsidRPr="000F0607">
        <w:rPr>
          <w:rFonts w:ascii="Times New Roman" w:hAnsi="Times New Roman"/>
          <w:i/>
          <w:color w:val="000000"/>
          <w:sz w:val="28"/>
          <w:szCs w:val="28"/>
        </w:rPr>
        <w:t>“kontrollues”</w:t>
      </w:r>
      <w:r w:rsidRPr="000F0607">
        <w:rPr>
          <w:rFonts w:ascii="Times New Roman" w:hAnsi="Times New Roman"/>
          <w:color w:val="000000"/>
          <w:sz w:val="28"/>
          <w:szCs w:val="28"/>
        </w:rPr>
        <w:t xml:space="preserve"> në këtë rast i referohet një autoriteti kompetent.</w:t>
      </w:r>
    </w:p>
    <w:p w14:paraId="311AFDD3" w14:textId="77777777" w:rsidR="0098201E" w:rsidRPr="000F0607" w:rsidRDefault="0098201E" w:rsidP="0098201E">
      <w:pPr>
        <w:spacing w:before="120" w:after="160"/>
        <w:jc w:val="both"/>
        <w:rPr>
          <w:rFonts w:ascii="Times New Roman" w:hAnsi="Times New Roman"/>
          <w:sz w:val="28"/>
          <w:szCs w:val="28"/>
          <w:u w:color="000000"/>
        </w:rPr>
      </w:pPr>
      <w:r w:rsidRPr="000F0607">
        <w:rPr>
          <w:rFonts w:ascii="Times New Roman" w:hAnsi="Times New Roman"/>
          <w:color w:val="000000"/>
          <w:sz w:val="28"/>
          <w:szCs w:val="28"/>
        </w:rPr>
        <w:t xml:space="preserve">Për këtë qëllim, në nenin 49, parashikohet përkufizimi i termit </w:t>
      </w:r>
      <w:r w:rsidRPr="000F0607">
        <w:rPr>
          <w:rFonts w:ascii="Times New Roman" w:hAnsi="Times New Roman"/>
          <w:i/>
          <w:color w:val="000000"/>
          <w:sz w:val="28"/>
          <w:szCs w:val="28"/>
        </w:rPr>
        <w:t>"autoritet kompetent"</w:t>
      </w:r>
      <w:r w:rsidRPr="000F0607">
        <w:rPr>
          <w:rFonts w:ascii="Times New Roman" w:hAnsi="Times New Roman"/>
          <w:color w:val="000000"/>
          <w:sz w:val="28"/>
          <w:szCs w:val="28"/>
        </w:rPr>
        <w:t xml:space="preserve"> i cili nënkupton </w:t>
      </w:r>
      <w:r w:rsidRPr="000F0607">
        <w:rPr>
          <w:rFonts w:ascii="Times New Roman" w:hAnsi="Times New Roman"/>
          <w:sz w:val="28"/>
          <w:szCs w:val="28"/>
          <w:u w:color="000000"/>
        </w:rPr>
        <w:t>çdo autoritet publik, kompetent për parandalimin, hetimin, zbulimin ose ndjekjen e veprave penale ose ekzekutimin e dënimeve penale, përfshirë mbrojtjen dhe parandalimin e kërcënimeve ndaj sigurisë publike, mbrojtjes ose sigurisë kombëtare, ose çdo institucion tjetër, që gëzon me ligj të drejtën për ushtrimin e autoritetit zyrtar për një ose disa prej këtyre qëllimeve.</w:t>
      </w:r>
    </w:p>
    <w:p w14:paraId="73884F5B" w14:textId="179F48CD" w:rsidR="0098201E" w:rsidRPr="000F0607" w:rsidRDefault="0098201E" w:rsidP="0098201E">
      <w:pPr>
        <w:spacing w:after="0"/>
        <w:jc w:val="both"/>
        <w:rPr>
          <w:rFonts w:ascii="Times New Roman" w:hAnsi="Times New Roman"/>
          <w:bCs/>
          <w:sz w:val="28"/>
          <w:szCs w:val="28"/>
        </w:rPr>
      </w:pPr>
      <w:r w:rsidRPr="000F0607">
        <w:rPr>
          <w:rFonts w:ascii="Times New Roman" w:hAnsi="Times New Roman"/>
          <w:bCs/>
          <w:sz w:val="28"/>
          <w:szCs w:val="28"/>
        </w:rPr>
        <w:t>Parimet e mbrojtjes së të dhënave të parashikuara në nenin 6 të projektligjit, zbatohen gjithashtu për përpunimin e të dhënave edhe për qëllime të Pjesës III. Ndërsa neni 5</w:t>
      </w:r>
      <w:r w:rsidR="00D0659D">
        <w:rPr>
          <w:rFonts w:ascii="Times New Roman" w:hAnsi="Times New Roman"/>
          <w:bCs/>
          <w:sz w:val="28"/>
          <w:szCs w:val="28"/>
        </w:rPr>
        <w:t>0</w:t>
      </w:r>
      <w:r w:rsidRPr="000F0607">
        <w:rPr>
          <w:rFonts w:ascii="Times New Roman" w:hAnsi="Times New Roman"/>
          <w:bCs/>
          <w:sz w:val="28"/>
          <w:szCs w:val="28"/>
        </w:rPr>
        <w:t xml:space="preserve"> i projektligjit kërkon që përpunimi i ligjshëm i të dhënave të kryhet për aq sa parashikon ligji, të jetë i domosdoshëm dhe proporcional.</w:t>
      </w:r>
    </w:p>
    <w:p w14:paraId="4F594FBE" w14:textId="77777777" w:rsidR="0098201E" w:rsidRPr="000F0607" w:rsidRDefault="0098201E" w:rsidP="0098201E">
      <w:pPr>
        <w:spacing w:after="0"/>
        <w:jc w:val="both"/>
        <w:rPr>
          <w:rFonts w:ascii="Times New Roman" w:hAnsi="Times New Roman"/>
          <w:bCs/>
          <w:sz w:val="28"/>
          <w:szCs w:val="28"/>
        </w:rPr>
      </w:pPr>
    </w:p>
    <w:p w14:paraId="30550544" w14:textId="4AEDA1F9" w:rsidR="0098201E" w:rsidRPr="000F0607" w:rsidRDefault="0098201E" w:rsidP="0098201E">
      <w:pPr>
        <w:spacing w:after="0"/>
        <w:jc w:val="both"/>
        <w:rPr>
          <w:rFonts w:ascii="Times New Roman" w:hAnsi="Times New Roman"/>
          <w:bCs/>
          <w:i/>
          <w:color w:val="FF0000"/>
          <w:sz w:val="28"/>
          <w:szCs w:val="28"/>
        </w:rPr>
      </w:pPr>
      <w:r w:rsidRPr="000F0607">
        <w:rPr>
          <w:rFonts w:ascii="Times New Roman" w:hAnsi="Times New Roman"/>
          <w:bCs/>
          <w:sz w:val="28"/>
          <w:szCs w:val="28"/>
        </w:rPr>
        <w:t>Në nenin 5</w:t>
      </w:r>
      <w:r w:rsidR="00D0659D">
        <w:rPr>
          <w:rFonts w:ascii="Times New Roman" w:hAnsi="Times New Roman"/>
          <w:bCs/>
          <w:sz w:val="28"/>
          <w:szCs w:val="28"/>
        </w:rPr>
        <w:t>1</w:t>
      </w:r>
      <w:r w:rsidRPr="000F0607">
        <w:rPr>
          <w:rFonts w:ascii="Times New Roman" w:hAnsi="Times New Roman"/>
          <w:bCs/>
          <w:sz w:val="28"/>
          <w:szCs w:val="28"/>
        </w:rPr>
        <w:t xml:space="preserve"> përkufizohet përpunimi për qëllime të tjera, në çdo rast sipas autorizimit që buron nga ligji.</w:t>
      </w:r>
    </w:p>
    <w:p w14:paraId="48B7C1FE" w14:textId="77777777" w:rsidR="0098201E" w:rsidRPr="000F0607" w:rsidRDefault="0098201E" w:rsidP="0098201E">
      <w:pPr>
        <w:spacing w:after="0"/>
        <w:ind w:left="720"/>
        <w:rPr>
          <w:rFonts w:ascii="Times New Roman" w:hAnsi="Times New Roman"/>
          <w:bCs/>
          <w:i/>
          <w:sz w:val="28"/>
          <w:szCs w:val="28"/>
        </w:rPr>
      </w:pPr>
    </w:p>
    <w:p w14:paraId="754D1E8F" w14:textId="04F9525E" w:rsidR="0098201E" w:rsidRPr="000F0607" w:rsidRDefault="0098201E" w:rsidP="00D0659D">
      <w:pPr>
        <w:spacing w:after="160"/>
        <w:jc w:val="both"/>
        <w:rPr>
          <w:rFonts w:ascii="Times New Roman" w:hAnsi="Times New Roman"/>
          <w:color w:val="000000"/>
          <w:sz w:val="28"/>
          <w:szCs w:val="28"/>
        </w:rPr>
      </w:pPr>
      <w:r w:rsidRPr="000F0607">
        <w:rPr>
          <w:rFonts w:ascii="Times New Roman" w:hAnsi="Times New Roman"/>
          <w:color w:val="000000"/>
          <w:sz w:val="28"/>
          <w:szCs w:val="28"/>
        </w:rPr>
        <w:t>Në kuadër të përpunimit të të dhënave personale për qëllime të kësaj pjese, neni 5</w:t>
      </w:r>
      <w:r w:rsidR="00D0659D">
        <w:rPr>
          <w:rFonts w:ascii="Times New Roman" w:hAnsi="Times New Roman"/>
          <w:color w:val="000000"/>
          <w:sz w:val="28"/>
          <w:szCs w:val="28"/>
        </w:rPr>
        <w:t>2</w:t>
      </w:r>
      <w:r w:rsidRPr="000F0607">
        <w:rPr>
          <w:rFonts w:ascii="Times New Roman" w:hAnsi="Times New Roman"/>
          <w:color w:val="000000"/>
          <w:sz w:val="28"/>
          <w:szCs w:val="28"/>
        </w:rPr>
        <w:t xml:space="preserve"> i projektligjit parashikon mundësinë që të bëhet një dallim i qartë midis të dhënave personale të kategorive të ndryshme </w:t>
      </w:r>
      <w:r w:rsidRPr="000F0607">
        <w:rPr>
          <w:rFonts w:ascii="Times New Roman" w:hAnsi="Times New Roman"/>
          <w:bCs/>
          <w:color w:val="000000"/>
          <w:sz w:val="28"/>
          <w:szCs w:val="28"/>
        </w:rPr>
        <w:t>të subjekteve të të dhënave</w:t>
      </w:r>
      <w:r w:rsidR="00D0659D">
        <w:rPr>
          <w:rFonts w:ascii="Times New Roman" w:hAnsi="Times New Roman"/>
          <w:bCs/>
          <w:color w:val="000000"/>
          <w:sz w:val="28"/>
          <w:szCs w:val="28"/>
        </w:rPr>
        <w:t>.</w:t>
      </w:r>
    </w:p>
    <w:p w14:paraId="2A9A44A5" w14:textId="13F8BEB3" w:rsidR="0098201E" w:rsidRPr="000F0607" w:rsidRDefault="0098201E" w:rsidP="0098201E">
      <w:pPr>
        <w:spacing w:after="0"/>
        <w:jc w:val="both"/>
        <w:rPr>
          <w:rFonts w:ascii="Times New Roman" w:hAnsi="Times New Roman"/>
          <w:sz w:val="28"/>
          <w:szCs w:val="28"/>
        </w:rPr>
      </w:pPr>
      <w:r w:rsidRPr="000F0607">
        <w:rPr>
          <w:rFonts w:ascii="Times New Roman" w:hAnsi="Times New Roman"/>
          <w:sz w:val="28"/>
          <w:szCs w:val="28"/>
        </w:rPr>
        <w:t xml:space="preserve">Në </w:t>
      </w:r>
      <w:r w:rsidRPr="000F0607">
        <w:rPr>
          <w:rFonts w:ascii="Times New Roman" w:hAnsi="Times New Roman"/>
          <w:bCs/>
          <w:sz w:val="28"/>
          <w:szCs w:val="28"/>
        </w:rPr>
        <w:t>nenin 5</w:t>
      </w:r>
      <w:r w:rsidR="00D0659D">
        <w:rPr>
          <w:rFonts w:ascii="Times New Roman" w:hAnsi="Times New Roman"/>
          <w:bCs/>
          <w:sz w:val="28"/>
          <w:szCs w:val="28"/>
        </w:rPr>
        <w:t>3</w:t>
      </w:r>
      <w:r w:rsidRPr="000F0607">
        <w:rPr>
          <w:rFonts w:ascii="Times New Roman" w:hAnsi="Times New Roman"/>
          <w:bCs/>
          <w:sz w:val="28"/>
          <w:szCs w:val="28"/>
        </w:rPr>
        <w:t xml:space="preserve"> të projektligjit përcaktohen </w:t>
      </w:r>
      <w:r w:rsidRPr="000F0607">
        <w:rPr>
          <w:rFonts w:ascii="Times New Roman" w:hAnsi="Times New Roman"/>
          <w:sz w:val="28"/>
          <w:szCs w:val="28"/>
        </w:rPr>
        <w:t xml:space="preserve">rastet se kur lejohet përpunimi i të </w:t>
      </w:r>
      <w:r w:rsidRPr="000F0607">
        <w:rPr>
          <w:rFonts w:ascii="Times New Roman" w:hAnsi="Times New Roman"/>
          <w:bCs/>
          <w:sz w:val="28"/>
          <w:szCs w:val="28"/>
        </w:rPr>
        <w:t>dhënave sensitive:</w:t>
      </w:r>
    </w:p>
    <w:p w14:paraId="7B48289B" w14:textId="77777777" w:rsidR="0098201E" w:rsidRPr="000F0607" w:rsidRDefault="0098201E" w:rsidP="0098201E">
      <w:pPr>
        <w:numPr>
          <w:ilvl w:val="0"/>
          <w:numId w:val="10"/>
        </w:numPr>
        <w:spacing w:after="0" w:line="259" w:lineRule="auto"/>
        <w:contextualSpacing/>
        <w:rPr>
          <w:rFonts w:ascii="Times New Roman" w:hAnsi="Times New Roman"/>
          <w:i/>
          <w:sz w:val="28"/>
          <w:szCs w:val="28"/>
        </w:rPr>
      </w:pPr>
      <w:r w:rsidRPr="000F0607">
        <w:rPr>
          <w:rFonts w:ascii="Times New Roman" w:hAnsi="Times New Roman"/>
          <w:i/>
          <w:sz w:val="28"/>
          <w:szCs w:val="28"/>
        </w:rPr>
        <w:t>kur përpunimi autorizohet në mënyrë specifike me ligj; ose</w:t>
      </w:r>
    </w:p>
    <w:p w14:paraId="1A4ACB21" w14:textId="77777777" w:rsidR="0098201E" w:rsidRPr="000F0607" w:rsidRDefault="0098201E" w:rsidP="0098201E">
      <w:pPr>
        <w:numPr>
          <w:ilvl w:val="0"/>
          <w:numId w:val="10"/>
        </w:numPr>
        <w:spacing w:after="0" w:line="259" w:lineRule="auto"/>
        <w:contextualSpacing/>
        <w:jc w:val="both"/>
        <w:rPr>
          <w:rFonts w:ascii="Times New Roman" w:hAnsi="Times New Roman"/>
          <w:i/>
          <w:sz w:val="28"/>
          <w:szCs w:val="28"/>
        </w:rPr>
      </w:pPr>
      <w:r w:rsidRPr="000F0607">
        <w:rPr>
          <w:rFonts w:ascii="Times New Roman" w:hAnsi="Times New Roman"/>
          <w:i/>
          <w:sz w:val="28"/>
          <w:szCs w:val="28"/>
        </w:rPr>
        <w:t>ku përpunimi ka të bëjë me të dhëna të cilat janë bërë haptazi publike nga subjekti i të dhënave dhe i shërben një qëllimi për të cilin kontrolluesi është kompetent sipas ligjit.</w:t>
      </w:r>
    </w:p>
    <w:p w14:paraId="425F7E8A" w14:textId="77777777" w:rsidR="0098201E" w:rsidRPr="000F0607" w:rsidRDefault="0098201E" w:rsidP="0098201E">
      <w:pPr>
        <w:spacing w:after="0"/>
        <w:ind w:left="720"/>
        <w:contextualSpacing/>
        <w:rPr>
          <w:rFonts w:ascii="Times New Roman" w:hAnsi="Times New Roman"/>
          <w:i/>
          <w:sz w:val="28"/>
          <w:szCs w:val="28"/>
        </w:rPr>
      </w:pPr>
    </w:p>
    <w:p w14:paraId="64864DE5" w14:textId="76CBB524"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Në neni</w:t>
      </w:r>
      <w:r w:rsidR="00D0659D">
        <w:rPr>
          <w:rFonts w:ascii="Times New Roman" w:hAnsi="Times New Roman"/>
          <w:bCs/>
          <w:color w:val="000000"/>
          <w:sz w:val="28"/>
          <w:szCs w:val="28"/>
        </w:rPr>
        <w:t>n</w:t>
      </w:r>
      <w:r w:rsidRPr="000F0607">
        <w:rPr>
          <w:rFonts w:ascii="Times New Roman" w:hAnsi="Times New Roman"/>
          <w:bCs/>
          <w:color w:val="000000"/>
          <w:sz w:val="28"/>
          <w:szCs w:val="28"/>
        </w:rPr>
        <w:t xml:space="preserve"> 5</w:t>
      </w:r>
      <w:r w:rsidR="00D0659D">
        <w:rPr>
          <w:rFonts w:ascii="Times New Roman" w:hAnsi="Times New Roman"/>
          <w:bCs/>
          <w:color w:val="000000"/>
          <w:sz w:val="28"/>
          <w:szCs w:val="28"/>
        </w:rPr>
        <w:t>4</w:t>
      </w:r>
      <w:r w:rsidRPr="000F0607">
        <w:rPr>
          <w:rFonts w:ascii="Times New Roman" w:hAnsi="Times New Roman"/>
          <w:bCs/>
          <w:color w:val="000000"/>
          <w:sz w:val="28"/>
          <w:szCs w:val="28"/>
        </w:rPr>
        <w:t xml:space="preserve"> parashikohet përpunimi automatik, e drejta e subjektit për ndërhyrje manuale, mar</w:t>
      </w:r>
      <w:r w:rsidR="00D0659D">
        <w:rPr>
          <w:rFonts w:ascii="Times New Roman" w:hAnsi="Times New Roman"/>
          <w:bCs/>
          <w:color w:val="000000"/>
          <w:sz w:val="28"/>
          <w:szCs w:val="28"/>
        </w:rPr>
        <w:t>r</w:t>
      </w:r>
      <w:r w:rsidRPr="000F0607">
        <w:rPr>
          <w:rFonts w:ascii="Times New Roman" w:hAnsi="Times New Roman"/>
          <w:bCs/>
          <w:color w:val="000000"/>
          <w:sz w:val="28"/>
          <w:szCs w:val="28"/>
        </w:rPr>
        <w:t>ja e masave të përshtatshme apo ndalimi në rastin e përpunimit të të dhënave sensitive.</w:t>
      </w:r>
    </w:p>
    <w:p w14:paraId="0F673B43" w14:textId="4F9553D3"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Në nenet 5</w:t>
      </w:r>
      <w:r w:rsidR="00D0659D">
        <w:rPr>
          <w:rFonts w:ascii="Times New Roman" w:hAnsi="Times New Roman"/>
          <w:bCs/>
          <w:color w:val="000000"/>
          <w:sz w:val="28"/>
          <w:szCs w:val="28"/>
        </w:rPr>
        <w:t>5</w:t>
      </w:r>
      <w:r w:rsidRPr="000F0607">
        <w:rPr>
          <w:rFonts w:ascii="Times New Roman" w:hAnsi="Times New Roman"/>
          <w:bCs/>
          <w:color w:val="000000"/>
          <w:sz w:val="28"/>
          <w:szCs w:val="28"/>
        </w:rPr>
        <w:t>–</w:t>
      </w:r>
      <w:r w:rsidR="00D0659D">
        <w:rPr>
          <w:rFonts w:ascii="Times New Roman" w:hAnsi="Times New Roman"/>
          <w:bCs/>
          <w:color w:val="000000"/>
          <w:sz w:val="28"/>
          <w:szCs w:val="28"/>
        </w:rPr>
        <w:t xml:space="preserve">59 </w:t>
      </w:r>
      <w:r w:rsidRPr="000F0607">
        <w:rPr>
          <w:rFonts w:ascii="Times New Roman" w:hAnsi="Times New Roman"/>
          <w:bCs/>
          <w:color w:val="000000"/>
          <w:sz w:val="28"/>
          <w:szCs w:val="28"/>
        </w:rPr>
        <w:t>të projektligjit parashikohet transferimi ndërkombëtar për autoritetet kompetente, përjashtimi për raste specifike apo edhe tek marrës që nuk janë autoritete kompetente.</w:t>
      </w:r>
    </w:p>
    <w:p w14:paraId="0659307E" w14:textId="10B04A60"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Në nenet 6</w:t>
      </w:r>
      <w:r w:rsidR="00D0659D">
        <w:rPr>
          <w:rFonts w:ascii="Times New Roman" w:hAnsi="Times New Roman"/>
          <w:bCs/>
          <w:color w:val="000000"/>
          <w:sz w:val="28"/>
          <w:szCs w:val="28"/>
        </w:rPr>
        <w:t>0</w:t>
      </w:r>
      <w:r w:rsidRPr="000F0607">
        <w:rPr>
          <w:rFonts w:ascii="Times New Roman" w:hAnsi="Times New Roman"/>
          <w:bCs/>
          <w:color w:val="000000"/>
          <w:sz w:val="28"/>
          <w:szCs w:val="28"/>
        </w:rPr>
        <w:t>–6</w:t>
      </w:r>
      <w:r w:rsidR="00D0659D">
        <w:rPr>
          <w:rFonts w:ascii="Times New Roman" w:hAnsi="Times New Roman"/>
          <w:bCs/>
          <w:color w:val="000000"/>
          <w:sz w:val="28"/>
          <w:szCs w:val="28"/>
        </w:rPr>
        <w:t>3</w:t>
      </w:r>
      <w:r w:rsidRPr="000F0607">
        <w:rPr>
          <w:rFonts w:ascii="Times New Roman" w:hAnsi="Times New Roman"/>
          <w:bCs/>
          <w:color w:val="000000"/>
          <w:sz w:val="28"/>
          <w:szCs w:val="28"/>
        </w:rPr>
        <w:t xml:space="preserve"> të projektligjit</w:t>
      </w:r>
      <w:r w:rsidRPr="000F0607">
        <w:rPr>
          <w:rFonts w:ascii="Times New Roman" w:hAnsi="Times New Roman"/>
          <w:sz w:val="28"/>
          <w:szCs w:val="28"/>
        </w:rPr>
        <w:t xml:space="preserve"> parashikohen të drejtat e subjekteve të të dhënave për qëllime të Pjesës </w:t>
      </w:r>
      <w:r w:rsidRPr="000F0607">
        <w:rPr>
          <w:rFonts w:ascii="Times New Roman" w:hAnsi="Times New Roman"/>
          <w:bCs/>
          <w:color w:val="000000"/>
          <w:sz w:val="28"/>
          <w:szCs w:val="28"/>
        </w:rPr>
        <w:t>III</w:t>
      </w:r>
      <w:r w:rsidRPr="000F0607">
        <w:rPr>
          <w:rFonts w:ascii="Times New Roman" w:hAnsi="Times New Roman"/>
          <w:sz w:val="28"/>
          <w:szCs w:val="28"/>
        </w:rPr>
        <w:t xml:space="preserve">, të cilat </w:t>
      </w:r>
      <w:r w:rsidRPr="000F0607">
        <w:rPr>
          <w:rFonts w:ascii="Times New Roman" w:hAnsi="Times New Roman"/>
          <w:bCs/>
          <w:color w:val="000000"/>
          <w:sz w:val="28"/>
          <w:szCs w:val="28"/>
        </w:rPr>
        <w:t xml:space="preserve">kufizohen në: </w:t>
      </w:r>
    </w:p>
    <w:p w14:paraId="26A5F943" w14:textId="77777777" w:rsidR="0098201E" w:rsidRPr="000F0607" w:rsidRDefault="0098201E" w:rsidP="0098201E">
      <w:pPr>
        <w:numPr>
          <w:ilvl w:val="0"/>
          <w:numId w:val="10"/>
        </w:numPr>
        <w:spacing w:after="0" w:line="259" w:lineRule="auto"/>
        <w:rPr>
          <w:rFonts w:ascii="Times New Roman" w:hAnsi="Times New Roman"/>
          <w:i/>
          <w:sz w:val="28"/>
          <w:szCs w:val="28"/>
        </w:rPr>
      </w:pPr>
      <w:r w:rsidRPr="000F0607">
        <w:rPr>
          <w:rFonts w:ascii="Times New Roman" w:hAnsi="Times New Roman"/>
          <w:i/>
          <w:sz w:val="28"/>
          <w:szCs w:val="28"/>
        </w:rPr>
        <w:t>e drejta për informim (neni 62)</w:t>
      </w:r>
    </w:p>
    <w:p w14:paraId="48584E9D" w14:textId="77777777" w:rsidR="0098201E" w:rsidRPr="000F0607" w:rsidRDefault="0098201E" w:rsidP="0098201E">
      <w:pPr>
        <w:numPr>
          <w:ilvl w:val="0"/>
          <w:numId w:val="10"/>
        </w:numPr>
        <w:spacing w:after="0" w:line="259" w:lineRule="auto"/>
        <w:rPr>
          <w:rFonts w:ascii="Times New Roman" w:hAnsi="Times New Roman"/>
          <w:i/>
          <w:sz w:val="28"/>
          <w:szCs w:val="28"/>
        </w:rPr>
      </w:pPr>
      <w:r w:rsidRPr="000F0607">
        <w:rPr>
          <w:rFonts w:ascii="Times New Roman" w:hAnsi="Times New Roman"/>
          <w:i/>
          <w:sz w:val="28"/>
          <w:szCs w:val="28"/>
        </w:rPr>
        <w:t>e drejta për akses (neni 63)</w:t>
      </w:r>
    </w:p>
    <w:p w14:paraId="7ECCBD9D" w14:textId="77777777" w:rsidR="0098201E" w:rsidRPr="000F0607" w:rsidRDefault="0098201E" w:rsidP="0098201E">
      <w:pPr>
        <w:numPr>
          <w:ilvl w:val="0"/>
          <w:numId w:val="10"/>
        </w:numPr>
        <w:spacing w:after="0" w:line="259" w:lineRule="auto"/>
        <w:jc w:val="both"/>
        <w:rPr>
          <w:rFonts w:ascii="Times New Roman" w:hAnsi="Times New Roman"/>
          <w:i/>
          <w:sz w:val="28"/>
          <w:szCs w:val="28"/>
        </w:rPr>
      </w:pPr>
      <w:r w:rsidRPr="000F0607">
        <w:rPr>
          <w:rFonts w:ascii="Times New Roman" w:hAnsi="Times New Roman"/>
          <w:i/>
          <w:sz w:val="28"/>
          <w:szCs w:val="28"/>
        </w:rPr>
        <w:t>e drejta për korrigjimin ose fshirjen e të dhënave personale dhe për kufizimin e përpunimit</w:t>
      </w:r>
      <w:r w:rsidRPr="000F0607">
        <w:rPr>
          <w:rFonts w:ascii="Times New Roman" w:eastAsia="Times New Roman" w:hAnsi="Times New Roman"/>
          <w:bCs/>
          <w:color w:val="000000"/>
          <w:sz w:val="28"/>
          <w:szCs w:val="28"/>
        </w:rPr>
        <w:t xml:space="preserve"> </w:t>
      </w:r>
      <w:r w:rsidRPr="000F0607">
        <w:rPr>
          <w:rFonts w:ascii="Times New Roman" w:hAnsi="Times New Roman"/>
          <w:i/>
          <w:sz w:val="28"/>
          <w:szCs w:val="28"/>
        </w:rPr>
        <w:t>(neni 64)</w:t>
      </w:r>
    </w:p>
    <w:p w14:paraId="0F933569" w14:textId="77777777" w:rsidR="0098201E" w:rsidRPr="000F0607" w:rsidRDefault="0098201E" w:rsidP="0098201E">
      <w:pPr>
        <w:spacing w:after="0"/>
        <w:ind w:left="720"/>
        <w:rPr>
          <w:rFonts w:ascii="Times New Roman" w:hAnsi="Times New Roman"/>
          <w:i/>
          <w:sz w:val="28"/>
          <w:szCs w:val="28"/>
        </w:rPr>
      </w:pPr>
    </w:p>
    <w:p w14:paraId="1D74BCE9" w14:textId="77777777" w:rsidR="0098201E" w:rsidRPr="000F0607" w:rsidRDefault="0098201E" w:rsidP="0098201E">
      <w:pPr>
        <w:spacing w:after="0"/>
        <w:jc w:val="both"/>
        <w:rPr>
          <w:rFonts w:ascii="Times New Roman" w:eastAsia="Times New Roman" w:hAnsi="Times New Roman"/>
          <w:color w:val="000000"/>
          <w:sz w:val="28"/>
          <w:szCs w:val="28"/>
        </w:rPr>
      </w:pPr>
      <w:r w:rsidRPr="000F0607">
        <w:rPr>
          <w:rFonts w:ascii="Times New Roman" w:eastAsia="Times New Roman" w:hAnsi="Times New Roman"/>
          <w:bCs/>
          <w:color w:val="000000"/>
          <w:sz w:val="28"/>
          <w:szCs w:val="28"/>
        </w:rPr>
        <w:t>Përmbajtja e këtyre të drejtave</w:t>
      </w:r>
      <w:r w:rsidRPr="000F0607">
        <w:rPr>
          <w:rFonts w:ascii="Times New Roman" w:eastAsia="Times New Roman" w:hAnsi="Times New Roman"/>
          <w:color w:val="000000"/>
          <w:sz w:val="28"/>
          <w:szCs w:val="28"/>
        </w:rPr>
        <w:t xml:space="preserve"> është në vetvete e njëjtë me ato të parashikuara në Pjesën II të projektligjit, s</w:t>
      </w:r>
      <w:r w:rsidRPr="000F0607">
        <w:rPr>
          <w:rFonts w:ascii="Times New Roman" w:eastAsia="Times New Roman" w:hAnsi="Times New Roman"/>
          <w:bCs/>
          <w:color w:val="000000"/>
          <w:sz w:val="28"/>
          <w:szCs w:val="28"/>
        </w:rPr>
        <w:t xml:space="preserve">idoqoftë, </w:t>
      </w:r>
      <w:r w:rsidRPr="000F0607">
        <w:rPr>
          <w:rFonts w:ascii="Times New Roman" w:eastAsia="Times New Roman" w:hAnsi="Times New Roman"/>
          <w:color w:val="000000"/>
          <w:sz w:val="28"/>
          <w:szCs w:val="28"/>
        </w:rPr>
        <w:t xml:space="preserve">duke marrë parasysh natyrën e detyrave sipas nenit 48, parashikohen </w:t>
      </w:r>
      <w:r w:rsidRPr="000F0607">
        <w:rPr>
          <w:rFonts w:ascii="Times New Roman" w:eastAsia="Times New Roman" w:hAnsi="Times New Roman"/>
          <w:bCs/>
          <w:color w:val="000000"/>
          <w:sz w:val="28"/>
          <w:szCs w:val="28"/>
        </w:rPr>
        <w:t>rregullime më të detajuara</w:t>
      </w:r>
      <w:r w:rsidRPr="000F0607">
        <w:rPr>
          <w:rFonts w:ascii="Times New Roman" w:eastAsia="Times New Roman" w:hAnsi="Times New Roman"/>
          <w:color w:val="000000"/>
          <w:sz w:val="28"/>
          <w:szCs w:val="28"/>
        </w:rPr>
        <w:t xml:space="preserve"> të këtyre të drejtave.</w:t>
      </w:r>
    </w:p>
    <w:p w14:paraId="2280003A" w14:textId="77777777" w:rsidR="0098201E" w:rsidRPr="000F0607" w:rsidRDefault="0098201E" w:rsidP="0098201E">
      <w:pPr>
        <w:spacing w:after="0"/>
        <w:jc w:val="both"/>
        <w:rPr>
          <w:rFonts w:ascii="Times New Roman" w:hAnsi="Times New Roman"/>
          <w:i/>
          <w:sz w:val="28"/>
          <w:szCs w:val="28"/>
        </w:rPr>
      </w:pPr>
      <w:r w:rsidRPr="000F0607">
        <w:rPr>
          <w:rFonts w:ascii="Times New Roman" w:eastAsia="Times New Roman" w:hAnsi="Times New Roman"/>
          <w:color w:val="000000"/>
          <w:sz w:val="28"/>
          <w:szCs w:val="28"/>
        </w:rPr>
        <w:t xml:space="preserve"> </w:t>
      </w:r>
    </w:p>
    <w:p w14:paraId="239572C9" w14:textId="4AB4E2A2"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color w:val="000000"/>
          <w:sz w:val="28"/>
          <w:szCs w:val="28"/>
        </w:rPr>
        <w:t>Detyrimet e kontrolluesve dhe përpunuesve për përpunimin e të dhënave personale për qëllime të kësaj pjese, parashikuar në nenet 6</w:t>
      </w:r>
      <w:r w:rsidR="00D0659D">
        <w:rPr>
          <w:rFonts w:ascii="Times New Roman" w:hAnsi="Times New Roman"/>
          <w:color w:val="000000"/>
          <w:sz w:val="28"/>
          <w:szCs w:val="28"/>
        </w:rPr>
        <w:t>4</w:t>
      </w:r>
      <w:r w:rsidRPr="000F0607">
        <w:rPr>
          <w:rFonts w:ascii="Times New Roman" w:hAnsi="Times New Roman"/>
          <w:color w:val="000000"/>
          <w:sz w:val="28"/>
          <w:szCs w:val="28"/>
        </w:rPr>
        <w:t xml:space="preserve"> – 7</w:t>
      </w:r>
      <w:r w:rsidR="00D0659D">
        <w:rPr>
          <w:rFonts w:ascii="Times New Roman" w:hAnsi="Times New Roman"/>
          <w:color w:val="000000"/>
          <w:sz w:val="28"/>
          <w:szCs w:val="28"/>
        </w:rPr>
        <w:t>5</w:t>
      </w:r>
      <w:r w:rsidRPr="000F0607">
        <w:rPr>
          <w:rFonts w:ascii="Times New Roman" w:hAnsi="Times New Roman"/>
          <w:color w:val="000000"/>
          <w:sz w:val="28"/>
          <w:szCs w:val="28"/>
        </w:rPr>
        <w:t xml:space="preserve"> të projek</w:t>
      </w:r>
      <w:r w:rsidR="00D0659D">
        <w:rPr>
          <w:rFonts w:ascii="Times New Roman" w:hAnsi="Times New Roman"/>
          <w:color w:val="000000"/>
          <w:sz w:val="28"/>
          <w:szCs w:val="28"/>
        </w:rPr>
        <w:t>t</w:t>
      </w:r>
      <w:r w:rsidRPr="000F0607">
        <w:rPr>
          <w:rFonts w:ascii="Times New Roman" w:hAnsi="Times New Roman"/>
          <w:color w:val="000000"/>
          <w:sz w:val="28"/>
          <w:szCs w:val="28"/>
        </w:rPr>
        <w:t>ligjit, j</w:t>
      </w:r>
      <w:r w:rsidRPr="000F0607">
        <w:rPr>
          <w:rFonts w:ascii="Times New Roman" w:hAnsi="Times New Roman"/>
          <w:bCs/>
          <w:color w:val="000000"/>
          <w:sz w:val="28"/>
          <w:szCs w:val="28"/>
        </w:rPr>
        <w:t>anë kryesisht të njëjta me ato të parashikuara në Pjesën II, përveç përjashtimit të detyrimit të autoriteteve kompetente për të njoftuar Komisionerin për fillimin e përpunimit të të dhënave personale për herë të parë.</w:t>
      </w:r>
    </w:p>
    <w:p w14:paraId="376147F6" w14:textId="4343ABF8"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Nga ana tjetër, autoritetet kompetente në cilësinë e kontrolluesve kanë një detyrim të ri, parashikuar në nenin 7</w:t>
      </w:r>
      <w:r w:rsidR="00D0659D">
        <w:rPr>
          <w:rFonts w:ascii="Times New Roman" w:hAnsi="Times New Roman"/>
          <w:bCs/>
          <w:color w:val="000000"/>
          <w:sz w:val="28"/>
          <w:szCs w:val="28"/>
        </w:rPr>
        <w:t>5</w:t>
      </w:r>
      <w:r w:rsidRPr="000F0607">
        <w:rPr>
          <w:rFonts w:ascii="Times New Roman" w:hAnsi="Times New Roman"/>
          <w:bCs/>
          <w:color w:val="000000"/>
          <w:sz w:val="28"/>
          <w:szCs w:val="28"/>
        </w:rPr>
        <w:t>, siç është ai i krijimit të mekanizmave konfidencialë të raportimit,</w:t>
      </w:r>
      <w:r w:rsidRPr="000F0607">
        <w:rPr>
          <w:rFonts w:ascii="Times New Roman" w:hAnsi="Times New Roman"/>
          <w:color w:val="000000"/>
          <w:sz w:val="28"/>
          <w:szCs w:val="28"/>
        </w:rPr>
        <w:t xml:space="preserve"> me qëllim që të garantojnë rritjen e përputhshmërisë me këtë pjesë të projektligjit. </w:t>
      </w:r>
    </w:p>
    <w:p w14:paraId="2A127206" w14:textId="45D280FF" w:rsidR="0098201E" w:rsidRPr="000F0607" w:rsidRDefault="0098201E" w:rsidP="0098201E">
      <w:pPr>
        <w:spacing w:after="160"/>
        <w:jc w:val="both"/>
        <w:rPr>
          <w:rFonts w:ascii="Times New Roman" w:hAnsi="Times New Roman"/>
          <w:color w:val="000000"/>
          <w:sz w:val="28"/>
          <w:szCs w:val="28"/>
        </w:rPr>
      </w:pPr>
      <w:r w:rsidRPr="000F0607">
        <w:rPr>
          <w:rFonts w:ascii="Times New Roman" w:hAnsi="Times New Roman"/>
          <w:b/>
          <w:color w:val="000000"/>
          <w:sz w:val="28"/>
          <w:szCs w:val="28"/>
        </w:rPr>
        <w:t xml:space="preserve">Pjesa IV </w:t>
      </w:r>
      <w:r w:rsidRPr="000F0607">
        <w:rPr>
          <w:rFonts w:ascii="Times New Roman" w:hAnsi="Times New Roman"/>
          <w:color w:val="000000"/>
          <w:sz w:val="28"/>
          <w:szCs w:val="28"/>
        </w:rPr>
        <w:t>përmban dispozita që rregullojnë statusin e Komisionerit, mandatin si dhe kompetencat e tij, parashikuar në nenet 7</w:t>
      </w:r>
      <w:r w:rsidR="00D0659D">
        <w:rPr>
          <w:rFonts w:ascii="Times New Roman" w:hAnsi="Times New Roman"/>
          <w:color w:val="000000"/>
          <w:sz w:val="28"/>
          <w:szCs w:val="28"/>
        </w:rPr>
        <w:t>6</w:t>
      </w:r>
      <w:r w:rsidRPr="000F0607">
        <w:rPr>
          <w:rFonts w:ascii="Times New Roman" w:hAnsi="Times New Roman"/>
          <w:color w:val="000000"/>
          <w:sz w:val="28"/>
          <w:szCs w:val="28"/>
        </w:rPr>
        <w:t xml:space="preserve"> – 8</w:t>
      </w:r>
      <w:r w:rsidR="00D0659D">
        <w:rPr>
          <w:rFonts w:ascii="Times New Roman" w:hAnsi="Times New Roman"/>
          <w:color w:val="000000"/>
          <w:sz w:val="28"/>
          <w:szCs w:val="28"/>
        </w:rPr>
        <w:t>6</w:t>
      </w:r>
      <w:r w:rsidRPr="000F0607">
        <w:rPr>
          <w:rFonts w:ascii="Times New Roman" w:hAnsi="Times New Roman"/>
          <w:color w:val="000000"/>
          <w:sz w:val="28"/>
          <w:szCs w:val="28"/>
        </w:rPr>
        <w:t xml:space="preserve"> të projektligjit. </w:t>
      </w:r>
    </w:p>
    <w:p w14:paraId="20AD18DD" w14:textId="5661FC3E" w:rsidR="0098201E" w:rsidRPr="000F0607" w:rsidRDefault="0098201E" w:rsidP="0098201E">
      <w:pPr>
        <w:spacing w:before="240" w:after="0"/>
        <w:ind w:right="-6"/>
        <w:jc w:val="both"/>
        <w:rPr>
          <w:rFonts w:ascii="Times New Roman" w:eastAsia="Times New Roman" w:hAnsi="Times New Roman"/>
          <w:sz w:val="28"/>
          <w:szCs w:val="28"/>
        </w:rPr>
      </w:pPr>
      <w:r w:rsidRPr="000F0607">
        <w:rPr>
          <w:rFonts w:ascii="Times New Roman" w:eastAsia="Times New Roman" w:hAnsi="Times New Roman"/>
          <w:color w:val="000000"/>
          <w:sz w:val="28"/>
          <w:szCs w:val="28"/>
        </w:rPr>
        <w:t>Në nenet 7</w:t>
      </w:r>
      <w:r w:rsidR="00D0659D">
        <w:rPr>
          <w:rFonts w:ascii="Times New Roman" w:eastAsia="Times New Roman" w:hAnsi="Times New Roman"/>
          <w:color w:val="000000"/>
          <w:sz w:val="28"/>
          <w:szCs w:val="28"/>
        </w:rPr>
        <w:t>6</w:t>
      </w:r>
      <w:r w:rsidRPr="000F0607">
        <w:rPr>
          <w:rFonts w:ascii="Times New Roman" w:eastAsia="Times New Roman" w:hAnsi="Times New Roman"/>
          <w:color w:val="000000"/>
          <w:sz w:val="28"/>
          <w:szCs w:val="28"/>
        </w:rPr>
        <w:t>- 7</w:t>
      </w:r>
      <w:r w:rsidR="00D0659D">
        <w:rPr>
          <w:rFonts w:ascii="Times New Roman" w:eastAsia="Times New Roman" w:hAnsi="Times New Roman"/>
          <w:color w:val="000000"/>
          <w:sz w:val="28"/>
          <w:szCs w:val="28"/>
        </w:rPr>
        <w:t>8</w:t>
      </w:r>
      <w:r w:rsidRPr="000F0607">
        <w:rPr>
          <w:rFonts w:ascii="Times New Roman" w:eastAsia="Times New Roman" w:hAnsi="Times New Roman"/>
          <w:color w:val="000000"/>
          <w:sz w:val="28"/>
          <w:szCs w:val="28"/>
        </w:rPr>
        <w:t xml:space="preserve"> të projektligjit përcaktohet se Komisioneri për të Drejtën e Informimit dhe Mbrojtjen e të Dhënave Personale është </w:t>
      </w:r>
      <w:r w:rsidRPr="000F0607">
        <w:rPr>
          <w:rFonts w:ascii="Times New Roman" w:eastAsia="Times New Roman" w:hAnsi="Times New Roman"/>
          <w:sz w:val="28"/>
          <w:szCs w:val="28"/>
        </w:rPr>
        <w:t xml:space="preserve">autoriteti i pavarur, përgjegjës për monitorimin dhe mbikëqyrjen e zbatimit të legjislacionit për mbrojtjen e të dhënave personale, i cili ka si qëllim të mbrojë të drejtën për mbrojtjen e të dhënave personale, si një e drejtë dhe liri themelore e njeriut (funksioni dhe kompetencat në fushën e të drejtës për informim rregullohen nga ligji specifik). </w:t>
      </w:r>
    </w:p>
    <w:p w14:paraId="2B9F911B" w14:textId="77777777" w:rsidR="0098201E" w:rsidRPr="000F0607" w:rsidRDefault="0098201E" w:rsidP="0098201E">
      <w:pPr>
        <w:spacing w:before="240" w:after="0"/>
        <w:ind w:right="-6"/>
        <w:jc w:val="both"/>
        <w:rPr>
          <w:rFonts w:ascii="Times New Roman" w:eastAsia="Times New Roman" w:hAnsi="Times New Roman"/>
          <w:sz w:val="28"/>
          <w:szCs w:val="28"/>
        </w:rPr>
      </w:pPr>
      <w:r w:rsidRPr="000F0607">
        <w:rPr>
          <w:rFonts w:ascii="Times New Roman" w:eastAsia="Times New Roman" w:hAnsi="Times New Roman"/>
          <w:sz w:val="28"/>
          <w:szCs w:val="28"/>
        </w:rPr>
        <w:t xml:space="preserve">Me qëllim forcimin e pavarësisë së Komisionerit në ushtrimin e veprimtarisë së tij, me propozimin e ekspertëve të projektit të binjakëzimit, në projekligjin e propozuar mandati dhe kompetencat e Komisionerit në të gjithë elementët e tij, janë forcuar. </w:t>
      </w:r>
    </w:p>
    <w:p w14:paraId="238E82D7" w14:textId="1636676C" w:rsidR="0098201E" w:rsidRPr="000F0607" w:rsidRDefault="0098201E" w:rsidP="0098201E">
      <w:pPr>
        <w:spacing w:before="120" w:after="0"/>
        <w:ind w:hanging="32"/>
        <w:jc w:val="both"/>
        <w:rPr>
          <w:rFonts w:ascii="Times New Roman" w:eastAsia="Times New Roman" w:hAnsi="Times New Roman"/>
          <w:sz w:val="28"/>
          <w:szCs w:val="28"/>
        </w:rPr>
      </w:pPr>
      <w:r w:rsidRPr="000F0607">
        <w:rPr>
          <w:rFonts w:ascii="Times New Roman" w:eastAsia="Times New Roman" w:hAnsi="Times New Roman"/>
          <w:sz w:val="28"/>
          <w:szCs w:val="28"/>
        </w:rPr>
        <w:t>Në vijim të sa më sipër, neni 7</w:t>
      </w:r>
      <w:r w:rsidR="00D0659D">
        <w:rPr>
          <w:rFonts w:ascii="Times New Roman" w:eastAsia="Times New Roman" w:hAnsi="Times New Roman"/>
          <w:sz w:val="28"/>
          <w:szCs w:val="28"/>
        </w:rPr>
        <w:t>6</w:t>
      </w:r>
      <w:r w:rsidRPr="000F0607">
        <w:rPr>
          <w:rFonts w:ascii="Times New Roman" w:eastAsia="Times New Roman" w:hAnsi="Times New Roman"/>
          <w:sz w:val="28"/>
          <w:szCs w:val="28"/>
        </w:rPr>
        <w:t xml:space="preserve"> rregullon edhe përkufizimin si person juridik publik si dhe statusin e Komisionerit për të cilin është rekomanduar nga ekspertët praktika e vendeve të BE e harmonizuar me atë të vendit (Komisioneri Shtetëror i Zgjedhjeve dhe jo vetëm). </w:t>
      </w:r>
    </w:p>
    <w:p w14:paraId="46DAF848" w14:textId="32E8B11F" w:rsidR="0098201E" w:rsidRPr="000F0607" w:rsidRDefault="0098201E" w:rsidP="00D0659D">
      <w:pPr>
        <w:spacing w:before="120" w:after="0"/>
        <w:ind w:hanging="32"/>
        <w:jc w:val="both"/>
        <w:rPr>
          <w:rFonts w:ascii="Times New Roman" w:eastAsia="Times New Roman" w:hAnsi="Times New Roman"/>
          <w:sz w:val="28"/>
          <w:szCs w:val="28"/>
        </w:rPr>
      </w:pPr>
      <w:r w:rsidRPr="000F0607">
        <w:rPr>
          <w:rFonts w:ascii="Times New Roman" w:eastAsia="Times New Roman" w:hAnsi="Times New Roman"/>
          <w:sz w:val="28"/>
          <w:szCs w:val="28"/>
        </w:rPr>
        <w:t>Dispozita mbi pavarësinë dhe papajtueshmërinë me funksionin (neni 7</w:t>
      </w:r>
      <w:r w:rsidR="00D0659D">
        <w:rPr>
          <w:rFonts w:ascii="Times New Roman" w:eastAsia="Times New Roman" w:hAnsi="Times New Roman"/>
          <w:sz w:val="28"/>
          <w:szCs w:val="28"/>
        </w:rPr>
        <w:t>7</w:t>
      </w:r>
      <w:r w:rsidRPr="000F0607">
        <w:rPr>
          <w:rFonts w:ascii="Times New Roman" w:eastAsia="Times New Roman" w:hAnsi="Times New Roman"/>
          <w:sz w:val="28"/>
          <w:szCs w:val="28"/>
        </w:rPr>
        <w:t xml:space="preserve">), gjen një rregullim më të </w:t>
      </w:r>
      <w:r w:rsidR="00D0659D">
        <w:rPr>
          <w:rFonts w:ascii="Times New Roman" w:eastAsia="Times New Roman" w:hAnsi="Times New Roman"/>
          <w:sz w:val="28"/>
          <w:szCs w:val="28"/>
        </w:rPr>
        <w:t>gjerë</w:t>
      </w:r>
      <w:r w:rsidRPr="000F0607">
        <w:rPr>
          <w:rFonts w:ascii="Times New Roman" w:eastAsia="Times New Roman" w:hAnsi="Times New Roman"/>
          <w:sz w:val="28"/>
          <w:szCs w:val="28"/>
        </w:rPr>
        <w:t>. Në të rregullohen kufizimet për pjesëmarrjen në veprimtari politike apo shtetërore, apo të tjera të papajtueshme me funksionin. Në funksion të pavarësisë është trajtuar edhe buxheti i cili miratohet nga Kuvendi së bashku me numrin e punonjësve</w:t>
      </w:r>
      <w:r w:rsidR="00D0659D">
        <w:rPr>
          <w:rFonts w:ascii="Times New Roman" w:eastAsia="Times New Roman" w:hAnsi="Times New Roman"/>
          <w:sz w:val="28"/>
          <w:szCs w:val="28"/>
        </w:rPr>
        <w:t xml:space="preserve">. </w:t>
      </w:r>
      <w:r w:rsidRPr="000F0607">
        <w:rPr>
          <w:rFonts w:ascii="Times New Roman" w:eastAsia="Times New Roman" w:hAnsi="Times New Roman"/>
          <w:sz w:val="28"/>
          <w:szCs w:val="28"/>
        </w:rPr>
        <w:t>Neni 7</w:t>
      </w:r>
      <w:r w:rsidR="00D0659D">
        <w:rPr>
          <w:rFonts w:ascii="Times New Roman" w:eastAsia="Times New Roman" w:hAnsi="Times New Roman"/>
          <w:sz w:val="28"/>
          <w:szCs w:val="28"/>
        </w:rPr>
        <w:t>8</w:t>
      </w:r>
      <w:r w:rsidRPr="000F0607">
        <w:rPr>
          <w:rFonts w:ascii="Times New Roman" w:eastAsia="Times New Roman" w:hAnsi="Times New Roman"/>
          <w:sz w:val="28"/>
          <w:szCs w:val="28"/>
        </w:rPr>
        <w:t xml:space="preserve"> </w:t>
      </w:r>
      <w:r w:rsidR="00D0659D">
        <w:rPr>
          <w:rFonts w:ascii="Times New Roman" w:eastAsia="Times New Roman" w:hAnsi="Times New Roman"/>
          <w:sz w:val="28"/>
          <w:szCs w:val="28"/>
        </w:rPr>
        <w:t>parashikon rolin dhe personelin e</w:t>
      </w:r>
      <w:r w:rsidRPr="000F0607">
        <w:rPr>
          <w:rFonts w:ascii="Times New Roman" w:eastAsia="Times New Roman" w:hAnsi="Times New Roman"/>
          <w:sz w:val="28"/>
          <w:szCs w:val="28"/>
        </w:rPr>
        <w:t xml:space="preserve"> Zyrë</w:t>
      </w:r>
      <w:r w:rsidR="00D0659D">
        <w:rPr>
          <w:rFonts w:ascii="Times New Roman" w:eastAsia="Times New Roman" w:hAnsi="Times New Roman"/>
          <w:sz w:val="28"/>
          <w:szCs w:val="28"/>
        </w:rPr>
        <w:t>s</w:t>
      </w:r>
      <w:r w:rsidRPr="000F0607">
        <w:rPr>
          <w:rFonts w:ascii="Times New Roman" w:eastAsia="Times New Roman" w:hAnsi="Times New Roman"/>
          <w:sz w:val="28"/>
          <w:szCs w:val="28"/>
        </w:rPr>
        <w:t xml:space="preserve"> </w:t>
      </w:r>
      <w:r w:rsidR="00D0659D">
        <w:rPr>
          <w:rFonts w:ascii="Times New Roman" w:eastAsia="Times New Roman" w:hAnsi="Times New Roman"/>
          <w:sz w:val="28"/>
          <w:szCs w:val="28"/>
        </w:rPr>
        <w:t>së</w:t>
      </w:r>
      <w:r w:rsidRPr="000F0607">
        <w:rPr>
          <w:rFonts w:ascii="Times New Roman" w:eastAsia="Times New Roman" w:hAnsi="Times New Roman"/>
          <w:sz w:val="28"/>
          <w:szCs w:val="28"/>
        </w:rPr>
        <w:t xml:space="preserve"> Komisionerit.</w:t>
      </w:r>
    </w:p>
    <w:p w14:paraId="7967DBC3" w14:textId="77777777" w:rsidR="00D0659D" w:rsidRDefault="00D0659D" w:rsidP="0098201E">
      <w:pPr>
        <w:spacing w:after="160" w:line="259" w:lineRule="auto"/>
        <w:jc w:val="both"/>
        <w:rPr>
          <w:rFonts w:ascii="Times New Roman" w:eastAsia="Times New Roman" w:hAnsi="Times New Roman"/>
          <w:sz w:val="28"/>
          <w:szCs w:val="28"/>
        </w:rPr>
      </w:pPr>
    </w:p>
    <w:p w14:paraId="22967B6D" w14:textId="6CEDC9E9" w:rsidR="0098201E" w:rsidRPr="000F0607" w:rsidRDefault="0098201E" w:rsidP="0098201E">
      <w:pPr>
        <w:spacing w:after="160" w:line="259" w:lineRule="auto"/>
        <w:jc w:val="both"/>
        <w:rPr>
          <w:rFonts w:ascii="Times New Roman" w:eastAsia="Times New Roman" w:hAnsi="Times New Roman"/>
          <w:sz w:val="28"/>
          <w:szCs w:val="28"/>
        </w:rPr>
      </w:pPr>
      <w:r w:rsidRPr="000F0607">
        <w:rPr>
          <w:rFonts w:ascii="Times New Roman" w:eastAsia="Times New Roman" w:hAnsi="Times New Roman"/>
          <w:sz w:val="28"/>
          <w:szCs w:val="28"/>
        </w:rPr>
        <w:t>Mandati i Komisionerit kërkohet të jetë 7 vjet me të drejtë rizgjedhjeje. Ky propozim vjen bazuar në frymën e GDPR në funksion të garantimit të pavarësisë dhe vijueshmërisë të mandatit me afat të përcaktuar.</w:t>
      </w:r>
    </w:p>
    <w:p w14:paraId="0209D9DF" w14:textId="77777777" w:rsidR="0098201E" w:rsidRPr="000F0607" w:rsidRDefault="0098201E" w:rsidP="0098201E">
      <w:pPr>
        <w:spacing w:before="120" w:after="0"/>
        <w:jc w:val="both"/>
        <w:rPr>
          <w:rFonts w:ascii="Times New Roman" w:eastAsia="Times New Roman" w:hAnsi="Times New Roman"/>
          <w:sz w:val="28"/>
          <w:szCs w:val="28"/>
        </w:rPr>
      </w:pPr>
      <w:r w:rsidRPr="000F0607">
        <w:rPr>
          <w:rFonts w:ascii="Times New Roman" w:eastAsia="Times New Roman" w:hAnsi="Times New Roman"/>
          <w:sz w:val="28"/>
          <w:szCs w:val="28"/>
        </w:rPr>
        <w:t>Po në këtë kuadër, forcohen kriteret minimale për zgjedhjen e Komisionerit në lidhje me moshën, arsimin përkatës, përvojën profesionale, si dhe shtohet një kriter i ri me qëllim garantimin e pavarësisë së tij nga funksionet politike.</w:t>
      </w:r>
    </w:p>
    <w:p w14:paraId="4EF7E83F" w14:textId="6C07C763" w:rsidR="0098201E" w:rsidRPr="000F0607" w:rsidRDefault="0098201E" w:rsidP="0098201E">
      <w:pPr>
        <w:spacing w:before="120" w:after="0"/>
        <w:jc w:val="both"/>
        <w:rPr>
          <w:rFonts w:ascii="Times New Roman" w:eastAsia="Times New Roman" w:hAnsi="Times New Roman"/>
          <w:sz w:val="28"/>
          <w:szCs w:val="28"/>
        </w:rPr>
      </w:pPr>
      <w:r w:rsidRPr="000F0607">
        <w:rPr>
          <w:rFonts w:ascii="Times New Roman" w:eastAsia="Times New Roman" w:hAnsi="Times New Roman"/>
          <w:sz w:val="28"/>
          <w:szCs w:val="28"/>
        </w:rPr>
        <w:t>Në ndryshim nga parashikimet e ligjit në fuqi, parashikohen edhe rastet e mbarimit të parakohshëm të mandatit të Komisionerit. Të gjitha këto risi, reflektohen</w:t>
      </w:r>
      <w:r w:rsidR="00D0659D">
        <w:rPr>
          <w:rFonts w:ascii="Times New Roman" w:eastAsia="Times New Roman" w:hAnsi="Times New Roman"/>
          <w:sz w:val="28"/>
          <w:szCs w:val="28"/>
        </w:rPr>
        <w:t xml:space="preserve"> në nenet 79</w:t>
      </w:r>
      <w:r w:rsidRPr="000F0607">
        <w:rPr>
          <w:rFonts w:ascii="Times New Roman" w:eastAsia="Times New Roman" w:hAnsi="Times New Roman"/>
          <w:sz w:val="28"/>
          <w:szCs w:val="28"/>
        </w:rPr>
        <w:t xml:space="preserve"> - 8</w:t>
      </w:r>
      <w:r w:rsidR="00D0659D">
        <w:rPr>
          <w:rFonts w:ascii="Times New Roman" w:eastAsia="Times New Roman" w:hAnsi="Times New Roman"/>
          <w:sz w:val="28"/>
          <w:szCs w:val="28"/>
        </w:rPr>
        <w:t>1</w:t>
      </w:r>
      <w:r w:rsidRPr="000F0607">
        <w:rPr>
          <w:rFonts w:ascii="Times New Roman" w:eastAsia="Times New Roman" w:hAnsi="Times New Roman"/>
          <w:sz w:val="28"/>
          <w:szCs w:val="28"/>
        </w:rPr>
        <w:t xml:space="preserve"> të projekt-ligjit të propozuar. </w:t>
      </w:r>
    </w:p>
    <w:p w14:paraId="1795A77C" w14:textId="2E54D11C" w:rsidR="0098201E" w:rsidRPr="000F0607" w:rsidRDefault="0098201E" w:rsidP="0098201E">
      <w:pPr>
        <w:spacing w:before="240" w:after="0"/>
        <w:jc w:val="both"/>
        <w:rPr>
          <w:rFonts w:ascii="Times New Roman" w:hAnsi="Times New Roman"/>
          <w:sz w:val="28"/>
          <w:szCs w:val="28"/>
          <w:shd w:val="clear" w:color="auto" w:fill="FFFFFF"/>
        </w:rPr>
      </w:pPr>
      <w:r w:rsidRPr="000F0607">
        <w:rPr>
          <w:rFonts w:ascii="Times New Roman" w:eastAsia="Times New Roman" w:hAnsi="Times New Roman"/>
          <w:sz w:val="28"/>
          <w:szCs w:val="28"/>
        </w:rPr>
        <w:t>Në nenet 8</w:t>
      </w:r>
      <w:r w:rsidR="00D0659D">
        <w:rPr>
          <w:rFonts w:ascii="Times New Roman" w:eastAsia="Times New Roman" w:hAnsi="Times New Roman"/>
          <w:sz w:val="28"/>
          <w:szCs w:val="28"/>
        </w:rPr>
        <w:t>2</w:t>
      </w:r>
      <w:r w:rsidRPr="000F0607">
        <w:rPr>
          <w:rFonts w:ascii="Times New Roman" w:eastAsia="Times New Roman" w:hAnsi="Times New Roman"/>
          <w:sz w:val="28"/>
          <w:szCs w:val="28"/>
        </w:rPr>
        <w:t xml:space="preserve"> </w:t>
      </w:r>
      <w:r w:rsidRPr="000F0607">
        <w:rPr>
          <w:rFonts w:ascii="Times New Roman" w:hAnsi="Times New Roman"/>
          <w:sz w:val="28"/>
          <w:szCs w:val="28"/>
        </w:rPr>
        <w:t xml:space="preserve">- </w:t>
      </w:r>
      <w:r w:rsidRPr="000F0607">
        <w:rPr>
          <w:rFonts w:ascii="Times New Roman" w:eastAsia="Times New Roman" w:hAnsi="Times New Roman"/>
          <w:sz w:val="28"/>
          <w:szCs w:val="28"/>
        </w:rPr>
        <w:t>8</w:t>
      </w:r>
      <w:r w:rsidR="00D0659D">
        <w:rPr>
          <w:rFonts w:ascii="Times New Roman" w:eastAsia="Times New Roman" w:hAnsi="Times New Roman"/>
          <w:sz w:val="28"/>
          <w:szCs w:val="28"/>
        </w:rPr>
        <w:t>6</w:t>
      </w:r>
      <w:r w:rsidRPr="000F0607">
        <w:rPr>
          <w:rFonts w:ascii="Times New Roman" w:eastAsia="Times New Roman" w:hAnsi="Times New Roman"/>
          <w:sz w:val="28"/>
          <w:szCs w:val="28"/>
        </w:rPr>
        <w:t xml:space="preserve"> të projektligjit, parashikohen kompetencat dhe detyrat e Komisionerit në fushën e mbrojtjes së të dhënave personale. Me propozimin e ekspertëve të projektit të binjakëzimit, kompetencat e Komisionerit në fushën e të drejtës për informim, të parashikuara në nenin 31/1 të ligjit në fuqi për mbrojtjen e të dhënave personale, nuk do të jenë më pjesë e këtij projekt-ligji në përputhje me </w:t>
      </w:r>
      <w:r w:rsidRPr="000F0607">
        <w:rPr>
          <w:rFonts w:ascii="Times New Roman" w:hAnsi="Times New Roman"/>
          <w:color w:val="000000"/>
          <w:sz w:val="28"/>
          <w:szCs w:val="28"/>
        </w:rPr>
        <w:t xml:space="preserve">kërkesat e GDPR-së. </w:t>
      </w:r>
      <w:r w:rsidRPr="000F0607">
        <w:rPr>
          <w:rFonts w:ascii="Times New Roman" w:hAnsi="Times New Roman"/>
          <w:sz w:val="28"/>
          <w:szCs w:val="28"/>
          <w:shd w:val="clear" w:color="auto" w:fill="FFFFFF"/>
        </w:rPr>
        <w:t xml:space="preserve">Këto kompetenca do </w:t>
      </w:r>
      <w:r w:rsidRPr="000F0607">
        <w:rPr>
          <w:rFonts w:ascii="Times New Roman" w:hAnsi="Times New Roman"/>
          <w:bCs/>
          <w:sz w:val="28"/>
          <w:szCs w:val="28"/>
        </w:rPr>
        <w:t>të përcaktohen në ligjin e posaçëm p</w:t>
      </w:r>
      <w:r w:rsidRPr="000F0607">
        <w:rPr>
          <w:rFonts w:ascii="Times New Roman" w:hAnsi="Times New Roman"/>
          <w:sz w:val="28"/>
          <w:szCs w:val="28"/>
        </w:rPr>
        <w:t>ër të drejtën e informimit</w:t>
      </w:r>
      <w:r w:rsidRPr="000F0607">
        <w:rPr>
          <w:rFonts w:ascii="Times New Roman" w:hAnsi="Times New Roman"/>
          <w:color w:val="000000"/>
          <w:sz w:val="28"/>
          <w:szCs w:val="28"/>
        </w:rPr>
        <w:t xml:space="preserve">. </w:t>
      </w:r>
    </w:p>
    <w:p w14:paraId="63470E6C" w14:textId="77777777" w:rsidR="0098201E" w:rsidRPr="000F0607" w:rsidRDefault="0098201E" w:rsidP="0098201E">
      <w:pPr>
        <w:spacing w:before="240" w:after="0"/>
        <w:jc w:val="both"/>
        <w:rPr>
          <w:rFonts w:ascii="Times New Roman" w:hAnsi="Times New Roman"/>
          <w:bCs/>
          <w:color w:val="000000"/>
          <w:sz w:val="28"/>
          <w:szCs w:val="28"/>
        </w:rPr>
      </w:pPr>
      <w:r w:rsidRPr="000F0607">
        <w:rPr>
          <w:rFonts w:ascii="Times New Roman" w:hAnsi="Times New Roman"/>
          <w:bCs/>
          <w:color w:val="000000"/>
          <w:sz w:val="28"/>
          <w:szCs w:val="28"/>
        </w:rPr>
        <w:t>Zgjerohen detyrat dhe kompetencat e Komisionerit në fushën e mbrojtjes së të dhënave personale, të parashikuara në nenin 84 të projekt-ligjit, duke përfshirë:</w:t>
      </w:r>
    </w:p>
    <w:p w14:paraId="38011EED" w14:textId="77777777" w:rsidR="0098201E" w:rsidRPr="000F0607" w:rsidRDefault="0098201E" w:rsidP="0098201E">
      <w:pPr>
        <w:numPr>
          <w:ilvl w:val="0"/>
          <w:numId w:val="11"/>
        </w:numPr>
        <w:spacing w:before="240" w:after="0" w:line="259" w:lineRule="auto"/>
        <w:contextualSpacing/>
        <w:jc w:val="both"/>
        <w:rPr>
          <w:rFonts w:ascii="Times New Roman" w:hAnsi="Times New Roman"/>
          <w:bCs/>
          <w:i/>
          <w:color w:val="000000"/>
          <w:sz w:val="28"/>
          <w:szCs w:val="28"/>
        </w:rPr>
      </w:pPr>
      <w:r w:rsidRPr="000F0607">
        <w:rPr>
          <w:rFonts w:ascii="Times New Roman" w:hAnsi="Times New Roman"/>
          <w:i/>
          <w:sz w:val="28"/>
          <w:szCs w:val="28"/>
        </w:rPr>
        <w:t>hartimin dhe publikimin e klauzolave standarde kontraktuale për kontratat ndërmjet kontrolluesve dhe përpunuesve;</w:t>
      </w:r>
    </w:p>
    <w:p w14:paraId="1E0C2DD6" w14:textId="77777777" w:rsidR="0098201E" w:rsidRPr="000F0607" w:rsidRDefault="0098201E" w:rsidP="0098201E">
      <w:pPr>
        <w:numPr>
          <w:ilvl w:val="0"/>
          <w:numId w:val="11"/>
        </w:numPr>
        <w:spacing w:after="0" w:line="259" w:lineRule="auto"/>
        <w:ind w:right="115"/>
        <w:jc w:val="both"/>
        <w:rPr>
          <w:rFonts w:ascii="Times New Roman" w:eastAsia="Times New Roman" w:hAnsi="Times New Roman"/>
          <w:i/>
          <w:sz w:val="28"/>
          <w:szCs w:val="28"/>
        </w:rPr>
      </w:pPr>
      <w:r w:rsidRPr="000F0607">
        <w:rPr>
          <w:rFonts w:ascii="Times New Roman" w:eastAsia="Times New Roman" w:hAnsi="Times New Roman"/>
          <w:i/>
          <w:sz w:val="28"/>
          <w:szCs w:val="28"/>
        </w:rPr>
        <w:t>këshillimin e kontrolluesve në kuadër të konsultimit paraprak;</w:t>
      </w:r>
    </w:p>
    <w:p w14:paraId="54472602" w14:textId="77777777" w:rsidR="0098201E" w:rsidRPr="000F0607" w:rsidRDefault="0098201E" w:rsidP="0098201E">
      <w:pPr>
        <w:numPr>
          <w:ilvl w:val="0"/>
          <w:numId w:val="11"/>
        </w:numPr>
        <w:spacing w:after="0" w:line="259" w:lineRule="auto"/>
        <w:ind w:right="115"/>
        <w:jc w:val="both"/>
        <w:rPr>
          <w:rFonts w:ascii="Times New Roman" w:eastAsia="Times New Roman" w:hAnsi="Times New Roman"/>
          <w:i/>
          <w:sz w:val="28"/>
          <w:szCs w:val="28"/>
        </w:rPr>
      </w:pPr>
      <w:r w:rsidRPr="000F0607">
        <w:rPr>
          <w:rFonts w:ascii="Times New Roman" w:eastAsia="Times New Roman" w:hAnsi="Times New Roman"/>
          <w:i/>
          <w:sz w:val="28"/>
          <w:szCs w:val="28"/>
        </w:rPr>
        <w:t>mbështetjen e kontrolluesve nëpërmjet publikimit të listave në lidhje me kriteret për vlerësimin e ndikimit në mbrojtjen e të dhënave;</w:t>
      </w:r>
    </w:p>
    <w:p w14:paraId="488A0E91" w14:textId="77777777" w:rsidR="0098201E" w:rsidRPr="000F0607" w:rsidRDefault="0098201E" w:rsidP="0098201E">
      <w:pPr>
        <w:numPr>
          <w:ilvl w:val="0"/>
          <w:numId w:val="11"/>
        </w:numPr>
        <w:spacing w:after="0" w:line="259" w:lineRule="auto"/>
        <w:ind w:right="115"/>
        <w:jc w:val="both"/>
        <w:rPr>
          <w:rFonts w:ascii="Times New Roman" w:eastAsia="Times New Roman" w:hAnsi="Times New Roman"/>
          <w:i/>
          <w:sz w:val="28"/>
          <w:szCs w:val="28"/>
        </w:rPr>
      </w:pPr>
      <w:r w:rsidRPr="000F0607">
        <w:rPr>
          <w:rFonts w:ascii="Times New Roman" w:eastAsia="Times New Roman" w:hAnsi="Times New Roman"/>
          <w:i/>
          <w:sz w:val="28"/>
          <w:szCs w:val="28"/>
        </w:rPr>
        <w:t>inkurajimin e hartimit të kodeve të sjelljes;</w:t>
      </w:r>
    </w:p>
    <w:p w14:paraId="735DA378" w14:textId="77777777" w:rsidR="0098201E" w:rsidRPr="000F0607" w:rsidRDefault="0098201E" w:rsidP="0098201E">
      <w:pPr>
        <w:numPr>
          <w:ilvl w:val="0"/>
          <w:numId w:val="11"/>
        </w:numPr>
        <w:spacing w:after="0" w:line="259" w:lineRule="auto"/>
        <w:ind w:right="115"/>
        <w:jc w:val="both"/>
        <w:rPr>
          <w:rFonts w:ascii="Times New Roman" w:eastAsia="Times New Roman" w:hAnsi="Times New Roman"/>
          <w:i/>
          <w:sz w:val="28"/>
          <w:szCs w:val="28"/>
        </w:rPr>
      </w:pPr>
      <w:r w:rsidRPr="000F0607">
        <w:rPr>
          <w:rFonts w:ascii="Times New Roman" w:eastAsia="Times New Roman" w:hAnsi="Times New Roman"/>
          <w:i/>
          <w:sz w:val="28"/>
          <w:szCs w:val="28"/>
        </w:rPr>
        <w:t>publikimin e kritereve për akreditimin e një organi për monitorimin e kodeve të sjelljes;</w:t>
      </w:r>
    </w:p>
    <w:p w14:paraId="6A5527C8" w14:textId="77777777" w:rsidR="0098201E" w:rsidRPr="000F0607" w:rsidRDefault="0098201E" w:rsidP="0098201E">
      <w:pPr>
        <w:numPr>
          <w:ilvl w:val="0"/>
          <w:numId w:val="11"/>
        </w:numPr>
        <w:autoSpaceDE w:val="0"/>
        <w:autoSpaceDN w:val="0"/>
        <w:spacing w:after="0" w:line="259" w:lineRule="auto"/>
        <w:ind w:right="115"/>
        <w:jc w:val="both"/>
        <w:rPr>
          <w:rFonts w:ascii="Times New Roman" w:hAnsi="Times New Roman"/>
          <w:i/>
          <w:iCs/>
          <w:color w:val="000000"/>
          <w:sz w:val="28"/>
          <w:szCs w:val="28"/>
        </w:rPr>
      </w:pPr>
      <w:r w:rsidRPr="000F0607">
        <w:rPr>
          <w:rFonts w:ascii="Times New Roman" w:hAnsi="Times New Roman"/>
          <w:i/>
          <w:color w:val="000000"/>
          <w:sz w:val="28"/>
          <w:szCs w:val="28"/>
        </w:rPr>
        <w:t xml:space="preserve">inkurajimin e vënies në zbatim të çertifikimit, vulave dhe markave të mbrojtjes së të dhënave, me qëllim lehtësimin e përputhshmërisë me këtë Ligj; hartimin dhe publikimin e kritereve për certifikimin si dhe </w:t>
      </w:r>
      <w:r w:rsidRPr="000F0607">
        <w:rPr>
          <w:rFonts w:ascii="Times New Roman" w:hAnsi="Times New Roman"/>
          <w:i/>
          <w:sz w:val="28"/>
          <w:szCs w:val="28"/>
        </w:rPr>
        <w:t xml:space="preserve">akreditimin </w:t>
      </w:r>
      <w:r w:rsidRPr="000F0607">
        <w:rPr>
          <w:rFonts w:ascii="Times New Roman" w:hAnsi="Times New Roman"/>
          <w:i/>
          <w:color w:val="000000"/>
          <w:sz w:val="28"/>
          <w:szCs w:val="28"/>
        </w:rPr>
        <w:t xml:space="preserve">e organizmave të çertifikimit; </w:t>
      </w:r>
    </w:p>
    <w:p w14:paraId="5FE400CA" w14:textId="77777777" w:rsidR="0098201E" w:rsidRPr="000F0607" w:rsidRDefault="0098201E" w:rsidP="0098201E">
      <w:pPr>
        <w:numPr>
          <w:ilvl w:val="0"/>
          <w:numId w:val="11"/>
        </w:numPr>
        <w:autoSpaceDE w:val="0"/>
        <w:autoSpaceDN w:val="0"/>
        <w:spacing w:after="0" w:line="259" w:lineRule="auto"/>
        <w:ind w:right="115"/>
        <w:jc w:val="both"/>
        <w:rPr>
          <w:rFonts w:ascii="Times New Roman" w:hAnsi="Times New Roman"/>
          <w:i/>
          <w:iCs/>
          <w:color w:val="000000"/>
          <w:sz w:val="28"/>
          <w:szCs w:val="28"/>
        </w:rPr>
      </w:pPr>
      <w:r w:rsidRPr="000F0607">
        <w:rPr>
          <w:rFonts w:ascii="Times New Roman" w:hAnsi="Times New Roman"/>
          <w:i/>
          <w:color w:val="000000"/>
          <w:sz w:val="28"/>
          <w:szCs w:val="28"/>
        </w:rPr>
        <w:t xml:space="preserve">rishikimin e përgjigjeve të dhëna nga autoritetet kompetente ndaj kërkesave të subjekteve të të dhënave në lidhje me ushtrimin e të drejtave të tyre për akses ose për korrigjim ose fshirje; </w:t>
      </w:r>
    </w:p>
    <w:p w14:paraId="48FF3D1E" w14:textId="77777777" w:rsidR="0098201E" w:rsidRPr="000F0607" w:rsidRDefault="0098201E" w:rsidP="0098201E">
      <w:pPr>
        <w:autoSpaceDE w:val="0"/>
        <w:autoSpaceDN w:val="0"/>
        <w:spacing w:after="0"/>
        <w:ind w:left="360" w:right="115"/>
        <w:jc w:val="both"/>
        <w:rPr>
          <w:rFonts w:ascii="Times New Roman" w:hAnsi="Times New Roman"/>
          <w:i/>
          <w:iCs/>
          <w:color w:val="000000"/>
          <w:sz w:val="28"/>
          <w:szCs w:val="28"/>
        </w:rPr>
      </w:pPr>
      <w:r w:rsidRPr="000F0607">
        <w:rPr>
          <w:rFonts w:ascii="Times New Roman" w:hAnsi="Times New Roman"/>
          <w:i/>
          <w:color w:val="000000"/>
          <w:sz w:val="28"/>
          <w:szCs w:val="28"/>
        </w:rPr>
        <w:t>si dhe në referencë të nenit 134, pika 1, gërma “e” të Kushtetutës:</w:t>
      </w:r>
    </w:p>
    <w:p w14:paraId="48773001" w14:textId="6FE94E32" w:rsidR="0098201E" w:rsidRPr="000F0607" w:rsidRDefault="0098201E" w:rsidP="0098201E">
      <w:pPr>
        <w:spacing w:before="240" w:after="0"/>
        <w:jc w:val="both"/>
        <w:rPr>
          <w:rFonts w:ascii="Times New Roman" w:hAnsi="Times New Roman"/>
          <w:bCs/>
          <w:color w:val="000000"/>
          <w:sz w:val="28"/>
          <w:szCs w:val="28"/>
        </w:rPr>
      </w:pPr>
      <w:r w:rsidRPr="000F0607">
        <w:rPr>
          <w:rFonts w:ascii="Times New Roman" w:hAnsi="Times New Roman"/>
          <w:bCs/>
          <w:color w:val="000000"/>
          <w:sz w:val="28"/>
          <w:szCs w:val="28"/>
        </w:rPr>
        <w:t>Shtohet një dispozitë e re, konkretisht neni 8</w:t>
      </w:r>
      <w:r w:rsidR="00D0659D">
        <w:rPr>
          <w:rFonts w:ascii="Times New Roman" w:hAnsi="Times New Roman"/>
          <w:bCs/>
          <w:color w:val="000000"/>
          <w:sz w:val="28"/>
          <w:szCs w:val="28"/>
        </w:rPr>
        <w:t>4</w:t>
      </w:r>
      <w:r w:rsidRPr="000F0607">
        <w:rPr>
          <w:rFonts w:ascii="Times New Roman" w:hAnsi="Times New Roman"/>
          <w:bCs/>
          <w:color w:val="000000"/>
          <w:sz w:val="28"/>
          <w:szCs w:val="28"/>
        </w:rPr>
        <w:t xml:space="preserve"> i projektligjit, që i garanton Komisionerit kompetenca ndihmëse, hetimore dhe korrigjuese, në funksion të përmbushjes së detyrave të tij siç janë:</w:t>
      </w:r>
    </w:p>
    <w:p w14:paraId="1F79609F" w14:textId="77777777" w:rsidR="0098201E" w:rsidRPr="000F0607" w:rsidRDefault="0098201E" w:rsidP="0098201E">
      <w:pPr>
        <w:numPr>
          <w:ilvl w:val="0"/>
          <w:numId w:val="11"/>
        </w:numPr>
        <w:spacing w:after="0" w:line="259" w:lineRule="auto"/>
        <w:contextualSpacing/>
        <w:jc w:val="both"/>
        <w:rPr>
          <w:rFonts w:ascii="Times New Roman" w:hAnsi="Times New Roman"/>
          <w:bCs/>
          <w:i/>
          <w:color w:val="000000"/>
          <w:sz w:val="28"/>
          <w:szCs w:val="28"/>
        </w:rPr>
      </w:pPr>
      <w:r w:rsidRPr="000F0607">
        <w:rPr>
          <w:rFonts w:ascii="Times New Roman" w:hAnsi="Times New Roman"/>
          <w:i/>
          <w:iCs/>
          <w:sz w:val="28"/>
          <w:szCs w:val="28"/>
        </w:rPr>
        <w:t xml:space="preserve">rishikimi i certifikimeve të lëshuara nga organizmat certifikues; </w:t>
      </w:r>
    </w:p>
    <w:p w14:paraId="0E7C7E78" w14:textId="77777777" w:rsidR="0098201E" w:rsidRPr="000F0607" w:rsidRDefault="0098201E" w:rsidP="0098201E">
      <w:pPr>
        <w:numPr>
          <w:ilvl w:val="0"/>
          <w:numId w:val="11"/>
        </w:numPr>
        <w:spacing w:after="0" w:line="259" w:lineRule="auto"/>
        <w:contextualSpacing/>
        <w:jc w:val="both"/>
        <w:rPr>
          <w:rFonts w:ascii="Times New Roman" w:hAnsi="Times New Roman"/>
          <w:bCs/>
          <w:i/>
          <w:color w:val="000000"/>
          <w:sz w:val="28"/>
          <w:szCs w:val="28"/>
        </w:rPr>
      </w:pPr>
      <w:r w:rsidRPr="000F0607">
        <w:rPr>
          <w:rFonts w:ascii="Times New Roman" w:hAnsi="Times New Roman"/>
          <w:i/>
          <w:iCs/>
          <w:sz w:val="28"/>
          <w:szCs w:val="28"/>
        </w:rPr>
        <w:t>rishikimi i ligjshmërisë së përpunimit në kuadër të kufizimeve të të drejtave të subjekteve të të dhënave;</w:t>
      </w:r>
    </w:p>
    <w:p w14:paraId="590C78BD" w14:textId="77777777" w:rsidR="0098201E" w:rsidRPr="000F0607" w:rsidRDefault="0098201E" w:rsidP="0098201E">
      <w:pPr>
        <w:numPr>
          <w:ilvl w:val="0"/>
          <w:numId w:val="11"/>
        </w:numPr>
        <w:spacing w:after="0" w:line="259" w:lineRule="auto"/>
        <w:contextualSpacing/>
        <w:jc w:val="both"/>
        <w:rPr>
          <w:rFonts w:ascii="Times New Roman" w:hAnsi="Times New Roman"/>
          <w:i/>
          <w:iCs/>
          <w:sz w:val="28"/>
          <w:szCs w:val="28"/>
        </w:rPr>
      </w:pPr>
      <w:r w:rsidRPr="000F0607">
        <w:rPr>
          <w:rFonts w:ascii="Times New Roman" w:hAnsi="Times New Roman"/>
          <w:i/>
          <w:iCs/>
          <w:sz w:val="28"/>
          <w:szCs w:val="28"/>
        </w:rPr>
        <w:t>tërheq certifikimin ose urdhëron organizmin certifikues të tërheqë një certifikim të lëshuar ose të mos lëshojë certifikime nëse nuk janë përmbushur ose nuk përmbushen më kriteret për certifikim;</w:t>
      </w:r>
    </w:p>
    <w:p w14:paraId="4E80DEE0" w14:textId="77777777" w:rsidR="0098201E" w:rsidRPr="000F0607" w:rsidRDefault="0098201E" w:rsidP="0098201E">
      <w:pPr>
        <w:numPr>
          <w:ilvl w:val="0"/>
          <w:numId w:val="11"/>
        </w:numPr>
        <w:spacing w:after="0" w:line="259" w:lineRule="auto"/>
        <w:contextualSpacing/>
        <w:jc w:val="both"/>
        <w:rPr>
          <w:rFonts w:ascii="Times New Roman" w:hAnsi="Times New Roman"/>
          <w:i/>
          <w:iCs/>
          <w:sz w:val="28"/>
          <w:szCs w:val="28"/>
        </w:rPr>
      </w:pPr>
      <w:r w:rsidRPr="000F0607">
        <w:rPr>
          <w:rFonts w:ascii="Times New Roman" w:hAnsi="Times New Roman"/>
          <w:i/>
          <w:iCs/>
          <w:sz w:val="28"/>
          <w:szCs w:val="28"/>
        </w:rPr>
        <w:t>urdhëron pezullimin e kalimit të të dhënave tek një marrës në një vend të tretë ose tek një organizatë ndërkombëtare;</w:t>
      </w:r>
    </w:p>
    <w:p w14:paraId="40F306A6" w14:textId="77777777" w:rsidR="0098201E" w:rsidRPr="000F0607" w:rsidRDefault="0098201E" w:rsidP="0098201E">
      <w:pPr>
        <w:spacing w:after="0"/>
        <w:jc w:val="both"/>
        <w:rPr>
          <w:rFonts w:ascii="Times New Roman" w:hAnsi="Times New Roman"/>
          <w:i/>
          <w:iCs/>
          <w:sz w:val="28"/>
          <w:szCs w:val="28"/>
        </w:rPr>
      </w:pPr>
    </w:p>
    <w:p w14:paraId="4652EEE3" w14:textId="3F8A246D" w:rsidR="0098201E" w:rsidRPr="000F0607" w:rsidRDefault="0098201E" w:rsidP="0098201E">
      <w:pPr>
        <w:spacing w:after="0"/>
        <w:jc w:val="both"/>
        <w:rPr>
          <w:rFonts w:ascii="Times New Roman" w:hAnsi="Times New Roman"/>
          <w:iCs/>
          <w:sz w:val="28"/>
          <w:szCs w:val="28"/>
        </w:rPr>
      </w:pPr>
      <w:r w:rsidRPr="000F0607">
        <w:rPr>
          <w:rFonts w:ascii="Times New Roman" w:hAnsi="Times New Roman"/>
          <w:iCs/>
          <w:sz w:val="28"/>
          <w:szCs w:val="28"/>
        </w:rPr>
        <w:t>Në nenet 8</w:t>
      </w:r>
      <w:r w:rsidR="00D0659D">
        <w:rPr>
          <w:rFonts w:ascii="Times New Roman" w:hAnsi="Times New Roman"/>
          <w:iCs/>
          <w:sz w:val="28"/>
          <w:szCs w:val="28"/>
        </w:rPr>
        <w:t>5</w:t>
      </w:r>
      <w:r w:rsidRPr="000F0607">
        <w:rPr>
          <w:rFonts w:ascii="Times New Roman" w:hAnsi="Times New Roman"/>
          <w:iCs/>
          <w:sz w:val="28"/>
          <w:szCs w:val="28"/>
        </w:rPr>
        <w:t xml:space="preserve"> dhe 8</w:t>
      </w:r>
      <w:r w:rsidR="00D0659D">
        <w:rPr>
          <w:rFonts w:ascii="Times New Roman" w:hAnsi="Times New Roman"/>
          <w:iCs/>
          <w:sz w:val="28"/>
          <w:szCs w:val="28"/>
        </w:rPr>
        <w:t>6</w:t>
      </w:r>
      <w:r w:rsidRPr="000F0607">
        <w:rPr>
          <w:rFonts w:ascii="Times New Roman" w:hAnsi="Times New Roman"/>
          <w:iCs/>
          <w:sz w:val="28"/>
          <w:szCs w:val="28"/>
        </w:rPr>
        <w:t>, rregullohet detyrimi për bashkëpunim si dhe publikimi i akteve të Komisionerit.</w:t>
      </w:r>
    </w:p>
    <w:p w14:paraId="76A35979" w14:textId="77777777" w:rsidR="0098201E" w:rsidRPr="000F0607" w:rsidRDefault="0098201E" w:rsidP="0098201E">
      <w:pPr>
        <w:spacing w:after="0"/>
        <w:ind w:right="115"/>
        <w:jc w:val="both"/>
        <w:rPr>
          <w:rFonts w:ascii="Times New Roman" w:eastAsia="Times New Roman" w:hAnsi="Times New Roman"/>
          <w:i/>
          <w:sz w:val="28"/>
          <w:szCs w:val="28"/>
        </w:rPr>
      </w:pPr>
    </w:p>
    <w:p w14:paraId="73AC5D15" w14:textId="77777777" w:rsidR="0098201E" w:rsidRPr="000F0607" w:rsidRDefault="0098201E" w:rsidP="0098201E">
      <w:pPr>
        <w:spacing w:after="160"/>
        <w:jc w:val="both"/>
        <w:rPr>
          <w:rFonts w:ascii="Times New Roman" w:hAnsi="Times New Roman"/>
          <w:bCs/>
          <w:sz w:val="28"/>
          <w:szCs w:val="28"/>
        </w:rPr>
      </w:pPr>
      <w:r w:rsidRPr="000F0607">
        <w:rPr>
          <w:rFonts w:ascii="Times New Roman" w:hAnsi="Times New Roman"/>
          <w:b/>
          <w:color w:val="000000"/>
          <w:sz w:val="28"/>
          <w:szCs w:val="28"/>
        </w:rPr>
        <w:t>Pjesa V</w:t>
      </w:r>
      <w:r w:rsidRPr="000F0607">
        <w:rPr>
          <w:rFonts w:ascii="Times New Roman" w:hAnsi="Times New Roman"/>
          <w:color w:val="000000"/>
          <w:sz w:val="28"/>
          <w:szCs w:val="28"/>
        </w:rPr>
        <w:t xml:space="preserve"> përmban dispozita që parashikojnë mjetet ligjore, përgjegjësinë dhe penalitet. </w:t>
      </w:r>
    </w:p>
    <w:p w14:paraId="367BDEA6" w14:textId="3532CBAA"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Projekt ligji trajton më gjerësisht të drejtën për t’u ankuar, parashikuar në nenin 8</w:t>
      </w:r>
      <w:r w:rsidR="00D0659D">
        <w:rPr>
          <w:rFonts w:ascii="Times New Roman" w:hAnsi="Times New Roman"/>
          <w:bCs/>
          <w:color w:val="000000"/>
          <w:sz w:val="28"/>
          <w:szCs w:val="28"/>
        </w:rPr>
        <w:t>7</w:t>
      </w:r>
      <w:r w:rsidRPr="000F0607">
        <w:rPr>
          <w:rFonts w:ascii="Times New Roman" w:hAnsi="Times New Roman"/>
          <w:bCs/>
          <w:color w:val="000000"/>
          <w:sz w:val="28"/>
          <w:szCs w:val="28"/>
        </w:rPr>
        <w:t xml:space="preserve">. Konkretisht, parashikohen mjete të dyfishta ligjore, administrative dhe gjyqësore në rast se përpunimi i të dhënave personale të </w:t>
      </w:r>
      <w:r w:rsidR="00D0659D" w:rsidRPr="000F0607">
        <w:rPr>
          <w:rFonts w:ascii="Times New Roman" w:hAnsi="Times New Roman"/>
          <w:bCs/>
          <w:color w:val="000000"/>
          <w:sz w:val="28"/>
          <w:szCs w:val="28"/>
        </w:rPr>
        <w:t>individi</w:t>
      </w:r>
      <w:r w:rsidR="00D0659D">
        <w:rPr>
          <w:rFonts w:ascii="Times New Roman" w:hAnsi="Times New Roman"/>
          <w:bCs/>
          <w:color w:val="000000"/>
          <w:sz w:val="28"/>
          <w:szCs w:val="28"/>
        </w:rPr>
        <w:t>t</w:t>
      </w:r>
      <w:r w:rsidRPr="000F0607">
        <w:rPr>
          <w:rFonts w:ascii="Times New Roman" w:hAnsi="Times New Roman"/>
          <w:bCs/>
          <w:color w:val="000000"/>
          <w:sz w:val="28"/>
          <w:szCs w:val="28"/>
        </w:rPr>
        <w:t xml:space="preserve"> kryhet në shkelje të ligjit.</w:t>
      </w:r>
    </w:p>
    <w:p w14:paraId="49194F0F" w14:textId="77777777"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 xml:space="preserve">Gjithashtu kjo dispozitë më e zgjeruar, ofron mundësinë që Komisioneri të refuzojë ndërmarrjen e veprimeve në lidhje me ankesat që janë qartazi të pabazuara, ose për shkak të karakterit të tyre përsëritës. </w:t>
      </w:r>
    </w:p>
    <w:p w14:paraId="6AFADA99" w14:textId="06421110"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Në vijim të</w:t>
      </w:r>
      <w:r w:rsidR="00D0659D">
        <w:rPr>
          <w:rFonts w:ascii="Times New Roman" w:hAnsi="Times New Roman"/>
          <w:bCs/>
          <w:color w:val="000000"/>
          <w:sz w:val="28"/>
          <w:szCs w:val="28"/>
        </w:rPr>
        <w:t xml:space="preserve"> kësaj të drejtë, shtohet neni 89</w:t>
      </w:r>
      <w:r w:rsidRPr="000F0607">
        <w:rPr>
          <w:rFonts w:ascii="Times New Roman" w:hAnsi="Times New Roman"/>
          <w:bCs/>
          <w:color w:val="000000"/>
          <w:sz w:val="28"/>
          <w:szCs w:val="28"/>
        </w:rPr>
        <w:t xml:space="preserve"> i projektligjit i cili përbën risi në legjislacionin për mbrojtjen e të dhënave personale në përputhje me GDPR-në dhe parashikon të drejtën e ankuesit që gjatë procedurës së ankimit, të kërkojë nga Komisioneri lëshimin e një urdhri paraprak bllokimi ndaj kontrolluesit ose përpunuesit për përpunimin e të dhënave të tij. Kjo është një garanci e shtuar në dispozicion të ankuesit deri në përfundimin e procedurës së ankimit dhe vendimmarrjes së Komisionerit.</w:t>
      </w:r>
    </w:p>
    <w:p w14:paraId="34A10BDB" w14:textId="698E4405" w:rsidR="0098201E" w:rsidRPr="000F0607" w:rsidRDefault="0098201E" w:rsidP="0098201E">
      <w:pPr>
        <w:spacing w:after="160"/>
        <w:jc w:val="both"/>
        <w:rPr>
          <w:rFonts w:ascii="Times New Roman" w:hAnsi="Times New Roman"/>
          <w:bCs/>
          <w:color w:val="000000"/>
          <w:sz w:val="28"/>
          <w:szCs w:val="28"/>
        </w:rPr>
      </w:pPr>
      <w:r w:rsidRPr="000F0607">
        <w:rPr>
          <w:rFonts w:ascii="Times New Roman" w:hAnsi="Times New Roman"/>
          <w:bCs/>
          <w:color w:val="000000"/>
          <w:sz w:val="28"/>
          <w:szCs w:val="28"/>
        </w:rPr>
        <w:t>Një e drejtë tjetër që shtohet në projektligj në kuadër të transpozimit të Direktivës së Policisë, është mundësia që i ofrohet subjektit të të dhënave për të kërkuar pranë Zyrës së Komisionerit rishikimin e ligjshmërisë së përgjigjes së një autoriteti kompetent për çështjet që trajtohen në Pjesën III. Kjo e drejtë reflektohet në nenin 8</w:t>
      </w:r>
      <w:r w:rsidR="00D0659D">
        <w:rPr>
          <w:rFonts w:ascii="Times New Roman" w:hAnsi="Times New Roman"/>
          <w:bCs/>
          <w:color w:val="000000"/>
          <w:sz w:val="28"/>
          <w:szCs w:val="28"/>
        </w:rPr>
        <w:t>8</w:t>
      </w:r>
      <w:r w:rsidRPr="000F0607">
        <w:rPr>
          <w:rFonts w:ascii="Times New Roman" w:hAnsi="Times New Roman"/>
          <w:bCs/>
          <w:color w:val="000000"/>
          <w:sz w:val="28"/>
          <w:szCs w:val="28"/>
        </w:rPr>
        <w:t xml:space="preserve"> të projektligjit.</w:t>
      </w:r>
    </w:p>
    <w:p w14:paraId="2150962B" w14:textId="1E3D17F3" w:rsidR="0098201E" w:rsidRPr="000F0607" w:rsidRDefault="0098201E" w:rsidP="0098201E">
      <w:pPr>
        <w:spacing w:after="120"/>
        <w:ind w:left="2"/>
        <w:jc w:val="both"/>
        <w:rPr>
          <w:rFonts w:ascii="Times New Roman" w:hAnsi="Times New Roman"/>
          <w:sz w:val="28"/>
          <w:szCs w:val="28"/>
        </w:rPr>
      </w:pPr>
      <w:r w:rsidRPr="000F0607">
        <w:rPr>
          <w:rFonts w:ascii="Times New Roman" w:hAnsi="Times New Roman"/>
          <w:bCs/>
          <w:color w:val="000000"/>
          <w:sz w:val="28"/>
          <w:szCs w:val="28"/>
        </w:rPr>
        <w:t>Bazuar në nenin 9</w:t>
      </w:r>
      <w:r w:rsidR="00D0659D">
        <w:rPr>
          <w:rFonts w:ascii="Times New Roman" w:hAnsi="Times New Roman"/>
          <w:bCs/>
          <w:color w:val="000000"/>
          <w:sz w:val="28"/>
          <w:szCs w:val="28"/>
        </w:rPr>
        <w:t>0</w:t>
      </w:r>
      <w:r w:rsidRPr="000F0607">
        <w:rPr>
          <w:rFonts w:ascii="Times New Roman" w:hAnsi="Times New Roman"/>
          <w:bCs/>
          <w:color w:val="000000"/>
          <w:sz w:val="28"/>
          <w:szCs w:val="28"/>
        </w:rPr>
        <w:t>, ç</w:t>
      </w:r>
      <w:r w:rsidRPr="000F0607">
        <w:rPr>
          <w:rFonts w:ascii="Times New Roman" w:hAnsi="Times New Roman"/>
          <w:sz w:val="28"/>
          <w:szCs w:val="28"/>
        </w:rPr>
        <w:t xml:space="preserve">do individ ka të drejtë për t’u ankuar në gjykatën administrative kompetente kundër vendimit të Komisionerit. Kjo e drejtë zgjerohet për çdo ankues edhe në rastin kur Komisioneri nuk e trajton një ankesë brenda afateve të përcaktuara nga dispozitat e zbatueshme procedurale, ose nuk e informon ankuesin mbi ecurinë e shqyrtimit të ankesës. </w:t>
      </w:r>
    </w:p>
    <w:p w14:paraId="2B9DBFA5" w14:textId="1B79FF7B" w:rsidR="0098201E" w:rsidRPr="000F0607" w:rsidRDefault="0098201E" w:rsidP="0098201E">
      <w:pPr>
        <w:spacing w:before="120" w:after="0"/>
        <w:jc w:val="both"/>
        <w:rPr>
          <w:rFonts w:ascii="Times New Roman" w:hAnsi="Times New Roman"/>
          <w:sz w:val="28"/>
          <w:szCs w:val="28"/>
        </w:rPr>
      </w:pPr>
      <w:r w:rsidRPr="000F0607">
        <w:rPr>
          <w:rFonts w:ascii="Times New Roman" w:hAnsi="Times New Roman"/>
          <w:sz w:val="28"/>
          <w:szCs w:val="28"/>
        </w:rPr>
        <w:t>Neni 9</w:t>
      </w:r>
      <w:r w:rsidR="00D0659D">
        <w:rPr>
          <w:rFonts w:ascii="Times New Roman" w:hAnsi="Times New Roman"/>
          <w:sz w:val="28"/>
          <w:szCs w:val="28"/>
        </w:rPr>
        <w:t>1</w:t>
      </w:r>
      <w:r w:rsidRPr="000F0607">
        <w:rPr>
          <w:rFonts w:ascii="Times New Roman" w:hAnsi="Times New Roman"/>
          <w:sz w:val="28"/>
          <w:szCs w:val="28"/>
        </w:rPr>
        <w:t xml:space="preserve"> është një e drejtë e re që i garantohet subjektit të të dhënave duke i dhënë mundësinë për t’u përfaqësuar nga një subjekt, organizatë ose shoqatë jofitimprurëse, për të paraqitur një ankesë në emër të tij ose të saj pranë Komisionerit, të ushtrojë të drejtat e përmendura në nenet 8</w:t>
      </w:r>
      <w:r w:rsidR="00D0659D">
        <w:rPr>
          <w:rFonts w:ascii="Times New Roman" w:hAnsi="Times New Roman"/>
          <w:sz w:val="28"/>
          <w:szCs w:val="28"/>
        </w:rPr>
        <w:t>7</w:t>
      </w:r>
      <w:r w:rsidRPr="000F0607">
        <w:rPr>
          <w:rFonts w:ascii="Times New Roman" w:hAnsi="Times New Roman"/>
          <w:sz w:val="28"/>
          <w:szCs w:val="28"/>
        </w:rPr>
        <w:t>-9</w:t>
      </w:r>
      <w:r w:rsidR="00D0659D">
        <w:rPr>
          <w:rFonts w:ascii="Times New Roman" w:hAnsi="Times New Roman"/>
          <w:sz w:val="28"/>
          <w:szCs w:val="28"/>
        </w:rPr>
        <w:t>0</w:t>
      </w:r>
      <w:r w:rsidRPr="000F0607">
        <w:rPr>
          <w:rFonts w:ascii="Times New Roman" w:hAnsi="Times New Roman"/>
          <w:sz w:val="28"/>
          <w:szCs w:val="28"/>
        </w:rPr>
        <w:t xml:space="preserve"> të projektligjit si dhe të ushtrojë të drejtën për dëmshpërblim.</w:t>
      </w:r>
    </w:p>
    <w:p w14:paraId="5DCDF67B" w14:textId="7BAB0E58" w:rsidR="0098201E" w:rsidRPr="000F0607" w:rsidRDefault="0098201E" w:rsidP="0098201E">
      <w:pPr>
        <w:spacing w:before="120" w:after="0"/>
        <w:jc w:val="both"/>
        <w:rPr>
          <w:rFonts w:ascii="Times New Roman" w:hAnsi="Times New Roman"/>
          <w:sz w:val="28"/>
          <w:szCs w:val="28"/>
        </w:rPr>
      </w:pPr>
      <w:r w:rsidRPr="000F0607">
        <w:rPr>
          <w:rFonts w:ascii="Times New Roman" w:hAnsi="Times New Roman"/>
          <w:sz w:val="28"/>
          <w:szCs w:val="28"/>
        </w:rPr>
        <w:t>Në nenin 9</w:t>
      </w:r>
      <w:r w:rsidR="00D0659D">
        <w:rPr>
          <w:rFonts w:ascii="Times New Roman" w:hAnsi="Times New Roman"/>
          <w:sz w:val="28"/>
          <w:szCs w:val="28"/>
        </w:rPr>
        <w:t>2</w:t>
      </w:r>
      <w:r w:rsidRPr="000F0607">
        <w:rPr>
          <w:rFonts w:ascii="Times New Roman" w:hAnsi="Times New Roman"/>
          <w:sz w:val="28"/>
          <w:szCs w:val="28"/>
        </w:rPr>
        <w:t xml:space="preserve"> rregullohet e drejta për dëmshpërblim e subjektit të të dhënave dhe përgjegjësia e kontrolluesit apo përpunuesit në raport me dispozitat e Kodit Civil.</w:t>
      </w:r>
    </w:p>
    <w:p w14:paraId="4175A8D8" w14:textId="77777777" w:rsidR="0098201E" w:rsidRPr="000F0607" w:rsidRDefault="0098201E" w:rsidP="0098201E">
      <w:pPr>
        <w:shd w:val="clear" w:color="auto" w:fill="FFFFFF"/>
        <w:tabs>
          <w:tab w:val="left" w:pos="1080"/>
        </w:tabs>
        <w:spacing w:after="160"/>
        <w:contextualSpacing/>
        <w:jc w:val="both"/>
        <w:rPr>
          <w:rFonts w:ascii="Times New Roman" w:hAnsi="Times New Roman"/>
          <w:sz w:val="28"/>
          <w:szCs w:val="28"/>
        </w:rPr>
      </w:pPr>
    </w:p>
    <w:p w14:paraId="59DB5057" w14:textId="20377CE0" w:rsidR="0098201E" w:rsidRPr="000F0607" w:rsidRDefault="00931735" w:rsidP="0098201E">
      <w:pPr>
        <w:shd w:val="clear" w:color="auto" w:fill="FFFFFF"/>
        <w:tabs>
          <w:tab w:val="left" w:pos="1080"/>
        </w:tabs>
        <w:spacing w:after="160"/>
        <w:contextualSpacing/>
        <w:jc w:val="both"/>
        <w:rPr>
          <w:rFonts w:ascii="Times New Roman" w:hAnsi="Times New Roman"/>
          <w:sz w:val="28"/>
          <w:szCs w:val="28"/>
          <w:shd w:val="clear" w:color="auto" w:fill="FFFFFF"/>
        </w:rPr>
      </w:pPr>
      <w:r>
        <w:rPr>
          <w:rFonts w:ascii="Times New Roman" w:hAnsi="Times New Roman"/>
          <w:sz w:val="28"/>
          <w:szCs w:val="28"/>
        </w:rPr>
        <w:t>Nenet 93</w:t>
      </w:r>
      <w:r w:rsidR="0098201E" w:rsidRPr="000F0607">
        <w:rPr>
          <w:rFonts w:ascii="Times New Roman" w:hAnsi="Times New Roman"/>
          <w:sz w:val="28"/>
          <w:szCs w:val="28"/>
        </w:rPr>
        <w:t>–9</w:t>
      </w:r>
      <w:r>
        <w:rPr>
          <w:rFonts w:ascii="Times New Roman" w:hAnsi="Times New Roman"/>
          <w:sz w:val="28"/>
          <w:szCs w:val="28"/>
        </w:rPr>
        <w:t>4</w:t>
      </w:r>
      <w:r w:rsidR="0098201E" w:rsidRPr="000F0607">
        <w:rPr>
          <w:rFonts w:ascii="Times New Roman" w:hAnsi="Times New Roman"/>
          <w:sz w:val="28"/>
          <w:szCs w:val="28"/>
        </w:rPr>
        <w:t xml:space="preserve"> parashikojnë sanksionet administrative dhe kushtet e përgjithshme për vendosjen e tyre. Me qëllim përputhshmërinë e sistemit të sanksioneve administrative me GDPR, </w:t>
      </w:r>
      <w:r w:rsidR="0098201E" w:rsidRPr="000F0607">
        <w:rPr>
          <w:rFonts w:ascii="Times New Roman" w:hAnsi="Times New Roman"/>
          <w:sz w:val="28"/>
          <w:szCs w:val="28"/>
          <w:shd w:val="clear" w:color="auto" w:fill="FFFFFF"/>
        </w:rPr>
        <w:t>risi është rishikimi i sanksioneve administrative, të cila janë rritur në rast shkeljeje të dispozitave të ligjit për mbrojtjen e të dhënave personale.</w:t>
      </w:r>
    </w:p>
    <w:p w14:paraId="439DC5E6" w14:textId="14CC1B29" w:rsidR="00651C16" w:rsidRPr="000F0607" w:rsidRDefault="00651C16" w:rsidP="0098201E">
      <w:pPr>
        <w:shd w:val="clear" w:color="auto" w:fill="FFFFFF"/>
        <w:tabs>
          <w:tab w:val="left" w:pos="1080"/>
        </w:tabs>
        <w:spacing w:after="160"/>
        <w:contextualSpacing/>
        <w:jc w:val="both"/>
        <w:rPr>
          <w:rFonts w:ascii="Times New Roman" w:hAnsi="Times New Roman"/>
          <w:sz w:val="28"/>
          <w:szCs w:val="28"/>
        </w:rPr>
      </w:pPr>
    </w:p>
    <w:p w14:paraId="589B4089" w14:textId="77777777" w:rsidR="0098201E" w:rsidRPr="000F0607" w:rsidRDefault="0098201E" w:rsidP="0098201E">
      <w:pPr>
        <w:spacing w:before="120" w:after="0"/>
        <w:jc w:val="both"/>
        <w:rPr>
          <w:rFonts w:ascii="Times New Roman" w:hAnsi="Times New Roman"/>
          <w:color w:val="000000"/>
          <w:sz w:val="28"/>
          <w:szCs w:val="28"/>
        </w:rPr>
      </w:pPr>
      <w:r w:rsidRPr="000F0607">
        <w:rPr>
          <w:rFonts w:ascii="Times New Roman" w:hAnsi="Times New Roman"/>
          <w:color w:val="000000"/>
          <w:sz w:val="28"/>
          <w:szCs w:val="28"/>
        </w:rPr>
        <w:t>Në lidhje me arkëtimin e gjobave të parashikuara në nenin 97, në ndryshim nga ligji aktual në fuqi, propozohet që gjobat të</w:t>
      </w:r>
      <w:r w:rsidRPr="000F0607">
        <w:rPr>
          <w:rFonts w:ascii="Times New Roman" w:hAnsi="Times New Roman"/>
          <w:sz w:val="28"/>
          <w:szCs w:val="28"/>
        </w:rPr>
        <w:t xml:space="preserve"> arkëtohen në masën 90% në buxhetin e shtetit dhe </w:t>
      </w:r>
      <w:r w:rsidRPr="000F0607">
        <w:rPr>
          <w:rFonts w:ascii="Times New Roman" w:hAnsi="Times New Roman"/>
          <w:color w:val="000000"/>
          <w:sz w:val="28"/>
          <w:szCs w:val="28"/>
        </w:rPr>
        <w:t xml:space="preserve">pjesa tjetër e tyre të arkëtohet në llogarinë e Zyrës së Komisionerit, si një mbështetje buxhetore me qëllim realizimin e detyrave në kuadër të ushtrimit të veprimtarisë së saj. </w:t>
      </w:r>
    </w:p>
    <w:p w14:paraId="5707A14F" w14:textId="77777777" w:rsidR="0098201E" w:rsidRPr="000F0607" w:rsidRDefault="0098201E" w:rsidP="0098201E">
      <w:pPr>
        <w:spacing w:before="120" w:after="0"/>
        <w:jc w:val="both"/>
        <w:rPr>
          <w:rFonts w:ascii="Times New Roman" w:hAnsi="Times New Roman"/>
          <w:color w:val="000000"/>
          <w:sz w:val="28"/>
          <w:szCs w:val="28"/>
        </w:rPr>
      </w:pPr>
    </w:p>
    <w:p w14:paraId="336CF4CC" w14:textId="1E8130EA" w:rsidR="0098201E" w:rsidRPr="000F0607" w:rsidRDefault="0098201E" w:rsidP="0098201E">
      <w:pPr>
        <w:spacing w:after="160"/>
        <w:jc w:val="both"/>
        <w:rPr>
          <w:rFonts w:ascii="Times New Roman" w:hAnsi="Times New Roman"/>
          <w:color w:val="000000"/>
          <w:sz w:val="28"/>
          <w:szCs w:val="28"/>
        </w:rPr>
      </w:pPr>
      <w:r w:rsidRPr="000F0607">
        <w:rPr>
          <w:rFonts w:ascii="Times New Roman" w:hAnsi="Times New Roman"/>
          <w:b/>
          <w:bCs/>
          <w:color w:val="000000"/>
          <w:sz w:val="28"/>
          <w:szCs w:val="28"/>
        </w:rPr>
        <w:t>Pjesa VI</w:t>
      </w:r>
      <w:r w:rsidRPr="000F0607">
        <w:rPr>
          <w:rFonts w:ascii="Times New Roman" w:hAnsi="Times New Roman"/>
          <w:bCs/>
          <w:color w:val="000000"/>
          <w:sz w:val="28"/>
          <w:szCs w:val="28"/>
        </w:rPr>
        <w:t xml:space="preserve"> përmban </w:t>
      </w:r>
      <w:r w:rsidRPr="000F0607">
        <w:rPr>
          <w:rFonts w:ascii="Times New Roman" w:hAnsi="Times New Roman"/>
          <w:color w:val="000000"/>
          <w:sz w:val="28"/>
          <w:szCs w:val="28"/>
        </w:rPr>
        <w:t>dispozitat kalimtare dhe për</w:t>
      </w:r>
      <w:r w:rsidR="00931735">
        <w:rPr>
          <w:rFonts w:ascii="Times New Roman" w:hAnsi="Times New Roman"/>
          <w:color w:val="000000"/>
          <w:sz w:val="28"/>
          <w:szCs w:val="28"/>
        </w:rPr>
        <w:t xml:space="preserve">fundimtare, duke parashikuar </w:t>
      </w:r>
      <w:r w:rsidRPr="000F0607">
        <w:rPr>
          <w:rFonts w:ascii="Times New Roman" w:hAnsi="Times New Roman"/>
          <w:color w:val="000000"/>
          <w:sz w:val="28"/>
          <w:szCs w:val="28"/>
        </w:rPr>
        <w:t xml:space="preserve">shfuqizimin e ligjit nr. 9887/2008 </w:t>
      </w:r>
      <w:r w:rsidRPr="000F0607">
        <w:rPr>
          <w:rFonts w:ascii="Times New Roman" w:hAnsi="Times New Roman"/>
          <w:i/>
          <w:color w:val="000000"/>
          <w:sz w:val="28"/>
          <w:szCs w:val="28"/>
        </w:rPr>
        <w:t>“Për mbrojtjen e të dhënave personale”</w:t>
      </w:r>
      <w:r w:rsidR="00931735">
        <w:rPr>
          <w:rFonts w:ascii="Times New Roman" w:hAnsi="Times New Roman"/>
          <w:color w:val="000000"/>
          <w:sz w:val="28"/>
          <w:szCs w:val="28"/>
        </w:rPr>
        <w:t>, i ndryshuar,</w:t>
      </w:r>
      <w:r w:rsidRPr="000F0607">
        <w:rPr>
          <w:rFonts w:ascii="Times New Roman" w:hAnsi="Times New Roman"/>
          <w:color w:val="000000"/>
          <w:sz w:val="28"/>
          <w:szCs w:val="28"/>
        </w:rPr>
        <w:t xml:space="preserve"> referencën për zbatueshmërinë e tij aty ku përmendet në akte të tjera normative</w:t>
      </w:r>
      <w:r w:rsidR="00931735">
        <w:rPr>
          <w:rFonts w:ascii="Times New Roman" w:hAnsi="Times New Roman"/>
          <w:sz w:val="28"/>
          <w:szCs w:val="28"/>
          <w:u w:color="000000"/>
        </w:rPr>
        <w:t xml:space="preserve">, si dhe </w:t>
      </w:r>
      <w:r w:rsidRPr="000F0607">
        <w:rPr>
          <w:rFonts w:ascii="Times New Roman" w:hAnsi="Times New Roman"/>
          <w:color w:val="000000"/>
          <w:sz w:val="28"/>
          <w:szCs w:val="28"/>
        </w:rPr>
        <w:t xml:space="preserve">nxjerrja e akteve nënligjore në zbatim të këtij ligji, </w:t>
      </w:r>
    </w:p>
    <w:p w14:paraId="75F802D5" w14:textId="076407F0" w:rsidR="0098201E" w:rsidRDefault="00931735" w:rsidP="0098201E">
      <w:pPr>
        <w:spacing w:after="160"/>
        <w:jc w:val="both"/>
        <w:rPr>
          <w:rFonts w:ascii="Times New Roman" w:hAnsi="Times New Roman"/>
          <w:color w:val="000000"/>
          <w:sz w:val="28"/>
          <w:szCs w:val="28"/>
        </w:rPr>
      </w:pPr>
      <w:r>
        <w:rPr>
          <w:rFonts w:ascii="Times New Roman" w:hAnsi="Times New Roman"/>
          <w:color w:val="000000"/>
          <w:sz w:val="28"/>
          <w:szCs w:val="28"/>
        </w:rPr>
        <w:t>Në nenin 101</w:t>
      </w:r>
      <w:r w:rsidR="0098201E" w:rsidRPr="000F0607">
        <w:rPr>
          <w:rFonts w:ascii="Times New Roman" w:hAnsi="Times New Roman"/>
          <w:color w:val="000000"/>
          <w:sz w:val="28"/>
          <w:szCs w:val="28"/>
        </w:rPr>
        <w:t xml:space="preserve"> propozohet hyrja në fuqi e ligjit 3 muaj pas botimit të tij në Fletoren Zyrtare si dhe një periudhë 2 vjeçare për hyrjen në fuqi të disa dispozitave, për të cilat vlerësohet se mund të jetë e nevojshme një kohë më e gjatë për përgatitjen e zbatimit të tyre nga ana e kontrolluesve dhe përpunuesve.</w:t>
      </w:r>
    </w:p>
    <w:p w14:paraId="23912555" w14:textId="153ACF8A" w:rsidR="00931735" w:rsidRPr="000F0607" w:rsidRDefault="00931735" w:rsidP="0098201E">
      <w:pPr>
        <w:spacing w:after="160"/>
        <w:jc w:val="both"/>
        <w:rPr>
          <w:rFonts w:ascii="Times New Roman" w:hAnsi="Times New Roman"/>
          <w:color w:val="000000"/>
          <w:sz w:val="28"/>
          <w:szCs w:val="28"/>
        </w:rPr>
      </w:pPr>
      <w:r>
        <w:rPr>
          <w:rFonts w:ascii="Times New Roman" w:hAnsi="Times New Roman"/>
          <w:color w:val="000000"/>
          <w:sz w:val="28"/>
          <w:szCs w:val="28"/>
        </w:rPr>
        <w:t>Në nenin 102 është parashikuar shfuqizimi i dispozitave të këtij ligji pas anëtarësimit në Bashkimin Evropian për shkak se nga kjo datë, dispozitat e GDPR bëhen drejtpërdrejtë të zbatueshme.</w:t>
      </w:r>
    </w:p>
    <w:p w14:paraId="4691A595" w14:textId="77777777" w:rsidR="00F9548F" w:rsidRPr="000F0607" w:rsidRDefault="00F9548F" w:rsidP="00F9548F">
      <w:pPr>
        <w:jc w:val="both"/>
        <w:rPr>
          <w:rFonts w:ascii="Times New Roman" w:hAnsi="Times New Roman"/>
          <w:b/>
          <w:color w:val="000000"/>
          <w:sz w:val="28"/>
          <w:szCs w:val="28"/>
        </w:rPr>
      </w:pPr>
      <w:r w:rsidRPr="000F0607">
        <w:rPr>
          <w:rFonts w:ascii="Times New Roman" w:hAnsi="Times New Roman"/>
          <w:b/>
          <w:color w:val="000000"/>
          <w:sz w:val="28"/>
          <w:szCs w:val="28"/>
        </w:rPr>
        <w:t>VII.</w:t>
      </w:r>
      <w:r w:rsidRPr="000F0607">
        <w:rPr>
          <w:rFonts w:ascii="Times New Roman" w:hAnsi="Times New Roman"/>
          <w:b/>
          <w:color w:val="000000"/>
          <w:sz w:val="28"/>
          <w:szCs w:val="28"/>
        </w:rPr>
        <w:tab/>
        <w:t>MINISTRITË, INSTITUCIONET DHE SUBJEKTET E TJERA QË KANË KONTRIBUAR NË HARTIMIN E PROJEKTAKTIT</w:t>
      </w:r>
    </w:p>
    <w:p w14:paraId="5C8A16E0" w14:textId="77777777" w:rsidR="0098201E"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Në kuadër të procesit të integrimit të vendit në BE, si dhe përmbushjes së detyrimeve që rrjedhin nga aktet ndërkombëtare, Zyra e Komisionerit intensifikoi hapat për harmonizimin e legjislacionit në fuqi për mbrojtjen e të dhënave personale me </w:t>
      </w:r>
      <w:r w:rsidRPr="000F0607">
        <w:rPr>
          <w:rFonts w:ascii="Times New Roman" w:hAnsi="Times New Roman"/>
          <w:i/>
          <w:sz w:val="28"/>
          <w:szCs w:val="28"/>
        </w:rPr>
        <w:t xml:space="preserve">acquis </w:t>
      </w:r>
      <w:r w:rsidRPr="000F0607">
        <w:rPr>
          <w:rFonts w:ascii="Times New Roman" w:hAnsi="Times New Roman"/>
          <w:sz w:val="28"/>
          <w:szCs w:val="28"/>
        </w:rPr>
        <w:t xml:space="preserve">të BE në këtë fushë, nëpërmjet përfitimit të projektit të binjakëzimit të financuar nga programi i BE, IPA 2017, sipas aktivitetit </w:t>
      </w:r>
      <w:r w:rsidRPr="000F0607">
        <w:rPr>
          <w:rFonts w:ascii="Times New Roman" w:hAnsi="Times New Roman"/>
          <w:i/>
          <w:sz w:val="28"/>
          <w:szCs w:val="28"/>
        </w:rPr>
        <w:t>“Mbështetje institucionit për përafrimin e legjislacionit mbi mbrojtjen e të dhënave personale me acquis-në e Bashkimit Evropian”</w:t>
      </w:r>
      <w:r w:rsidRPr="000F0607">
        <w:rPr>
          <w:rFonts w:ascii="Times New Roman" w:hAnsi="Times New Roman"/>
          <w:sz w:val="28"/>
          <w:szCs w:val="28"/>
        </w:rPr>
        <w:t>.</w:t>
      </w:r>
    </w:p>
    <w:p w14:paraId="64774966" w14:textId="25FD1C48" w:rsidR="0098201E"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Ky projekt ka filluar zbatimin më datë 1 Tetor 2020 dhe zbatohet nga Autoriteti Italian për Mbrojtjen e të Dhënave Personale, mbështetur nga Instituti për të Drejtat e Njeriut Austri dhe CSI-Piemonte, Itali. Projekti i binjakëzimit përbëhet nga tre komponentë dhe rezultatet e pritshme të tij janë si më poshtë: </w:t>
      </w:r>
    </w:p>
    <w:p w14:paraId="4F47C08B" w14:textId="77777777" w:rsidR="0098201E"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Komponenti 1: </w:t>
      </w:r>
      <w:r w:rsidRPr="000F0607">
        <w:rPr>
          <w:rFonts w:ascii="Times New Roman" w:hAnsi="Times New Roman"/>
          <w:i/>
          <w:sz w:val="28"/>
          <w:szCs w:val="28"/>
        </w:rPr>
        <w:t xml:space="preserve">“Përafrimi i legjislacionit kombëtar me Rregulloren e Përgjithshme të BE-së për Mbrojtjen e të Dhënave Personale (GDPR) dhe Direktivën e Policisë”, </w:t>
      </w:r>
      <w:r w:rsidRPr="000F0607">
        <w:rPr>
          <w:rFonts w:ascii="Times New Roman" w:hAnsi="Times New Roman"/>
          <w:sz w:val="28"/>
          <w:szCs w:val="28"/>
        </w:rPr>
        <w:t>i cili synon përafrimin e legjislacionit kombëtar në fuqi për mbrojtjen e të dhënave personale, me acquis-në e BE-së në këtë fushë.</w:t>
      </w:r>
    </w:p>
    <w:p w14:paraId="0EB28352" w14:textId="77777777" w:rsidR="0098201E"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Komponenti 2: </w:t>
      </w:r>
      <w:r w:rsidRPr="000F0607">
        <w:rPr>
          <w:rFonts w:ascii="Times New Roman" w:hAnsi="Times New Roman"/>
          <w:i/>
          <w:sz w:val="28"/>
          <w:szCs w:val="28"/>
        </w:rPr>
        <w:t>“Ngritja e kapaciteteve për zbatimin e kuadrit të ri ligjor mbi mbrojtjen e të dhënave personale”</w:t>
      </w:r>
      <w:r w:rsidRPr="000F0607">
        <w:rPr>
          <w:rFonts w:ascii="Times New Roman" w:hAnsi="Times New Roman"/>
          <w:sz w:val="28"/>
          <w:szCs w:val="28"/>
        </w:rPr>
        <w:t>, i cili ka si qëllim t’i ofrojë Zyrës së Komisionerit njohuritë dhe instrumentet organizative për të trajtuar sfidat e mundshme në lidhje me zbatimin e kuadrit të ri ligjor për mbrojtjen e të dhënave personale në Shqipëri.</w:t>
      </w:r>
    </w:p>
    <w:p w14:paraId="716486B3" w14:textId="77777777" w:rsidR="0098201E"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Komponenti 3: </w:t>
      </w:r>
      <w:r w:rsidRPr="000F0607">
        <w:rPr>
          <w:rFonts w:ascii="Times New Roman" w:hAnsi="Times New Roman"/>
          <w:i/>
          <w:sz w:val="28"/>
          <w:szCs w:val="28"/>
        </w:rPr>
        <w:t>“Rritja e ndërgjegjësimit tek kontrolluesit dhe përpunuesit në mënyrë që të sigurohet veprimtaria e tyre në përputhje me kuadrin e ri ligjor”</w:t>
      </w:r>
      <w:r w:rsidRPr="000F0607">
        <w:rPr>
          <w:rFonts w:ascii="Times New Roman" w:hAnsi="Times New Roman"/>
          <w:sz w:val="28"/>
          <w:szCs w:val="28"/>
        </w:rPr>
        <w:t xml:space="preserve">, i cili ka për qëllim të ofrojë të gjitha njohuritë dhe përditësimet e fundit në lidhje me ligjin e ri shqiptar për mbrojtjen e të dhënave personale, nëpërmjet trajnimeve të grupeve të veçanta në fokus nga sektori publik, privat dhe shoqëria civile. </w:t>
      </w:r>
    </w:p>
    <w:p w14:paraId="5BAB5192" w14:textId="1CD823B3" w:rsidR="00D15AD5" w:rsidRPr="000F0607" w:rsidRDefault="0098201E"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Sa më sipër, projektligji i propozuar është hartuar nga Zyra e Komisionerit me kontributin e ekspertëve të projektit të binjakëzimit të cilët asistuan Zyrën e Komisionerit në këtë proces. </w:t>
      </w:r>
    </w:p>
    <w:p w14:paraId="075E3173" w14:textId="20939024" w:rsidR="001D0FCD" w:rsidRPr="000F0607" w:rsidRDefault="008F24DA" w:rsidP="001D0FCD">
      <w:pPr>
        <w:tabs>
          <w:tab w:val="left" w:pos="7155"/>
        </w:tabs>
        <w:jc w:val="both"/>
        <w:rPr>
          <w:rFonts w:ascii="Times New Roman" w:hAnsi="Times New Roman"/>
          <w:sz w:val="28"/>
          <w:szCs w:val="28"/>
        </w:rPr>
      </w:pPr>
      <w:r w:rsidRPr="000F0607">
        <w:rPr>
          <w:rFonts w:ascii="Times New Roman" w:hAnsi="Times New Roman"/>
          <w:sz w:val="28"/>
          <w:szCs w:val="28"/>
        </w:rPr>
        <w:t xml:space="preserve">1. </w:t>
      </w:r>
      <w:r w:rsidR="001D0FCD" w:rsidRPr="000F0607">
        <w:rPr>
          <w:rFonts w:ascii="Times New Roman" w:hAnsi="Times New Roman"/>
          <w:sz w:val="28"/>
          <w:szCs w:val="28"/>
        </w:rPr>
        <w:t xml:space="preserve">Projektligji i është dërguar për mendim </w:t>
      </w:r>
      <w:r w:rsidR="00C815D4" w:rsidRPr="000F0607">
        <w:rPr>
          <w:rFonts w:ascii="Times New Roman" w:hAnsi="Times New Roman"/>
          <w:sz w:val="28"/>
          <w:szCs w:val="28"/>
        </w:rPr>
        <w:t xml:space="preserve">nëpërmjet sistemit e-akte </w:t>
      </w:r>
      <w:r w:rsidR="001D0FCD" w:rsidRPr="000F0607">
        <w:rPr>
          <w:rFonts w:ascii="Times New Roman" w:hAnsi="Times New Roman"/>
          <w:sz w:val="28"/>
          <w:szCs w:val="28"/>
        </w:rPr>
        <w:t>të gjitha ministrive të linjës, si dhe Agjencisë Kombëtare të Shoqërisë së Informacionit, Departamentit të Administratës Publike, Agjencisë Shtetërore të Kadastrës dhe Agjencisë së Prokurimit Publik.</w:t>
      </w:r>
    </w:p>
    <w:p w14:paraId="1A364C22" w14:textId="45B5F090" w:rsidR="0098201E" w:rsidRPr="000F0607" w:rsidRDefault="001D0FCD" w:rsidP="0098201E">
      <w:pPr>
        <w:tabs>
          <w:tab w:val="left" w:pos="7155"/>
        </w:tabs>
        <w:jc w:val="both"/>
        <w:rPr>
          <w:rFonts w:ascii="Times New Roman" w:hAnsi="Times New Roman"/>
          <w:sz w:val="28"/>
          <w:szCs w:val="28"/>
        </w:rPr>
      </w:pPr>
      <w:r w:rsidRPr="000F0607">
        <w:rPr>
          <w:rFonts w:ascii="Times New Roman" w:hAnsi="Times New Roman"/>
          <w:sz w:val="28"/>
          <w:szCs w:val="28"/>
        </w:rPr>
        <w:t>Nga këto institucione, nuk kanë përcjellë mendim Ministri i Shtetit për Marrëdhëniet me Parlamentin</w:t>
      </w:r>
      <w:r w:rsidR="00C815D4" w:rsidRPr="000F0607">
        <w:rPr>
          <w:rFonts w:ascii="Times New Roman" w:hAnsi="Times New Roman"/>
          <w:sz w:val="28"/>
          <w:szCs w:val="28"/>
        </w:rPr>
        <w:t>,</w:t>
      </w:r>
      <w:r w:rsidRPr="000F0607">
        <w:rPr>
          <w:rFonts w:ascii="Times New Roman" w:hAnsi="Times New Roman"/>
          <w:sz w:val="28"/>
          <w:szCs w:val="28"/>
        </w:rPr>
        <w:t xml:space="preserve"> AKSHI</w:t>
      </w:r>
      <w:r w:rsidR="00C815D4" w:rsidRPr="000F0607">
        <w:rPr>
          <w:rFonts w:ascii="Times New Roman" w:hAnsi="Times New Roman"/>
          <w:sz w:val="28"/>
          <w:szCs w:val="28"/>
        </w:rPr>
        <w:t xml:space="preserve"> dhe ASHK</w:t>
      </w:r>
      <w:r w:rsidRPr="000F0607">
        <w:rPr>
          <w:rFonts w:ascii="Times New Roman" w:hAnsi="Times New Roman"/>
          <w:sz w:val="28"/>
          <w:szCs w:val="28"/>
        </w:rPr>
        <w:t xml:space="preserve">. </w:t>
      </w:r>
    </w:p>
    <w:p w14:paraId="14F426AD" w14:textId="30C07645" w:rsidR="001D0FCD" w:rsidRPr="000F0607" w:rsidRDefault="00C815D4"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 </w:t>
      </w:r>
      <w:r w:rsidR="001D0FCD" w:rsidRPr="000F0607">
        <w:rPr>
          <w:rFonts w:ascii="Times New Roman" w:hAnsi="Times New Roman"/>
          <w:sz w:val="28"/>
          <w:szCs w:val="28"/>
        </w:rPr>
        <w:t>DAP ka përcjellë komente mbi çështjet e pagës së Komisionerit dhe nëpunësve të Zyrës së tij, organikën dhe strukturën e Zyrës së Komisionerit, marrëdhëniet e punës së nëpunësve të saj</w:t>
      </w:r>
      <w:r w:rsidRPr="000F0607">
        <w:rPr>
          <w:rFonts w:ascii="Times New Roman" w:hAnsi="Times New Roman"/>
          <w:sz w:val="28"/>
          <w:szCs w:val="28"/>
        </w:rPr>
        <w:t>. Të gjitha komente janë pranuar dhe në projektligj janë kryer ndryshimet e nevojshme.</w:t>
      </w:r>
    </w:p>
    <w:p w14:paraId="7AA6C208" w14:textId="550A6DAC" w:rsidR="00C815D4" w:rsidRPr="000F0607" w:rsidRDefault="00C815D4" w:rsidP="0098201E">
      <w:pPr>
        <w:tabs>
          <w:tab w:val="left" w:pos="7155"/>
        </w:tabs>
        <w:jc w:val="both"/>
        <w:rPr>
          <w:rFonts w:ascii="Times New Roman" w:hAnsi="Times New Roman"/>
          <w:sz w:val="28"/>
          <w:szCs w:val="28"/>
        </w:rPr>
      </w:pPr>
      <w:r w:rsidRPr="000F0607">
        <w:rPr>
          <w:rFonts w:ascii="Times New Roman" w:hAnsi="Times New Roman"/>
          <w:sz w:val="28"/>
          <w:szCs w:val="28"/>
        </w:rPr>
        <w:t>- Agjencia e Prokurimit Publik ka kthyer përgjigje duke mos përcjellë komente, por duke u shprehur se projektligji i përcjellë për mendim nuk është në fushën e veprimtarisë së saj. Në lidhje me këtë çështje sqarohet se projektligji është përcjellë për mendim për shkak të detyrimeve që ngarkohen institucioneve publike dhe si i tillë nevojitet mendimi i të gjitha institucioneve.</w:t>
      </w:r>
    </w:p>
    <w:p w14:paraId="0C1E4BC2" w14:textId="7B912A74" w:rsidR="00C815D4" w:rsidRPr="000F0607" w:rsidRDefault="00C815D4" w:rsidP="00C815D4">
      <w:pPr>
        <w:tabs>
          <w:tab w:val="left" w:pos="7155"/>
        </w:tabs>
        <w:jc w:val="both"/>
        <w:rPr>
          <w:rFonts w:ascii="Times New Roman" w:hAnsi="Times New Roman"/>
          <w:sz w:val="28"/>
          <w:szCs w:val="28"/>
        </w:rPr>
      </w:pPr>
      <w:r w:rsidRPr="000F0607">
        <w:rPr>
          <w:rFonts w:ascii="Times New Roman" w:hAnsi="Times New Roman"/>
          <w:sz w:val="28"/>
          <w:szCs w:val="28"/>
        </w:rPr>
        <w:t>- Ministria e Shëndetësisë dhe Mbrojtjes Sociale ka përcjellë dy komente ku kërkohet rishikimi i masave të sanksioneve administrative, koment i cili është pranuar, si dhe ku kërkohet shtimi i një neni ku parashikohet përpunimi i ligjshëm i të dhënave personale për personat përfitues të pagesave të ndihmës ekonomike dhe aftësisë së kufizuar, si edhe për të bërë të mundur ndërveprimin midis Sistemit të Menaxhimit të Informacionit për përfituesit e skemës së ndihmës ekonomike dhe aftësisë së kufizuar me Sistemin TIMS. Në lidhje me këtë koment sqarojmë se projektligji përcakton detyrimin për mbrojtjen e të dhënave personale në përgjithësi, pa detajuar çdo qëllim apo veprim përpunimi. Çështjet e ngritura në koment janë objekt rregullimi nga legjislacioni sektorial ose aktet nënligjore të secilit institucion, në përputhje me dispozitat e këtij projektligji.</w:t>
      </w:r>
    </w:p>
    <w:p w14:paraId="0B16A000" w14:textId="4E2FF193" w:rsidR="00C815D4" w:rsidRPr="000F0607" w:rsidRDefault="00C815D4" w:rsidP="00C815D4">
      <w:pPr>
        <w:tabs>
          <w:tab w:val="left" w:pos="7155"/>
        </w:tabs>
        <w:jc w:val="both"/>
        <w:rPr>
          <w:rFonts w:ascii="Times New Roman" w:hAnsi="Times New Roman"/>
          <w:sz w:val="28"/>
          <w:szCs w:val="28"/>
        </w:rPr>
      </w:pPr>
      <w:r w:rsidRPr="000F0607">
        <w:rPr>
          <w:rFonts w:ascii="Times New Roman" w:hAnsi="Times New Roman"/>
          <w:sz w:val="28"/>
          <w:szCs w:val="28"/>
        </w:rPr>
        <w:t>- Ministria e Infrastrukturës dhe Energjisë, si dhe Ministria për Evropën dhe Punët e Jashtme ka përcjellë komente në lidhje me tabelat e përputhshmërisë për të cilat janë reflektuar.</w:t>
      </w:r>
    </w:p>
    <w:p w14:paraId="3733AD12" w14:textId="23B5ADF6" w:rsidR="00C96A92" w:rsidRPr="000F0607" w:rsidRDefault="00C815D4" w:rsidP="00C815D4">
      <w:pPr>
        <w:tabs>
          <w:tab w:val="left" w:pos="7155"/>
        </w:tabs>
        <w:jc w:val="both"/>
        <w:rPr>
          <w:rFonts w:ascii="Times New Roman" w:hAnsi="Times New Roman"/>
          <w:sz w:val="28"/>
          <w:szCs w:val="28"/>
        </w:rPr>
      </w:pPr>
      <w:r w:rsidRPr="000F0607">
        <w:rPr>
          <w:rFonts w:ascii="Times New Roman" w:hAnsi="Times New Roman"/>
          <w:sz w:val="28"/>
          <w:szCs w:val="28"/>
        </w:rPr>
        <w:t xml:space="preserve">- Ministria e Brendshme ka përcjellë komente që lidhen me </w:t>
      </w:r>
      <w:r w:rsidR="00C96A92" w:rsidRPr="000F0607">
        <w:rPr>
          <w:rFonts w:ascii="Times New Roman" w:hAnsi="Times New Roman"/>
          <w:sz w:val="28"/>
          <w:szCs w:val="28"/>
        </w:rPr>
        <w:t>formulimin e disa dispozitave të projektligjit ku shumica e tyre janë reflektuar, ndërsa për dispozitat e tjera sqarojmë, se ato janë formuluar në mënyrë të tillë që të arrihet përputhshmëria e plotë me dispozitat e GDPR dhe Direktivës së Policisë. Sa i  përket komentit mbi korrigjimin e të dhënave të gjendjes civile, sqarojmë se kjo çështje është objekt rregullimi nga legjislacioni sektorial ose aktet nënligjore të secilit institucion, në përputhje me dispozitat e këtij projektligji.</w:t>
      </w:r>
    </w:p>
    <w:p w14:paraId="36EE9C72" w14:textId="7AF483CC" w:rsidR="00C96A92" w:rsidRPr="000F0607" w:rsidRDefault="00C96A92" w:rsidP="0098201E">
      <w:pPr>
        <w:tabs>
          <w:tab w:val="left" w:pos="7155"/>
        </w:tabs>
        <w:jc w:val="both"/>
        <w:rPr>
          <w:rFonts w:ascii="Times New Roman" w:hAnsi="Times New Roman"/>
          <w:sz w:val="28"/>
          <w:szCs w:val="28"/>
        </w:rPr>
      </w:pPr>
      <w:r w:rsidRPr="000F0607">
        <w:rPr>
          <w:rFonts w:ascii="Times New Roman" w:hAnsi="Times New Roman"/>
          <w:sz w:val="28"/>
          <w:szCs w:val="28"/>
        </w:rPr>
        <w:t>- Ministria e Arsimit dhe Sportit ka përcjellë komente që lidhen kryesisht me teknikën legjislative, si dhe me kriteret që duhet të përmbushë kandidati për Komisioner, të cilat janë reflektuar.</w:t>
      </w:r>
    </w:p>
    <w:p w14:paraId="37B00739" w14:textId="50CACF06" w:rsidR="002E0739" w:rsidRDefault="00C96A92" w:rsidP="0098201E">
      <w:pPr>
        <w:tabs>
          <w:tab w:val="left" w:pos="7155"/>
        </w:tabs>
        <w:jc w:val="both"/>
        <w:rPr>
          <w:rFonts w:ascii="Times New Roman" w:hAnsi="Times New Roman"/>
          <w:sz w:val="28"/>
          <w:szCs w:val="28"/>
        </w:rPr>
      </w:pPr>
      <w:r w:rsidRPr="000F0607">
        <w:rPr>
          <w:rFonts w:ascii="Times New Roman" w:hAnsi="Times New Roman"/>
          <w:sz w:val="28"/>
          <w:szCs w:val="28"/>
        </w:rPr>
        <w:t>- Ministria e Financave dhe Ekonomisë ka kërkuar që të paraqite</w:t>
      </w:r>
      <w:r w:rsidR="000F0607" w:rsidRPr="000F0607">
        <w:rPr>
          <w:rFonts w:ascii="Times New Roman" w:hAnsi="Times New Roman"/>
          <w:sz w:val="28"/>
          <w:szCs w:val="28"/>
        </w:rPr>
        <w:t>n</w:t>
      </w:r>
      <w:r w:rsidRPr="000F0607">
        <w:rPr>
          <w:rFonts w:ascii="Times New Roman" w:hAnsi="Times New Roman"/>
          <w:sz w:val="28"/>
          <w:szCs w:val="28"/>
        </w:rPr>
        <w:t xml:space="preserve"> kostot e plota të projektligjit</w:t>
      </w:r>
      <w:r w:rsidR="000F0607" w:rsidRPr="000F0607">
        <w:rPr>
          <w:rFonts w:ascii="Times New Roman" w:hAnsi="Times New Roman"/>
          <w:sz w:val="28"/>
          <w:szCs w:val="28"/>
        </w:rPr>
        <w:t xml:space="preserve">, që janë shënuar në seksionin raportit të vlerësimit të të ardhurave dhe shpenzimeve buxhetore. </w:t>
      </w:r>
      <w:r w:rsidR="002E0739" w:rsidRPr="000F0607">
        <w:rPr>
          <w:rFonts w:ascii="Times New Roman" w:hAnsi="Times New Roman"/>
          <w:sz w:val="28"/>
          <w:szCs w:val="28"/>
        </w:rPr>
        <w:t>Komentet e tjera lidhen me formulimin e dispozitave të projektligjit për të cilat sqarojmë, se ato janë formuluar në mënyrë të tillë që të arrihet përputhshmëria e plotë me dispozitat e GDPR dhe Direktivës së Policisë. Për shkak të natyrës së Rregulloreve të cilat nuk i japin mundësi shteteve të kryejnë ndryshime të dispozitave ato janë formuluar në mënyrë të tillë që të jenë të njëjta me dispozitat e GDPR. Sa më sipër, edhe dispozitat në lidhje me tarifat, akreditimin dhe certifikimin e subjekteve private</w:t>
      </w:r>
      <w:r w:rsidR="008F24DA" w:rsidRPr="000F0607">
        <w:rPr>
          <w:rFonts w:ascii="Times New Roman" w:hAnsi="Times New Roman"/>
          <w:sz w:val="28"/>
          <w:szCs w:val="28"/>
        </w:rPr>
        <w:t>, si dhe dispozitat e tjera për të cilat janë paraqitur komente,</w:t>
      </w:r>
      <w:r w:rsidR="002E0739" w:rsidRPr="000F0607">
        <w:rPr>
          <w:rFonts w:ascii="Times New Roman" w:hAnsi="Times New Roman"/>
          <w:sz w:val="28"/>
          <w:szCs w:val="28"/>
        </w:rPr>
        <w:t xml:space="preserve"> janë formuluar në mënyrë të tillë që të jenë në përputhje me dispozitat legjislacionit të BE për këtë fushë.</w:t>
      </w:r>
      <w:r w:rsidR="008F24DA" w:rsidRPr="000F0607">
        <w:rPr>
          <w:rFonts w:ascii="Times New Roman" w:hAnsi="Times New Roman"/>
          <w:sz w:val="28"/>
          <w:szCs w:val="28"/>
        </w:rPr>
        <w:t xml:space="preserve"> Komentet në lidhje me komentet e tjera sqarojmë se ato janë reflektuar, si dhe janë dhën</w:t>
      </w:r>
      <w:r w:rsidR="000F0607" w:rsidRPr="000F0607">
        <w:rPr>
          <w:rFonts w:ascii="Times New Roman" w:hAnsi="Times New Roman"/>
          <w:sz w:val="28"/>
          <w:szCs w:val="28"/>
        </w:rPr>
        <w:t>ë shpjegimet në këtë relacion.</w:t>
      </w:r>
      <w:r w:rsidR="00D23550">
        <w:rPr>
          <w:rFonts w:ascii="Times New Roman" w:hAnsi="Times New Roman"/>
          <w:sz w:val="28"/>
          <w:szCs w:val="28"/>
        </w:rPr>
        <w:t xml:space="preserve"> Gjithashtu, për të siguruar zbatimin e drejtë të këtij ligji, Komisioneri në përmbushje të kompetencave të tij, do të publikojë </w:t>
      </w:r>
      <w:r w:rsidR="00D23550" w:rsidRPr="003B10E7">
        <w:rPr>
          <w:rFonts w:ascii="Times New Roman" w:hAnsi="Times New Roman"/>
          <w:sz w:val="28"/>
          <w:szCs w:val="28"/>
        </w:rPr>
        <w:t>rekomandime</w:t>
      </w:r>
      <w:r w:rsidR="00D23550">
        <w:rPr>
          <w:rFonts w:ascii="Times New Roman" w:hAnsi="Times New Roman"/>
          <w:sz w:val="28"/>
          <w:szCs w:val="28"/>
        </w:rPr>
        <w:t xml:space="preserve"> </w:t>
      </w:r>
      <w:r w:rsidR="00D23550" w:rsidRPr="003B10E7">
        <w:rPr>
          <w:rFonts w:ascii="Times New Roman" w:hAnsi="Times New Roman"/>
          <w:sz w:val="28"/>
          <w:szCs w:val="28"/>
        </w:rPr>
        <w:t xml:space="preserve">për zbatimin e kërkesave të </w:t>
      </w:r>
      <w:r w:rsidR="00D23550">
        <w:rPr>
          <w:rFonts w:ascii="Times New Roman" w:hAnsi="Times New Roman"/>
          <w:sz w:val="28"/>
          <w:szCs w:val="28"/>
        </w:rPr>
        <w:t xml:space="preserve">këtij </w:t>
      </w:r>
      <w:r w:rsidR="00D23550" w:rsidRPr="003B10E7">
        <w:rPr>
          <w:rFonts w:ascii="Times New Roman" w:hAnsi="Times New Roman"/>
          <w:sz w:val="28"/>
          <w:szCs w:val="28"/>
        </w:rPr>
        <w:t>ligji</w:t>
      </w:r>
      <w:r w:rsidR="00D23550">
        <w:rPr>
          <w:rFonts w:ascii="Times New Roman" w:hAnsi="Times New Roman"/>
          <w:sz w:val="28"/>
          <w:szCs w:val="28"/>
        </w:rPr>
        <w:t xml:space="preserve">, si dhe udhëzues </w:t>
      </w:r>
      <w:r w:rsidR="00D23550" w:rsidRPr="003B10E7">
        <w:rPr>
          <w:rFonts w:ascii="Times New Roman" w:hAnsi="Times New Roman"/>
          <w:sz w:val="28"/>
          <w:szCs w:val="28"/>
        </w:rPr>
        <w:t>me shpjegime për zbatimin e detyrimeve që burojnë nga ky ligj, që ndër të tjera përfshijnë kohëzgjatjen e ligjshme të ruajtjes së të dhënave personale ose masat e sigurisë në sektorë të ndryshëm të aktiviteteve të përpunimit</w:t>
      </w:r>
      <w:r w:rsidR="00D23550">
        <w:rPr>
          <w:rFonts w:ascii="Times New Roman" w:hAnsi="Times New Roman"/>
          <w:sz w:val="28"/>
          <w:szCs w:val="28"/>
        </w:rPr>
        <w:t>.</w:t>
      </w:r>
    </w:p>
    <w:p w14:paraId="05636C8C" w14:textId="2FAFA8E7" w:rsidR="00D15AD5" w:rsidRPr="00D15AD5" w:rsidRDefault="00D15AD5" w:rsidP="0098201E">
      <w:pPr>
        <w:tabs>
          <w:tab w:val="left" w:pos="7155"/>
        </w:tabs>
        <w:jc w:val="both"/>
        <w:rPr>
          <w:rFonts w:ascii="Times New Roman" w:hAnsi="Times New Roman"/>
          <w:sz w:val="28"/>
          <w:szCs w:val="28"/>
        </w:rPr>
      </w:pPr>
      <w:r>
        <w:rPr>
          <w:rFonts w:ascii="Times New Roman" w:hAnsi="Times New Roman"/>
          <w:sz w:val="28"/>
          <w:szCs w:val="28"/>
        </w:rPr>
        <w:t>Në lidhje me komentin mbi arkëtimin e gjobave sipas pikës 2 të nenit 97, sqarojmë se dispozita është hartuar në përputhje me shkronjën “b”, të pikës 1, të nenit 41 të ligjit n</w:t>
      </w:r>
      <w:r w:rsidRPr="00D15AD5">
        <w:rPr>
          <w:rFonts w:ascii="Times New Roman" w:hAnsi="Times New Roman"/>
          <w:sz w:val="28"/>
          <w:szCs w:val="28"/>
        </w:rPr>
        <w:t xml:space="preserve">r. 10 279, datë 20.5.2010 </w:t>
      </w:r>
      <w:r>
        <w:rPr>
          <w:rFonts w:ascii="Times New Roman" w:hAnsi="Times New Roman"/>
          <w:sz w:val="28"/>
          <w:szCs w:val="28"/>
        </w:rPr>
        <w:t>“P</w:t>
      </w:r>
      <w:r w:rsidRPr="00D15AD5">
        <w:rPr>
          <w:rFonts w:ascii="Times New Roman" w:hAnsi="Times New Roman"/>
          <w:sz w:val="28"/>
          <w:szCs w:val="28"/>
        </w:rPr>
        <w:t>ër kundërvajtjet administrative</w:t>
      </w:r>
      <w:r>
        <w:rPr>
          <w:rFonts w:ascii="Times New Roman" w:hAnsi="Times New Roman"/>
          <w:sz w:val="28"/>
          <w:szCs w:val="28"/>
        </w:rPr>
        <w:t>”, që parashikon se “</w:t>
      </w:r>
      <w:r w:rsidRPr="00D15AD5">
        <w:rPr>
          <w:rFonts w:ascii="Times New Roman" w:hAnsi="Times New Roman"/>
          <w:i/>
          <w:sz w:val="28"/>
          <w:szCs w:val="28"/>
        </w:rPr>
        <w:t>1. Të ardhurat nga gjobat dhe të ardhurat e tjera, të mbledhura në zbatim të dispozitave të këtij ligji, kalojnë në Buxhetin e Shtetit, me përjashtim</w:t>
      </w:r>
      <w:r>
        <w:rPr>
          <w:rFonts w:ascii="Times New Roman" w:hAnsi="Times New Roman"/>
          <w:i/>
          <w:sz w:val="28"/>
          <w:szCs w:val="28"/>
        </w:rPr>
        <w:t>: ... b) t</w:t>
      </w:r>
      <w:r w:rsidRPr="00D15AD5">
        <w:rPr>
          <w:rFonts w:ascii="Times New Roman" w:hAnsi="Times New Roman"/>
          <w:i/>
          <w:sz w:val="28"/>
          <w:szCs w:val="28"/>
        </w:rPr>
        <w:t>ë rasteve kur ligji i posaçëm ka vendosur ndryshe.</w:t>
      </w:r>
      <w:r>
        <w:rPr>
          <w:rFonts w:ascii="Times New Roman" w:hAnsi="Times New Roman"/>
          <w:i/>
          <w:sz w:val="28"/>
          <w:szCs w:val="28"/>
        </w:rPr>
        <w:t xml:space="preserve">” </w:t>
      </w:r>
      <w:r>
        <w:rPr>
          <w:rFonts w:ascii="Times New Roman" w:hAnsi="Times New Roman"/>
          <w:sz w:val="28"/>
          <w:szCs w:val="28"/>
        </w:rPr>
        <w:t>Përmes kësaj dispozite synohet që të rritet pavarësia e institucionit në përputhj</w:t>
      </w:r>
      <w:r w:rsidR="00F750E6">
        <w:rPr>
          <w:rFonts w:ascii="Times New Roman" w:hAnsi="Times New Roman"/>
          <w:sz w:val="28"/>
          <w:szCs w:val="28"/>
        </w:rPr>
        <w:t>e me kërkesat e GDPR dhe jo vetëm financimi i aktivitetit të tij.</w:t>
      </w:r>
    </w:p>
    <w:p w14:paraId="16B709C9" w14:textId="5E2A36F6" w:rsidR="00C815D4" w:rsidRPr="000F0607" w:rsidRDefault="00C815D4" w:rsidP="0098201E">
      <w:pPr>
        <w:tabs>
          <w:tab w:val="left" w:pos="7155"/>
        </w:tabs>
        <w:jc w:val="both"/>
        <w:rPr>
          <w:rFonts w:ascii="Times New Roman" w:hAnsi="Times New Roman"/>
          <w:sz w:val="28"/>
          <w:szCs w:val="28"/>
        </w:rPr>
      </w:pPr>
      <w:r w:rsidRPr="000F0607">
        <w:rPr>
          <w:rFonts w:ascii="Times New Roman" w:hAnsi="Times New Roman"/>
          <w:sz w:val="28"/>
          <w:szCs w:val="28"/>
        </w:rPr>
        <w:t xml:space="preserve">Ministria e Mbrojtjes, Ministria e Bujqësisë dhe Zhvillimit Rural, Ministria e Kulturës, Ministria e Turizmit dhe Mjedisit, Ministri i Shtetit për Mbrojtjen e Sipërmarrjes, </w:t>
      </w:r>
      <w:r w:rsidR="008F24DA" w:rsidRPr="000F0607">
        <w:rPr>
          <w:rFonts w:ascii="Times New Roman" w:hAnsi="Times New Roman"/>
          <w:sz w:val="28"/>
          <w:szCs w:val="28"/>
        </w:rPr>
        <w:t xml:space="preserve">Ministri i Shtetit për Standardet e Shërbimeve, </w:t>
      </w:r>
      <w:r w:rsidRPr="000F0607">
        <w:rPr>
          <w:rFonts w:ascii="Times New Roman" w:hAnsi="Times New Roman"/>
          <w:sz w:val="28"/>
          <w:szCs w:val="28"/>
        </w:rPr>
        <w:t>Ministri i Shtetit për Rininë dhe Fëmijët janë shprehur dakord.</w:t>
      </w:r>
    </w:p>
    <w:p w14:paraId="6CB2A249" w14:textId="771C0153" w:rsidR="00C2518D" w:rsidRPr="000F0607" w:rsidRDefault="00DC5F24" w:rsidP="00C2518D">
      <w:pPr>
        <w:tabs>
          <w:tab w:val="left" w:pos="7155"/>
        </w:tabs>
        <w:jc w:val="both"/>
        <w:rPr>
          <w:rFonts w:ascii="Times New Roman" w:hAnsi="Times New Roman"/>
          <w:sz w:val="28"/>
          <w:szCs w:val="28"/>
        </w:rPr>
      </w:pPr>
      <w:r w:rsidRPr="000F0607">
        <w:rPr>
          <w:rFonts w:ascii="Times New Roman" w:hAnsi="Times New Roman"/>
          <w:sz w:val="28"/>
          <w:szCs w:val="28"/>
        </w:rPr>
        <w:t xml:space="preserve">2. Projektligji i është dërguar për mendim me shkresën nr. 3363/3 prot., datë 14.06.2022, institucioneve të pavarura dhe atyre të krijuara me ligj. </w:t>
      </w:r>
      <w:r w:rsidR="00C2518D" w:rsidRPr="000F0607">
        <w:rPr>
          <w:rFonts w:ascii="Times New Roman" w:hAnsi="Times New Roman"/>
          <w:sz w:val="28"/>
          <w:szCs w:val="28"/>
        </w:rPr>
        <w:t>Nga këto institucione:</w:t>
      </w:r>
    </w:p>
    <w:p w14:paraId="530DBD69" w14:textId="77777777" w:rsidR="001151ED" w:rsidRPr="000F0607" w:rsidRDefault="001151ED" w:rsidP="001151ED">
      <w:pPr>
        <w:tabs>
          <w:tab w:val="left" w:pos="7155"/>
        </w:tabs>
        <w:jc w:val="both"/>
        <w:rPr>
          <w:rFonts w:ascii="Times New Roman" w:hAnsi="Times New Roman"/>
          <w:bCs/>
          <w:sz w:val="28"/>
          <w:szCs w:val="28"/>
        </w:rPr>
      </w:pPr>
      <w:r w:rsidRPr="000F0607">
        <w:rPr>
          <w:rFonts w:ascii="Times New Roman" w:hAnsi="Times New Roman"/>
          <w:sz w:val="28"/>
          <w:szCs w:val="28"/>
        </w:rPr>
        <w:t xml:space="preserve">- nuk kanë përcjellë mendim: </w:t>
      </w:r>
      <w:r w:rsidRPr="000F0607">
        <w:rPr>
          <w:rFonts w:ascii="Times New Roman" w:hAnsi="Times New Roman"/>
          <w:bCs/>
          <w:sz w:val="28"/>
          <w:szCs w:val="28"/>
        </w:rPr>
        <w:t>Prokuroria e Përgjithshme, Shkolla e Magjistraturës, Inspektorati i Lartë i Deklarimit dhe Kontrollit të Pasurive dhe Konfliktit Të Interesave, Komisioneri për Mbikëqyrjen e Shërbimit Civil, Instituti i Studimeve të Krimeve dhe të Pasojave të Komunizmit në Shqipëri, Bordi i Mbikëqyrjes Publike, Këshilli Kombëtar i Kontabilitetit, Komisioni i Prokurimit Publik, Autoriteti për Informimin mbi Dokumentet e Ish-Sigurimit të Shtetit, Autoriteti i Komunikimeve Elektronike dhe Postare, Enti Rregullator i Sektorit të Furnizimit me Ujë dhe Largimit e Përpunimit të Ujërave të Ndotura, Enti Rregullator i Energjisë, Dhoma e Avokatisë së Shqipërisë, Dhoma Kombëtare e Noterisë, Dhoma Kombëtare e Përmbaruesve Gjyqësorë Privatë, Urdhri i Mjekëve, Urdhri i Infermierëve, si dhe Urdhri i Psikologut.</w:t>
      </w:r>
    </w:p>
    <w:p w14:paraId="1C4E8653" w14:textId="5FB2975F" w:rsidR="001151ED" w:rsidRPr="000F0607" w:rsidRDefault="00C2518D" w:rsidP="001151ED">
      <w:pPr>
        <w:tabs>
          <w:tab w:val="left" w:pos="7155"/>
        </w:tabs>
        <w:jc w:val="both"/>
        <w:rPr>
          <w:rFonts w:ascii="Times New Roman" w:hAnsi="Times New Roman"/>
          <w:bCs/>
          <w:sz w:val="28"/>
          <w:szCs w:val="28"/>
        </w:rPr>
      </w:pPr>
      <w:r w:rsidRPr="000F0607">
        <w:rPr>
          <w:rFonts w:ascii="Times New Roman" w:hAnsi="Times New Roman"/>
          <w:sz w:val="28"/>
          <w:szCs w:val="28"/>
        </w:rPr>
        <w:t>- kanë përcjellë dakordësinë:</w:t>
      </w:r>
      <w:r w:rsidR="001151ED" w:rsidRPr="000F0607">
        <w:rPr>
          <w:rFonts w:ascii="Times New Roman" w:hAnsi="Times New Roman"/>
          <w:bCs/>
          <w:sz w:val="28"/>
          <w:szCs w:val="28"/>
        </w:rPr>
        <w:t xml:space="preserve"> </w:t>
      </w:r>
      <w:r w:rsidR="00CC018A" w:rsidRPr="000F0607">
        <w:rPr>
          <w:rFonts w:ascii="Times New Roman" w:hAnsi="Times New Roman"/>
          <w:bCs/>
          <w:sz w:val="28"/>
          <w:szCs w:val="28"/>
        </w:rPr>
        <w:t xml:space="preserve">Kolegji i Posaçëm i Apelimit, Komisionerët Publikë, Komisioni Qendror i Zgjedhjeve, </w:t>
      </w:r>
      <w:r w:rsidR="001151ED" w:rsidRPr="000F0607">
        <w:rPr>
          <w:rFonts w:ascii="Times New Roman" w:hAnsi="Times New Roman"/>
          <w:bCs/>
          <w:sz w:val="28"/>
          <w:szCs w:val="28"/>
        </w:rPr>
        <w:t xml:space="preserve">Byroja Kombëtare e Hetimit, Prokuroria e Posaçme Kundër Korrupsionit dhe Krimit të Organizuar, </w:t>
      </w:r>
      <w:r w:rsidR="00CC018A" w:rsidRPr="000F0607">
        <w:rPr>
          <w:rFonts w:ascii="Times New Roman" w:hAnsi="Times New Roman"/>
          <w:sz w:val="28"/>
          <w:szCs w:val="28"/>
        </w:rPr>
        <w:t>Kontrolli i</w:t>
      </w:r>
      <w:r w:rsidR="00CC018A" w:rsidRPr="000F0607">
        <w:rPr>
          <w:rFonts w:ascii="Times New Roman" w:hAnsi="Times New Roman"/>
          <w:bCs/>
          <w:sz w:val="28"/>
          <w:szCs w:val="28"/>
        </w:rPr>
        <w:t xml:space="preserve"> </w:t>
      </w:r>
      <w:r w:rsidR="00CC018A" w:rsidRPr="000F0607">
        <w:rPr>
          <w:rFonts w:ascii="Times New Roman" w:hAnsi="Times New Roman"/>
          <w:sz w:val="28"/>
          <w:szCs w:val="28"/>
        </w:rPr>
        <w:t>Lartë i</w:t>
      </w:r>
      <w:r w:rsidR="00CC018A" w:rsidRPr="000F0607">
        <w:rPr>
          <w:rFonts w:ascii="Times New Roman" w:hAnsi="Times New Roman"/>
          <w:bCs/>
          <w:sz w:val="28"/>
          <w:szCs w:val="28"/>
        </w:rPr>
        <w:t xml:space="preserve"> </w:t>
      </w:r>
      <w:r w:rsidR="00CC018A" w:rsidRPr="000F0607">
        <w:rPr>
          <w:rFonts w:ascii="Times New Roman" w:hAnsi="Times New Roman"/>
          <w:sz w:val="28"/>
          <w:szCs w:val="28"/>
        </w:rPr>
        <w:t>Shtetit,</w:t>
      </w:r>
      <w:r w:rsidR="00CC018A" w:rsidRPr="000F0607">
        <w:rPr>
          <w:rFonts w:ascii="Times New Roman" w:hAnsi="Times New Roman"/>
          <w:bCs/>
          <w:sz w:val="28"/>
          <w:szCs w:val="28"/>
        </w:rPr>
        <w:t xml:space="preserve">Autoriteti i Konkurrencës, </w:t>
      </w:r>
      <w:r w:rsidR="001151ED" w:rsidRPr="000F0607">
        <w:rPr>
          <w:rFonts w:ascii="Times New Roman" w:hAnsi="Times New Roman"/>
          <w:bCs/>
          <w:sz w:val="28"/>
          <w:szCs w:val="28"/>
        </w:rPr>
        <w:t>Agjensia për Mbështetjen e Shoqërisë Civile,</w:t>
      </w:r>
      <w:r w:rsidR="001151ED" w:rsidRPr="000F0607">
        <w:rPr>
          <w:rFonts w:ascii="Times New Roman" w:hAnsi="Times New Roman"/>
          <w:sz w:val="28"/>
          <w:szCs w:val="28"/>
        </w:rPr>
        <w:t xml:space="preserve"> </w:t>
      </w:r>
      <w:r w:rsidR="001151ED" w:rsidRPr="000F0607">
        <w:rPr>
          <w:rFonts w:ascii="Times New Roman" w:hAnsi="Times New Roman"/>
          <w:bCs/>
          <w:sz w:val="28"/>
          <w:szCs w:val="28"/>
        </w:rPr>
        <w:t>Autoriteti i Mbikëqyrjes Financiare,</w:t>
      </w:r>
      <w:r w:rsidR="00CC018A" w:rsidRPr="000F0607">
        <w:rPr>
          <w:rFonts w:ascii="Times New Roman" w:hAnsi="Times New Roman"/>
          <w:bCs/>
          <w:sz w:val="28"/>
          <w:szCs w:val="28"/>
        </w:rPr>
        <w:t xml:space="preserve"> si</w:t>
      </w:r>
      <w:r w:rsidR="001151ED" w:rsidRPr="000F0607">
        <w:rPr>
          <w:rFonts w:ascii="Times New Roman" w:hAnsi="Times New Roman"/>
          <w:bCs/>
          <w:sz w:val="28"/>
          <w:szCs w:val="28"/>
        </w:rPr>
        <w:t xml:space="preserve"> dhe INSTAT.</w:t>
      </w:r>
    </w:p>
    <w:p w14:paraId="3A21E4D1" w14:textId="3DF766F8" w:rsidR="001151ED" w:rsidRPr="000F0607" w:rsidRDefault="00C2518D" w:rsidP="001151ED">
      <w:pPr>
        <w:tabs>
          <w:tab w:val="left" w:pos="7155"/>
        </w:tabs>
        <w:jc w:val="both"/>
        <w:rPr>
          <w:rFonts w:ascii="Times New Roman" w:hAnsi="Times New Roman"/>
          <w:bCs/>
          <w:sz w:val="28"/>
          <w:szCs w:val="28"/>
        </w:rPr>
      </w:pPr>
      <w:r w:rsidRPr="000F0607">
        <w:rPr>
          <w:rFonts w:ascii="Times New Roman" w:hAnsi="Times New Roman"/>
          <w:sz w:val="28"/>
          <w:szCs w:val="28"/>
        </w:rPr>
        <w:t xml:space="preserve">- kanë përcjellë komente: </w:t>
      </w:r>
      <w:r w:rsidRPr="000F0607">
        <w:rPr>
          <w:rFonts w:ascii="Times New Roman" w:hAnsi="Times New Roman"/>
          <w:bCs/>
          <w:sz w:val="28"/>
          <w:szCs w:val="28"/>
        </w:rPr>
        <w:t xml:space="preserve">Këshilli i Lartë Gjyqësor, </w:t>
      </w:r>
      <w:r w:rsidR="001151ED" w:rsidRPr="000F0607">
        <w:rPr>
          <w:rFonts w:ascii="Times New Roman" w:hAnsi="Times New Roman"/>
          <w:bCs/>
          <w:sz w:val="28"/>
          <w:szCs w:val="28"/>
        </w:rPr>
        <w:t>Këshilli i Lartë i Prokurorisë</w:t>
      </w:r>
      <w:r w:rsidRPr="000F0607">
        <w:rPr>
          <w:rFonts w:ascii="Times New Roman" w:hAnsi="Times New Roman"/>
          <w:bCs/>
          <w:sz w:val="28"/>
          <w:szCs w:val="28"/>
        </w:rPr>
        <w:t xml:space="preserve">, Komisioneri </w:t>
      </w:r>
      <w:r w:rsidR="001151ED" w:rsidRPr="000F0607">
        <w:rPr>
          <w:rFonts w:ascii="Times New Roman" w:hAnsi="Times New Roman"/>
          <w:bCs/>
          <w:sz w:val="28"/>
          <w:szCs w:val="28"/>
        </w:rPr>
        <w:t>p</w:t>
      </w:r>
      <w:r w:rsidRPr="000F0607">
        <w:rPr>
          <w:rFonts w:ascii="Times New Roman" w:hAnsi="Times New Roman"/>
          <w:bCs/>
          <w:sz w:val="28"/>
          <w:szCs w:val="28"/>
        </w:rPr>
        <w:t xml:space="preserve">ër Mbrojtjen </w:t>
      </w:r>
      <w:r w:rsidR="001151ED" w:rsidRPr="000F0607">
        <w:rPr>
          <w:rFonts w:ascii="Times New Roman" w:hAnsi="Times New Roman"/>
          <w:bCs/>
          <w:sz w:val="28"/>
          <w:szCs w:val="28"/>
        </w:rPr>
        <w:t>n</w:t>
      </w:r>
      <w:r w:rsidRPr="000F0607">
        <w:rPr>
          <w:rFonts w:ascii="Times New Roman" w:hAnsi="Times New Roman"/>
          <w:bCs/>
          <w:sz w:val="28"/>
          <w:szCs w:val="28"/>
        </w:rPr>
        <w:t>ga Diskriminimi, Avokati</w:t>
      </w:r>
      <w:r w:rsidR="001151ED" w:rsidRPr="000F0607">
        <w:rPr>
          <w:rFonts w:ascii="Times New Roman" w:hAnsi="Times New Roman"/>
          <w:bCs/>
          <w:sz w:val="28"/>
          <w:szCs w:val="28"/>
        </w:rPr>
        <w:t xml:space="preserve"> i</w:t>
      </w:r>
      <w:r w:rsidRPr="000F0607">
        <w:rPr>
          <w:rFonts w:ascii="Times New Roman" w:hAnsi="Times New Roman"/>
          <w:bCs/>
          <w:sz w:val="28"/>
          <w:szCs w:val="28"/>
        </w:rPr>
        <w:t xml:space="preserve"> Popullit, Inspektori </w:t>
      </w:r>
      <w:r w:rsidR="001151ED" w:rsidRPr="000F0607">
        <w:rPr>
          <w:rFonts w:ascii="Times New Roman" w:hAnsi="Times New Roman"/>
          <w:bCs/>
          <w:sz w:val="28"/>
          <w:szCs w:val="28"/>
        </w:rPr>
        <w:t>i</w:t>
      </w:r>
      <w:r w:rsidRPr="000F0607">
        <w:rPr>
          <w:rFonts w:ascii="Times New Roman" w:hAnsi="Times New Roman"/>
          <w:bCs/>
          <w:sz w:val="28"/>
          <w:szCs w:val="28"/>
        </w:rPr>
        <w:t xml:space="preserve"> Lartë </w:t>
      </w:r>
      <w:r w:rsidR="001151ED" w:rsidRPr="000F0607">
        <w:rPr>
          <w:rFonts w:ascii="Times New Roman" w:hAnsi="Times New Roman"/>
          <w:bCs/>
          <w:sz w:val="28"/>
          <w:szCs w:val="28"/>
        </w:rPr>
        <w:t>i</w:t>
      </w:r>
      <w:r w:rsidRPr="000F0607">
        <w:rPr>
          <w:rFonts w:ascii="Times New Roman" w:hAnsi="Times New Roman"/>
          <w:bCs/>
          <w:sz w:val="28"/>
          <w:szCs w:val="28"/>
        </w:rPr>
        <w:t xml:space="preserve"> Drejtësisë,</w:t>
      </w:r>
      <w:r w:rsidR="001151ED" w:rsidRPr="000F0607">
        <w:rPr>
          <w:rFonts w:ascii="Times New Roman" w:hAnsi="Times New Roman"/>
          <w:bCs/>
          <w:sz w:val="28"/>
          <w:szCs w:val="28"/>
        </w:rPr>
        <w:t xml:space="preserve"> Komisioni i Pavarur i Kualifikimit, </w:t>
      </w:r>
      <w:r w:rsidR="00CC018A" w:rsidRPr="000F0607">
        <w:rPr>
          <w:rFonts w:ascii="Times New Roman" w:hAnsi="Times New Roman"/>
          <w:bCs/>
          <w:sz w:val="28"/>
          <w:szCs w:val="28"/>
        </w:rPr>
        <w:t xml:space="preserve">Agjencia e Sigurimit të Depozitave, Autoriteti i Mediave Audiovizive, Banka e Shqipërisë, si dhe </w:t>
      </w:r>
      <w:r w:rsidR="001151ED" w:rsidRPr="000F0607">
        <w:rPr>
          <w:rFonts w:ascii="Times New Roman" w:hAnsi="Times New Roman"/>
          <w:bCs/>
          <w:sz w:val="28"/>
          <w:szCs w:val="28"/>
        </w:rPr>
        <w:t xml:space="preserve">Këshilli Konsultativ </w:t>
      </w:r>
      <w:r w:rsidR="00CC018A" w:rsidRPr="000F0607">
        <w:rPr>
          <w:rFonts w:ascii="Times New Roman" w:hAnsi="Times New Roman"/>
          <w:bCs/>
          <w:sz w:val="28"/>
          <w:szCs w:val="28"/>
        </w:rPr>
        <w:t>t</w:t>
      </w:r>
      <w:r w:rsidR="001151ED" w:rsidRPr="000F0607">
        <w:rPr>
          <w:rFonts w:ascii="Times New Roman" w:hAnsi="Times New Roman"/>
          <w:bCs/>
          <w:sz w:val="28"/>
          <w:szCs w:val="28"/>
        </w:rPr>
        <w:t xml:space="preserve">ë Qeverisjes Qendrore </w:t>
      </w:r>
      <w:r w:rsidR="00CC018A" w:rsidRPr="000F0607">
        <w:rPr>
          <w:rFonts w:ascii="Times New Roman" w:hAnsi="Times New Roman"/>
          <w:bCs/>
          <w:sz w:val="28"/>
          <w:szCs w:val="28"/>
        </w:rPr>
        <w:t>m</w:t>
      </w:r>
      <w:r w:rsidR="001151ED" w:rsidRPr="000F0607">
        <w:rPr>
          <w:rFonts w:ascii="Times New Roman" w:hAnsi="Times New Roman"/>
          <w:bCs/>
          <w:sz w:val="28"/>
          <w:szCs w:val="28"/>
        </w:rPr>
        <w:t>e Vetëqeverisjen Vendore</w:t>
      </w:r>
      <w:r w:rsidR="000038A0">
        <w:rPr>
          <w:rFonts w:ascii="Times New Roman" w:hAnsi="Times New Roman"/>
          <w:bCs/>
          <w:sz w:val="28"/>
          <w:szCs w:val="28"/>
        </w:rPr>
        <w:t>.</w:t>
      </w:r>
    </w:p>
    <w:p w14:paraId="31E6EFDD" w14:textId="36B37015" w:rsidR="00CC018A" w:rsidRDefault="005A4B81" w:rsidP="00CC018A">
      <w:pPr>
        <w:tabs>
          <w:tab w:val="left" w:pos="7155"/>
        </w:tabs>
        <w:jc w:val="both"/>
        <w:rPr>
          <w:rFonts w:ascii="Times New Roman" w:hAnsi="Times New Roman"/>
          <w:sz w:val="28"/>
          <w:szCs w:val="28"/>
        </w:rPr>
      </w:pPr>
      <w:r w:rsidRPr="000F0607">
        <w:rPr>
          <w:rFonts w:ascii="Times New Roman" w:hAnsi="Times New Roman"/>
          <w:bCs/>
          <w:sz w:val="28"/>
          <w:szCs w:val="28"/>
        </w:rPr>
        <w:t>- Këshilli i Lartë Gjyqësor</w:t>
      </w:r>
      <w:r w:rsidR="00CC018A" w:rsidRPr="000F0607">
        <w:rPr>
          <w:rFonts w:ascii="Times New Roman" w:hAnsi="Times New Roman"/>
          <w:bCs/>
          <w:sz w:val="28"/>
          <w:szCs w:val="28"/>
        </w:rPr>
        <w:t xml:space="preserve"> ka përcjellë komente që lidhen kryesisht me teknikën legjislative dhe që janë reflektuar në përmbajtje të projektligjit. </w:t>
      </w:r>
      <w:r w:rsidR="00CC018A" w:rsidRPr="000F0607">
        <w:rPr>
          <w:rFonts w:ascii="Times New Roman" w:hAnsi="Times New Roman"/>
          <w:sz w:val="28"/>
          <w:szCs w:val="28"/>
        </w:rPr>
        <w:t>Koment</w:t>
      </w:r>
      <w:r w:rsidR="008D1D93" w:rsidRPr="000F0607">
        <w:rPr>
          <w:rFonts w:ascii="Times New Roman" w:hAnsi="Times New Roman"/>
          <w:sz w:val="28"/>
          <w:szCs w:val="28"/>
        </w:rPr>
        <w:t xml:space="preserve">e janë dhënë edhe në </w:t>
      </w:r>
      <w:r w:rsidR="00CC018A" w:rsidRPr="000F0607">
        <w:rPr>
          <w:rFonts w:ascii="Times New Roman" w:hAnsi="Times New Roman"/>
          <w:sz w:val="28"/>
          <w:szCs w:val="28"/>
        </w:rPr>
        <w:t>lidh</w:t>
      </w:r>
      <w:r w:rsidR="008D1D93" w:rsidRPr="000F0607">
        <w:rPr>
          <w:rFonts w:ascii="Times New Roman" w:hAnsi="Times New Roman"/>
          <w:sz w:val="28"/>
          <w:szCs w:val="28"/>
        </w:rPr>
        <w:t>j</w:t>
      </w:r>
      <w:r w:rsidR="00CC018A" w:rsidRPr="000F0607">
        <w:rPr>
          <w:rFonts w:ascii="Times New Roman" w:hAnsi="Times New Roman"/>
          <w:sz w:val="28"/>
          <w:szCs w:val="28"/>
        </w:rPr>
        <w:t>e me formulimin e dispozitave të projektligjit për të cilat sqarojmë, se ato janë formuluar në mënyrë të tillë që të arrihet përputhshmëria e plotë me dispozitat e GDPR dhe Direktivës së Policisë. Për shkak të natyrës së Rregulloreve të cilat nuk i japin mundësi shteteve të kryejnë ndryshime të dispozitave</w:t>
      </w:r>
      <w:r w:rsidR="008D1D93" w:rsidRPr="000F0607">
        <w:rPr>
          <w:rFonts w:ascii="Times New Roman" w:hAnsi="Times New Roman"/>
          <w:sz w:val="28"/>
          <w:szCs w:val="28"/>
        </w:rPr>
        <w:t>,</w:t>
      </w:r>
      <w:r w:rsidR="00CC018A" w:rsidRPr="000F0607">
        <w:rPr>
          <w:rFonts w:ascii="Times New Roman" w:hAnsi="Times New Roman"/>
          <w:sz w:val="28"/>
          <w:szCs w:val="28"/>
        </w:rPr>
        <w:t xml:space="preserve"> ato janë formuluar në mënyrë të tillë që të jenë të njëjta me dispozitat e GDPR, ndërsa shpjegimet përkatëse janë dhënë edhe në relacionin shpjegues të projektligjit. Ndërkohë, KLP ka përcjellë një koment që lidhen me masën e sanksioneve administrative i cili është reflektuar.</w:t>
      </w:r>
    </w:p>
    <w:p w14:paraId="1CDFB35E" w14:textId="1FBDDFAA" w:rsidR="00E3221F" w:rsidRPr="000F0607" w:rsidRDefault="00E3221F" w:rsidP="00CC018A">
      <w:pPr>
        <w:tabs>
          <w:tab w:val="left" w:pos="7155"/>
        </w:tabs>
        <w:jc w:val="both"/>
        <w:rPr>
          <w:rFonts w:ascii="Times New Roman" w:hAnsi="Times New Roman"/>
          <w:sz w:val="28"/>
          <w:szCs w:val="28"/>
        </w:rPr>
      </w:pPr>
      <w:r>
        <w:rPr>
          <w:rFonts w:ascii="Times New Roman" w:hAnsi="Times New Roman"/>
          <w:sz w:val="28"/>
          <w:szCs w:val="28"/>
        </w:rPr>
        <w:t xml:space="preserve">- KPK ka përcjellë disa komente për të cilat vlen i njëjti argumenti si në rastin e komenteve të përcjella nga KLGJ. </w:t>
      </w:r>
    </w:p>
    <w:p w14:paraId="4E2AAAB4" w14:textId="5B677AB0" w:rsidR="00CC018A" w:rsidRPr="000F0607" w:rsidRDefault="008D1D93" w:rsidP="00CC018A">
      <w:pPr>
        <w:tabs>
          <w:tab w:val="left" w:pos="7155"/>
        </w:tabs>
        <w:jc w:val="both"/>
        <w:rPr>
          <w:rFonts w:ascii="Times New Roman" w:hAnsi="Times New Roman"/>
          <w:sz w:val="28"/>
          <w:szCs w:val="28"/>
        </w:rPr>
      </w:pPr>
      <w:r w:rsidRPr="000F0607">
        <w:rPr>
          <w:rFonts w:ascii="Times New Roman" w:hAnsi="Times New Roman"/>
          <w:sz w:val="28"/>
          <w:szCs w:val="28"/>
        </w:rPr>
        <w:t xml:space="preserve">- </w:t>
      </w:r>
      <w:r w:rsidR="00CC018A" w:rsidRPr="000F0607">
        <w:rPr>
          <w:rFonts w:ascii="Times New Roman" w:hAnsi="Times New Roman"/>
          <w:sz w:val="28"/>
          <w:szCs w:val="28"/>
        </w:rPr>
        <w:t>ILD ka përcjellë disa komente të cilat lidhen me teknikën legjislative të cilat janë pranuar dhe projektligji është ripunuar</w:t>
      </w:r>
      <w:r w:rsidRPr="000F0607">
        <w:rPr>
          <w:rFonts w:ascii="Times New Roman" w:hAnsi="Times New Roman"/>
          <w:sz w:val="28"/>
          <w:szCs w:val="28"/>
        </w:rPr>
        <w:t>. M</w:t>
      </w:r>
      <w:r w:rsidR="00ED59EB" w:rsidRPr="000F0607">
        <w:rPr>
          <w:rFonts w:ascii="Times New Roman" w:hAnsi="Times New Roman"/>
          <w:sz w:val="28"/>
          <w:szCs w:val="28"/>
        </w:rPr>
        <w:t>egjithatë</w:t>
      </w:r>
      <w:r w:rsidRPr="000F0607">
        <w:rPr>
          <w:rFonts w:ascii="Times New Roman" w:hAnsi="Times New Roman"/>
          <w:sz w:val="28"/>
          <w:szCs w:val="28"/>
        </w:rPr>
        <w:t>, për këto komente, si dhe për</w:t>
      </w:r>
      <w:r w:rsidR="00ED59EB" w:rsidRPr="000F0607">
        <w:rPr>
          <w:rFonts w:ascii="Times New Roman" w:hAnsi="Times New Roman"/>
          <w:sz w:val="28"/>
          <w:szCs w:val="28"/>
        </w:rPr>
        <w:t xml:space="preserve"> </w:t>
      </w:r>
      <w:r w:rsidRPr="000F0607">
        <w:rPr>
          <w:rFonts w:ascii="Times New Roman" w:hAnsi="Times New Roman"/>
          <w:sz w:val="28"/>
          <w:szCs w:val="28"/>
        </w:rPr>
        <w:t>komentet që lidhen dispozita specifike</w:t>
      </w:r>
      <w:r w:rsidR="00ED59EB" w:rsidRPr="000F0607">
        <w:rPr>
          <w:rFonts w:ascii="Times New Roman" w:hAnsi="Times New Roman"/>
          <w:sz w:val="28"/>
          <w:szCs w:val="28"/>
        </w:rPr>
        <w:t xml:space="preserve"> vl</w:t>
      </w:r>
      <w:r w:rsidRPr="000F0607">
        <w:rPr>
          <w:rFonts w:ascii="Times New Roman" w:hAnsi="Times New Roman"/>
          <w:sz w:val="28"/>
          <w:szCs w:val="28"/>
        </w:rPr>
        <w:t xml:space="preserve">en sqarimi i dhënë më sipër mbi komentet e KLGJ. Sa i përket komentit mbi Dhomën Kombëtare të Nëpunësve për Mbrojtjen e të Dhënave Personale, sqarojmë se dispozita përkatëse është hequr nga përmbajtja e projektligji. </w:t>
      </w:r>
    </w:p>
    <w:p w14:paraId="3699E996" w14:textId="7BCF1057" w:rsidR="008D1D93" w:rsidRPr="000F0607" w:rsidRDefault="008D1D93" w:rsidP="00CC018A">
      <w:pPr>
        <w:tabs>
          <w:tab w:val="left" w:pos="7155"/>
        </w:tabs>
        <w:jc w:val="both"/>
        <w:rPr>
          <w:rFonts w:ascii="Times New Roman" w:hAnsi="Times New Roman"/>
          <w:sz w:val="28"/>
          <w:szCs w:val="28"/>
        </w:rPr>
      </w:pPr>
      <w:r w:rsidRPr="000F0607">
        <w:rPr>
          <w:rFonts w:ascii="Times New Roman" w:hAnsi="Times New Roman"/>
          <w:sz w:val="28"/>
          <w:szCs w:val="28"/>
        </w:rPr>
        <w:t>- Komisioneri për Mbrojtjen nga Diskriminimi ka përcjellë komente në lidhje me përputhshmërinë e dispozitave me parimin e barazisë dhe mosdiskriminimit, të cilat janë reflektuar në projektligj.</w:t>
      </w:r>
    </w:p>
    <w:p w14:paraId="4E1A02AD" w14:textId="17445FFF" w:rsidR="0097482B" w:rsidRPr="000F0607" w:rsidRDefault="008D1D93" w:rsidP="0098201E">
      <w:pPr>
        <w:tabs>
          <w:tab w:val="left" w:pos="7155"/>
        </w:tabs>
        <w:jc w:val="both"/>
        <w:rPr>
          <w:rFonts w:ascii="Times New Roman" w:hAnsi="Times New Roman"/>
          <w:bCs/>
          <w:sz w:val="28"/>
          <w:szCs w:val="28"/>
        </w:rPr>
      </w:pPr>
      <w:r w:rsidRPr="000F0607">
        <w:rPr>
          <w:rFonts w:ascii="Times New Roman" w:hAnsi="Times New Roman"/>
          <w:bCs/>
          <w:sz w:val="28"/>
          <w:szCs w:val="28"/>
        </w:rPr>
        <w:t xml:space="preserve">- Avokati i Popullit ka përcjellë komente në lidhje me termin “të dhëna sensitive” të cilat janë reflektuar në projektligj. Sa i përket përkufizimit të termit “pëlqim” sqarojmë se ky term është përkufizuar në përputhje me përmbajtjen e GDPR dhe Direktivës së policisë në mënyrë që të sigurohet përputhshmëria e plotë me legjislacionin </w:t>
      </w:r>
      <w:r w:rsidR="0097482B" w:rsidRPr="000F0607">
        <w:rPr>
          <w:rFonts w:ascii="Times New Roman" w:hAnsi="Times New Roman"/>
          <w:bCs/>
          <w:sz w:val="28"/>
          <w:szCs w:val="28"/>
        </w:rPr>
        <w:t>e BE, si dhe janë dhënë shpjegime të posaçme në lidhje me këtë term në relacionin shpjegues. Ndërkohë në lidhje me komentin mbi përkufizimin e subjektit të të dhënave, bëjmë me dije se ai është dhënë në shkronjën “rr” të nenit 5 të projektligjit. Komentet e tjera janë pranuar dhe në projektligj janë kryer ndryshimet përkatëse.</w:t>
      </w:r>
    </w:p>
    <w:p w14:paraId="199368B1" w14:textId="092A151E" w:rsidR="009340BF" w:rsidRPr="000F0607" w:rsidRDefault="009340BF" w:rsidP="0098201E">
      <w:pPr>
        <w:tabs>
          <w:tab w:val="left" w:pos="7155"/>
        </w:tabs>
        <w:jc w:val="both"/>
        <w:rPr>
          <w:rFonts w:ascii="Times New Roman" w:hAnsi="Times New Roman"/>
          <w:bCs/>
          <w:sz w:val="28"/>
          <w:szCs w:val="28"/>
        </w:rPr>
      </w:pPr>
      <w:r w:rsidRPr="000F0607">
        <w:rPr>
          <w:rFonts w:ascii="Times New Roman" w:hAnsi="Times New Roman"/>
          <w:bCs/>
          <w:sz w:val="28"/>
          <w:szCs w:val="28"/>
        </w:rPr>
        <w:t>- Banka e Shqipërisë  dhe Agjencia e Sigurimit të Depozitave kane përcjellë disa komente mbi mënyrën e zbatimit të ligjit në lidhje me përgjegjësinë e tyre si kontrollues, të cilat janë çështje që lidhen me zbatimin e dispozitave. Këto komente gjejnë zgjidhje në saj të rregullimeve të neneve 29 deri 31 të projektligjit.</w:t>
      </w:r>
    </w:p>
    <w:p w14:paraId="0DDBF432" w14:textId="77777777" w:rsidR="009340BF" w:rsidRPr="000F0607" w:rsidRDefault="009340BF" w:rsidP="0098201E">
      <w:pPr>
        <w:tabs>
          <w:tab w:val="left" w:pos="7155"/>
        </w:tabs>
        <w:jc w:val="both"/>
        <w:rPr>
          <w:rFonts w:ascii="Times New Roman" w:hAnsi="Times New Roman"/>
          <w:bCs/>
          <w:sz w:val="28"/>
          <w:szCs w:val="28"/>
        </w:rPr>
      </w:pPr>
      <w:r w:rsidRPr="000F0607">
        <w:rPr>
          <w:rFonts w:ascii="Times New Roman" w:hAnsi="Times New Roman"/>
          <w:bCs/>
          <w:sz w:val="28"/>
          <w:szCs w:val="28"/>
        </w:rPr>
        <w:t>- Autoriteti i Mediave Audiovizive ka përcjellë komente që lidhen me përkufizimin dhe termat e përdorur në projektligj të cilat janë reflektuar.</w:t>
      </w:r>
    </w:p>
    <w:p w14:paraId="3669252D" w14:textId="16585AEA" w:rsidR="0097482B" w:rsidRPr="000F0607" w:rsidRDefault="009340BF" w:rsidP="0098201E">
      <w:pPr>
        <w:tabs>
          <w:tab w:val="left" w:pos="7155"/>
        </w:tabs>
        <w:jc w:val="both"/>
        <w:rPr>
          <w:rFonts w:ascii="Times New Roman" w:hAnsi="Times New Roman"/>
          <w:bCs/>
          <w:sz w:val="28"/>
          <w:szCs w:val="28"/>
        </w:rPr>
      </w:pPr>
      <w:r w:rsidRPr="000F0607">
        <w:rPr>
          <w:rFonts w:ascii="Times New Roman" w:hAnsi="Times New Roman"/>
          <w:bCs/>
          <w:sz w:val="28"/>
          <w:szCs w:val="28"/>
        </w:rPr>
        <w:t>- Agjencia për Mbështetjen e Vetëqeverisjes ka përcjellë vendimin e Këshillit Konsultativ Qeverisje Qendrore – Vetëqeverisje Vendore, ku jepet komenti mbi tabelat e përputhshmërisë së projektligjit, i cili është reflektuar.</w:t>
      </w:r>
    </w:p>
    <w:p w14:paraId="2DBBFA25" w14:textId="18704134" w:rsidR="00DC5F24" w:rsidRDefault="008F24DA" w:rsidP="00DC5F24">
      <w:pPr>
        <w:tabs>
          <w:tab w:val="left" w:pos="7155"/>
        </w:tabs>
        <w:jc w:val="both"/>
        <w:rPr>
          <w:rFonts w:ascii="Times New Roman" w:hAnsi="Times New Roman"/>
          <w:bCs/>
          <w:sz w:val="28"/>
          <w:szCs w:val="28"/>
        </w:rPr>
      </w:pPr>
      <w:r w:rsidRPr="000F0607">
        <w:rPr>
          <w:rFonts w:ascii="Times New Roman" w:hAnsi="Times New Roman"/>
          <w:sz w:val="28"/>
          <w:szCs w:val="28"/>
        </w:rPr>
        <w:t>3. Projektligji i është dërguar për mendim</w:t>
      </w:r>
      <w:r w:rsidR="00DC5F24" w:rsidRPr="000F0607">
        <w:rPr>
          <w:rFonts w:ascii="Times New Roman" w:hAnsi="Times New Roman"/>
          <w:sz w:val="28"/>
          <w:szCs w:val="28"/>
        </w:rPr>
        <w:t xml:space="preserve"> me shkresën nr. 3363/2 prot., datë 14.06.2022,</w:t>
      </w:r>
      <w:r w:rsidRPr="000F0607">
        <w:rPr>
          <w:rFonts w:ascii="Times New Roman" w:hAnsi="Times New Roman"/>
          <w:sz w:val="28"/>
          <w:szCs w:val="28"/>
        </w:rPr>
        <w:t xml:space="preserve"> të gjithë institucioneve të arsimit të lartë, prej të cilëve nga përcjellë dakordësinë</w:t>
      </w:r>
      <w:r w:rsidR="00DC5F24" w:rsidRPr="000F0607">
        <w:rPr>
          <w:rFonts w:ascii="Times New Roman" w:hAnsi="Times New Roman"/>
          <w:sz w:val="28"/>
          <w:szCs w:val="28"/>
        </w:rPr>
        <w:t xml:space="preserve">, </w:t>
      </w:r>
      <w:r w:rsidR="00DC5F24" w:rsidRPr="000F0607">
        <w:rPr>
          <w:rFonts w:ascii="Times New Roman" w:hAnsi="Times New Roman"/>
          <w:bCs/>
          <w:sz w:val="28"/>
          <w:szCs w:val="28"/>
        </w:rPr>
        <w:t>Universiteti i Sporteve të Tiranës, Universiteti “Eqrem Çabej”, Universiteti “Ismail Qemali” Akademia e Forcave të Armatosura, Universiteti Barleti.</w:t>
      </w:r>
      <w:r w:rsidR="00DC5F24" w:rsidRPr="000F0607">
        <w:rPr>
          <w:rFonts w:ascii="Times New Roman" w:hAnsi="Times New Roman"/>
          <w:sz w:val="28"/>
          <w:szCs w:val="28"/>
        </w:rPr>
        <w:t xml:space="preserve"> Universiteti i Tiranës dhe</w:t>
      </w:r>
      <w:r w:rsidR="00DC5F24" w:rsidRPr="000F0607">
        <w:rPr>
          <w:rFonts w:ascii="Times New Roman" w:eastAsiaTheme="minorHAnsi" w:hAnsi="Times New Roman"/>
          <w:b/>
          <w:bCs/>
          <w:sz w:val="24"/>
          <w:szCs w:val="24"/>
        </w:rPr>
        <w:t xml:space="preserve"> </w:t>
      </w:r>
      <w:r w:rsidR="00DC5F24" w:rsidRPr="000F0607">
        <w:rPr>
          <w:rFonts w:ascii="Times New Roman" w:hAnsi="Times New Roman"/>
          <w:bCs/>
          <w:sz w:val="28"/>
          <w:szCs w:val="28"/>
        </w:rPr>
        <w:t>Universiteti Bujqësor i Tiranës, kanë përcjellë komente mbi nevojën për hartimin e akteve nënligjore për përpunimin e të dhënave nga institucionet e arsimit të lartë. Në lidhje me këtë pikë sqarojmë se,</w:t>
      </w:r>
      <w:r w:rsidR="00DC5F24" w:rsidRPr="000F0607">
        <w:rPr>
          <w:rFonts w:ascii="Times New Roman" w:eastAsiaTheme="minorHAnsi" w:hAnsi="Times New Roman"/>
          <w:sz w:val="28"/>
          <w:szCs w:val="28"/>
        </w:rPr>
        <w:t xml:space="preserve"> a</w:t>
      </w:r>
      <w:r w:rsidR="00DC5F24" w:rsidRPr="000F0607">
        <w:rPr>
          <w:rFonts w:ascii="Times New Roman" w:hAnsi="Times New Roman"/>
          <w:bCs/>
          <w:sz w:val="28"/>
          <w:szCs w:val="28"/>
        </w:rPr>
        <w:t xml:space="preserve">ktet nënligjore të miratuara në zbatim të ligjit nr. 9887, datë 10.03.2008 "Për mbrojtjen e të dhënave personale", të ndryshuar, do të mbeten në fuqi deri në miratimin e akteve të reja nënligjore, për sa nuk bien në kundërshtim me parashikimet e këtij ligji. </w:t>
      </w:r>
    </w:p>
    <w:p w14:paraId="258237C4" w14:textId="4461CA91" w:rsidR="00EB042B" w:rsidRDefault="00EB042B" w:rsidP="00DC5F24">
      <w:pPr>
        <w:tabs>
          <w:tab w:val="left" w:pos="7155"/>
        </w:tabs>
        <w:jc w:val="both"/>
        <w:rPr>
          <w:rFonts w:ascii="Times New Roman" w:hAnsi="Times New Roman"/>
          <w:bCs/>
          <w:sz w:val="28"/>
          <w:szCs w:val="28"/>
        </w:rPr>
      </w:pPr>
      <w:r>
        <w:rPr>
          <w:rFonts w:ascii="Times New Roman" w:hAnsi="Times New Roman"/>
          <w:bCs/>
          <w:sz w:val="28"/>
          <w:szCs w:val="28"/>
        </w:rPr>
        <w:t xml:space="preserve">Projektligji është publikuar edhe në Regjistrin </w:t>
      </w:r>
      <w:r w:rsidRPr="00EB042B">
        <w:rPr>
          <w:rFonts w:ascii="Times New Roman" w:hAnsi="Times New Roman"/>
          <w:bCs/>
          <w:sz w:val="28"/>
          <w:szCs w:val="28"/>
        </w:rPr>
        <w:t>Elektronik për Njoftimet dhe Konsultimet Publike</w:t>
      </w:r>
      <w:r>
        <w:rPr>
          <w:rFonts w:ascii="Times New Roman" w:hAnsi="Times New Roman"/>
          <w:bCs/>
          <w:sz w:val="28"/>
          <w:szCs w:val="28"/>
        </w:rPr>
        <w:t>, nga ku nuk u përcollën komente.</w:t>
      </w:r>
    </w:p>
    <w:p w14:paraId="76A4F41D" w14:textId="180F9F21" w:rsidR="00EB042B" w:rsidRDefault="00EB042B" w:rsidP="00DC5F24">
      <w:pPr>
        <w:tabs>
          <w:tab w:val="left" w:pos="7155"/>
        </w:tabs>
        <w:jc w:val="both"/>
        <w:rPr>
          <w:rFonts w:ascii="Times New Roman" w:hAnsi="Times New Roman"/>
          <w:bCs/>
          <w:sz w:val="28"/>
          <w:szCs w:val="28"/>
        </w:rPr>
      </w:pPr>
      <w:r>
        <w:rPr>
          <w:rFonts w:ascii="Times New Roman" w:hAnsi="Times New Roman"/>
          <w:bCs/>
          <w:sz w:val="28"/>
          <w:szCs w:val="28"/>
        </w:rPr>
        <w:t>Ndërkohë, Ministria e Drejtësisë organizoi më datë 12.07.2022, dy tryeza konsultimi ku janë ftuar për të dhënë mendimin e tyre dhe për të diskutuar mbi projektligjin institucionet publike dhe grupet e interesit. Komentet e institucioneve publike janë pasqyruar në mënyrë të përmbledhur më lart, ndërkohë nga grupet e interesit komentet ishin si vijon:</w:t>
      </w:r>
    </w:p>
    <w:p w14:paraId="2A5882C4" w14:textId="36E0A04D" w:rsidR="00EB042B" w:rsidRDefault="009A08E2" w:rsidP="00DC5F24">
      <w:pPr>
        <w:tabs>
          <w:tab w:val="left" w:pos="7155"/>
        </w:tabs>
        <w:jc w:val="both"/>
        <w:rPr>
          <w:rFonts w:ascii="Times New Roman" w:hAnsi="Times New Roman"/>
          <w:bCs/>
          <w:sz w:val="28"/>
          <w:szCs w:val="28"/>
        </w:rPr>
      </w:pPr>
      <w:r>
        <w:rPr>
          <w:rFonts w:ascii="Times New Roman" w:hAnsi="Times New Roman"/>
          <w:bCs/>
          <w:sz w:val="28"/>
          <w:szCs w:val="28"/>
        </w:rPr>
        <w:t>Shoqata “Bashkimi Tregtar i Shqipërisë” k</w:t>
      </w:r>
      <w:r w:rsidR="00EB042B">
        <w:rPr>
          <w:rFonts w:ascii="Times New Roman" w:hAnsi="Times New Roman"/>
          <w:bCs/>
          <w:sz w:val="28"/>
          <w:szCs w:val="28"/>
        </w:rPr>
        <w:t>a përcjellë komente në lidhje</w:t>
      </w:r>
      <w:r>
        <w:rPr>
          <w:rFonts w:ascii="Times New Roman" w:hAnsi="Times New Roman"/>
          <w:bCs/>
          <w:sz w:val="28"/>
          <w:szCs w:val="28"/>
        </w:rPr>
        <w:t xml:space="preserve"> me qartësimin e disa prej përkufizimeve të parashikuara në nenin 5, për të cilat janë dhënë sqarimet e nevojshme në përmbajtje të këtij relacioni. Komenti mbi masën e sanksioneve administrative është reflektuar dhe masa e tyre është rishikuar sipas komenteve të dhënë në relacion.</w:t>
      </w:r>
    </w:p>
    <w:p w14:paraId="62726F6E" w14:textId="089652CD" w:rsidR="009A08E2" w:rsidRDefault="009A08E2" w:rsidP="00DC5F24">
      <w:pPr>
        <w:tabs>
          <w:tab w:val="left" w:pos="7155"/>
        </w:tabs>
        <w:jc w:val="both"/>
        <w:rPr>
          <w:rFonts w:ascii="Times New Roman" w:hAnsi="Times New Roman"/>
          <w:bCs/>
          <w:sz w:val="28"/>
          <w:szCs w:val="28"/>
        </w:rPr>
      </w:pPr>
      <w:r>
        <w:rPr>
          <w:rFonts w:ascii="Times New Roman" w:hAnsi="Times New Roman"/>
          <w:bCs/>
          <w:sz w:val="28"/>
          <w:szCs w:val="28"/>
        </w:rPr>
        <w:t>Shoqata Shqiptare e Bankave ka përcjellë të njëjtin koment në lidhje me masën e sanksioneve administrative, për të cilin vlen i njëjti sqarim i dhënë për Shoqatën “Bashkimi Tregtar i Shqipërisë”.</w:t>
      </w:r>
    </w:p>
    <w:p w14:paraId="0C052944" w14:textId="3F3576B0" w:rsidR="003B10E7" w:rsidRPr="000F0607" w:rsidRDefault="003B10E7" w:rsidP="00DC5F24">
      <w:pPr>
        <w:tabs>
          <w:tab w:val="left" w:pos="7155"/>
        </w:tabs>
        <w:jc w:val="both"/>
        <w:rPr>
          <w:rFonts w:ascii="Times New Roman" w:hAnsi="Times New Roman"/>
          <w:bCs/>
          <w:sz w:val="28"/>
          <w:szCs w:val="28"/>
        </w:rPr>
      </w:pPr>
      <w:r>
        <w:rPr>
          <w:rFonts w:ascii="Times New Roman" w:hAnsi="Times New Roman"/>
          <w:bCs/>
          <w:sz w:val="28"/>
          <w:szCs w:val="28"/>
        </w:rPr>
        <w:t>Lidhur me komentin mbi parashikimin e një rasti përjashtimor mbi vjeljen e gjobave në rast se subjekti ushtron të drejtën e ankimit ndaj gjobave, është parashikuar që e</w:t>
      </w:r>
      <w:r w:rsidRPr="003B10E7">
        <w:rPr>
          <w:rFonts w:ascii="Times New Roman" w:hAnsi="Times New Roman"/>
          <w:bCs/>
          <w:sz w:val="28"/>
          <w:szCs w:val="28"/>
        </w:rPr>
        <w:t xml:space="preserve">kzekutimi i gjobave </w:t>
      </w:r>
      <w:r>
        <w:rPr>
          <w:rFonts w:ascii="Times New Roman" w:hAnsi="Times New Roman"/>
          <w:bCs/>
          <w:sz w:val="28"/>
          <w:szCs w:val="28"/>
        </w:rPr>
        <w:t>të</w:t>
      </w:r>
      <w:r w:rsidRPr="003B10E7">
        <w:rPr>
          <w:rFonts w:ascii="Times New Roman" w:hAnsi="Times New Roman"/>
          <w:bCs/>
          <w:sz w:val="28"/>
          <w:szCs w:val="28"/>
        </w:rPr>
        <w:t xml:space="preserve"> bëhet sipas legjislacionit në fuqi për kundërvajtjet administrative.</w:t>
      </w:r>
      <w:r>
        <w:rPr>
          <w:rFonts w:ascii="Times New Roman" w:hAnsi="Times New Roman"/>
          <w:bCs/>
          <w:sz w:val="28"/>
          <w:szCs w:val="28"/>
        </w:rPr>
        <w:t xml:space="preserve"> </w:t>
      </w:r>
      <w:r w:rsidRPr="000F0607">
        <w:rPr>
          <w:rFonts w:ascii="Times New Roman" w:hAnsi="Times New Roman"/>
          <w:sz w:val="28"/>
          <w:szCs w:val="28"/>
        </w:rPr>
        <w:t>Komente</w:t>
      </w:r>
      <w:r w:rsidR="00D15AD5">
        <w:rPr>
          <w:rFonts w:ascii="Times New Roman" w:hAnsi="Times New Roman"/>
          <w:sz w:val="28"/>
          <w:szCs w:val="28"/>
        </w:rPr>
        <w:t>t</w:t>
      </w:r>
      <w:r>
        <w:rPr>
          <w:rFonts w:ascii="Times New Roman" w:hAnsi="Times New Roman"/>
          <w:sz w:val="28"/>
          <w:szCs w:val="28"/>
        </w:rPr>
        <w:t xml:space="preserve"> e tjera lidhen </w:t>
      </w:r>
      <w:r w:rsidRPr="000F0607">
        <w:rPr>
          <w:rFonts w:ascii="Times New Roman" w:hAnsi="Times New Roman"/>
          <w:sz w:val="28"/>
          <w:szCs w:val="28"/>
        </w:rPr>
        <w:t>me formulimin e dispozitave të projektligjit për të cilat sqarojmë, se ato janë formuluar në mënyrë të tillë që të arrihet përputhshmëria e plotë me dispozitat e GDPR dhe Direktivës së Policisë. Për shkak të natyrës së Rregulloreve të cilat nuk i japin mundësi shteteve të kryejnë ndryshime të dispozitave, ato janë formuluar në mënyrë të tillë që të jenë të njëjta me dispozitat e GDPR, ndërsa shpjegimet përkatëse janë dhënë edhe në relacionin shpjegues të projektligjit.</w:t>
      </w:r>
      <w:r>
        <w:rPr>
          <w:rFonts w:ascii="Times New Roman" w:hAnsi="Times New Roman"/>
          <w:sz w:val="28"/>
          <w:szCs w:val="28"/>
        </w:rPr>
        <w:t xml:space="preserve"> Gjithashtu, për të siguruar zbatimin e drejtë të këtij ligji, Komisioneri në përmbushje të kompetencave të tij, do të publikojë </w:t>
      </w:r>
      <w:r w:rsidRPr="003B10E7">
        <w:rPr>
          <w:rFonts w:ascii="Times New Roman" w:hAnsi="Times New Roman"/>
          <w:sz w:val="28"/>
          <w:szCs w:val="28"/>
        </w:rPr>
        <w:t>rekomandime</w:t>
      </w:r>
      <w:r>
        <w:rPr>
          <w:rFonts w:ascii="Times New Roman" w:hAnsi="Times New Roman"/>
          <w:sz w:val="28"/>
          <w:szCs w:val="28"/>
        </w:rPr>
        <w:t xml:space="preserve"> </w:t>
      </w:r>
      <w:r w:rsidRPr="003B10E7">
        <w:rPr>
          <w:rFonts w:ascii="Times New Roman" w:hAnsi="Times New Roman"/>
          <w:sz w:val="28"/>
          <w:szCs w:val="28"/>
        </w:rPr>
        <w:t xml:space="preserve">për zbatimin e kërkesave të </w:t>
      </w:r>
      <w:r>
        <w:rPr>
          <w:rFonts w:ascii="Times New Roman" w:hAnsi="Times New Roman"/>
          <w:sz w:val="28"/>
          <w:szCs w:val="28"/>
        </w:rPr>
        <w:t xml:space="preserve">këtij </w:t>
      </w:r>
      <w:r w:rsidRPr="003B10E7">
        <w:rPr>
          <w:rFonts w:ascii="Times New Roman" w:hAnsi="Times New Roman"/>
          <w:sz w:val="28"/>
          <w:szCs w:val="28"/>
        </w:rPr>
        <w:t>ligji</w:t>
      </w:r>
      <w:r>
        <w:rPr>
          <w:rFonts w:ascii="Times New Roman" w:hAnsi="Times New Roman"/>
          <w:sz w:val="28"/>
          <w:szCs w:val="28"/>
        </w:rPr>
        <w:t xml:space="preserve">, si dhe udhëzues </w:t>
      </w:r>
      <w:r w:rsidRPr="003B10E7">
        <w:rPr>
          <w:rFonts w:ascii="Times New Roman" w:hAnsi="Times New Roman"/>
          <w:sz w:val="28"/>
          <w:szCs w:val="28"/>
        </w:rPr>
        <w:t>me shpjegime për zbatimin e detyrimeve që burojnë nga ky ligj, që ndër të tjera përfshijnë kohëzgjatjen e ligjshme të ruajtjes së të dhënave personale ose masat e sigurisë në sektorë të ndryshëm të aktiviteteve të përpunimit</w:t>
      </w:r>
      <w:r>
        <w:rPr>
          <w:rFonts w:ascii="Times New Roman" w:hAnsi="Times New Roman"/>
          <w:sz w:val="28"/>
          <w:szCs w:val="28"/>
        </w:rPr>
        <w:t>.</w:t>
      </w:r>
    </w:p>
    <w:p w14:paraId="30136C19" w14:textId="77777777" w:rsidR="00F9548F" w:rsidRPr="000F0607" w:rsidRDefault="00F9548F" w:rsidP="00F9548F">
      <w:pPr>
        <w:tabs>
          <w:tab w:val="left" w:pos="7155"/>
        </w:tabs>
        <w:jc w:val="both"/>
        <w:rPr>
          <w:rFonts w:ascii="Times New Roman" w:hAnsi="Times New Roman"/>
          <w:b/>
          <w:color w:val="000000"/>
          <w:sz w:val="28"/>
          <w:szCs w:val="28"/>
        </w:rPr>
      </w:pPr>
      <w:r w:rsidRPr="000F0607">
        <w:rPr>
          <w:rFonts w:ascii="Times New Roman" w:hAnsi="Times New Roman"/>
          <w:b/>
          <w:color w:val="000000"/>
          <w:sz w:val="28"/>
          <w:szCs w:val="28"/>
        </w:rPr>
        <w:t>VIII. INSTITUCIONET DHE ORGANET QË NGARKOHEN PËR ZBATIMIN E AKTIT</w:t>
      </w:r>
    </w:p>
    <w:p w14:paraId="7426DA50" w14:textId="77777777" w:rsidR="0098201E" w:rsidRPr="000F0607" w:rsidRDefault="0098201E" w:rsidP="0098201E">
      <w:pPr>
        <w:spacing w:after="0"/>
        <w:jc w:val="both"/>
        <w:rPr>
          <w:rFonts w:ascii="Times New Roman" w:hAnsi="Times New Roman"/>
          <w:bCs/>
          <w:sz w:val="28"/>
          <w:szCs w:val="28"/>
        </w:rPr>
      </w:pPr>
      <w:r w:rsidRPr="000F0607">
        <w:rPr>
          <w:rFonts w:ascii="Times New Roman" w:hAnsi="Times New Roman"/>
          <w:sz w:val="28"/>
          <w:szCs w:val="28"/>
        </w:rPr>
        <w:t xml:space="preserve">Për zbatimin e këtij ligji, ngarkohen </w:t>
      </w:r>
      <w:r w:rsidRPr="000F0607">
        <w:rPr>
          <w:rFonts w:ascii="Times New Roman" w:hAnsi="Times New Roman"/>
          <w:bCs/>
          <w:sz w:val="28"/>
          <w:szCs w:val="28"/>
        </w:rPr>
        <w:t>të gjithë kontrolluesit publikë dhe privatë në kuptim të ligjit për mbrojtjen e të dhënave personale, Komisioneri për të Drejtën e Informimit dhe Mbrojtjen e të Dhënave Personale, si dhe Këshilli i Lartë Gjyqësor.</w:t>
      </w:r>
    </w:p>
    <w:p w14:paraId="11922A19" w14:textId="77777777" w:rsidR="0098201E" w:rsidRPr="000F0607" w:rsidRDefault="0098201E" w:rsidP="0098201E">
      <w:pPr>
        <w:spacing w:after="0"/>
        <w:jc w:val="both"/>
        <w:rPr>
          <w:rFonts w:ascii="Times New Roman" w:hAnsi="Times New Roman"/>
          <w:bCs/>
          <w:sz w:val="28"/>
          <w:szCs w:val="28"/>
        </w:rPr>
      </w:pPr>
    </w:p>
    <w:p w14:paraId="2F65BE73" w14:textId="77777777" w:rsidR="00F9548F" w:rsidRPr="000F0607" w:rsidRDefault="00F9548F" w:rsidP="00F9548F">
      <w:pPr>
        <w:spacing w:after="0"/>
        <w:jc w:val="both"/>
        <w:rPr>
          <w:rFonts w:ascii="Times New Roman" w:hAnsi="Times New Roman"/>
          <w:b/>
          <w:color w:val="000000"/>
          <w:sz w:val="28"/>
          <w:szCs w:val="28"/>
        </w:rPr>
      </w:pPr>
      <w:r w:rsidRPr="000F0607">
        <w:rPr>
          <w:rFonts w:ascii="Times New Roman" w:hAnsi="Times New Roman"/>
          <w:b/>
          <w:color w:val="000000"/>
          <w:sz w:val="28"/>
          <w:szCs w:val="28"/>
        </w:rPr>
        <w:t>IX.</w:t>
      </w:r>
      <w:r w:rsidRPr="000F0607">
        <w:rPr>
          <w:rFonts w:ascii="Times New Roman" w:hAnsi="Times New Roman"/>
          <w:b/>
          <w:color w:val="000000"/>
          <w:sz w:val="28"/>
          <w:szCs w:val="28"/>
        </w:rPr>
        <w:tab/>
        <w:t>RAPORTI I VLERËSIMIT TË TË ARDHURAVE DHE SHPENZIMEVE BUXHETORE</w:t>
      </w:r>
    </w:p>
    <w:p w14:paraId="6D48128C" w14:textId="77777777" w:rsidR="00F9548F" w:rsidRPr="000F0607" w:rsidRDefault="00F9548F" w:rsidP="00F9548F">
      <w:pPr>
        <w:spacing w:after="0"/>
        <w:jc w:val="both"/>
        <w:rPr>
          <w:rFonts w:ascii="Times New Roman" w:hAnsi="Times New Roman"/>
          <w:b/>
          <w:color w:val="000000"/>
          <w:sz w:val="28"/>
          <w:szCs w:val="28"/>
        </w:rPr>
      </w:pPr>
    </w:p>
    <w:p w14:paraId="00FC7DB9" w14:textId="77777777" w:rsidR="0098201E" w:rsidRPr="000F0607" w:rsidRDefault="0098201E" w:rsidP="0098201E">
      <w:pPr>
        <w:widowControl w:val="0"/>
        <w:tabs>
          <w:tab w:val="left" w:pos="284"/>
          <w:tab w:val="left" w:pos="974"/>
        </w:tabs>
        <w:autoSpaceDE w:val="0"/>
        <w:autoSpaceDN w:val="0"/>
        <w:adjustRightInd w:val="0"/>
        <w:spacing w:after="0"/>
        <w:ind w:right="10"/>
        <w:contextualSpacing/>
        <w:jc w:val="both"/>
        <w:rPr>
          <w:rFonts w:ascii="Times New Roman" w:hAnsi="Times New Roman"/>
          <w:sz w:val="28"/>
          <w:szCs w:val="28"/>
        </w:rPr>
      </w:pPr>
      <w:r w:rsidRPr="000F0607">
        <w:rPr>
          <w:rFonts w:ascii="Times New Roman" w:hAnsi="Times New Roman"/>
          <w:sz w:val="28"/>
          <w:szCs w:val="28"/>
        </w:rPr>
        <w:t>Miratimi i projektligjit sjell efekte financiare për Zyrën e Komisionerit në cilësinë e autoritetit mbikëqyrës për mbrojtjen e të dhënave personale. Në konceptin afatmesëm, Zyra e Komisionerit ka paraqitur kërkesat minimale në Programin Buxhetor Afatmesëm 2022-2024 që lidhen me shtimin e numrit të punonjësve në masën 23,8 milion lekë dhe efektet e shtesës për natyrë të veçantë pune pas miratimit të aktit përkatës në masën rreth 8,4 milion lekë në vit.</w:t>
      </w:r>
    </w:p>
    <w:p w14:paraId="716FD53B" w14:textId="77777777" w:rsidR="0098201E" w:rsidRPr="000F0607" w:rsidRDefault="0098201E" w:rsidP="0098201E">
      <w:pPr>
        <w:widowControl w:val="0"/>
        <w:tabs>
          <w:tab w:val="left" w:pos="284"/>
          <w:tab w:val="left" w:pos="974"/>
        </w:tabs>
        <w:autoSpaceDE w:val="0"/>
        <w:autoSpaceDN w:val="0"/>
        <w:adjustRightInd w:val="0"/>
        <w:spacing w:after="0"/>
        <w:ind w:right="10"/>
        <w:contextualSpacing/>
        <w:jc w:val="both"/>
        <w:rPr>
          <w:rFonts w:ascii="Times New Roman" w:hAnsi="Times New Roman"/>
          <w:sz w:val="28"/>
          <w:szCs w:val="28"/>
        </w:rPr>
      </w:pPr>
    </w:p>
    <w:p w14:paraId="6A542D05" w14:textId="4031A2F9" w:rsidR="0098201E" w:rsidRDefault="0098201E" w:rsidP="0098201E">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hAnsi="Times New Roman"/>
          <w:sz w:val="28"/>
          <w:szCs w:val="28"/>
        </w:rPr>
        <w:t>Gjithashtu projektligji parashikohet të ketë efekte financiare për kontrolluesit dhe përpunuesit sipas një përllogaritjeje të reflektuar në Raportin e Vlerësimit të Ndikimit</w:t>
      </w:r>
      <w:r w:rsidRPr="000F0607">
        <w:rPr>
          <w:rFonts w:ascii="Times New Roman" w:hAnsi="Times New Roman"/>
          <w:bCs/>
          <w:sz w:val="28"/>
          <w:szCs w:val="28"/>
        </w:rPr>
        <w:t>.</w:t>
      </w:r>
      <w:r w:rsidRPr="000F0607">
        <w:rPr>
          <w:rFonts w:ascii="Times New Roman" w:eastAsia="Times New Roman" w:hAnsi="Times New Roman"/>
          <w:color w:val="000000"/>
          <w:sz w:val="28"/>
          <w:szCs w:val="28"/>
        </w:rPr>
        <w:t xml:space="preserve"> </w:t>
      </w:r>
    </w:p>
    <w:p w14:paraId="4B460306" w14:textId="1F0A178D" w:rsidR="000F0607" w:rsidRDefault="000F0607" w:rsidP="0098201E">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1362DD3" w14:textId="121766D7" w:rsidR="000F0607" w:rsidRPr="000F0607" w:rsidRDefault="000F0607" w:rsidP="0098201E">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Kostot në mënyrë më të detajuar paraqiten si më poshtë:</w:t>
      </w:r>
    </w:p>
    <w:p w14:paraId="4B8EA95E" w14:textId="77777777" w:rsidR="000F0607" w:rsidRPr="000F0607" w:rsidRDefault="000F0607" w:rsidP="0098201E">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45B86D7E" w14:textId="08BA281F" w:rsidR="000F0607" w:rsidRPr="000F0607" w:rsidRDefault="000F0607" w:rsidP="000F0607">
      <w:pPr>
        <w:widowControl w:val="0"/>
        <w:numPr>
          <w:ilvl w:val="0"/>
          <w:numId w:val="14"/>
        </w:numPr>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 xml:space="preserve">Zgjerimi i kompetencave të Komisionerit në fushën e mbrojtjes së të dhënave personale duke përfshirë për herë të parë, kompetencat ndihmëse, si ato hetimore dhe korrigjuese, në funksion të përmbushjes së detyrimeve të tij: </w:t>
      </w:r>
    </w:p>
    <w:p w14:paraId="4F4D566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64F8D99A"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Kostot administrative për Zyrën e Komisionerit për të Drejtën e Informimit dhe Mbrojtjen e të Dhënave Personale (në vijim “</w:t>
      </w:r>
      <w:r w:rsidRPr="000F0607">
        <w:rPr>
          <w:rFonts w:ascii="Times New Roman" w:eastAsia="Times New Roman" w:hAnsi="Times New Roman"/>
          <w:i/>
          <w:color w:val="000000"/>
          <w:sz w:val="28"/>
          <w:szCs w:val="28"/>
        </w:rPr>
        <w:t>Zyra e Komisionerit</w:t>
      </w:r>
      <w:r w:rsidRPr="000F0607">
        <w:rPr>
          <w:rFonts w:ascii="Times New Roman" w:eastAsia="Times New Roman" w:hAnsi="Times New Roman"/>
          <w:color w:val="000000"/>
          <w:sz w:val="28"/>
          <w:szCs w:val="28"/>
        </w:rPr>
        <w:t xml:space="preserve">”) në cilësinë e autoritetit mbikqyrës për mbrojtjen e të dhënave personale përfshijnë: </w:t>
      </w:r>
    </w:p>
    <w:p w14:paraId="39C0D28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35590F89" w14:textId="77777777" w:rsidR="000F0607" w:rsidRPr="000F0607" w:rsidRDefault="000F0607" w:rsidP="000F0607">
      <w:pPr>
        <w:widowControl w:val="0"/>
        <w:numPr>
          <w:ilvl w:val="0"/>
          <w:numId w:val="13"/>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Kosto administrative për hartimin e projektligjit të ri për mbrojtjen e të dhënave personale;</w:t>
      </w:r>
    </w:p>
    <w:p w14:paraId="34B5BEBB" w14:textId="77777777" w:rsidR="000F0607" w:rsidRPr="000F0607" w:rsidRDefault="000F0607" w:rsidP="000F0607">
      <w:pPr>
        <w:widowControl w:val="0"/>
        <w:numPr>
          <w:ilvl w:val="0"/>
          <w:numId w:val="13"/>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Kosto për zhvillimin e trajnimeve me qëllim njohjen e grupeve të veçanta në fokus nga sektori publik, privat dhe shoqëria civile me projektligjin e ri të përafruar;</w:t>
      </w:r>
    </w:p>
    <w:p w14:paraId="3B62DC1C" w14:textId="77777777" w:rsidR="000F0607" w:rsidRPr="000F0607" w:rsidRDefault="000F0607" w:rsidP="000F0607">
      <w:pPr>
        <w:widowControl w:val="0"/>
        <w:numPr>
          <w:ilvl w:val="0"/>
          <w:numId w:val="13"/>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Kosto për shtimin e numrit të punonjësve të Zyrës së Komisionerit si rezultat i zgjerimit të kompetencave të Komisionerit me hyrjen në fuqi të ligjit të ri për mbrojtjen e të dhënave personale.</w:t>
      </w:r>
    </w:p>
    <w:p w14:paraId="5AA2DF4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p>
    <w:p w14:paraId="355CC771"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i/>
          <w:color w:val="000000"/>
          <w:sz w:val="28"/>
          <w:szCs w:val="28"/>
        </w:rPr>
        <w:t>Në lidhje me pikën e parë:</w:t>
      </w:r>
      <w:r w:rsidRPr="000F0607">
        <w:rPr>
          <w:rFonts w:ascii="Times New Roman" w:eastAsia="Times New Roman" w:hAnsi="Times New Roman"/>
          <w:color w:val="000000"/>
          <w:sz w:val="28"/>
          <w:szCs w:val="28"/>
        </w:rPr>
        <w:t xml:space="preserve"> Zyra e Komisionerit është angazhuar shumë herët për përfitimin e një projekti i cili asistoi institucionin në procesin e përafrimit të ligjit për mbrojtjen e të dhënave personale me </w:t>
      </w:r>
      <w:r w:rsidRPr="000F0607">
        <w:rPr>
          <w:rFonts w:ascii="Times New Roman" w:eastAsia="Times New Roman" w:hAnsi="Times New Roman"/>
          <w:i/>
          <w:color w:val="000000"/>
          <w:sz w:val="28"/>
          <w:szCs w:val="28"/>
        </w:rPr>
        <w:t>acquis</w:t>
      </w:r>
      <w:r w:rsidRPr="000F0607">
        <w:rPr>
          <w:rFonts w:ascii="Times New Roman" w:eastAsia="Times New Roman" w:hAnsi="Times New Roman"/>
          <w:color w:val="000000"/>
          <w:sz w:val="28"/>
          <w:szCs w:val="28"/>
        </w:rPr>
        <w:t xml:space="preserve"> të BE në këtë fushë. Në tetor të vitit 2020, inicioi zbatimi i projektit të binjakëzimit i cili financohet nga programi i BE IPA 2017, në vlerën 400.000 EUR. Hartimi i projektligjit </w:t>
      </w:r>
      <w:r w:rsidRPr="000F0607">
        <w:rPr>
          <w:rFonts w:ascii="Times New Roman" w:eastAsia="Times New Roman" w:hAnsi="Times New Roman"/>
          <w:i/>
          <w:color w:val="000000"/>
          <w:sz w:val="28"/>
          <w:szCs w:val="28"/>
        </w:rPr>
        <w:t>“Për mbrojtjen e të dhënave personale”</w:t>
      </w:r>
      <w:r w:rsidRPr="000F0607">
        <w:rPr>
          <w:rFonts w:ascii="Times New Roman" w:eastAsia="Times New Roman" w:hAnsi="Times New Roman"/>
          <w:color w:val="000000"/>
          <w:sz w:val="28"/>
          <w:szCs w:val="28"/>
        </w:rPr>
        <w:t xml:space="preserve">, ishte pjesë e Komponentit I të projektit, llogaritur në vlerën </w:t>
      </w:r>
      <w:r w:rsidRPr="000F0607">
        <w:rPr>
          <w:rFonts w:ascii="Times New Roman" w:eastAsia="Times New Roman" w:hAnsi="Times New Roman"/>
          <w:b/>
          <w:color w:val="000000"/>
          <w:sz w:val="28"/>
          <w:szCs w:val="28"/>
        </w:rPr>
        <w:t>71.811.94 EUR</w:t>
      </w:r>
      <w:r w:rsidRPr="000F0607">
        <w:rPr>
          <w:rFonts w:ascii="Times New Roman" w:eastAsia="Times New Roman" w:hAnsi="Times New Roman"/>
          <w:color w:val="000000"/>
          <w:sz w:val="28"/>
          <w:szCs w:val="28"/>
        </w:rPr>
        <w:t>. Megjithatë, për shkak të natyrës së projektit të binjakëzimit, një pjesë e stafit të Zyrës së Komisionerit (</w:t>
      </w:r>
      <w:r w:rsidRPr="000F0607">
        <w:rPr>
          <w:rFonts w:ascii="Times New Roman" w:eastAsia="Times New Roman" w:hAnsi="Times New Roman"/>
          <w:i/>
          <w:color w:val="000000"/>
          <w:sz w:val="28"/>
          <w:szCs w:val="28"/>
        </w:rPr>
        <w:t>7 nëpunës, 4 të nivelit të mesëm drejtues dhe 3 nëpunës të nivelit të ulët drejtues</w:t>
      </w:r>
      <w:r w:rsidRPr="000F0607">
        <w:rPr>
          <w:rFonts w:ascii="Times New Roman" w:eastAsia="Times New Roman" w:hAnsi="Times New Roman"/>
          <w:color w:val="000000"/>
          <w:sz w:val="28"/>
          <w:szCs w:val="28"/>
        </w:rPr>
        <w:t xml:space="preserve">) janë angazhuar intensivisht gjatë procesit të hartimit të projektligjit si pjesë e komponentit të I të projektit, në bashkëpunim me ekspertët për një periudhë 7 – mujore. Në këtë kuptim, kostot administrative për sa më sipër, llogaritet në vlerën: </w:t>
      </w:r>
      <w:r w:rsidRPr="000F0607">
        <w:rPr>
          <w:rFonts w:ascii="Times New Roman" w:eastAsia="Times New Roman" w:hAnsi="Times New Roman"/>
          <w:b/>
          <w:bCs/>
          <w:color w:val="000000"/>
          <w:sz w:val="28"/>
          <w:szCs w:val="28"/>
        </w:rPr>
        <w:t>5 398 560 lekë.</w:t>
      </w:r>
    </w:p>
    <w:p w14:paraId="435BFE5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i/>
          <w:color w:val="000000"/>
          <w:sz w:val="28"/>
          <w:szCs w:val="28"/>
        </w:rPr>
        <w:t>Në lidhje me pikën e dytë:</w:t>
      </w:r>
      <w:r w:rsidRPr="000F0607">
        <w:rPr>
          <w:rFonts w:ascii="Times New Roman" w:eastAsia="Times New Roman" w:hAnsi="Times New Roman"/>
          <w:color w:val="000000"/>
          <w:sz w:val="28"/>
          <w:szCs w:val="28"/>
        </w:rPr>
        <w:t xml:space="preserve"> Është e domosdoshme që në cilësinë e institucionit përgjegjës për monitorimin e zbatimit të legjislacionit të ri të mbrojtjes së të dhënave personale, Zyra e Komisionerit, të ofrojë të gjitha njohuritë dhe përditësimet e fundit në lidhje me ligjin e ri shqiptar për mbrojtjen e të dhënave personale, nëpërmjet trajnimeve dhe ndërgjegjësimit të grupeve të veçanta në fokus nga sektori publik, privat dhe shoqëria civile. </w:t>
      </w:r>
    </w:p>
    <w:p w14:paraId="3B3808B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Në këtë kuadër për njohjen e legjislacionit të ri nga fokus grupet e ndryshme si: sektori publik, privat apo shoqëria civile, një pjesë të aktiviteteve ndërgjegjësuese dhe trajnuese për vitin e I, Zyra e Komisionerit i realizoi nëpërmjet përmbushjes së Komponentit 3 të projektit të binjakëzimit, sipas të cilit, janë zhvilluar 11 aktivitete ndërgjegjësuese për sektorë e fusha të ndryshme, si më poshtë.    </w:t>
      </w:r>
    </w:p>
    <w:p w14:paraId="6FB45E60"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Webinar me institucione publike (2 module trajnimi); </w:t>
      </w:r>
    </w:p>
    <w:p w14:paraId="759584A7"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OSHC dhe median;</w:t>
      </w:r>
    </w:p>
    <w:p w14:paraId="040EFD92"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Webinar me sektorin shëndetësor; </w:t>
      </w:r>
    </w:p>
    <w:p w14:paraId="4E228A1A"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institucionet ligjzbatuese;</w:t>
      </w:r>
    </w:p>
    <w:p w14:paraId="1E18ECE7"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sektorët bankar/financiar dhe telekomunikacionin</w:t>
      </w:r>
    </w:p>
    <w:p w14:paraId="3D450B25"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institucione të arsimit të lartë;</w:t>
      </w:r>
    </w:p>
    <w:p w14:paraId="1CC9713F"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Shkollën e Magjistraturës dhe sistemin e drejtësisë;</w:t>
      </w:r>
    </w:p>
    <w:p w14:paraId="770A3974"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përfaqësues të profesioneve të lira;</w:t>
      </w:r>
    </w:p>
    <w:p w14:paraId="5E4B007D"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mbi sigurinë e të dhënave;</w:t>
      </w:r>
    </w:p>
    <w:p w14:paraId="7E5EA43B" w14:textId="77777777" w:rsidR="000F0607" w:rsidRPr="000F0607" w:rsidRDefault="000F0607" w:rsidP="000F0607">
      <w:pPr>
        <w:widowControl w:val="0"/>
        <w:numPr>
          <w:ilvl w:val="0"/>
          <w:numId w:val="15"/>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Webinar me nxënës të arsimit parauniversitar;</w:t>
      </w:r>
    </w:p>
    <w:p w14:paraId="0FCF700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p>
    <w:p w14:paraId="240AB66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Gjithashtu si pjesë e këtij komponenti, u hartuan katër dokumente me funksion udhëzues në kuadër të legjislacionin e ri të fushës për:  </w:t>
      </w:r>
    </w:p>
    <w:p w14:paraId="4A048E25" w14:textId="77777777" w:rsidR="000F0607" w:rsidRPr="000F0607" w:rsidRDefault="000F0607" w:rsidP="000F0607">
      <w:pPr>
        <w:widowControl w:val="0"/>
        <w:numPr>
          <w:ilvl w:val="0"/>
          <w:numId w:val="16"/>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rolet e ndryshme dhe shpërndarjen e përgjegjësive në marrëdhëniet mes kontrolluesit dhe përpunuesit;  </w:t>
      </w:r>
    </w:p>
    <w:p w14:paraId="2BCDFD88" w14:textId="77777777" w:rsidR="000F0607" w:rsidRPr="000F0607" w:rsidRDefault="000F0607" w:rsidP="000F0607">
      <w:pPr>
        <w:widowControl w:val="0"/>
        <w:numPr>
          <w:ilvl w:val="0"/>
          <w:numId w:val="16"/>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detyrimet e nëpunësit për mbrojtjen e të dhënave; </w:t>
      </w:r>
    </w:p>
    <w:p w14:paraId="188406F3" w14:textId="77777777" w:rsidR="000F0607" w:rsidRPr="000F0607" w:rsidRDefault="000F0607" w:rsidP="000F0607">
      <w:pPr>
        <w:widowControl w:val="0"/>
        <w:numPr>
          <w:ilvl w:val="0"/>
          <w:numId w:val="16"/>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procesin e vlerësimit të ndikimit në mbrojtjen e të dhënave; </w:t>
      </w:r>
    </w:p>
    <w:p w14:paraId="1C0B6921" w14:textId="77777777" w:rsidR="000F0607" w:rsidRPr="000F0607" w:rsidRDefault="000F0607" w:rsidP="000F0607">
      <w:pPr>
        <w:widowControl w:val="0"/>
        <w:numPr>
          <w:ilvl w:val="0"/>
          <w:numId w:val="16"/>
        </w:numPr>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konceptin e pëlqimit. </w:t>
      </w:r>
    </w:p>
    <w:p w14:paraId="7CCCCA1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5771A98C"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Për këto aktivitete, kosto që mbulohet nga projekti i binjakëzimit është në vlerën </w:t>
      </w:r>
      <w:r w:rsidRPr="000F0607">
        <w:rPr>
          <w:rFonts w:ascii="Times New Roman" w:eastAsia="Times New Roman" w:hAnsi="Times New Roman"/>
          <w:b/>
          <w:color w:val="000000"/>
          <w:sz w:val="28"/>
          <w:szCs w:val="28"/>
        </w:rPr>
        <w:t xml:space="preserve">55.000 EUR. </w:t>
      </w:r>
      <w:r w:rsidRPr="000F0607">
        <w:rPr>
          <w:rFonts w:ascii="Times New Roman" w:eastAsia="Times New Roman" w:hAnsi="Times New Roman"/>
          <w:color w:val="000000"/>
          <w:sz w:val="28"/>
          <w:szCs w:val="28"/>
        </w:rPr>
        <w:t xml:space="preserve">Megjithatë, për shkak të natyrës së projektit të binjakëzimit, një pjesë e stafit të Zyrës së Komisionerit </w:t>
      </w:r>
      <w:r w:rsidRPr="000F0607">
        <w:rPr>
          <w:rFonts w:ascii="Times New Roman" w:eastAsia="Times New Roman" w:hAnsi="Times New Roman"/>
          <w:i/>
          <w:color w:val="000000"/>
          <w:sz w:val="28"/>
          <w:szCs w:val="28"/>
        </w:rPr>
        <w:t>(2 nëpunës të nivelit të mesëm drejtues</w:t>
      </w:r>
      <w:r w:rsidRPr="000F0607">
        <w:rPr>
          <w:rFonts w:ascii="Times New Roman" w:eastAsia="Times New Roman" w:hAnsi="Times New Roman"/>
          <w:color w:val="000000"/>
          <w:sz w:val="28"/>
          <w:szCs w:val="28"/>
        </w:rPr>
        <w:t xml:space="preserve">) janë angazhuar gjatë zhvillimit të këtyre aktiviteteve si pjesë e komponentit të III të projektit, në bashkëpunim me ekspertët për një periudhë 6 – mujore. Në këtë kuptim, kostot administrative për sa më sipër, llogaritet në vlerën: </w:t>
      </w:r>
      <w:r w:rsidRPr="000F0607">
        <w:rPr>
          <w:rFonts w:ascii="Times New Roman" w:eastAsia="Times New Roman" w:hAnsi="Times New Roman"/>
          <w:b/>
          <w:color w:val="000000"/>
          <w:sz w:val="28"/>
          <w:szCs w:val="28"/>
        </w:rPr>
        <w:t>1 492 940 lekë</w:t>
      </w:r>
      <w:r w:rsidRPr="000F0607">
        <w:rPr>
          <w:rFonts w:ascii="Times New Roman" w:eastAsia="Times New Roman" w:hAnsi="Times New Roman"/>
          <w:color w:val="000000"/>
          <w:sz w:val="28"/>
          <w:szCs w:val="28"/>
        </w:rPr>
        <w:t xml:space="preserve">. Nga ana tjetër, sa i përket viteve në vijim, pas hyrjes në fuqi të ligjit, Zyra e Komisionerit do të vijojë zhvillimin e trajnimeve dhe aktiviteteve ndërgjegjësuese të grupeve të veçanta në fokus nga sektori publik, privat si dhe shoqëria civile në kuadër të veprimtarisë së saj. Kosto e përllogaritur për tre vitet në vijim është në vlerën </w:t>
      </w:r>
      <w:r w:rsidRPr="000F0607">
        <w:rPr>
          <w:rFonts w:ascii="Times New Roman" w:eastAsia="Times New Roman" w:hAnsi="Times New Roman"/>
          <w:b/>
          <w:color w:val="000000"/>
          <w:sz w:val="28"/>
          <w:szCs w:val="28"/>
        </w:rPr>
        <w:t xml:space="preserve">3 milion lekë. </w:t>
      </w:r>
    </w:p>
    <w:p w14:paraId="3E824DE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27F476C8" w14:textId="3DCB6D6C"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i/>
          <w:color w:val="000000"/>
          <w:sz w:val="28"/>
          <w:szCs w:val="28"/>
        </w:rPr>
        <w:t>Në lidhje me pikën e tretë:</w:t>
      </w:r>
      <w:r w:rsidRPr="000F0607">
        <w:rPr>
          <w:rFonts w:ascii="Times New Roman" w:eastAsia="Times New Roman" w:hAnsi="Times New Roman"/>
          <w:color w:val="000000"/>
          <w:sz w:val="28"/>
          <w:szCs w:val="28"/>
        </w:rPr>
        <w:t xml:space="preserve"> Me miratimin e projektligjit të ri, forcohet pavarësia dhe kompetencat e Zyrës së Komisionerit, në mënyrë që autoriteti të jetë i pajisur siç duhet, për të trajtuar në mënyrë efektive ankesat, kryer hetime administrative, dhe për të marrë vendime detyruese dhe vendosur sanksione efektive. Duke mbajtur në konsideratë arsyen që diktoi nevojën për reformën e ndërmarrë në nivel evropian në fushën e mbrojtjes së të dhënave (pra zhvillimi teknologjik), stafi inspektues i Zyrës së Komisionerit duhet të jetë i pajisur me njohuri dhe kompetenca të nevojshme për të adresuar nevojat inspektuese si në aspektin sasior ashtu edhe cilësor. Në këtë kuptim për Zyrën e Komisionerit në funksion të mbrojtjes së të dhënave në sektorin e teknologjisë së informacionit dhe komunikimit, është e nevojshme shtimi i burimeve njerëzore edhe me 16 punonjës të tjerë shtesë. Koston totale e përllogaritur për tre vite është në masën </w:t>
      </w:r>
      <w:r w:rsidRPr="000F0607">
        <w:rPr>
          <w:rFonts w:ascii="Times New Roman" w:eastAsia="Times New Roman" w:hAnsi="Times New Roman"/>
          <w:b/>
          <w:color w:val="000000"/>
          <w:sz w:val="28"/>
          <w:szCs w:val="28"/>
        </w:rPr>
        <w:t>23, 8 milion lekë.</w:t>
      </w:r>
    </w:p>
    <w:p w14:paraId="687DAFE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38D1CAD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Gjithashtu parashikohen edhe efektet e shtesës për natyrë të veçantë pune pas miratimit të aktit përkatës, në masën rreth </w:t>
      </w:r>
      <w:r w:rsidRPr="000F0607">
        <w:rPr>
          <w:rFonts w:ascii="Times New Roman" w:eastAsia="Times New Roman" w:hAnsi="Times New Roman"/>
          <w:b/>
          <w:color w:val="000000"/>
          <w:sz w:val="28"/>
          <w:szCs w:val="28"/>
        </w:rPr>
        <w:t>8,4 milion lekë</w:t>
      </w:r>
      <w:r w:rsidRPr="000F0607">
        <w:rPr>
          <w:rFonts w:ascii="Times New Roman" w:eastAsia="Times New Roman" w:hAnsi="Times New Roman"/>
          <w:color w:val="000000"/>
          <w:sz w:val="28"/>
          <w:szCs w:val="28"/>
        </w:rPr>
        <w:t xml:space="preserve"> në vit.</w:t>
      </w:r>
    </w:p>
    <w:p w14:paraId="635F947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64CF6475" w14:textId="1AC3F9F6" w:rsidR="000F0607" w:rsidRPr="000F0607" w:rsidRDefault="000F0607" w:rsidP="000F0607">
      <w:pPr>
        <w:widowControl w:val="0"/>
        <w:numPr>
          <w:ilvl w:val="0"/>
          <w:numId w:val="14"/>
        </w:numPr>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b/>
          <w:color w:val="000000"/>
          <w:sz w:val="28"/>
          <w:szCs w:val="28"/>
        </w:rPr>
        <w:t xml:space="preserve">Kosto për institucionet publike të cilat mbledhin dhe përpunojnë të dhëna lidhur me kontrolluesin, përpunuesin e të dhënave dhe detyrimin që ata kanë për emërimin e një nëpunësi të mbrojtjes së të dhënave. Të identifikohen cilat janë këto institucione publike dhe kosto që përcjell për to. </w:t>
      </w:r>
    </w:p>
    <w:p w14:paraId="034DC46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59758753" w14:textId="78A838B3"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Miratimi i projektligjit të ri mund të sjellë kosto për kontrolluesit publikë dhe privatë të cilët janë të detyruar të implementojnë masat që kërkon legjislacioni i ri për mbrojtjen e të dhënave personale me qëllim që të jenë në përputhje me të. Në këtë kuptim, shumë prej kontrolluesve aktualisht kanë kryer një investim fillestar pasi shumë prej masave që ata duhet të marrin me qëllim sigurimin e privatësisë gjatë përpunimit të të dhënave personale, por jo vetëm, janë detyrime që ata kanë përmbushur në zbatim të akteve nënligjore në fuqi. Kosto financiare që u kushton kontrolluesve në zbatimin e masave që vijnë si detyrim i zbatimit të ligjit të ri të përafruar, </w:t>
      </w:r>
      <w:r w:rsidRPr="000F0607">
        <w:rPr>
          <w:rFonts w:ascii="Times New Roman" w:eastAsia="Times New Roman" w:hAnsi="Times New Roman"/>
          <w:i/>
          <w:color w:val="000000"/>
          <w:sz w:val="28"/>
          <w:szCs w:val="28"/>
        </w:rPr>
        <w:t>do të bazohet në një vlerë të përafërt</w:t>
      </w:r>
      <w:r w:rsidRPr="000F0607">
        <w:rPr>
          <w:rFonts w:ascii="Times New Roman" w:eastAsia="Times New Roman" w:hAnsi="Times New Roman"/>
          <w:color w:val="000000"/>
          <w:sz w:val="28"/>
          <w:szCs w:val="28"/>
        </w:rPr>
        <w:t xml:space="preserve">, pasi ekzistojnë shumë faktorë që përshkallëzojnë këtë kosto, duke u nisur së pari, bazuar në faktin nëse një kontrollues konsiderohet i madh apo i vogël; sasisë së të dhënave që përpunon, nëse është një kontrollues publik apo privat, por duke përfshirë edhe: </w:t>
      </w:r>
    </w:p>
    <w:p w14:paraId="0CD5736B"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73B9887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1) Koston e aktiviteteve paraprake</w:t>
      </w:r>
    </w:p>
    <w:p w14:paraId="2FB43636" w14:textId="22FAF548"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Projektligji i ri kërkon që kontrolluesi i të dhënave të demonstrojë pajtueshmërinë me kërkesat që burojnë prej tij. Prandaj, një nga hapat e parë për të filluar aktivitetin e përpunimit, është e ashtuquajtura Vlerësimi i Ndikimit të Mbrojtjes së të Dhënave, për të ditur më mirë se ku duhet të fillojë zbatimi i pajtueshmërisë me ligjin e ri. Përmes kësaj veprimtarie, kontrolluesi i të dhënave, do të verifikojë kategoritë e të dhënave që përpunohen, cilat njësi e këtij kontrolluesi kryen përpunimin e të dhënave, ku ruhen të dhënat dhe si mbrohen ato, delegimin e përpunimit (përpunuesit), transferimin ndërkombëtar etj. Pasi të jetë kryer ky vlerësim, do të jetë e qartë se cilat hapa duhet të ndërmerren për të minimizuar rreziqet dhe garantuar sigurinë e individëve dhe, natyrisht, rreziqet e cenimit të privatësisë dhe shkeljes së të dhënave. Në këtë kontekst, kontrolluesi mund konsiderojë kontraktimin e një konsulenti të jashtëm për të drejtuar këtë proces.  </w:t>
      </w:r>
    </w:p>
    <w:p w14:paraId="2F90837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561061D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2) Koston e trajnimit dhe familjarizimit</w:t>
      </w:r>
    </w:p>
    <w:p w14:paraId="4D87623B"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Për të zbatuar legjislacionin e ri, kontrolluesi i të dhënave do të duhet të trajnojë të gjithë personat e përfshirë në proceset e përpunimit të të dhënave. Ky është një element kryesor i zbatimit të ligjit të ri, sepse është mënyra e vetme për të ndjekur parimet e privatësisë sipas këtij modeli. </w:t>
      </w:r>
    </w:p>
    <w:p w14:paraId="5DD05071"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1BAAE52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3) Koston e teknologjisë</w:t>
      </w:r>
    </w:p>
    <w:p w14:paraId="0626DF4B"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Kostoja e teknologjisë ndryshon në varësi të kontrolluesit, dimensionit të tij, si dhe llojit dhe vëllimit të të dhënave personale që ai përpunon. Zbatimi i masave të parashikuara nga ligji, mbështetet në shumë elementë të ndryshëm, si teknikë ashtu edhe organizativë. Prandaj, do të duhet së pari që kontrolluesi të marrë në konsideratë nëse blerja e softuerit ose azhornimi i një softueri aktual, do të rrisë nivelin e sigurisë së këtij kontrolluesi, dhe më pas të vlerësojë koston për secilin rast.</w:t>
      </w:r>
    </w:p>
    <w:p w14:paraId="1C5101F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AC4F94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5) Koston e përputhshmërisë </w:t>
      </w:r>
    </w:p>
    <w:p w14:paraId="219D155B"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Teknologjia është në zhvillim, kështu që kontrolluesit do të duhet që të kontrollojnë në mënyrë periodike pajtueshmërinë e tij me kërkesat ligjore në një sistem që zhvillohet teknologjikisht, nëpërmjet një strukture auditi e cila ka koston e saj në këtë drejtim.</w:t>
      </w:r>
    </w:p>
    <w:p w14:paraId="22490CD1"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77D6FB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6) Caktimin i një Nëpunësi për Mbrojtjen e të Dhënave. </w:t>
      </w:r>
    </w:p>
    <w:p w14:paraId="52338563"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Në varësi të kontrolluesit që përpunon të dhënat personale, do të duhet të emërohet një Nëpunës për Mbrojtjen e të Dhënave, kostoja e të cilit llogaritet me pagën e nëpunësit në varësi të statusit të kontrolluesit publik ose privat.</w:t>
      </w:r>
    </w:p>
    <w:p w14:paraId="1D9112DD"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18D7157" w14:textId="7578E01E"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Sa më sipër, efektet e plota financiare të ndikimeve të këti</w:t>
      </w:r>
      <w:r>
        <w:rPr>
          <w:rFonts w:ascii="Times New Roman" w:eastAsia="Times New Roman" w:hAnsi="Times New Roman"/>
          <w:color w:val="000000"/>
          <w:sz w:val="28"/>
          <w:szCs w:val="28"/>
        </w:rPr>
        <w:t>j projektligji, janë të pamundu</w:t>
      </w:r>
      <w:r w:rsidRPr="000F0607">
        <w:rPr>
          <w:rFonts w:ascii="Times New Roman" w:eastAsia="Times New Roman" w:hAnsi="Times New Roman"/>
          <w:color w:val="000000"/>
          <w:sz w:val="28"/>
          <w:szCs w:val="28"/>
        </w:rPr>
        <w:t>ra të vlerësohen pasi gjithçk</w:t>
      </w:r>
      <w:r>
        <w:rPr>
          <w:rFonts w:ascii="Times New Roman" w:eastAsia="Times New Roman" w:hAnsi="Times New Roman"/>
          <w:color w:val="000000"/>
          <w:sz w:val="28"/>
          <w:szCs w:val="28"/>
        </w:rPr>
        <w:t>a varet nga numri i kontrollues</w:t>
      </w:r>
      <w:r w:rsidRPr="000F0607">
        <w:rPr>
          <w:rFonts w:ascii="Times New Roman" w:eastAsia="Times New Roman" w:hAnsi="Times New Roman"/>
          <w:color w:val="000000"/>
          <w:sz w:val="28"/>
          <w:szCs w:val="28"/>
        </w:rPr>
        <w:t xml:space="preserve">ve në Republikën e Shqipërisë, faktit nëse këta kontrollues konsiderohen të mëdhenj apo të vegjël, nëse janë kontrollues publikë ose privat si dhe qasjes që zgjedh gjithsecili për të zbatuar masat e parashikuara nga projektligji i ri për mbrojtjen e të dhënave personale. Megjithatë duke ju referuar eksperiencave të vendeve të tjera të cilët kanë implementuar GDPR, studimeve të ndryshme që janë kryer në BE lidhur me këto kosto, si dhe </w:t>
      </w:r>
      <w:r>
        <w:rPr>
          <w:rFonts w:ascii="Times New Roman" w:eastAsia="Times New Roman" w:hAnsi="Times New Roman"/>
          <w:color w:val="000000"/>
          <w:sz w:val="28"/>
          <w:szCs w:val="28"/>
        </w:rPr>
        <w:t>faktit që shumica e kontrollues</w:t>
      </w:r>
      <w:r w:rsidRPr="000F0607">
        <w:rPr>
          <w:rFonts w:ascii="Times New Roman" w:eastAsia="Times New Roman" w:hAnsi="Times New Roman"/>
          <w:color w:val="000000"/>
          <w:sz w:val="28"/>
          <w:szCs w:val="28"/>
        </w:rPr>
        <w:t xml:space="preserve">ve të mëdhenj në Shqipëri kanë marrë masa paraprake për zbatimin e detyrimeve ligjore aktuale, kosto financiare për kontrolluesit e mëdhenj si psh. kontrolluesit që operojnë në fushën e telekomunikacionit përafërsisht llogaritet në vlerën </w:t>
      </w:r>
      <w:r w:rsidRPr="000F0607">
        <w:rPr>
          <w:rFonts w:ascii="Times New Roman" w:eastAsia="Times New Roman" w:hAnsi="Times New Roman"/>
          <w:b/>
          <w:color w:val="000000"/>
          <w:sz w:val="28"/>
          <w:szCs w:val="28"/>
        </w:rPr>
        <w:t>1.5 million lekë.</w:t>
      </w:r>
    </w:p>
    <w:p w14:paraId="0A41F44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1F44B07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Ndërsa lidhur me kontrolluesit të cilët konsiderohen të vegjël (</w:t>
      </w:r>
      <w:r w:rsidRPr="000F0607">
        <w:rPr>
          <w:rFonts w:ascii="Times New Roman" w:eastAsia="Times New Roman" w:hAnsi="Times New Roman"/>
          <w:i/>
          <w:color w:val="000000"/>
          <w:sz w:val="28"/>
          <w:szCs w:val="28"/>
        </w:rPr>
        <w:t>sipas kritereve të parashikuara në Udhëzimin nr. 47/2018 të Komisionerit</w:t>
      </w:r>
      <w:r w:rsidRPr="000F0607">
        <w:rPr>
          <w:rFonts w:ascii="Times New Roman" w:eastAsia="Times New Roman" w:hAnsi="Times New Roman"/>
          <w:color w:val="000000"/>
          <w:sz w:val="28"/>
          <w:szCs w:val="28"/>
        </w:rPr>
        <w:t xml:space="preserve">), kosto financiare përafërsisht llogaritet në vlerën jo më shumë se </w:t>
      </w:r>
      <w:r w:rsidRPr="000F0607">
        <w:rPr>
          <w:rFonts w:ascii="Times New Roman" w:eastAsia="Times New Roman" w:hAnsi="Times New Roman"/>
          <w:b/>
          <w:color w:val="000000"/>
          <w:sz w:val="28"/>
          <w:szCs w:val="28"/>
        </w:rPr>
        <w:t>200 mijë lekë.</w:t>
      </w:r>
    </w:p>
    <w:p w14:paraId="293398C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3B79F82B" w14:textId="77777777" w:rsidR="000F0607" w:rsidRPr="000F0607" w:rsidRDefault="000F0607" w:rsidP="000F0607">
      <w:pPr>
        <w:widowControl w:val="0"/>
        <w:numPr>
          <w:ilvl w:val="0"/>
          <w:numId w:val="14"/>
        </w:numPr>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Kosto për Komisonerin lidhur me Regjistrin e Njoftimeve të marra, parashikuar në nenin 40 të projektligjit.</w:t>
      </w:r>
    </w:p>
    <w:p w14:paraId="5132619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14D69AC6" w14:textId="52987650"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Regjistri i Njoftimeve është një regjistër ekzistues, për rrjedhojë nuk parashikohen kosto shtesë në këtë kuadër.</w:t>
      </w:r>
    </w:p>
    <w:p w14:paraId="5A164537" w14:textId="04FC5816" w:rsid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5FCBF0DF" w14:textId="2DE493A6" w:rsidR="00306FF3" w:rsidRDefault="00306FF3"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35010BB7" w14:textId="042B3F1B" w:rsidR="00306FF3" w:rsidRDefault="00306FF3"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2CDCCAB" w14:textId="6FC9AA03" w:rsidR="00306FF3" w:rsidRDefault="00306FF3"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849ADE5" w14:textId="77777777" w:rsidR="00306FF3" w:rsidRPr="000F0607" w:rsidRDefault="00306FF3"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236A3915" w14:textId="150E1C21"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Në formë tabelore shpenzimet e detajuara dhe në formë përmbledhëse janë si më poshtë:</w:t>
      </w:r>
    </w:p>
    <w:p w14:paraId="3D1C95E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906"/>
        <w:gridCol w:w="2030"/>
        <w:gridCol w:w="1491"/>
        <w:gridCol w:w="1506"/>
      </w:tblGrid>
      <w:tr w:rsidR="000F0607" w:rsidRPr="000F0607" w14:paraId="750EB73F" w14:textId="77777777" w:rsidTr="00727058">
        <w:trPr>
          <w:trHeight w:val="332"/>
        </w:trPr>
        <w:tc>
          <w:tcPr>
            <w:tcW w:w="2000" w:type="dxa"/>
            <w:vMerge w:val="restart"/>
            <w:shd w:val="clear" w:color="auto" w:fill="auto"/>
          </w:tcPr>
          <w:p w14:paraId="0CAF660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3FEA13B4"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1202AF3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0C08AE1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440C864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2F87E8F2"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b/>
                <w:color w:val="000000"/>
                <w:sz w:val="28"/>
                <w:szCs w:val="28"/>
              </w:rPr>
              <w:t>Zyra e Komisionerit</w:t>
            </w:r>
          </w:p>
        </w:tc>
        <w:tc>
          <w:tcPr>
            <w:tcW w:w="1906" w:type="dxa"/>
            <w:shd w:val="clear" w:color="auto" w:fill="auto"/>
          </w:tcPr>
          <w:p w14:paraId="0C006AA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Aktiviteti</w:t>
            </w:r>
          </w:p>
        </w:tc>
        <w:tc>
          <w:tcPr>
            <w:tcW w:w="1872" w:type="dxa"/>
            <w:shd w:val="clear" w:color="auto" w:fill="auto"/>
          </w:tcPr>
          <w:p w14:paraId="07074662"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Viti 1</w:t>
            </w:r>
          </w:p>
        </w:tc>
        <w:tc>
          <w:tcPr>
            <w:tcW w:w="1491" w:type="dxa"/>
            <w:shd w:val="clear" w:color="auto" w:fill="auto"/>
          </w:tcPr>
          <w:p w14:paraId="3D23D14D"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Viti 2</w:t>
            </w:r>
          </w:p>
        </w:tc>
        <w:tc>
          <w:tcPr>
            <w:tcW w:w="1506" w:type="dxa"/>
            <w:shd w:val="clear" w:color="auto" w:fill="auto"/>
          </w:tcPr>
          <w:p w14:paraId="22215D8D"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Viti 3</w:t>
            </w:r>
          </w:p>
        </w:tc>
      </w:tr>
      <w:tr w:rsidR="000F0607" w:rsidRPr="000F0607" w14:paraId="7AABA81D" w14:textId="77777777" w:rsidTr="00727058">
        <w:trPr>
          <w:trHeight w:val="332"/>
        </w:trPr>
        <w:tc>
          <w:tcPr>
            <w:tcW w:w="2000" w:type="dxa"/>
            <w:vMerge/>
            <w:shd w:val="clear" w:color="auto" w:fill="auto"/>
          </w:tcPr>
          <w:p w14:paraId="5098E19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c>
        <w:tc>
          <w:tcPr>
            <w:tcW w:w="1906" w:type="dxa"/>
            <w:shd w:val="clear" w:color="auto" w:fill="auto"/>
          </w:tcPr>
          <w:p w14:paraId="1413923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Kosto administrative për procesin e përafrimit të legjislacionit për mbrojtjen e të dhënave personale me acquis të BE financuar </w:t>
            </w:r>
          </w:p>
        </w:tc>
        <w:tc>
          <w:tcPr>
            <w:tcW w:w="1872" w:type="dxa"/>
            <w:shd w:val="clear" w:color="auto" w:fill="auto"/>
          </w:tcPr>
          <w:p w14:paraId="4DDCDD1C"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71.811.94 EUR. </w:t>
            </w:r>
          </w:p>
          <w:p w14:paraId="2D1B5D8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Financuar nga Bashkimi Europian nëpërmjet programit IPA 2017 </w:t>
            </w:r>
          </w:p>
          <w:p w14:paraId="0DE0D70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p>
          <w:p w14:paraId="05A5AAC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bCs/>
                <w:color w:val="000000"/>
                <w:sz w:val="28"/>
                <w:szCs w:val="28"/>
              </w:rPr>
              <w:t>5 398 560 lekë</w:t>
            </w:r>
            <w:r w:rsidRPr="000F0607">
              <w:rPr>
                <w:rFonts w:ascii="Times New Roman" w:eastAsia="Times New Roman" w:hAnsi="Times New Roman"/>
                <w:i/>
                <w:color w:val="000000"/>
                <w:sz w:val="28"/>
                <w:szCs w:val="28"/>
              </w:rPr>
              <w:t xml:space="preserve"> për stafin e Zyrës së Komisionerit të përfshirë në këtë proces.</w:t>
            </w:r>
          </w:p>
        </w:tc>
        <w:tc>
          <w:tcPr>
            <w:tcW w:w="1491" w:type="dxa"/>
            <w:shd w:val="clear" w:color="auto" w:fill="auto"/>
          </w:tcPr>
          <w:p w14:paraId="3F94F3C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c>
          <w:tcPr>
            <w:tcW w:w="1506" w:type="dxa"/>
            <w:shd w:val="clear" w:color="auto" w:fill="auto"/>
          </w:tcPr>
          <w:p w14:paraId="5058D33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r>
      <w:tr w:rsidR="000F0607" w:rsidRPr="000F0607" w14:paraId="512AAB1F" w14:textId="77777777" w:rsidTr="00727058">
        <w:trPr>
          <w:trHeight w:val="332"/>
        </w:trPr>
        <w:tc>
          <w:tcPr>
            <w:tcW w:w="2000" w:type="dxa"/>
            <w:vMerge/>
            <w:shd w:val="clear" w:color="auto" w:fill="auto"/>
          </w:tcPr>
          <w:p w14:paraId="265D572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c>
        <w:tc>
          <w:tcPr>
            <w:tcW w:w="1906" w:type="dxa"/>
            <w:shd w:val="clear" w:color="auto" w:fill="auto"/>
          </w:tcPr>
          <w:p w14:paraId="65E514F5"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Trajnime dhe ndërgjegjësimi i grupeve të veçanta në fokus nga sektori publik, privat dhe shoqëria civile.    </w:t>
            </w:r>
          </w:p>
        </w:tc>
        <w:tc>
          <w:tcPr>
            <w:tcW w:w="1872" w:type="dxa"/>
            <w:shd w:val="clear" w:color="auto" w:fill="auto"/>
          </w:tcPr>
          <w:p w14:paraId="2061F823"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color w:val="000000"/>
                <w:sz w:val="28"/>
                <w:szCs w:val="28"/>
              </w:rPr>
              <w:t>55.000 EUR</w:t>
            </w:r>
            <w:r w:rsidRPr="000F0607">
              <w:rPr>
                <w:rFonts w:ascii="Times New Roman" w:eastAsia="Times New Roman" w:hAnsi="Times New Roman"/>
                <w:b/>
                <w:color w:val="000000"/>
                <w:sz w:val="28"/>
                <w:szCs w:val="28"/>
              </w:rPr>
              <w:t xml:space="preserve"> </w:t>
            </w:r>
            <w:r w:rsidRPr="000F0607">
              <w:rPr>
                <w:rFonts w:ascii="Times New Roman" w:eastAsia="Times New Roman" w:hAnsi="Times New Roman"/>
                <w:i/>
                <w:color w:val="000000"/>
                <w:sz w:val="28"/>
                <w:szCs w:val="28"/>
              </w:rPr>
              <w:t xml:space="preserve">Financuar nga Bashkimi Europian nëpërmjet programit IPA 2017 </w:t>
            </w:r>
          </w:p>
          <w:p w14:paraId="6979173A"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657CF4F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1 492 940 lekë </w:t>
            </w:r>
            <w:r w:rsidRPr="000F0607">
              <w:rPr>
                <w:rFonts w:ascii="Times New Roman" w:eastAsia="Times New Roman" w:hAnsi="Times New Roman"/>
                <w:i/>
                <w:color w:val="000000"/>
                <w:sz w:val="28"/>
                <w:szCs w:val="28"/>
              </w:rPr>
              <w:t>Për stafin e Zyrës së Komisionerit të përfshirë në këtë proces</w:t>
            </w:r>
          </w:p>
          <w:p w14:paraId="05CEB353"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65C239D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2 milion lekë </w:t>
            </w:r>
          </w:p>
          <w:p w14:paraId="6731B9E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i/>
                <w:color w:val="000000"/>
                <w:sz w:val="28"/>
                <w:szCs w:val="28"/>
              </w:rPr>
            </w:pPr>
            <w:r w:rsidRPr="000F0607">
              <w:rPr>
                <w:rFonts w:ascii="Times New Roman" w:eastAsia="Times New Roman" w:hAnsi="Times New Roman"/>
                <w:i/>
                <w:color w:val="000000"/>
                <w:sz w:val="28"/>
                <w:szCs w:val="28"/>
              </w:rPr>
              <w:t xml:space="preserve">Për zhvillimin e  aktiviteteve ndërgjegjësuese pas miratimit të projektligjit </w:t>
            </w:r>
          </w:p>
        </w:tc>
        <w:tc>
          <w:tcPr>
            <w:tcW w:w="1491" w:type="dxa"/>
            <w:shd w:val="clear" w:color="auto" w:fill="auto"/>
          </w:tcPr>
          <w:p w14:paraId="79B5DA1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500 mijë lekë</w:t>
            </w:r>
          </w:p>
        </w:tc>
        <w:tc>
          <w:tcPr>
            <w:tcW w:w="1506" w:type="dxa"/>
            <w:shd w:val="clear" w:color="auto" w:fill="auto"/>
          </w:tcPr>
          <w:p w14:paraId="507C71E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500 mijë lekë</w:t>
            </w:r>
          </w:p>
        </w:tc>
      </w:tr>
      <w:tr w:rsidR="000F0607" w:rsidRPr="000F0607" w14:paraId="626E3E79" w14:textId="77777777" w:rsidTr="00727058">
        <w:trPr>
          <w:trHeight w:val="332"/>
        </w:trPr>
        <w:tc>
          <w:tcPr>
            <w:tcW w:w="2000" w:type="dxa"/>
            <w:vMerge/>
            <w:shd w:val="clear" w:color="auto" w:fill="auto"/>
          </w:tcPr>
          <w:p w14:paraId="6CF395EE"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c>
        <w:tc>
          <w:tcPr>
            <w:tcW w:w="1906" w:type="dxa"/>
            <w:shd w:val="clear" w:color="auto" w:fill="auto"/>
          </w:tcPr>
          <w:p w14:paraId="57CBCB36"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Shtim i numrit të punonjësve për Zyrën e Komisionerit</w:t>
            </w:r>
          </w:p>
        </w:tc>
        <w:tc>
          <w:tcPr>
            <w:tcW w:w="1872" w:type="dxa"/>
            <w:shd w:val="clear" w:color="auto" w:fill="auto"/>
          </w:tcPr>
          <w:p w14:paraId="403FCB4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xml:space="preserve">23.8 milion lekë  </w:t>
            </w:r>
          </w:p>
        </w:tc>
        <w:tc>
          <w:tcPr>
            <w:tcW w:w="1491" w:type="dxa"/>
            <w:shd w:val="clear" w:color="auto" w:fill="auto"/>
          </w:tcPr>
          <w:p w14:paraId="6A665BE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c>
          <w:tcPr>
            <w:tcW w:w="1506" w:type="dxa"/>
            <w:shd w:val="clear" w:color="auto" w:fill="auto"/>
          </w:tcPr>
          <w:p w14:paraId="73DF8E97"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r>
      <w:tr w:rsidR="000F0607" w:rsidRPr="000F0607" w14:paraId="0FA9AA01" w14:textId="77777777" w:rsidTr="00727058">
        <w:trPr>
          <w:trHeight w:val="332"/>
        </w:trPr>
        <w:tc>
          <w:tcPr>
            <w:tcW w:w="2000" w:type="dxa"/>
            <w:vMerge/>
            <w:shd w:val="clear" w:color="auto" w:fill="auto"/>
          </w:tcPr>
          <w:p w14:paraId="3A5F9F78"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c>
        <w:tc>
          <w:tcPr>
            <w:tcW w:w="1906" w:type="dxa"/>
            <w:shd w:val="clear" w:color="auto" w:fill="auto"/>
          </w:tcPr>
          <w:p w14:paraId="01758D93"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Shtesës për natyrë të veçantë pune.</w:t>
            </w:r>
          </w:p>
        </w:tc>
        <w:tc>
          <w:tcPr>
            <w:tcW w:w="1872" w:type="dxa"/>
            <w:shd w:val="clear" w:color="auto" w:fill="auto"/>
          </w:tcPr>
          <w:p w14:paraId="15C4DEC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8,4 milion lekë</w:t>
            </w:r>
          </w:p>
        </w:tc>
        <w:tc>
          <w:tcPr>
            <w:tcW w:w="1491" w:type="dxa"/>
            <w:shd w:val="clear" w:color="auto" w:fill="auto"/>
          </w:tcPr>
          <w:p w14:paraId="3CA234E2"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8,4 milion lekë</w:t>
            </w:r>
          </w:p>
        </w:tc>
        <w:tc>
          <w:tcPr>
            <w:tcW w:w="1506" w:type="dxa"/>
            <w:shd w:val="clear" w:color="auto" w:fill="auto"/>
          </w:tcPr>
          <w:p w14:paraId="35D38BDF"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8,4 milion lekë</w:t>
            </w:r>
          </w:p>
        </w:tc>
      </w:tr>
      <w:tr w:rsidR="000F0607" w:rsidRPr="000F0607" w14:paraId="11BA4DC1" w14:textId="77777777" w:rsidTr="00727058">
        <w:trPr>
          <w:trHeight w:val="314"/>
        </w:trPr>
        <w:tc>
          <w:tcPr>
            <w:tcW w:w="2000" w:type="dxa"/>
            <w:vMerge w:val="restart"/>
            <w:shd w:val="clear" w:color="auto" w:fill="auto"/>
          </w:tcPr>
          <w:p w14:paraId="7AEBA07B"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p>
          <w:p w14:paraId="3C7890C2"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b/>
                <w:color w:val="000000"/>
                <w:sz w:val="28"/>
                <w:szCs w:val="28"/>
              </w:rPr>
            </w:pPr>
            <w:r w:rsidRPr="000F0607">
              <w:rPr>
                <w:rFonts w:ascii="Times New Roman" w:eastAsia="Times New Roman" w:hAnsi="Times New Roman"/>
                <w:b/>
                <w:color w:val="000000"/>
                <w:sz w:val="28"/>
                <w:szCs w:val="28"/>
              </w:rPr>
              <w:t>Kontrollues</w:t>
            </w:r>
          </w:p>
        </w:tc>
        <w:tc>
          <w:tcPr>
            <w:tcW w:w="1906" w:type="dxa"/>
            <w:shd w:val="clear" w:color="auto" w:fill="auto"/>
          </w:tcPr>
          <w:p w14:paraId="785648E7"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Kontrollues të vegjël</w:t>
            </w:r>
          </w:p>
        </w:tc>
        <w:tc>
          <w:tcPr>
            <w:tcW w:w="1872" w:type="dxa"/>
            <w:shd w:val="clear" w:color="auto" w:fill="auto"/>
          </w:tcPr>
          <w:p w14:paraId="2137AB6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 200 mijë lekë.</w:t>
            </w:r>
          </w:p>
        </w:tc>
        <w:tc>
          <w:tcPr>
            <w:tcW w:w="1491" w:type="dxa"/>
            <w:shd w:val="clear" w:color="auto" w:fill="auto"/>
          </w:tcPr>
          <w:p w14:paraId="6FB63340"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c>
          <w:tcPr>
            <w:tcW w:w="1506" w:type="dxa"/>
            <w:shd w:val="clear" w:color="auto" w:fill="auto"/>
          </w:tcPr>
          <w:p w14:paraId="3BD912FD"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r>
      <w:tr w:rsidR="000F0607" w:rsidRPr="000F0607" w14:paraId="2AF09FFF" w14:textId="77777777" w:rsidTr="00727058">
        <w:trPr>
          <w:trHeight w:val="341"/>
        </w:trPr>
        <w:tc>
          <w:tcPr>
            <w:tcW w:w="2000" w:type="dxa"/>
            <w:vMerge/>
            <w:shd w:val="clear" w:color="auto" w:fill="auto"/>
          </w:tcPr>
          <w:p w14:paraId="3345906C"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tc>
        <w:tc>
          <w:tcPr>
            <w:tcW w:w="1906" w:type="dxa"/>
            <w:shd w:val="clear" w:color="auto" w:fill="auto"/>
          </w:tcPr>
          <w:p w14:paraId="0EC258A1"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Kontrollues të mëdhenj</w:t>
            </w:r>
          </w:p>
        </w:tc>
        <w:tc>
          <w:tcPr>
            <w:tcW w:w="1872" w:type="dxa"/>
            <w:shd w:val="clear" w:color="auto" w:fill="auto"/>
          </w:tcPr>
          <w:p w14:paraId="50CEC059"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≈1.5 milion lekë.</w:t>
            </w:r>
          </w:p>
        </w:tc>
        <w:tc>
          <w:tcPr>
            <w:tcW w:w="1491" w:type="dxa"/>
            <w:shd w:val="clear" w:color="auto" w:fill="auto"/>
          </w:tcPr>
          <w:p w14:paraId="26B60873"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c>
          <w:tcPr>
            <w:tcW w:w="1506" w:type="dxa"/>
            <w:shd w:val="clear" w:color="auto" w:fill="auto"/>
          </w:tcPr>
          <w:p w14:paraId="306EEFC2"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0F0607">
              <w:rPr>
                <w:rFonts w:ascii="Times New Roman" w:eastAsia="Times New Roman" w:hAnsi="Times New Roman"/>
                <w:color w:val="000000"/>
                <w:sz w:val="28"/>
                <w:szCs w:val="28"/>
              </w:rPr>
              <w:t>n/a</w:t>
            </w:r>
          </w:p>
        </w:tc>
      </w:tr>
    </w:tbl>
    <w:p w14:paraId="6C36CE27" w14:textId="77777777" w:rsidR="000F0607" w:rsidRPr="000F0607" w:rsidRDefault="000F0607" w:rsidP="000F0607">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0A3E78FA" w14:textId="77777777" w:rsidR="000F0607" w:rsidRPr="000F0607" w:rsidRDefault="000F0607" w:rsidP="0098201E">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p>
    <w:p w14:paraId="3A501679" w14:textId="77777777" w:rsidR="00F9548F" w:rsidRPr="000F0607"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2D7AEAE3" w14:textId="77777777" w:rsidR="00C13394" w:rsidRPr="000F0607" w:rsidRDefault="00C13394"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5F91D284" w14:textId="77777777" w:rsidR="00F9548F" w:rsidRPr="000F0607"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r w:rsidRPr="000F0607">
        <w:rPr>
          <w:rFonts w:ascii="Times New Roman" w:eastAsia="Times New Roman" w:hAnsi="Times New Roman"/>
          <w:b/>
          <w:bCs/>
          <w:color w:val="000000"/>
          <w:sz w:val="28"/>
          <w:szCs w:val="28"/>
        </w:rPr>
        <w:t>MINISTRI</w:t>
      </w:r>
    </w:p>
    <w:p w14:paraId="7845F9CD" w14:textId="77777777" w:rsidR="00F9548F" w:rsidRPr="000F0607"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2F8D243C" w14:textId="77777777" w:rsidR="00F9548F" w:rsidRPr="000F0607" w:rsidRDefault="0091487C" w:rsidP="00F9548F">
      <w:pPr>
        <w:spacing w:after="0"/>
        <w:jc w:val="center"/>
        <w:rPr>
          <w:rFonts w:ascii="Times New Roman" w:hAnsi="Times New Roman"/>
          <w:b/>
          <w:sz w:val="28"/>
          <w:szCs w:val="28"/>
        </w:rPr>
      </w:pPr>
      <w:r w:rsidRPr="000F0607">
        <w:rPr>
          <w:rFonts w:ascii="Times New Roman" w:eastAsia="Times New Roman" w:hAnsi="Times New Roman"/>
          <w:b/>
          <w:bCs/>
          <w:color w:val="000000"/>
          <w:sz w:val="28"/>
          <w:szCs w:val="28"/>
        </w:rPr>
        <w:t>ULSI MANJA</w:t>
      </w:r>
    </w:p>
    <w:p w14:paraId="54B3E7E3" w14:textId="77777777" w:rsidR="00F9548F" w:rsidRPr="000F0607" w:rsidRDefault="00F9548F" w:rsidP="00F9548F">
      <w:pPr>
        <w:rPr>
          <w:rFonts w:ascii="Times New Roman" w:hAnsi="Times New Roman"/>
          <w:sz w:val="28"/>
          <w:szCs w:val="28"/>
        </w:rPr>
      </w:pPr>
    </w:p>
    <w:p w14:paraId="14D3E45B" w14:textId="77777777" w:rsidR="004D5949" w:rsidRPr="000F0607" w:rsidRDefault="004D5949" w:rsidP="00F9548F"/>
    <w:sectPr w:rsidR="004D5949" w:rsidRPr="000F0607" w:rsidSect="007C7C5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B8F7D" w14:textId="77777777" w:rsidR="00064D71" w:rsidRDefault="00064D71">
      <w:pPr>
        <w:spacing w:after="0" w:line="240" w:lineRule="auto"/>
      </w:pPr>
      <w:r>
        <w:separator/>
      </w:r>
    </w:p>
  </w:endnote>
  <w:endnote w:type="continuationSeparator" w:id="0">
    <w:p w14:paraId="7805BB26" w14:textId="77777777" w:rsidR="00064D71" w:rsidRDefault="0006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A40D" w14:textId="77777777" w:rsidR="001151ED" w:rsidRPr="00A926B7" w:rsidRDefault="001151ED" w:rsidP="007C7C5F">
    <w:pPr>
      <w:pStyle w:val="Footer"/>
      <w:pBdr>
        <w:top w:val="thinThickSmallGap" w:sz="24" w:space="1" w:color="622423"/>
      </w:pBdr>
      <w:tabs>
        <w:tab w:val="clear" w:pos="4680"/>
      </w:tabs>
      <w:jc w:val="both"/>
      <w:rPr>
        <w:rFonts w:ascii="Times New Roman" w:hAnsi="Times New Roman"/>
        <w:bCs/>
        <w:sz w:val="20"/>
        <w:szCs w:val="20"/>
      </w:rPr>
    </w:pPr>
    <w:r w:rsidRPr="000E146E">
      <w:rPr>
        <w:rFonts w:ascii="Times New Roman" w:eastAsia="Times New Roman" w:hAnsi="Times New Roman"/>
        <w:sz w:val="20"/>
        <w:szCs w:val="20"/>
      </w:rPr>
      <w:t xml:space="preserve">Relacion shpjegues për projektligjin </w:t>
    </w:r>
    <w:r>
      <w:rPr>
        <w:rFonts w:ascii="Times New Roman" w:eastAsia="Times New Roman" w:hAnsi="Times New Roman"/>
        <w:sz w:val="20"/>
        <w:szCs w:val="20"/>
      </w:rPr>
      <w:t xml:space="preserve">“Për </w:t>
    </w:r>
    <w:r w:rsidRPr="003C0D3C">
      <w:rPr>
        <w:rFonts w:ascii="Times New Roman" w:hAnsi="Times New Roman"/>
        <w:bCs/>
        <w:sz w:val="20"/>
        <w:szCs w:val="20"/>
      </w:rPr>
      <w:t>disa shtesa dhe ndr</w:t>
    </w:r>
    <w:r>
      <w:rPr>
        <w:rFonts w:ascii="Times New Roman" w:hAnsi="Times New Roman"/>
        <w:bCs/>
        <w:sz w:val="20"/>
        <w:szCs w:val="20"/>
      </w:rPr>
      <w:t xml:space="preserve">yshime në </w:t>
    </w:r>
    <w:r w:rsidRPr="00BB77B9">
      <w:rPr>
        <w:rFonts w:ascii="Times New Roman" w:hAnsi="Times New Roman"/>
        <w:bCs/>
        <w:sz w:val="20"/>
        <w:szCs w:val="20"/>
      </w:rPr>
      <w:t>ligjin 119/2014 “</w:t>
    </w:r>
    <w:r>
      <w:rPr>
        <w:rFonts w:ascii="Times New Roman" w:hAnsi="Times New Roman"/>
        <w:bCs/>
        <w:sz w:val="20"/>
        <w:szCs w:val="20"/>
      </w:rPr>
      <w:t>P</w:t>
    </w:r>
    <w:r w:rsidRPr="00BB77B9">
      <w:rPr>
        <w:rFonts w:ascii="Times New Roman" w:hAnsi="Times New Roman"/>
        <w:bCs/>
        <w:sz w:val="20"/>
        <w:szCs w:val="20"/>
      </w:rPr>
      <w:t>ër të drejtën e informimit””</w:t>
    </w:r>
    <w:r>
      <w:rPr>
        <w:rFonts w:ascii="Times New Roman" w:hAnsi="Times New Roman"/>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8DE25" w14:textId="77777777" w:rsidR="00064D71" w:rsidRDefault="00064D71">
      <w:pPr>
        <w:spacing w:after="0" w:line="240" w:lineRule="auto"/>
      </w:pPr>
      <w:r>
        <w:separator/>
      </w:r>
    </w:p>
  </w:footnote>
  <w:footnote w:type="continuationSeparator" w:id="0">
    <w:p w14:paraId="00881C54" w14:textId="77777777" w:rsidR="00064D71" w:rsidRDefault="00064D71">
      <w:pPr>
        <w:spacing w:after="0" w:line="240" w:lineRule="auto"/>
      </w:pPr>
      <w:r>
        <w:continuationSeparator/>
      </w:r>
    </w:p>
  </w:footnote>
  <w:footnote w:id="1">
    <w:p w14:paraId="7B31DF89" w14:textId="3592691C" w:rsidR="00651C16" w:rsidRPr="00651C16" w:rsidRDefault="00651C16" w:rsidP="00651C16">
      <w:pPr>
        <w:pStyle w:val="FootnoteText"/>
        <w:rPr>
          <w:lang w:val="en-US"/>
        </w:rPr>
      </w:pPr>
      <w:r>
        <w:rPr>
          <w:rStyle w:val="FootnoteReference"/>
        </w:rPr>
        <w:footnoteRef/>
      </w:r>
      <w:r>
        <w:t xml:space="preserve"> </w:t>
      </w:r>
      <w:hyperlink r:id="rId1" w:history="1">
        <w:r w:rsidR="00F24F88" w:rsidRPr="009B47E4">
          <w:rPr>
            <w:rStyle w:val="Hyperlink"/>
          </w:rPr>
          <w:t>http://www.instat.gov.al/media/9660/pagat_press_release-t4_-2021-altcom.pdf</w:t>
        </w:r>
      </w:hyperlink>
      <w:r w:rsidR="00F24F88">
        <w:t xml:space="preserve"> </w:t>
      </w:r>
    </w:p>
  </w:footnote>
  <w:footnote w:id="2">
    <w:p w14:paraId="3154E1A4" w14:textId="10AA5F33" w:rsidR="00F24F88" w:rsidRPr="00F24F88" w:rsidRDefault="00F24F88">
      <w:pPr>
        <w:pStyle w:val="FootnoteText"/>
        <w:rPr>
          <w:lang w:val="en-US"/>
        </w:rPr>
      </w:pPr>
      <w:r>
        <w:rPr>
          <w:rStyle w:val="FootnoteReference"/>
        </w:rPr>
        <w:footnoteRef/>
      </w:r>
      <w:r>
        <w:t xml:space="preserve"> </w:t>
      </w:r>
      <w:r>
        <w:rPr>
          <w:lang w:val="en-US"/>
        </w:rPr>
        <w:t xml:space="preserve">Llogaritur sipas kursit të këmbimit mesatar të muajt dhjetor 2021 aksesuar në </w:t>
      </w:r>
      <w:hyperlink r:id="rId2" w:history="1">
        <w:r w:rsidRPr="009B47E4">
          <w:rPr>
            <w:rStyle w:val="Hyperlink"/>
            <w:lang w:val="en-US"/>
          </w:rPr>
          <w:t>https://www.bankofalbania.org/Tregjet/Kursi_zyrtar_i_kembimit/Arkiva_e_kursit_te_kembimit/</w:t>
        </w:r>
      </w:hyperlink>
      <w:r>
        <w:rPr>
          <w:lang w:val="en-US"/>
        </w:rPr>
        <w:t xml:space="preserve"> </w:t>
      </w:r>
    </w:p>
  </w:footnote>
  <w:footnote w:id="3">
    <w:p w14:paraId="49CC0854" w14:textId="77777777" w:rsidR="00F24F88" w:rsidRPr="00651C16" w:rsidRDefault="00F24F88" w:rsidP="00F24F88">
      <w:pPr>
        <w:pStyle w:val="FootnoteText"/>
        <w:rPr>
          <w:lang w:val="en-US"/>
        </w:rPr>
      </w:pPr>
      <w:r>
        <w:rPr>
          <w:rStyle w:val="FootnoteReference"/>
        </w:rPr>
        <w:footnoteRef/>
      </w:r>
      <w:r>
        <w:t xml:space="preserve"> </w:t>
      </w:r>
      <w:hyperlink r:id="rId3" w:history="1">
        <w:r w:rsidRPr="009B47E4">
          <w:rPr>
            <w:rStyle w:val="Hyperlink"/>
          </w:rPr>
          <w:t>https://ec.europa.eu/eurostat/databrowser/view/earn_nt_net/default/table?lang=en</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A79"/>
    <w:multiLevelType w:val="hybridMultilevel"/>
    <w:tmpl w:val="99DAB3B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C7E6D84"/>
    <w:multiLevelType w:val="hybridMultilevel"/>
    <w:tmpl w:val="B30C870C"/>
    <w:lvl w:ilvl="0" w:tplc="0492B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B384F"/>
    <w:multiLevelType w:val="hybridMultilevel"/>
    <w:tmpl w:val="D2A6A9BC"/>
    <w:lvl w:ilvl="0" w:tplc="86BECB74">
      <w:start w:val="2"/>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1AF56CB3"/>
    <w:multiLevelType w:val="hybridMultilevel"/>
    <w:tmpl w:val="95FEB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CC41D5"/>
    <w:multiLevelType w:val="hybridMultilevel"/>
    <w:tmpl w:val="9B22145C"/>
    <w:lvl w:ilvl="0" w:tplc="38C673E6">
      <w:start w:val="1"/>
      <w:numFmt w:val="bullet"/>
      <w:lvlText w:val="-"/>
      <w:lvlJc w:val="left"/>
      <w:pPr>
        <w:ind w:left="1170" w:hanging="360"/>
      </w:pPr>
      <w:rPr>
        <w:rFonts w:ascii="Times New Roman" w:eastAsia="Calibri" w:hAnsi="Times New Roman" w:cs="Times New Roman"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6633534"/>
    <w:multiLevelType w:val="hybridMultilevel"/>
    <w:tmpl w:val="056A0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54BF2"/>
    <w:multiLevelType w:val="hybridMultilevel"/>
    <w:tmpl w:val="A41EBA0C"/>
    <w:lvl w:ilvl="0" w:tplc="03682350">
      <w:start w:val="1"/>
      <w:numFmt w:val="bullet"/>
      <w:lvlText w:val="-"/>
      <w:lvlJc w:val="left"/>
      <w:pPr>
        <w:tabs>
          <w:tab w:val="num" w:pos="720"/>
        </w:tabs>
        <w:ind w:left="720" w:hanging="360"/>
      </w:pPr>
      <w:rPr>
        <w:rFonts w:ascii="Calibri" w:hAnsi="Calibri" w:hint="default"/>
      </w:rPr>
    </w:lvl>
    <w:lvl w:ilvl="1" w:tplc="017C4920" w:tentative="1">
      <w:start w:val="1"/>
      <w:numFmt w:val="bullet"/>
      <w:lvlText w:val="-"/>
      <w:lvlJc w:val="left"/>
      <w:pPr>
        <w:tabs>
          <w:tab w:val="num" w:pos="1440"/>
        </w:tabs>
        <w:ind w:left="1440" w:hanging="360"/>
      </w:pPr>
      <w:rPr>
        <w:rFonts w:ascii="Calibri" w:hAnsi="Calibri" w:hint="default"/>
      </w:rPr>
    </w:lvl>
    <w:lvl w:ilvl="2" w:tplc="B5E47848" w:tentative="1">
      <w:start w:val="1"/>
      <w:numFmt w:val="bullet"/>
      <w:lvlText w:val="-"/>
      <w:lvlJc w:val="left"/>
      <w:pPr>
        <w:tabs>
          <w:tab w:val="num" w:pos="2160"/>
        </w:tabs>
        <w:ind w:left="2160" w:hanging="360"/>
      </w:pPr>
      <w:rPr>
        <w:rFonts w:ascii="Calibri" w:hAnsi="Calibri" w:hint="default"/>
      </w:rPr>
    </w:lvl>
    <w:lvl w:ilvl="3" w:tplc="BF1C34C6" w:tentative="1">
      <w:start w:val="1"/>
      <w:numFmt w:val="bullet"/>
      <w:lvlText w:val="-"/>
      <w:lvlJc w:val="left"/>
      <w:pPr>
        <w:tabs>
          <w:tab w:val="num" w:pos="2880"/>
        </w:tabs>
        <w:ind w:left="2880" w:hanging="360"/>
      </w:pPr>
      <w:rPr>
        <w:rFonts w:ascii="Calibri" w:hAnsi="Calibri" w:hint="default"/>
      </w:rPr>
    </w:lvl>
    <w:lvl w:ilvl="4" w:tplc="FEC8E77A" w:tentative="1">
      <w:start w:val="1"/>
      <w:numFmt w:val="bullet"/>
      <w:lvlText w:val="-"/>
      <w:lvlJc w:val="left"/>
      <w:pPr>
        <w:tabs>
          <w:tab w:val="num" w:pos="3600"/>
        </w:tabs>
        <w:ind w:left="3600" w:hanging="360"/>
      </w:pPr>
      <w:rPr>
        <w:rFonts w:ascii="Calibri" w:hAnsi="Calibri" w:hint="default"/>
      </w:rPr>
    </w:lvl>
    <w:lvl w:ilvl="5" w:tplc="B838C4EE" w:tentative="1">
      <w:start w:val="1"/>
      <w:numFmt w:val="bullet"/>
      <w:lvlText w:val="-"/>
      <w:lvlJc w:val="left"/>
      <w:pPr>
        <w:tabs>
          <w:tab w:val="num" w:pos="4320"/>
        </w:tabs>
        <w:ind w:left="4320" w:hanging="360"/>
      </w:pPr>
      <w:rPr>
        <w:rFonts w:ascii="Calibri" w:hAnsi="Calibri" w:hint="default"/>
      </w:rPr>
    </w:lvl>
    <w:lvl w:ilvl="6" w:tplc="90BE7306" w:tentative="1">
      <w:start w:val="1"/>
      <w:numFmt w:val="bullet"/>
      <w:lvlText w:val="-"/>
      <w:lvlJc w:val="left"/>
      <w:pPr>
        <w:tabs>
          <w:tab w:val="num" w:pos="5040"/>
        </w:tabs>
        <w:ind w:left="5040" w:hanging="360"/>
      </w:pPr>
      <w:rPr>
        <w:rFonts w:ascii="Calibri" w:hAnsi="Calibri" w:hint="default"/>
      </w:rPr>
    </w:lvl>
    <w:lvl w:ilvl="7" w:tplc="17D6DF72" w:tentative="1">
      <w:start w:val="1"/>
      <w:numFmt w:val="bullet"/>
      <w:lvlText w:val="-"/>
      <w:lvlJc w:val="left"/>
      <w:pPr>
        <w:tabs>
          <w:tab w:val="num" w:pos="5760"/>
        </w:tabs>
        <w:ind w:left="5760" w:hanging="360"/>
      </w:pPr>
      <w:rPr>
        <w:rFonts w:ascii="Calibri" w:hAnsi="Calibri" w:hint="default"/>
      </w:rPr>
    </w:lvl>
    <w:lvl w:ilvl="8" w:tplc="C9904642"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52D21A9B"/>
    <w:multiLevelType w:val="hybridMultilevel"/>
    <w:tmpl w:val="A3986E72"/>
    <w:lvl w:ilvl="0" w:tplc="76E48296">
      <w:start w:val="1"/>
      <w:numFmt w:val="bullet"/>
      <w:lvlText w:val="-"/>
      <w:lvlJc w:val="left"/>
      <w:pPr>
        <w:tabs>
          <w:tab w:val="num" w:pos="720"/>
        </w:tabs>
        <w:ind w:left="720" w:hanging="360"/>
      </w:pPr>
      <w:rPr>
        <w:rFonts w:ascii="Calibri" w:hAnsi="Calibri" w:hint="default"/>
      </w:rPr>
    </w:lvl>
    <w:lvl w:ilvl="1" w:tplc="3E469858" w:tentative="1">
      <w:start w:val="1"/>
      <w:numFmt w:val="bullet"/>
      <w:lvlText w:val="-"/>
      <w:lvlJc w:val="left"/>
      <w:pPr>
        <w:tabs>
          <w:tab w:val="num" w:pos="1440"/>
        </w:tabs>
        <w:ind w:left="1440" w:hanging="360"/>
      </w:pPr>
      <w:rPr>
        <w:rFonts w:ascii="Calibri" w:hAnsi="Calibri" w:hint="default"/>
      </w:rPr>
    </w:lvl>
    <w:lvl w:ilvl="2" w:tplc="F2008D14" w:tentative="1">
      <w:start w:val="1"/>
      <w:numFmt w:val="bullet"/>
      <w:lvlText w:val="-"/>
      <w:lvlJc w:val="left"/>
      <w:pPr>
        <w:tabs>
          <w:tab w:val="num" w:pos="2160"/>
        </w:tabs>
        <w:ind w:left="2160" w:hanging="360"/>
      </w:pPr>
      <w:rPr>
        <w:rFonts w:ascii="Calibri" w:hAnsi="Calibri" w:hint="default"/>
      </w:rPr>
    </w:lvl>
    <w:lvl w:ilvl="3" w:tplc="D19AB196" w:tentative="1">
      <w:start w:val="1"/>
      <w:numFmt w:val="bullet"/>
      <w:lvlText w:val="-"/>
      <w:lvlJc w:val="left"/>
      <w:pPr>
        <w:tabs>
          <w:tab w:val="num" w:pos="2880"/>
        </w:tabs>
        <w:ind w:left="2880" w:hanging="360"/>
      </w:pPr>
      <w:rPr>
        <w:rFonts w:ascii="Calibri" w:hAnsi="Calibri" w:hint="default"/>
      </w:rPr>
    </w:lvl>
    <w:lvl w:ilvl="4" w:tplc="5E8A492C" w:tentative="1">
      <w:start w:val="1"/>
      <w:numFmt w:val="bullet"/>
      <w:lvlText w:val="-"/>
      <w:lvlJc w:val="left"/>
      <w:pPr>
        <w:tabs>
          <w:tab w:val="num" w:pos="3600"/>
        </w:tabs>
        <w:ind w:left="3600" w:hanging="360"/>
      </w:pPr>
      <w:rPr>
        <w:rFonts w:ascii="Calibri" w:hAnsi="Calibri" w:hint="default"/>
      </w:rPr>
    </w:lvl>
    <w:lvl w:ilvl="5" w:tplc="A540330C" w:tentative="1">
      <w:start w:val="1"/>
      <w:numFmt w:val="bullet"/>
      <w:lvlText w:val="-"/>
      <w:lvlJc w:val="left"/>
      <w:pPr>
        <w:tabs>
          <w:tab w:val="num" w:pos="4320"/>
        </w:tabs>
        <w:ind w:left="4320" w:hanging="360"/>
      </w:pPr>
      <w:rPr>
        <w:rFonts w:ascii="Calibri" w:hAnsi="Calibri" w:hint="default"/>
      </w:rPr>
    </w:lvl>
    <w:lvl w:ilvl="6" w:tplc="E520A48C" w:tentative="1">
      <w:start w:val="1"/>
      <w:numFmt w:val="bullet"/>
      <w:lvlText w:val="-"/>
      <w:lvlJc w:val="left"/>
      <w:pPr>
        <w:tabs>
          <w:tab w:val="num" w:pos="5040"/>
        </w:tabs>
        <w:ind w:left="5040" w:hanging="360"/>
      </w:pPr>
      <w:rPr>
        <w:rFonts w:ascii="Calibri" w:hAnsi="Calibri" w:hint="default"/>
      </w:rPr>
    </w:lvl>
    <w:lvl w:ilvl="7" w:tplc="20F81E4A" w:tentative="1">
      <w:start w:val="1"/>
      <w:numFmt w:val="bullet"/>
      <w:lvlText w:val="-"/>
      <w:lvlJc w:val="left"/>
      <w:pPr>
        <w:tabs>
          <w:tab w:val="num" w:pos="5760"/>
        </w:tabs>
        <w:ind w:left="5760" w:hanging="360"/>
      </w:pPr>
      <w:rPr>
        <w:rFonts w:ascii="Calibri" w:hAnsi="Calibri" w:hint="default"/>
      </w:rPr>
    </w:lvl>
    <w:lvl w:ilvl="8" w:tplc="772EAF8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5A3322EE"/>
    <w:multiLevelType w:val="hybridMultilevel"/>
    <w:tmpl w:val="70AAB7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6141503D"/>
    <w:multiLevelType w:val="hybridMultilevel"/>
    <w:tmpl w:val="8D2E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057DA"/>
    <w:multiLevelType w:val="hybridMultilevel"/>
    <w:tmpl w:val="6B3C6444"/>
    <w:lvl w:ilvl="0" w:tplc="19FAD39C">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92D0E"/>
    <w:multiLevelType w:val="hybridMultilevel"/>
    <w:tmpl w:val="5E58BEE6"/>
    <w:lvl w:ilvl="0" w:tplc="1CEC0FF2">
      <w:start w:val="1"/>
      <w:numFmt w:val="bullet"/>
      <w:lvlText w:val="o"/>
      <w:lvlJc w:val="left"/>
      <w:pPr>
        <w:tabs>
          <w:tab w:val="num" w:pos="720"/>
        </w:tabs>
        <w:ind w:left="720" w:hanging="360"/>
      </w:pPr>
      <w:rPr>
        <w:rFonts w:ascii="Courier New" w:hAnsi="Courier New" w:hint="default"/>
      </w:rPr>
    </w:lvl>
    <w:lvl w:ilvl="1" w:tplc="39B89D1E">
      <w:numFmt w:val="bullet"/>
      <w:lvlText w:val="-"/>
      <w:lvlJc w:val="left"/>
      <w:pPr>
        <w:tabs>
          <w:tab w:val="num" w:pos="1440"/>
        </w:tabs>
        <w:ind w:left="1440" w:hanging="360"/>
      </w:pPr>
      <w:rPr>
        <w:rFonts w:ascii="Times New Roman" w:hAnsi="Times New Roman" w:hint="default"/>
      </w:rPr>
    </w:lvl>
    <w:lvl w:ilvl="2" w:tplc="11960E66" w:tentative="1">
      <w:start w:val="1"/>
      <w:numFmt w:val="bullet"/>
      <w:lvlText w:val="o"/>
      <w:lvlJc w:val="left"/>
      <w:pPr>
        <w:tabs>
          <w:tab w:val="num" w:pos="2160"/>
        </w:tabs>
        <w:ind w:left="2160" w:hanging="360"/>
      </w:pPr>
      <w:rPr>
        <w:rFonts w:ascii="Courier New" w:hAnsi="Courier New" w:hint="default"/>
      </w:rPr>
    </w:lvl>
    <w:lvl w:ilvl="3" w:tplc="D5ACBCFE" w:tentative="1">
      <w:start w:val="1"/>
      <w:numFmt w:val="bullet"/>
      <w:lvlText w:val="o"/>
      <w:lvlJc w:val="left"/>
      <w:pPr>
        <w:tabs>
          <w:tab w:val="num" w:pos="2880"/>
        </w:tabs>
        <w:ind w:left="2880" w:hanging="360"/>
      </w:pPr>
      <w:rPr>
        <w:rFonts w:ascii="Courier New" w:hAnsi="Courier New" w:hint="default"/>
      </w:rPr>
    </w:lvl>
    <w:lvl w:ilvl="4" w:tplc="1494F118" w:tentative="1">
      <w:start w:val="1"/>
      <w:numFmt w:val="bullet"/>
      <w:lvlText w:val="o"/>
      <w:lvlJc w:val="left"/>
      <w:pPr>
        <w:tabs>
          <w:tab w:val="num" w:pos="3600"/>
        </w:tabs>
        <w:ind w:left="3600" w:hanging="360"/>
      </w:pPr>
      <w:rPr>
        <w:rFonts w:ascii="Courier New" w:hAnsi="Courier New" w:hint="default"/>
      </w:rPr>
    </w:lvl>
    <w:lvl w:ilvl="5" w:tplc="D102B0D8" w:tentative="1">
      <w:start w:val="1"/>
      <w:numFmt w:val="bullet"/>
      <w:lvlText w:val="o"/>
      <w:lvlJc w:val="left"/>
      <w:pPr>
        <w:tabs>
          <w:tab w:val="num" w:pos="4320"/>
        </w:tabs>
        <w:ind w:left="4320" w:hanging="360"/>
      </w:pPr>
      <w:rPr>
        <w:rFonts w:ascii="Courier New" w:hAnsi="Courier New" w:hint="default"/>
      </w:rPr>
    </w:lvl>
    <w:lvl w:ilvl="6" w:tplc="CF0A5852" w:tentative="1">
      <w:start w:val="1"/>
      <w:numFmt w:val="bullet"/>
      <w:lvlText w:val="o"/>
      <w:lvlJc w:val="left"/>
      <w:pPr>
        <w:tabs>
          <w:tab w:val="num" w:pos="5040"/>
        </w:tabs>
        <w:ind w:left="5040" w:hanging="360"/>
      </w:pPr>
      <w:rPr>
        <w:rFonts w:ascii="Courier New" w:hAnsi="Courier New" w:hint="default"/>
      </w:rPr>
    </w:lvl>
    <w:lvl w:ilvl="7" w:tplc="B484A3DE" w:tentative="1">
      <w:start w:val="1"/>
      <w:numFmt w:val="bullet"/>
      <w:lvlText w:val="o"/>
      <w:lvlJc w:val="left"/>
      <w:pPr>
        <w:tabs>
          <w:tab w:val="num" w:pos="5760"/>
        </w:tabs>
        <w:ind w:left="5760" w:hanging="360"/>
      </w:pPr>
      <w:rPr>
        <w:rFonts w:ascii="Courier New" w:hAnsi="Courier New" w:hint="default"/>
      </w:rPr>
    </w:lvl>
    <w:lvl w:ilvl="8" w:tplc="010C9C68"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737D4D3B"/>
    <w:multiLevelType w:val="hybridMultilevel"/>
    <w:tmpl w:val="1DD61988"/>
    <w:lvl w:ilvl="0" w:tplc="D0E0DE6E">
      <w:start w:val="1"/>
      <w:numFmt w:val="bullet"/>
      <w:lvlText w:val="-"/>
      <w:lvlJc w:val="left"/>
      <w:pPr>
        <w:tabs>
          <w:tab w:val="num" w:pos="720"/>
        </w:tabs>
        <w:ind w:left="720" w:hanging="360"/>
      </w:pPr>
      <w:rPr>
        <w:rFonts w:ascii="Calibri" w:hAnsi="Calibri" w:hint="default"/>
      </w:rPr>
    </w:lvl>
    <w:lvl w:ilvl="1" w:tplc="E39674C6" w:tentative="1">
      <w:start w:val="1"/>
      <w:numFmt w:val="bullet"/>
      <w:lvlText w:val="-"/>
      <w:lvlJc w:val="left"/>
      <w:pPr>
        <w:tabs>
          <w:tab w:val="num" w:pos="1440"/>
        </w:tabs>
        <w:ind w:left="1440" w:hanging="360"/>
      </w:pPr>
      <w:rPr>
        <w:rFonts w:ascii="Calibri" w:hAnsi="Calibri" w:hint="default"/>
      </w:rPr>
    </w:lvl>
    <w:lvl w:ilvl="2" w:tplc="45706290" w:tentative="1">
      <w:start w:val="1"/>
      <w:numFmt w:val="bullet"/>
      <w:lvlText w:val="-"/>
      <w:lvlJc w:val="left"/>
      <w:pPr>
        <w:tabs>
          <w:tab w:val="num" w:pos="2160"/>
        </w:tabs>
        <w:ind w:left="2160" w:hanging="360"/>
      </w:pPr>
      <w:rPr>
        <w:rFonts w:ascii="Calibri" w:hAnsi="Calibri" w:hint="default"/>
      </w:rPr>
    </w:lvl>
    <w:lvl w:ilvl="3" w:tplc="B6B6E454" w:tentative="1">
      <w:start w:val="1"/>
      <w:numFmt w:val="bullet"/>
      <w:lvlText w:val="-"/>
      <w:lvlJc w:val="left"/>
      <w:pPr>
        <w:tabs>
          <w:tab w:val="num" w:pos="2880"/>
        </w:tabs>
        <w:ind w:left="2880" w:hanging="360"/>
      </w:pPr>
      <w:rPr>
        <w:rFonts w:ascii="Calibri" w:hAnsi="Calibri" w:hint="default"/>
      </w:rPr>
    </w:lvl>
    <w:lvl w:ilvl="4" w:tplc="185E5126" w:tentative="1">
      <w:start w:val="1"/>
      <w:numFmt w:val="bullet"/>
      <w:lvlText w:val="-"/>
      <w:lvlJc w:val="left"/>
      <w:pPr>
        <w:tabs>
          <w:tab w:val="num" w:pos="3600"/>
        </w:tabs>
        <w:ind w:left="3600" w:hanging="360"/>
      </w:pPr>
      <w:rPr>
        <w:rFonts w:ascii="Calibri" w:hAnsi="Calibri" w:hint="default"/>
      </w:rPr>
    </w:lvl>
    <w:lvl w:ilvl="5" w:tplc="945AAD8C" w:tentative="1">
      <w:start w:val="1"/>
      <w:numFmt w:val="bullet"/>
      <w:lvlText w:val="-"/>
      <w:lvlJc w:val="left"/>
      <w:pPr>
        <w:tabs>
          <w:tab w:val="num" w:pos="4320"/>
        </w:tabs>
        <w:ind w:left="4320" w:hanging="360"/>
      </w:pPr>
      <w:rPr>
        <w:rFonts w:ascii="Calibri" w:hAnsi="Calibri" w:hint="default"/>
      </w:rPr>
    </w:lvl>
    <w:lvl w:ilvl="6" w:tplc="3F867180" w:tentative="1">
      <w:start w:val="1"/>
      <w:numFmt w:val="bullet"/>
      <w:lvlText w:val="-"/>
      <w:lvlJc w:val="left"/>
      <w:pPr>
        <w:tabs>
          <w:tab w:val="num" w:pos="5040"/>
        </w:tabs>
        <w:ind w:left="5040" w:hanging="360"/>
      </w:pPr>
      <w:rPr>
        <w:rFonts w:ascii="Calibri" w:hAnsi="Calibri" w:hint="default"/>
      </w:rPr>
    </w:lvl>
    <w:lvl w:ilvl="7" w:tplc="9B12715E" w:tentative="1">
      <w:start w:val="1"/>
      <w:numFmt w:val="bullet"/>
      <w:lvlText w:val="-"/>
      <w:lvlJc w:val="left"/>
      <w:pPr>
        <w:tabs>
          <w:tab w:val="num" w:pos="5760"/>
        </w:tabs>
        <w:ind w:left="5760" w:hanging="360"/>
      </w:pPr>
      <w:rPr>
        <w:rFonts w:ascii="Calibri" w:hAnsi="Calibri" w:hint="default"/>
      </w:rPr>
    </w:lvl>
    <w:lvl w:ilvl="8" w:tplc="C1464E9A"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74AA656F"/>
    <w:multiLevelType w:val="hybridMultilevel"/>
    <w:tmpl w:val="34FE4688"/>
    <w:lvl w:ilvl="0" w:tplc="66844AD8">
      <w:start w:val="1"/>
      <w:numFmt w:val="decimal"/>
      <w:lvlText w:val="%1."/>
      <w:lvlJc w:val="left"/>
      <w:pPr>
        <w:ind w:left="1080" w:hanging="360"/>
      </w:pPr>
      <w:rPr>
        <w:rFonts w:ascii="Times New Roman" w:eastAsiaTheme="minorHAnsi" w:hAnsi="Times New Roman" w:cs="Times New Roman"/>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853DA2"/>
    <w:multiLevelType w:val="hybridMultilevel"/>
    <w:tmpl w:val="FCECAD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7AD875DB"/>
    <w:multiLevelType w:val="hybridMultilevel"/>
    <w:tmpl w:val="32B0E14A"/>
    <w:lvl w:ilvl="0" w:tplc="76B814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4"/>
  </w:num>
  <w:num w:numId="5">
    <w:abstractNumId w:val="11"/>
  </w:num>
  <w:num w:numId="6">
    <w:abstractNumId w:val="13"/>
  </w:num>
  <w:num w:numId="7">
    <w:abstractNumId w:val="4"/>
  </w:num>
  <w:num w:numId="8">
    <w:abstractNumId w:val="15"/>
  </w:num>
  <w:num w:numId="9">
    <w:abstractNumId w:val="7"/>
  </w:num>
  <w:num w:numId="10">
    <w:abstractNumId w:val="6"/>
  </w:num>
  <w:num w:numId="11">
    <w:abstractNumId w:val="12"/>
  </w:num>
  <w:num w:numId="12">
    <w:abstractNumId w:val="9"/>
  </w:num>
  <w:num w:numId="13">
    <w:abstractNumId w:val="5"/>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643F"/>
    <w:rsid w:val="000038A0"/>
    <w:rsid w:val="00004418"/>
    <w:rsid w:val="00027ABA"/>
    <w:rsid w:val="00032B53"/>
    <w:rsid w:val="00053835"/>
    <w:rsid w:val="00064203"/>
    <w:rsid w:val="00064D71"/>
    <w:rsid w:val="0007367D"/>
    <w:rsid w:val="00083CEA"/>
    <w:rsid w:val="000868AA"/>
    <w:rsid w:val="000A0385"/>
    <w:rsid w:val="000A04CA"/>
    <w:rsid w:val="000B33F4"/>
    <w:rsid w:val="000B7980"/>
    <w:rsid w:val="000B7D4D"/>
    <w:rsid w:val="000C4580"/>
    <w:rsid w:val="000E5BF4"/>
    <w:rsid w:val="000F0607"/>
    <w:rsid w:val="00100502"/>
    <w:rsid w:val="001011B7"/>
    <w:rsid w:val="00102D34"/>
    <w:rsid w:val="00103CE8"/>
    <w:rsid w:val="00111B20"/>
    <w:rsid w:val="00112D22"/>
    <w:rsid w:val="001151ED"/>
    <w:rsid w:val="001410EB"/>
    <w:rsid w:val="00161E14"/>
    <w:rsid w:val="001626F1"/>
    <w:rsid w:val="001A7192"/>
    <w:rsid w:val="001D0FCD"/>
    <w:rsid w:val="00210D23"/>
    <w:rsid w:val="00216BCD"/>
    <w:rsid w:val="002444A2"/>
    <w:rsid w:val="0027108C"/>
    <w:rsid w:val="002917EA"/>
    <w:rsid w:val="002A36DA"/>
    <w:rsid w:val="002C239F"/>
    <w:rsid w:val="002C39AD"/>
    <w:rsid w:val="002C7500"/>
    <w:rsid w:val="002D5CFF"/>
    <w:rsid w:val="002E0739"/>
    <w:rsid w:val="00306FF3"/>
    <w:rsid w:val="00311343"/>
    <w:rsid w:val="0031276E"/>
    <w:rsid w:val="00313B3A"/>
    <w:rsid w:val="003258CA"/>
    <w:rsid w:val="00327175"/>
    <w:rsid w:val="00347D52"/>
    <w:rsid w:val="003A0267"/>
    <w:rsid w:val="003B10E7"/>
    <w:rsid w:val="003B7AEF"/>
    <w:rsid w:val="003F0A57"/>
    <w:rsid w:val="00411349"/>
    <w:rsid w:val="00430203"/>
    <w:rsid w:val="00434E1E"/>
    <w:rsid w:val="004354B6"/>
    <w:rsid w:val="00436684"/>
    <w:rsid w:val="0044201D"/>
    <w:rsid w:val="00446A8A"/>
    <w:rsid w:val="00482E8A"/>
    <w:rsid w:val="004879E9"/>
    <w:rsid w:val="004904D7"/>
    <w:rsid w:val="00495947"/>
    <w:rsid w:val="004971E5"/>
    <w:rsid w:val="004B7D73"/>
    <w:rsid w:val="004C0700"/>
    <w:rsid w:val="004C4C3F"/>
    <w:rsid w:val="004D0256"/>
    <w:rsid w:val="004D4FE1"/>
    <w:rsid w:val="004D5949"/>
    <w:rsid w:val="004F01FA"/>
    <w:rsid w:val="004F0B82"/>
    <w:rsid w:val="004F34C8"/>
    <w:rsid w:val="005214A0"/>
    <w:rsid w:val="0052760C"/>
    <w:rsid w:val="00547FB3"/>
    <w:rsid w:val="0055080F"/>
    <w:rsid w:val="00566730"/>
    <w:rsid w:val="00591F4A"/>
    <w:rsid w:val="005A4B81"/>
    <w:rsid w:val="005C0EF4"/>
    <w:rsid w:val="005D0C5D"/>
    <w:rsid w:val="005D1C65"/>
    <w:rsid w:val="005D2A03"/>
    <w:rsid w:val="005D4FE4"/>
    <w:rsid w:val="005F4B3B"/>
    <w:rsid w:val="005F7831"/>
    <w:rsid w:val="00603C41"/>
    <w:rsid w:val="00603F68"/>
    <w:rsid w:val="0062597E"/>
    <w:rsid w:val="006265D4"/>
    <w:rsid w:val="006413DB"/>
    <w:rsid w:val="00650C7E"/>
    <w:rsid w:val="00651C16"/>
    <w:rsid w:val="006526C9"/>
    <w:rsid w:val="00667055"/>
    <w:rsid w:val="00672456"/>
    <w:rsid w:val="00672504"/>
    <w:rsid w:val="00672BBB"/>
    <w:rsid w:val="0067732F"/>
    <w:rsid w:val="006A483F"/>
    <w:rsid w:val="006A6243"/>
    <w:rsid w:val="006B12DC"/>
    <w:rsid w:val="006B2BA8"/>
    <w:rsid w:val="006C01AC"/>
    <w:rsid w:val="006C6925"/>
    <w:rsid w:val="006C7365"/>
    <w:rsid w:val="006D0C38"/>
    <w:rsid w:val="006D56E3"/>
    <w:rsid w:val="007111BD"/>
    <w:rsid w:val="00716102"/>
    <w:rsid w:val="00723787"/>
    <w:rsid w:val="007273B3"/>
    <w:rsid w:val="007305C0"/>
    <w:rsid w:val="00731979"/>
    <w:rsid w:val="00746021"/>
    <w:rsid w:val="00753CC6"/>
    <w:rsid w:val="0075471F"/>
    <w:rsid w:val="00760D3D"/>
    <w:rsid w:val="00763EE5"/>
    <w:rsid w:val="0076636E"/>
    <w:rsid w:val="007749B8"/>
    <w:rsid w:val="007B5735"/>
    <w:rsid w:val="007C54F9"/>
    <w:rsid w:val="007C7C5F"/>
    <w:rsid w:val="007D19AC"/>
    <w:rsid w:val="007E42B5"/>
    <w:rsid w:val="007E615C"/>
    <w:rsid w:val="007E6BA7"/>
    <w:rsid w:val="007F390E"/>
    <w:rsid w:val="00804DF4"/>
    <w:rsid w:val="0083021F"/>
    <w:rsid w:val="0084113F"/>
    <w:rsid w:val="00852AB3"/>
    <w:rsid w:val="0085330C"/>
    <w:rsid w:val="008564EA"/>
    <w:rsid w:val="008605DD"/>
    <w:rsid w:val="0087691D"/>
    <w:rsid w:val="00880A0E"/>
    <w:rsid w:val="00882486"/>
    <w:rsid w:val="00892288"/>
    <w:rsid w:val="008A1928"/>
    <w:rsid w:val="008A4A5A"/>
    <w:rsid w:val="008A714B"/>
    <w:rsid w:val="008A77E8"/>
    <w:rsid w:val="008C2CE7"/>
    <w:rsid w:val="008C6600"/>
    <w:rsid w:val="008D1D93"/>
    <w:rsid w:val="008D5C17"/>
    <w:rsid w:val="008E6BC7"/>
    <w:rsid w:val="008F24DA"/>
    <w:rsid w:val="008F581A"/>
    <w:rsid w:val="00907A33"/>
    <w:rsid w:val="0091243D"/>
    <w:rsid w:val="0091247F"/>
    <w:rsid w:val="0091487C"/>
    <w:rsid w:val="009265BC"/>
    <w:rsid w:val="00931240"/>
    <w:rsid w:val="00931735"/>
    <w:rsid w:val="00933849"/>
    <w:rsid w:val="009340BF"/>
    <w:rsid w:val="009506E0"/>
    <w:rsid w:val="00951EA1"/>
    <w:rsid w:val="0097482B"/>
    <w:rsid w:val="00980465"/>
    <w:rsid w:val="0098201E"/>
    <w:rsid w:val="009A08E2"/>
    <w:rsid w:val="009B5C53"/>
    <w:rsid w:val="009D25E9"/>
    <w:rsid w:val="009D483B"/>
    <w:rsid w:val="009E2FFE"/>
    <w:rsid w:val="009E76D9"/>
    <w:rsid w:val="00A059F0"/>
    <w:rsid w:val="00A2236F"/>
    <w:rsid w:val="00A22510"/>
    <w:rsid w:val="00A3605E"/>
    <w:rsid w:val="00A53525"/>
    <w:rsid w:val="00A816FE"/>
    <w:rsid w:val="00A8203C"/>
    <w:rsid w:val="00AB2BE5"/>
    <w:rsid w:val="00AD01AF"/>
    <w:rsid w:val="00AD46B4"/>
    <w:rsid w:val="00AD5CE5"/>
    <w:rsid w:val="00AE18F7"/>
    <w:rsid w:val="00B013B9"/>
    <w:rsid w:val="00B0643F"/>
    <w:rsid w:val="00B14C03"/>
    <w:rsid w:val="00B170E7"/>
    <w:rsid w:val="00B24247"/>
    <w:rsid w:val="00B254A0"/>
    <w:rsid w:val="00B46534"/>
    <w:rsid w:val="00B62523"/>
    <w:rsid w:val="00B6650C"/>
    <w:rsid w:val="00B67071"/>
    <w:rsid w:val="00B73684"/>
    <w:rsid w:val="00B77C73"/>
    <w:rsid w:val="00BA2A3A"/>
    <w:rsid w:val="00BB6809"/>
    <w:rsid w:val="00BB77B9"/>
    <w:rsid w:val="00BB794D"/>
    <w:rsid w:val="00BB7B44"/>
    <w:rsid w:val="00BC5717"/>
    <w:rsid w:val="00C03BB7"/>
    <w:rsid w:val="00C068CE"/>
    <w:rsid w:val="00C076C4"/>
    <w:rsid w:val="00C13394"/>
    <w:rsid w:val="00C14E4B"/>
    <w:rsid w:val="00C207F5"/>
    <w:rsid w:val="00C238BE"/>
    <w:rsid w:val="00C2518D"/>
    <w:rsid w:val="00C56D8B"/>
    <w:rsid w:val="00C61DE3"/>
    <w:rsid w:val="00C64E98"/>
    <w:rsid w:val="00C73353"/>
    <w:rsid w:val="00C815D4"/>
    <w:rsid w:val="00C939E5"/>
    <w:rsid w:val="00C96A92"/>
    <w:rsid w:val="00CA299C"/>
    <w:rsid w:val="00CC018A"/>
    <w:rsid w:val="00CC0316"/>
    <w:rsid w:val="00CC77AD"/>
    <w:rsid w:val="00CE05AF"/>
    <w:rsid w:val="00CE18B6"/>
    <w:rsid w:val="00CE3488"/>
    <w:rsid w:val="00D018E8"/>
    <w:rsid w:val="00D0659D"/>
    <w:rsid w:val="00D11747"/>
    <w:rsid w:val="00D15AD5"/>
    <w:rsid w:val="00D23550"/>
    <w:rsid w:val="00D55569"/>
    <w:rsid w:val="00D64649"/>
    <w:rsid w:val="00D6534D"/>
    <w:rsid w:val="00D83480"/>
    <w:rsid w:val="00D8424C"/>
    <w:rsid w:val="00D91BA4"/>
    <w:rsid w:val="00DA462F"/>
    <w:rsid w:val="00DC0142"/>
    <w:rsid w:val="00DC07CA"/>
    <w:rsid w:val="00DC5F24"/>
    <w:rsid w:val="00DC79F4"/>
    <w:rsid w:val="00DE381F"/>
    <w:rsid w:val="00DE4A4D"/>
    <w:rsid w:val="00DE75C7"/>
    <w:rsid w:val="00DF2B23"/>
    <w:rsid w:val="00DF6477"/>
    <w:rsid w:val="00E0054B"/>
    <w:rsid w:val="00E02459"/>
    <w:rsid w:val="00E07D8D"/>
    <w:rsid w:val="00E22C15"/>
    <w:rsid w:val="00E2518F"/>
    <w:rsid w:val="00E3221F"/>
    <w:rsid w:val="00E35A2C"/>
    <w:rsid w:val="00E41459"/>
    <w:rsid w:val="00E43656"/>
    <w:rsid w:val="00E44DAA"/>
    <w:rsid w:val="00E52CD6"/>
    <w:rsid w:val="00E73269"/>
    <w:rsid w:val="00E90B98"/>
    <w:rsid w:val="00E92450"/>
    <w:rsid w:val="00E9477E"/>
    <w:rsid w:val="00E97A62"/>
    <w:rsid w:val="00EA44E7"/>
    <w:rsid w:val="00EB042B"/>
    <w:rsid w:val="00EC1F69"/>
    <w:rsid w:val="00EC3BA5"/>
    <w:rsid w:val="00ED59EB"/>
    <w:rsid w:val="00ED6C67"/>
    <w:rsid w:val="00F06587"/>
    <w:rsid w:val="00F06E0F"/>
    <w:rsid w:val="00F24F88"/>
    <w:rsid w:val="00F522E4"/>
    <w:rsid w:val="00F54DBE"/>
    <w:rsid w:val="00F62771"/>
    <w:rsid w:val="00F6481E"/>
    <w:rsid w:val="00F750E6"/>
    <w:rsid w:val="00F87263"/>
    <w:rsid w:val="00F9548F"/>
    <w:rsid w:val="00FB1A3C"/>
    <w:rsid w:val="00FB234C"/>
    <w:rsid w:val="00FC5CA7"/>
    <w:rsid w:val="00FD75E3"/>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EF8BB"/>
  <w15:docId w15:val="{32E79B95-8CF9-436B-959C-013225CC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8F"/>
    <w:rPr>
      <w:rFonts w:ascii="Calibri" w:eastAsia="Calibri" w:hAnsi="Calibri" w:cs="Times New Roman"/>
    </w:rPr>
  </w:style>
  <w:style w:type="paragraph" w:styleId="ListParagraph">
    <w:name w:val="List Paragraph"/>
    <w:basedOn w:val="Normal"/>
    <w:uiPriority w:val="34"/>
    <w:qFormat/>
    <w:rsid w:val="00F9548F"/>
    <w:pPr>
      <w:ind w:left="720"/>
      <w:contextualSpacing/>
    </w:pPr>
  </w:style>
  <w:style w:type="paragraph" w:styleId="Header">
    <w:name w:val="header"/>
    <w:basedOn w:val="Normal"/>
    <w:link w:val="HeaderChar"/>
    <w:uiPriority w:val="99"/>
    <w:unhideWhenUsed/>
    <w:rsid w:val="00A8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6FE"/>
    <w:rPr>
      <w:rFonts w:ascii="Calibri" w:eastAsia="Calibri" w:hAnsi="Calibri" w:cs="Times New Roman"/>
    </w:rPr>
  </w:style>
  <w:style w:type="character" w:styleId="CommentReference">
    <w:name w:val="annotation reference"/>
    <w:basedOn w:val="DefaultParagraphFont"/>
    <w:uiPriority w:val="99"/>
    <w:semiHidden/>
    <w:unhideWhenUsed/>
    <w:rsid w:val="0091243D"/>
    <w:rPr>
      <w:sz w:val="16"/>
      <w:szCs w:val="16"/>
    </w:rPr>
  </w:style>
  <w:style w:type="paragraph" w:styleId="CommentText">
    <w:name w:val="annotation text"/>
    <w:basedOn w:val="Normal"/>
    <w:link w:val="CommentTextChar"/>
    <w:uiPriority w:val="99"/>
    <w:semiHidden/>
    <w:unhideWhenUsed/>
    <w:rsid w:val="0091243D"/>
    <w:pPr>
      <w:spacing w:line="240" w:lineRule="auto"/>
    </w:pPr>
    <w:rPr>
      <w:sz w:val="20"/>
      <w:szCs w:val="20"/>
    </w:rPr>
  </w:style>
  <w:style w:type="character" w:customStyle="1" w:styleId="CommentTextChar">
    <w:name w:val="Comment Text Char"/>
    <w:basedOn w:val="DefaultParagraphFont"/>
    <w:link w:val="CommentText"/>
    <w:uiPriority w:val="99"/>
    <w:semiHidden/>
    <w:rsid w:val="0091243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243D"/>
    <w:rPr>
      <w:b/>
      <w:bCs/>
    </w:rPr>
  </w:style>
  <w:style w:type="character" w:customStyle="1" w:styleId="CommentSubjectChar">
    <w:name w:val="Comment Subject Char"/>
    <w:basedOn w:val="CommentTextChar"/>
    <w:link w:val="CommentSubject"/>
    <w:uiPriority w:val="99"/>
    <w:semiHidden/>
    <w:rsid w:val="0091243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1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3D"/>
    <w:rPr>
      <w:rFonts w:ascii="Segoe UI" w:eastAsia="Calibri" w:hAnsi="Segoe UI" w:cs="Segoe UI"/>
      <w:sz w:val="18"/>
      <w:szCs w:val="18"/>
    </w:rPr>
  </w:style>
  <w:style w:type="paragraph" w:styleId="BodyText">
    <w:name w:val="Body Text"/>
    <w:basedOn w:val="Normal"/>
    <w:link w:val="BodyTextChar"/>
    <w:uiPriority w:val="99"/>
    <w:rsid w:val="005D0C5D"/>
    <w:pPr>
      <w:suppressAutoHyphens/>
      <w:spacing w:after="120" w:line="240" w:lineRule="auto"/>
    </w:pPr>
    <w:rPr>
      <w:rFonts w:ascii="Times New Roman" w:eastAsia="MS Mincho" w:hAnsi="Times New Roman"/>
      <w:sz w:val="24"/>
      <w:szCs w:val="24"/>
      <w:lang w:val="en-US" w:eastAsia="ar-SA"/>
    </w:rPr>
  </w:style>
  <w:style w:type="character" w:customStyle="1" w:styleId="BodyTextChar">
    <w:name w:val="Body Text Char"/>
    <w:basedOn w:val="DefaultParagraphFont"/>
    <w:link w:val="BodyText"/>
    <w:uiPriority w:val="99"/>
    <w:rsid w:val="005D0C5D"/>
    <w:rPr>
      <w:rFonts w:ascii="Times New Roman" w:eastAsia="MS Mincho" w:hAnsi="Times New Roman" w:cs="Times New Roman"/>
      <w:sz w:val="24"/>
      <w:szCs w:val="24"/>
      <w:lang w:val="en-US" w:eastAsia="ar-SA"/>
    </w:rPr>
  </w:style>
  <w:style w:type="paragraph" w:styleId="FootnoteText">
    <w:name w:val="footnote text"/>
    <w:basedOn w:val="Normal"/>
    <w:link w:val="FootnoteTextChar"/>
    <w:uiPriority w:val="99"/>
    <w:semiHidden/>
    <w:unhideWhenUsed/>
    <w:rsid w:val="00651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C1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51C16"/>
    <w:rPr>
      <w:vertAlign w:val="superscript"/>
    </w:rPr>
  </w:style>
  <w:style w:type="character" w:styleId="Hyperlink">
    <w:name w:val="Hyperlink"/>
    <w:basedOn w:val="DefaultParagraphFont"/>
    <w:uiPriority w:val="99"/>
    <w:unhideWhenUsed/>
    <w:rsid w:val="00F24F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945">
      <w:bodyDiv w:val="1"/>
      <w:marLeft w:val="0"/>
      <w:marRight w:val="0"/>
      <w:marTop w:val="0"/>
      <w:marBottom w:val="0"/>
      <w:divBdr>
        <w:top w:val="none" w:sz="0" w:space="0" w:color="auto"/>
        <w:left w:val="none" w:sz="0" w:space="0" w:color="auto"/>
        <w:bottom w:val="none" w:sz="0" w:space="0" w:color="auto"/>
        <w:right w:val="none" w:sz="0" w:space="0" w:color="auto"/>
      </w:divBdr>
    </w:div>
    <w:div w:id="106703685">
      <w:bodyDiv w:val="1"/>
      <w:marLeft w:val="0"/>
      <w:marRight w:val="0"/>
      <w:marTop w:val="0"/>
      <w:marBottom w:val="0"/>
      <w:divBdr>
        <w:top w:val="none" w:sz="0" w:space="0" w:color="auto"/>
        <w:left w:val="none" w:sz="0" w:space="0" w:color="auto"/>
        <w:bottom w:val="none" w:sz="0" w:space="0" w:color="auto"/>
        <w:right w:val="none" w:sz="0" w:space="0" w:color="auto"/>
      </w:divBdr>
    </w:div>
    <w:div w:id="126624613">
      <w:bodyDiv w:val="1"/>
      <w:marLeft w:val="0"/>
      <w:marRight w:val="0"/>
      <w:marTop w:val="0"/>
      <w:marBottom w:val="0"/>
      <w:divBdr>
        <w:top w:val="none" w:sz="0" w:space="0" w:color="auto"/>
        <w:left w:val="none" w:sz="0" w:space="0" w:color="auto"/>
        <w:bottom w:val="none" w:sz="0" w:space="0" w:color="auto"/>
        <w:right w:val="none" w:sz="0" w:space="0" w:color="auto"/>
      </w:divBdr>
    </w:div>
    <w:div w:id="168177874">
      <w:bodyDiv w:val="1"/>
      <w:marLeft w:val="0"/>
      <w:marRight w:val="0"/>
      <w:marTop w:val="0"/>
      <w:marBottom w:val="0"/>
      <w:divBdr>
        <w:top w:val="none" w:sz="0" w:space="0" w:color="auto"/>
        <w:left w:val="none" w:sz="0" w:space="0" w:color="auto"/>
        <w:bottom w:val="none" w:sz="0" w:space="0" w:color="auto"/>
        <w:right w:val="none" w:sz="0" w:space="0" w:color="auto"/>
      </w:divBdr>
    </w:div>
    <w:div w:id="341401593">
      <w:bodyDiv w:val="1"/>
      <w:marLeft w:val="0"/>
      <w:marRight w:val="0"/>
      <w:marTop w:val="0"/>
      <w:marBottom w:val="0"/>
      <w:divBdr>
        <w:top w:val="none" w:sz="0" w:space="0" w:color="auto"/>
        <w:left w:val="none" w:sz="0" w:space="0" w:color="auto"/>
        <w:bottom w:val="none" w:sz="0" w:space="0" w:color="auto"/>
        <w:right w:val="none" w:sz="0" w:space="0" w:color="auto"/>
      </w:divBdr>
    </w:div>
    <w:div w:id="469438667">
      <w:bodyDiv w:val="1"/>
      <w:marLeft w:val="0"/>
      <w:marRight w:val="0"/>
      <w:marTop w:val="0"/>
      <w:marBottom w:val="0"/>
      <w:divBdr>
        <w:top w:val="none" w:sz="0" w:space="0" w:color="auto"/>
        <w:left w:val="none" w:sz="0" w:space="0" w:color="auto"/>
        <w:bottom w:val="none" w:sz="0" w:space="0" w:color="auto"/>
        <w:right w:val="none" w:sz="0" w:space="0" w:color="auto"/>
      </w:divBdr>
    </w:div>
    <w:div w:id="673997733">
      <w:bodyDiv w:val="1"/>
      <w:marLeft w:val="0"/>
      <w:marRight w:val="0"/>
      <w:marTop w:val="0"/>
      <w:marBottom w:val="0"/>
      <w:divBdr>
        <w:top w:val="none" w:sz="0" w:space="0" w:color="auto"/>
        <w:left w:val="none" w:sz="0" w:space="0" w:color="auto"/>
        <w:bottom w:val="none" w:sz="0" w:space="0" w:color="auto"/>
        <w:right w:val="none" w:sz="0" w:space="0" w:color="auto"/>
      </w:divBdr>
    </w:div>
    <w:div w:id="1114515055">
      <w:bodyDiv w:val="1"/>
      <w:marLeft w:val="0"/>
      <w:marRight w:val="0"/>
      <w:marTop w:val="0"/>
      <w:marBottom w:val="0"/>
      <w:divBdr>
        <w:top w:val="none" w:sz="0" w:space="0" w:color="auto"/>
        <w:left w:val="none" w:sz="0" w:space="0" w:color="auto"/>
        <w:bottom w:val="none" w:sz="0" w:space="0" w:color="auto"/>
        <w:right w:val="none" w:sz="0" w:space="0" w:color="auto"/>
      </w:divBdr>
    </w:div>
    <w:div w:id="1196693643">
      <w:bodyDiv w:val="1"/>
      <w:marLeft w:val="0"/>
      <w:marRight w:val="0"/>
      <w:marTop w:val="0"/>
      <w:marBottom w:val="0"/>
      <w:divBdr>
        <w:top w:val="none" w:sz="0" w:space="0" w:color="auto"/>
        <w:left w:val="none" w:sz="0" w:space="0" w:color="auto"/>
        <w:bottom w:val="none" w:sz="0" w:space="0" w:color="auto"/>
        <w:right w:val="none" w:sz="0" w:space="0" w:color="auto"/>
      </w:divBdr>
    </w:div>
    <w:div w:id="1266811351">
      <w:bodyDiv w:val="1"/>
      <w:marLeft w:val="0"/>
      <w:marRight w:val="0"/>
      <w:marTop w:val="0"/>
      <w:marBottom w:val="0"/>
      <w:divBdr>
        <w:top w:val="none" w:sz="0" w:space="0" w:color="auto"/>
        <w:left w:val="none" w:sz="0" w:space="0" w:color="auto"/>
        <w:bottom w:val="none" w:sz="0" w:space="0" w:color="auto"/>
        <w:right w:val="none" w:sz="0" w:space="0" w:color="auto"/>
      </w:divBdr>
    </w:div>
    <w:div w:id="1284768250">
      <w:bodyDiv w:val="1"/>
      <w:marLeft w:val="0"/>
      <w:marRight w:val="0"/>
      <w:marTop w:val="0"/>
      <w:marBottom w:val="0"/>
      <w:divBdr>
        <w:top w:val="none" w:sz="0" w:space="0" w:color="auto"/>
        <w:left w:val="none" w:sz="0" w:space="0" w:color="auto"/>
        <w:bottom w:val="none" w:sz="0" w:space="0" w:color="auto"/>
        <w:right w:val="none" w:sz="0" w:space="0" w:color="auto"/>
      </w:divBdr>
    </w:div>
    <w:div w:id="1357384917">
      <w:bodyDiv w:val="1"/>
      <w:marLeft w:val="0"/>
      <w:marRight w:val="0"/>
      <w:marTop w:val="0"/>
      <w:marBottom w:val="0"/>
      <w:divBdr>
        <w:top w:val="none" w:sz="0" w:space="0" w:color="auto"/>
        <w:left w:val="none" w:sz="0" w:space="0" w:color="auto"/>
        <w:bottom w:val="none" w:sz="0" w:space="0" w:color="auto"/>
        <w:right w:val="none" w:sz="0" w:space="0" w:color="auto"/>
      </w:divBdr>
    </w:div>
    <w:div w:id="1376807916">
      <w:bodyDiv w:val="1"/>
      <w:marLeft w:val="0"/>
      <w:marRight w:val="0"/>
      <w:marTop w:val="0"/>
      <w:marBottom w:val="0"/>
      <w:divBdr>
        <w:top w:val="none" w:sz="0" w:space="0" w:color="auto"/>
        <w:left w:val="none" w:sz="0" w:space="0" w:color="auto"/>
        <w:bottom w:val="none" w:sz="0" w:space="0" w:color="auto"/>
        <w:right w:val="none" w:sz="0" w:space="0" w:color="auto"/>
      </w:divBdr>
    </w:div>
    <w:div w:id="1623001158">
      <w:bodyDiv w:val="1"/>
      <w:marLeft w:val="0"/>
      <w:marRight w:val="0"/>
      <w:marTop w:val="0"/>
      <w:marBottom w:val="0"/>
      <w:divBdr>
        <w:top w:val="none" w:sz="0" w:space="0" w:color="auto"/>
        <w:left w:val="none" w:sz="0" w:space="0" w:color="auto"/>
        <w:bottom w:val="none" w:sz="0" w:space="0" w:color="auto"/>
        <w:right w:val="none" w:sz="0" w:space="0" w:color="auto"/>
      </w:divBdr>
    </w:div>
    <w:div w:id="1690251246">
      <w:bodyDiv w:val="1"/>
      <w:marLeft w:val="0"/>
      <w:marRight w:val="0"/>
      <w:marTop w:val="0"/>
      <w:marBottom w:val="0"/>
      <w:divBdr>
        <w:top w:val="none" w:sz="0" w:space="0" w:color="auto"/>
        <w:left w:val="none" w:sz="0" w:space="0" w:color="auto"/>
        <w:bottom w:val="none" w:sz="0" w:space="0" w:color="auto"/>
        <w:right w:val="none" w:sz="0" w:space="0" w:color="auto"/>
      </w:divBdr>
    </w:div>
    <w:div w:id="1782457312">
      <w:bodyDiv w:val="1"/>
      <w:marLeft w:val="0"/>
      <w:marRight w:val="0"/>
      <w:marTop w:val="0"/>
      <w:marBottom w:val="0"/>
      <w:divBdr>
        <w:top w:val="none" w:sz="0" w:space="0" w:color="auto"/>
        <w:left w:val="none" w:sz="0" w:space="0" w:color="auto"/>
        <w:bottom w:val="none" w:sz="0" w:space="0" w:color="auto"/>
        <w:right w:val="none" w:sz="0" w:space="0" w:color="auto"/>
      </w:divBdr>
    </w:div>
    <w:div w:id="1837916570">
      <w:bodyDiv w:val="1"/>
      <w:marLeft w:val="0"/>
      <w:marRight w:val="0"/>
      <w:marTop w:val="0"/>
      <w:marBottom w:val="0"/>
      <w:divBdr>
        <w:top w:val="none" w:sz="0" w:space="0" w:color="auto"/>
        <w:left w:val="none" w:sz="0" w:space="0" w:color="auto"/>
        <w:bottom w:val="none" w:sz="0" w:space="0" w:color="auto"/>
        <w:right w:val="none" w:sz="0" w:space="0" w:color="auto"/>
      </w:divBdr>
    </w:div>
    <w:div w:id="18465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databrowser/view/earn_nt_net/default/table?lang=en" TargetMode="External"/><Relationship Id="rId2" Type="http://schemas.openxmlformats.org/officeDocument/2006/relationships/hyperlink" Target="https://www.bankofalbania.org/Tregjet/Kursi_zyrtar_i_kembimit/Arkiva_e_kursit_te_kembimit/" TargetMode="External"/><Relationship Id="rId1" Type="http://schemas.openxmlformats.org/officeDocument/2006/relationships/hyperlink" Target="http://www.instat.gov.al/media/9660/pagat_press_release-t4_-2021-altco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197FA-BC22-47CF-90DE-6771C864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3693</TotalTime>
  <Pages>1</Pages>
  <Words>11657</Words>
  <Characters>66447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Stafa</dc:creator>
  <cp:keywords/>
  <dc:description/>
  <cp:lastModifiedBy>Roland Stafa</cp:lastModifiedBy>
  <cp:revision>80</cp:revision>
  <cp:lastPrinted>2022-10-24T10:09:00Z</cp:lastPrinted>
  <dcterms:created xsi:type="dcterms:W3CDTF">2021-03-31T12:10:00Z</dcterms:created>
  <dcterms:modified xsi:type="dcterms:W3CDTF">2022-10-25T13:22:00Z</dcterms:modified>
</cp:coreProperties>
</file>